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CA" w:rsidRPr="00392036" w:rsidRDefault="000008CA" w:rsidP="00313A7D">
      <w:pPr>
        <w:spacing w:after="0" w:line="360" w:lineRule="auto"/>
        <w:jc w:val="both"/>
        <w:rPr>
          <w:rFonts w:ascii="Book Antiqua" w:hAnsi="Book Antiqua" w:cs="Tahoma"/>
          <w:b/>
          <w:color w:val="000000" w:themeColor="text1"/>
          <w:sz w:val="24"/>
          <w:szCs w:val="24"/>
        </w:rPr>
      </w:pPr>
      <w:r w:rsidRPr="00392036">
        <w:rPr>
          <w:rFonts w:ascii="Book Antiqua" w:hAnsi="Book Antiqua" w:cs="Tahoma"/>
          <w:b/>
          <w:color w:val="000000" w:themeColor="text1"/>
          <w:sz w:val="24"/>
          <w:szCs w:val="24"/>
        </w:rPr>
        <w:t xml:space="preserve">Name of journal: </w:t>
      </w:r>
      <w:r w:rsidRPr="008815A4">
        <w:rPr>
          <w:rFonts w:ascii="Book Antiqua" w:hAnsi="Book Antiqua" w:cs="Tahoma"/>
          <w:b/>
          <w:i/>
          <w:color w:val="000000" w:themeColor="text1"/>
          <w:sz w:val="24"/>
          <w:szCs w:val="24"/>
        </w:rPr>
        <w:t>World Journal of Gastroenterology</w:t>
      </w:r>
    </w:p>
    <w:p w:rsidR="000008CA" w:rsidRPr="00392036" w:rsidRDefault="000008CA" w:rsidP="00313A7D">
      <w:pPr>
        <w:spacing w:after="0" w:line="360" w:lineRule="auto"/>
        <w:jc w:val="both"/>
        <w:rPr>
          <w:rFonts w:ascii="Book Antiqua" w:hAnsi="Book Antiqua"/>
          <w:b/>
          <w:color w:val="000000" w:themeColor="text1"/>
          <w:sz w:val="24"/>
          <w:szCs w:val="24"/>
          <w:lang w:val="en-US" w:eastAsia="en-US"/>
        </w:rPr>
      </w:pPr>
      <w:r w:rsidRPr="00392036">
        <w:rPr>
          <w:rFonts w:ascii="Book Antiqua" w:hAnsi="Book Antiqua" w:cs="Tahoma"/>
          <w:b/>
          <w:color w:val="000000" w:themeColor="text1"/>
          <w:sz w:val="24"/>
          <w:szCs w:val="24"/>
        </w:rPr>
        <w:t xml:space="preserve">Manuscript NO: </w:t>
      </w:r>
      <w:r w:rsidR="00B86433" w:rsidRPr="00392036">
        <w:rPr>
          <w:rFonts w:ascii="Book Antiqua" w:hAnsi="Book Antiqua"/>
          <w:b/>
          <w:color w:val="000000" w:themeColor="text1"/>
          <w:sz w:val="24"/>
          <w:szCs w:val="24"/>
          <w:shd w:val="clear" w:color="auto" w:fill="FFFFFF"/>
          <w:lang w:val="en-US" w:eastAsia="en-US"/>
        </w:rPr>
        <w:t>33137</w:t>
      </w:r>
    </w:p>
    <w:p w:rsidR="000008CA" w:rsidRPr="00392036" w:rsidRDefault="000008CA" w:rsidP="00313A7D">
      <w:pPr>
        <w:spacing w:after="0" w:line="360" w:lineRule="auto"/>
        <w:jc w:val="both"/>
        <w:rPr>
          <w:rFonts w:ascii="Book Antiqua" w:hAnsi="Book Antiqua"/>
          <w:b/>
          <w:color w:val="000000" w:themeColor="text1"/>
          <w:sz w:val="24"/>
          <w:szCs w:val="24"/>
          <w:lang w:eastAsia="zh-CN"/>
        </w:rPr>
      </w:pPr>
      <w:r w:rsidRPr="00392036">
        <w:rPr>
          <w:rFonts w:ascii="Book Antiqua" w:hAnsi="Book Antiqua" w:cs="Tahoma"/>
          <w:b/>
          <w:color w:val="000000" w:themeColor="text1"/>
          <w:sz w:val="24"/>
          <w:szCs w:val="24"/>
        </w:rPr>
        <w:t>Columns:</w:t>
      </w:r>
      <w:r w:rsidR="00DE74CD" w:rsidRPr="00392036">
        <w:rPr>
          <w:rFonts w:ascii="Book Antiqua" w:hAnsi="Book Antiqua" w:cs="Tahoma"/>
          <w:b/>
          <w:color w:val="000000" w:themeColor="text1"/>
          <w:sz w:val="24"/>
          <w:szCs w:val="24"/>
        </w:rPr>
        <w:t xml:space="preserve"> </w:t>
      </w:r>
      <w:r w:rsidR="00DF3408">
        <w:rPr>
          <w:rFonts w:ascii="Book Antiqua" w:hAnsi="Book Antiqua" w:hint="eastAsia"/>
          <w:b/>
          <w:color w:val="000000" w:themeColor="text1"/>
          <w:sz w:val="24"/>
          <w:szCs w:val="24"/>
          <w:lang w:eastAsia="zh-CN"/>
        </w:rPr>
        <w:t>REVIEW</w:t>
      </w:r>
    </w:p>
    <w:p w:rsidR="00DE74CD" w:rsidRPr="00392036" w:rsidRDefault="00DE74CD" w:rsidP="00313A7D">
      <w:pPr>
        <w:spacing w:after="0" w:line="360" w:lineRule="auto"/>
        <w:jc w:val="both"/>
        <w:rPr>
          <w:rFonts w:ascii="Book Antiqua" w:hAnsi="Book Antiqua"/>
          <w:b/>
          <w:color w:val="000000" w:themeColor="text1"/>
          <w:sz w:val="24"/>
          <w:szCs w:val="24"/>
        </w:rPr>
      </w:pPr>
    </w:p>
    <w:p w:rsidR="00077B32" w:rsidRPr="00392036" w:rsidRDefault="00077B32" w:rsidP="00313A7D">
      <w:pPr>
        <w:spacing w:after="0" w:line="360" w:lineRule="auto"/>
        <w:jc w:val="both"/>
        <w:rPr>
          <w:rFonts w:ascii="Book Antiqua" w:hAnsi="Book Antiqua"/>
          <w:b/>
          <w:color w:val="000000" w:themeColor="text1"/>
          <w:sz w:val="24"/>
          <w:szCs w:val="24"/>
        </w:rPr>
      </w:pPr>
      <w:r w:rsidRPr="00392036">
        <w:rPr>
          <w:rFonts w:ascii="Book Antiqua" w:hAnsi="Book Antiqua"/>
          <w:b/>
          <w:color w:val="000000" w:themeColor="text1"/>
          <w:sz w:val="24"/>
          <w:szCs w:val="24"/>
        </w:rPr>
        <w:t>Inflammatory bowel disease in liver transplanted patients</w:t>
      </w:r>
    </w:p>
    <w:p w:rsidR="00DE74CD" w:rsidRPr="00392036" w:rsidRDefault="00DE74CD" w:rsidP="00313A7D">
      <w:pPr>
        <w:spacing w:after="0" w:line="360" w:lineRule="auto"/>
        <w:jc w:val="both"/>
        <w:rPr>
          <w:rFonts w:ascii="Book Antiqua" w:hAnsi="Book Antiqua"/>
          <w:b/>
          <w:color w:val="000000" w:themeColor="text1"/>
          <w:sz w:val="24"/>
          <w:szCs w:val="24"/>
        </w:rPr>
      </w:pPr>
    </w:p>
    <w:p w:rsidR="00077B32" w:rsidRPr="00392036" w:rsidRDefault="00B74FFE" w:rsidP="00313A7D">
      <w:pPr>
        <w:spacing w:after="0" w:line="360" w:lineRule="auto"/>
        <w:jc w:val="both"/>
        <w:rPr>
          <w:rFonts w:ascii="Book Antiqua" w:hAnsi="Book Antiqua"/>
          <w:b/>
          <w:caps/>
          <w:color w:val="000000" w:themeColor="text1"/>
          <w:sz w:val="24"/>
          <w:szCs w:val="24"/>
        </w:rPr>
      </w:pPr>
      <w:r w:rsidRPr="00392036">
        <w:rPr>
          <w:rFonts w:ascii="Book Antiqua" w:hAnsi="Book Antiqua"/>
          <w:color w:val="000000" w:themeColor="text1"/>
          <w:sz w:val="24"/>
          <w:szCs w:val="24"/>
        </w:rPr>
        <w:t xml:space="preserve">Filipec Kanizaj T </w:t>
      </w:r>
      <w:r w:rsidRPr="00392036">
        <w:rPr>
          <w:rFonts w:ascii="Book Antiqua" w:hAnsi="Book Antiqua"/>
          <w:i/>
          <w:color w:val="000000" w:themeColor="text1"/>
          <w:sz w:val="24"/>
          <w:szCs w:val="24"/>
          <w:lang w:eastAsia="zh-CN"/>
        </w:rPr>
        <w:t>et al.</w:t>
      </w:r>
      <w:r w:rsidRPr="00392036">
        <w:rPr>
          <w:rFonts w:ascii="Book Antiqua" w:hAnsi="Book Antiqua"/>
          <w:color w:val="000000" w:themeColor="text1"/>
          <w:sz w:val="24"/>
          <w:szCs w:val="24"/>
          <w:lang w:eastAsia="zh-CN"/>
        </w:rPr>
        <w:t xml:space="preserve"> </w:t>
      </w:r>
      <w:r w:rsidR="00DE74CD" w:rsidRPr="00392036">
        <w:rPr>
          <w:rFonts w:ascii="Book Antiqua" w:hAnsi="Book Antiqua"/>
          <w:color w:val="000000" w:themeColor="text1"/>
          <w:sz w:val="24"/>
          <w:szCs w:val="24"/>
        </w:rPr>
        <w:t xml:space="preserve">IBD in </w:t>
      </w:r>
      <w:r w:rsidR="00F536BE" w:rsidRPr="00392036">
        <w:rPr>
          <w:rFonts w:ascii="Book Antiqua" w:hAnsi="Book Antiqua"/>
          <w:color w:val="000000" w:themeColor="text1"/>
          <w:sz w:val="24"/>
          <w:szCs w:val="24"/>
        </w:rPr>
        <w:t>l</w:t>
      </w:r>
      <w:r w:rsidR="00DE74CD" w:rsidRPr="00392036">
        <w:rPr>
          <w:rFonts w:ascii="Book Antiqua" w:hAnsi="Book Antiqua"/>
          <w:color w:val="000000" w:themeColor="text1"/>
          <w:sz w:val="24"/>
          <w:szCs w:val="24"/>
        </w:rPr>
        <w:t>iver transplantation</w:t>
      </w:r>
    </w:p>
    <w:p w:rsidR="00DE74CD" w:rsidRPr="00392036" w:rsidRDefault="00DE74CD" w:rsidP="00313A7D">
      <w:pPr>
        <w:spacing w:after="0" w:line="360" w:lineRule="auto"/>
        <w:jc w:val="both"/>
        <w:rPr>
          <w:rFonts w:ascii="Book Antiqua" w:hAnsi="Book Antiqua"/>
          <w:b/>
          <w:caps/>
          <w:color w:val="000000" w:themeColor="text1"/>
          <w:sz w:val="24"/>
          <w:szCs w:val="24"/>
        </w:rPr>
      </w:pPr>
    </w:p>
    <w:p w:rsidR="00DE74CD" w:rsidRPr="00392036" w:rsidRDefault="00B74FFE" w:rsidP="00313A7D">
      <w:pPr>
        <w:spacing w:after="0" w:line="360" w:lineRule="auto"/>
        <w:jc w:val="both"/>
        <w:rPr>
          <w:rFonts w:ascii="Book Antiqua" w:hAnsi="Book Antiqua" w:cs="Times New Roman"/>
          <w:color w:val="000000" w:themeColor="text1"/>
          <w:sz w:val="24"/>
          <w:szCs w:val="24"/>
        </w:rPr>
      </w:pPr>
      <w:r w:rsidRPr="00392036">
        <w:rPr>
          <w:rFonts w:ascii="Book Antiqua" w:hAnsi="Book Antiqua"/>
          <w:color w:val="000000" w:themeColor="text1"/>
          <w:sz w:val="24"/>
          <w:szCs w:val="24"/>
        </w:rPr>
        <w:t>Tajana Filipec Kanizaj</w:t>
      </w:r>
      <w:r w:rsidRPr="00392036">
        <w:rPr>
          <w:rFonts w:ascii="Book Antiqua" w:hAnsi="Book Antiqua"/>
          <w:color w:val="000000" w:themeColor="text1"/>
          <w:sz w:val="24"/>
          <w:szCs w:val="24"/>
          <w:lang w:eastAsia="zh-CN"/>
        </w:rPr>
        <w:t>,</w:t>
      </w:r>
      <w:r w:rsidRPr="00392036">
        <w:rPr>
          <w:rFonts w:ascii="Book Antiqua" w:hAnsi="Book Antiqua"/>
          <w:color w:val="000000" w:themeColor="text1"/>
          <w:sz w:val="24"/>
          <w:szCs w:val="24"/>
        </w:rPr>
        <w:t xml:space="preserve"> Maja Miji</w:t>
      </w:r>
      <w:r w:rsidRPr="00392036">
        <w:rPr>
          <w:rFonts w:ascii="Book Antiqua" w:hAnsi="Book Antiqua" w:cs="Times New Roman"/>
          <w:color w:val="000000" w:themeColor="text1"/>
          <w:sz w:val="24"/>
          <w:szCs w:val="24"/>
        </w:rPr>
        <w:t>c</w:t>
      </w:r>
    </w:p>
    <w:p w:rsidR="00DE74CD" w:rsidRPr="00392036" w:rsidRDefault="00DE74CD" w:rsidP="00313A7D">
      <w:pPr>
        <w:spacing w:after="0" w:line="360" w:lineRule="auto"/>
        <w:jc w:val="both"/>
        <w:rPr>
          <w:rFonts w:ascii="Book Antiqua" w:hAnsi="Book Antiqua"/>
          <w:b/>
          <w:color w:val="000000" w:themeColor="text1"/>
          <w:sz w:val="24"/>
          <w:szCs w:val="24"/>
        </w:rPr>
      </w:pPr>
    </w:p>
    <w:p w:rsidR="00DE74CD" w:rsidRPr="00392036" w:rsidRDefault="00DE74CD" w:rsidP="00313A7D">
      <w:pPr>
        <w:spacing w:after="0" w:line="360" w:lineRule="auto"/>
        <w:jc w:val="both"/>
        <w:rPr>
          <w:rFonts w:ascii="Book Antiqua" w:hAnsi="Book Antiqua"/>
          <w:color w:val="000000" w:themeColor="text1"/>
          <w:sz w:val="24"/>
          <w:szCs w:val="24"/>
        </w:rPr>
      </w:pPr>
      <w:r w:rsidRPr="00392036">
        <w:rPr>
          <w:rFonts w:ascii="Book Antiqua" w:hAnsi="Book Antiqua"/>
          <w:b/>
          <w:color w:val="000000" w:themeColor="text1"/>
          <w:sz w:val="24"/>
          <w:szCs w:val="24"/>
        </w:rPr>
        <w:t>Tajana Filipec Kanizaj</w:t>
      </w:r>
      <w:r w:rsidRPr="00392036">
        <w:rPr>
          <w:rFonts w:ascii="Book Antiqua" w:hAnsi="Book Antiqua"/>
          <w:b/>
          <w:color w:val="000000" w:themeColor="text1"/>
          <w:sz w:val="24"/>
          <w:szCs w:val="24"/>
          <w:lang w:eastAsia="zh-CN"/>
        </w:rPr>
        <w:t>,</w:t>
      </w:r>
      <w:r w:rsidRPr="00392036">
        <w:rPr>
          <w:rFonts w:ascii="Book Antiqua" w:hAnsi="Book Antiqua"/>
          <w:color w:val="000000" w:themeColor="text1"/>
          <w:sz w:val="24"/>
          <w:szCs w:val="24"/>
        </w:rPr>
        <w:t xml:space="preserve"> </w:t>
      </w:r>
      <w:r w:rsidR="000A3205" w:rsidRPr="00392036">
        <w:rPr>
          <w:rFonts w:ascii="Book Antiqua" w:hAnsi="Book Antiqua" w:cs="Arial"/>
          <w:bCs/>
          <w:color w:val="000000" w:themeColor="text1"/>
          <w:sz w:val="24"/>
          <w:szCs w:val="24"/>
          <w:lang w:eastAsia="zh-CN"/>
        </w:rPr>
        <w:t>Department of Gastroenterology,</w:t>
      </w:r>
      <w:r w:rsidR="000A3205">
        <w:rPr>
          <w:rFonts w:ascii="Book Antiqua" w:hAnsi="Book Antiqua" w:cs="Arial" w:hint="eastAsia"/>
          <w:bCs/>
          <w:color w:val="000000" w:themeColor="text1"/>
          <w:sz w:val="24"/>
          <w:szCs w:val="24"/>
          <w:lang w:eastAsia="zh-CN"/>
        </w:rPr>
        <w:t xml:space="preserve"> </w:t>
      </w:r>
      <w:r w:rsidRPr="00392036">
        <w:rPr>
          <w:rFonts w:ascii="Book Antiqua" w:hAnsi="Book Antiqua"/>
          <w:color w:val="000000" w:themeColor="text1"/>
          <w:sz w:val="24"/>
          <w:szCs w:val="24"/>
        </w:rPr>
        <w:t xml:space="preserve">University </w:t>
      </w:r>
      <w:r w:rsidR="000A3205" w:rsidRPr="00392036">
        <w:rPr>
          <w:rFonts w:ascii="Book Antiqua" w:hAnsi="Book Antiqua"/>
          <w:color w:val="000000" w:themeColor="text1"/>
          <w:sz w:val="24"/>
          <w:szCs w:val="24"/>
        </w:rPr>
        <w:t xml:space="preserve">Hospital </w:t>
      </w:r>
      <w:r w:rsidRPr="00392036">
        <w:rPr>
          <w:rFonts w:ascii="Book Antiqua" w:hAnsi="Book Antiqua"/>
          <w:color w:val="000000" w:themeColor="text1"/>
          <w:sz w:val="24"/>
          <w:szCs w:val="24"/>
        </w:rPr>
        <w:t>Merkur, School of Medicine, University of Zagreb, Zagreb 10000, Croatia</w:t>
      </w:r>
    </w:p>
    <w:p w:rsidR="00DE74CD" w:rsidRPr="00392036" w:rsidRDefault="00DE74CD" w:rsidP="00313A7D">
      <w:pPr>
        <w:spacing w:after="0" w:line="360" w:lineRule="auto"/>
        <w:jc w:val="both"/>
        <w:rPr>
          <w:rFonts w:ascii="Book Antiqua" w:hAnsi="Book Antiqua"/>
          <w:color w:val="000000" w:themeColor="text1"/>
          <w:sz w:val="24"/>
          <w:szCs w:val="24"/>
          <w:lang w:eastAsia="zh-CN"/>
        </w:rPr>
      </w:pPr>
    </w:p>
    <w:p w:rsidR="00DE74CD" w:rsidRPr="00392036" w:rsidRDefault="00DE74CD" w:rsidP="00313A7D">
      <w:pPr>
        <w:spacing w:after="0" w:line="360" w:lineRule="auto"/>
        <w:jc w:val="both"/>
        <w:rPr>
          <w:rFonts w:ascii="Book Antiqua" w:hAnsi="Book Antiqua"/>
          <w:color w:val="000000" w:themeColor="text1"/>
          <w:sz w:val="24"/>
          <w:szCs w:val="24"/>
        </w:rPr>
      </w:pPr>
      <w:r w:rsidRPr="00392036">
        <w:rPr>
          <w:rFonts w:ascii="Book Antiqua" w:hAnsi="Book Antiqua"/>
          <w:b/>
          <w:color w:val="000000" w:themeColor="text1"/>
          <w:sz w:val="24"/>
          <w:szCs w:val="24"/>
        </w:rPr>
        <w:t>Maja Miji</w:t>
      </w:r>
      <w:r w:rsidRPr="00392036">
        <w:rPr>
          <w:rFonts w:ascii="Book Antiqua" w:hAnsi="Book Antiqua" w:cs="Times New Roman"/>
          <w:b/>
          <w:color w:val="000000" w:themeColor="text1"/>
          <w:sz w:val="24"/>
          <w:szCs w:val="24"/>
        </w:rPr>
        <w:t>c</w:t>
      </w:r>
      <w:r w:rsidRPr="00392036">
        <w:rPr>
          <w:rFonts w:ascii="Book Antiqua" w:hAnsi="Book Antiqua"/>
          <w:b/>
          <w:color w:val="000000" w:themeColor="text1"/>
          <w:sz w:val="24"/>
          <w:szCs w:val="24"/>
          <w:lang w:eastAsia="zh-CN"/>
        </w:rPr>
        <w:t>,</w:t>
      </w:r>
      <w:r w:rsidRPr="00392036">
        <w:rPr>
          <w:rFonts w:ascii="Book Antiqua" w:hAnsi="Book Antiqua"/>
          <w:color w:val="000000" w:themeColor="text1"/>
          <w:sz w:val="24"/>
          <w:szCs w:val="24"/>
        </w:rPr>
        <w:t xml:space="preserve"> University </w:t>
      </w:r>
      <w:r w:rsidR="000A3205" w:rsidRPr="00392036">
        <w:rPr>
          <w:rFonts w:ascii="Book Antiqua" w:hAnsi="Book Antiqua"/>
          <w:color w:val="000000" w:themeColor="text1"/>
          <w:sz w:val="24"/>
          <w:szCs w:val="24"/>
        </w:rPr>
        <w:t xml:space="preserve">Hospital </w:t>
      </w:r>
      <w:r w:rsidRPr="00392036">
        <w:rPr>
          <w:rFonts w:ascii="Book Antiqua" w:hAnsi="Book Antiqua"/>
          <w:color w:val="000000" w:themeColor="text1"/>
          <w:sz w:val="24"/>
          <w:szCs w:val="24"/>
        </w:rPr>
        <w:t>Merkur, Zagreb 10000, Croatia</w:t>
      </w:r>
    </w:p>
    <w:p w:rsidR="00DE74CD" w:rsidRPr="00392036" w:rsidRDefault="00DE74CD" w:rsidP="00313A7D">
      <w:pPr>
        <w:autoSpaceDE w:val="0"/>
        <w:autoSpaceDN w:val="0"/>
        <w:adjustRightInd w:val="0"/>
        <w:spacing w:after="0" w:line="360" w:lineRule="auto"/>
        <w:jc w:val="both"/>
        <w:rPr>
          <w:rFonts w:ascii="Book Antiqua" w:hAnsi="Book Antiqua"/>
          <w:b/>
          <w:color w:val="000000" w:themeColor="text1"/>
          <w:sz w:val="24"/>
          <w:szCs w:val="24"/>
          <w:shd w:val="clear" w:color="auto" w:fill="FFFFFF"/>
        </w:rPr>
      </w:pPr>
    </w:p>
    <w:p w:rsidR="00DE74CD" w:rsidRPr="00392036" w:rsidRDefault="00DE74CD" w:rsidP="00313A7D">
      <w:pPr>
        <w:pStyle w:val="NormalWeb"/>
        <w:spacing w:beforeLines="0" w:afterLines="0" w:after="0" w:line="360" w:lineRule="auto"/>
        <w:jc w:val="both"/>
        <w:rPr>
          <w:rFonts w:ascii="Book Antiqua" w:hAnsi="Book Antiqua"/>
          <w:color w:val="000000" w:themeColor="text1"/>
          <w:sz w:val="24"/>
          <w:szCs w:val="24"/>
        </w:rPr>
      </w:pPr>
      <w:r w:rsidRPr="00392036">
        <w:rPr>
          <w:rFonts w:ascii="Book Antiqua" w:hAnsi="Book Antiqua"/>
          <w:b/>
          <w:color w:val="000000" w:themeColor="text1"/>
          <w:sz w:val="24"/>
          <w:szCs w:val="24"/>
        </w:rPr>
        <w:t>Author contributions:</w:t>
      </w:r>
      <w:r w:rsidRPr="00392036">
        <w:rPr>
          <w:rFonts w:ascii="Book Antiqua" w:hAnsi="Book Antiqua"/>
          <w:color w:val="000000" w:themeColor="text1"/>
          <w:sz w:val="24"/>
          <w:szCs w:val="24"/>
        </w:rPr>
        <w:t xml:space="preserve"> Filipec Kanizaj T developed the design and was the primary writer of this paper; Mijic </w:t>
      </w:r>
      <w:r w:rsidR="00B74FFE" w:rsidRPr="00392036">
        <w:rPr>
          <w:rFonts w:ascii="Book Antiqua" w:hAnsi="Book Antiqua"/>
          <w:color w:val="000000" w:themeColor="text1"/>
          <w:sz w:val="24"/>
          <w:szCs w:val="24"/>
          <w:lang w:eastAsia="zh-CN"/>
        </w:rPr>
        <w:t xml:space="preserve">M </w:t>
      </w:r>
      <w:r w:rsidRPr="00392036">
        <w:rPr>
          <w:rFonts w:ascii="Book Antiqua" w:hAnsi="Book Antiqua"/>
          <w:color w:val="000000" w:themeColor="text1"/>
          <w:sz w:val="24"/>
          <w:szCs w:val="24"/>
        </w:rPr>
        <w:t>made the literature review, contributed to writing, design and revision.</w:t>
      </w:r>
    </w:p>
    <w:p w:rsidR="00F536BE" w:rsidRPr="00392036" w:rsidRDefault="00F536BE" w:rsidP="00313A7D">
      <w:pPr>
        <w:spacing w:after="0" w:line="360" w:lineRule="auto"/>
        <w:jc w:val="both"/>
        <w:rPr>
          <w:rFonts w:ascii="Book Antiqua" w:hAnsi="Book Antiqua"/>
          <w:b/>
          <w:color w:val="000000" w:themeColor="text1"/>
          <w:sz w:val="24"/>
          <w:szCs w:val="24"/>
        </w:rPr>
      </w:pPr>
    </w:p>
    <w:p w:rsidR="00F536BE" w:rsidRPr="00392036" w:rsidRDefault="00B74FFE" w:rsidP="00313A7D">
      <w:pPr>
        <w:spacing w:after="0" w:line="360" w:lineRule="auto"/>
        <w:jc w:val="both"/>
        <w:rPr>
          <w:rFonts w:ascii="Book Antiqua" w:hAnsi="Book Antiqua"/>
          <w:color w:val="000000" w:themeColor="text1"/>
          <w:sz w:val="24"/>
          <w:szCs w:val="24"/>
          <w:lang w:eastAsia="zh-CN"/>
        </w:rPr>
      </w:pPr>
      <w:r w:rsidRPr="00392036">
        <w:rPr>
          <w:rFonts w:ascii="Book Antiqua" w:hAnsi="Book Antiqua"/>
          <w:b/>
          <w:sz w:val="24"/>
          <w:szCs w:val="24"/>
        </w:rPr>
        <w:t>Conflict-of-interest statement</w:t>
      </w:r>
      <w:r w:rsidRPr="00392036">
        <w:rPr>
          <w:rFonts w:ascii="Book Antiqua" w:hAnsi="Book Antiqua"/>
          <w:b/>
          <w:sz w:val="24"/>
          <w:szCs w:val="24"/>
          <w:lang w:eastAsia="zh-CN"/>
        </w:rPr>
        <w:t>:</w:t>
      </w:r>
      <w:r w:rsidRPr="00392036">
        <w:rPr>
          <w:rFonts w:ascii="Book Antiqua" w:hAnsi="Book Antiqua"/>
          <w:sz w:val="24"/>
          <w:szCs w:val="24"/>
          <w:lang w:eastAsia="zh-CN"/>
        </w:rPr>
        <w:t xml:space="preserve"> </w:t>
      </w:r>
      <w:r w:rsidR="00F536BE" w:rsidRPr="00392036">
        <w:rPr>
          <w:rFonts w:ascii="Book Antiqua" w:hAnsi="Book Antiqua"/>
          <w:color w:val="000000" w:themeColor="text1"/>
          <w:sz w:val="24"/>
          <w:szCs w:val="24"/>
        </w:rPr>
        <w:t>All authors who have taken part in this study declared that they have nothing to disclose regarding funding or conflict of interest with respect to this manuscript.</w:t>
      </w:r>
    </w:p>
    <w:p w:rsidR="00B74FFE" w:rsidRPr="00392036" w:rsidRDefault="00B74FFE" w:rsidP="00313A7D">
      <w:pPr>
        <w:spacing w:after="0" w:line="360" w:lineRule="auto"/>
        <w:jc w:val="both"/>
        <w:rPr>
          <w:rFonts w:ascii="Book Antiqua" w:hAnsi="Book Antiqua"/>
          <w:sz w:val="24"/>
          <w:szCs w:val="24"/>
          <w:lang w:eastAsia="zh-CN"/>
        </w:rPr>
      </w:pPr>
    </w:p>
    <w:p w:rsidR="00B74FFE" w:rsidRPr="00392036" w:rsidRDefault="00B74FFE" w:rsidP="00313A7D">
      <w:pPr>
        <w:spacing w:after="0" w:line="360" w:lineRule="auto"/>
        <w:jc w:val="both"/>
        <w:rPr>
          <w:rFonts w:ascii="Book Antiqua" w:hAnsi="Book Antiqua"/>
          <w:b/>
          <w:color w:val="000000"/>
          <w:sz w:val="24"/>
          <w:szCs w:val="24"/>
        </w:rPr>
      </w:pPr>
      <w:bookmarkStart w:id="0" w:name="OLE_LINK155"/>
      <w:bookmarkStart w:id="1" w:name="OLE_LINK183"/>
      <w:bookmarkStart w:id="2" w:name="OLE_LINK441"/>
      <w:r w:rsidRPr="00392036">
        <w:rPr>
          <w:rFonts w:ascii="Book Antiqua" w:hAnsi="Book Antiqua"/>
          <w:b/>
          <w:color w:val="000000"/>
          <w:sz w:val="24"/>
          <w:szCs w:val="24"/>
        </w:rPr>
        <w:t xml:space="preserve">Open-Access: </w:t>
      </w:r>
      <w:r w:rsidRPr="00392036">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rsidR="00B74FFE" w:rsidRPr="00392036" w:rsidRDefault="00B74FFE" w:rsidP="00313A7D">
      <w:pPr>
        <w:spacing w:after="0" w:line="360" w:lineRule="auto"/>
        <w:jc w:val="both"/>
        <w:rPr>
          <w:rFonts w:ascii="Book Antiqua" w:hAnsi="Book Antiqua" w:cs="Arial Unicode MS"/>
          <w:color w:val="000000"/>
          <w:sz w:val="24"/>
          <w:szCs w:val="24"/>
          <w:lang w:eastAsia="zh-CN"/>
        </w:rPr>
      </w:pPr>
    </w:p>
    <w:p w:rsidR="00B74FFE" w:rsidRPr="00392036" w:rsidRDefault="00B74FFE" w:rsidP="00313A7D">
      <w:pPr>
        <w:spacing w:after="0" w:line="360" w:lineRule="auto"/>
        <w:jc w:val="both"/>
        <w:rPr>
          <w:rFonts w:ascii="Book Antiqua" w:hAnsi="Book Antiqua" w:cs="Arial Unicode MS"/>
          <w:color w:val="000000"/>
          <w:sz w:val="24"/>
          <w:szCs w:val="24"/>
        </w:rPr>
      </w:pPr>
      <w:r w:rsidRPr="00392036">
        <w:rPr>
          <w:rFonts w:ascii="Book Antiqua" w:hAnsi="Book Antiqua" w:cs="Arial Unicode MS"/>
          <w:b/>
          <w:color w:val="000000"/>
          <w:sz w:val="24"/>
          <w:szCs w:val="24"/>
        </w:rPr>
        <w:lastRenderedPageBreak/>
        <w:t>Manuscript source:</w:t>
      </w:r>
      <w:r w:rsidRPr="00392036">
        <w:rPr>
          <w:rFonts w:ascii="Book Antiqua" w:hAnsi="Book Antiqua" w:cs="Arial Unicode MS"/>
          <w:color w:val="000000"/>
          <w:sz w:val="24"/>
          <w:szCs w:val="24"/>
        </w:rPr>
        <w:t xml:space="preserve"> Invited manuscript</w:t>
      </w:r>
    </w:p>
    <w:p w:rsidR="00DE74CD" w:rsidRPr="00392036" w:rsidRDefault="00B74FFE" w:rsidP="00313A7D">
      <w:pPr>
        <w:spacing w:after="0" w:line="360" w:lineRule="auto"/>
        <w:jc w:val="both"/>
        <w:rPr>
          <w:rFonts w:ascii="Book Antiqua" w:hAnsi="Book Antiqua" w:cs="Arial Unicode MS"/>
          <w:color w:val="000000"/>
          <w:sz w:val="24"/>
          <w:szCs w:val="24"/>
          <w:lang w:eastAsia="zh-CN"/>
        </w:rPr>
      </w:pPr>
      <w:r w:rsidRPr="00392036">
        <w:rPr>
          <w:rFonts w:ascii="Book Antiqua" w:hAnsi="Book Antiqua" w:cs="Arial Unicode MS"/>
          <w:b/>
          <w:color w:val="000000"/>
          <w:sz w:val="24"/>
          <w:szCs w:val="24"/>
          <w:lang w:eastAsia="zh-CN"/>
        </w:rPr>
        <w:t xml:space="preserve"> </w:t>
      </w:r>
    </w:p>
    <w:p w:rsidR="00DE74CD" w:rsidRPr="00392036" w:rsidRDefault="00DE74CD" w:rsidP="00313A7D">
      <w:pPr>
        <w:spacing w:after="0" w:line="360" w:lineRule="auto"/>
        <w:jc w:val="both"/>
        <w:rPr>
          <w:rFonts w:ascii="Book Antiqua" w:hAnsi="Book Antiqua" w:cs="Arial"/>
          <w:bCs/>
          <w:color w:val="000000" w:themeColor="text1"/>
          <w:sz w:val="24"/>
          <w:szCs w:val="24"/>
          <w:lang w:eastAsia="zh-CN"/>
        </w:rPr>
      </w:pPr>
      <w:r w:rsidRPr="00392036">
        <w:rPr>
          <w:rFonts w:ascii="Book Antiqua" w:hAnsi="Book Antiqua" w:cs="Arial"/>
          <w:b/>
          <w:bCs/>
          <w:color w:val="000000" w:themeColor="text1"/>
          <w:sz w:val="24"/>
          <w:szCs w:val="24"/>
          <w:lang w:eastAsia="zh-CN"/>
        </w:rPr>
        <w:t xml:space="preserve">Correspondence to: Tajana Filipec Kanizaj, </w:t>
      </w:r>
      <w:r w:rsidR="00B74FFE" w:rsidRPr="00392036">
        <w:rPr>
          <w:rFonts w:ascii="Book Antiqua" w:hAnsi="Book Antiqua" w:cs="Arial"/>
          <w:b/>
          <w:bCs/>
          <w:color w:val="000000" w:themeColor="text1"/>
          <w:sz w:val="24"/>
          <w:szCs w:val="24"/>
          <w:lang w:eastAsia="zh-CN"/>
        </w:rPr>
        <w:t xml:space="preserve">Assistant </w:t>
      </w:r>
      <w:r w:rsidRPr="00392036">
        <w:rPr>
          <w:rFonts w:ascii="Book Antiqua" w:hAnsi="Book Antiqua" w:cs="Arial"/>
          <w:b/>
          <w:bCs/>
          <w:color w:val="000000" w:themeColor="text1"/>
          <w:sz w:val="24"/>
          <w:szCs w:val="24"/>
          <w:lang w:eastAsia="zh-CN"/>
        </w:rPr>
        <w:t>Prof</w:t>
      </w:r>
      <w:r w:rsidR="00B74FFE" w:rsidRPr="00392036">
        <w:rPr>
          <w:rFonts w:ascii="Book Antiqua" w:hAnsi="Book Antiqua" w:cs="Arial"/>
          <w:b/>
          <w:bCs/>
          <w:color w:val="000000" w:themeColor="text1"/>
          <w:sz w:val="24"/>
          <w:szCs w:val="24"/>
          <w:lang w:eastAsia="zh-CN"/>
        </w:rPr>
        <w:t>essor</w:t>
      </w:r>
      <w:r w:rsidRPr="00392036">
        <w:rPr>
          <w:rFonts w:ascii="Book Antiqua" w:hAnsi="Book Antiqua" w:cs="Arial"/>
          <w:b/>
          <w:bCs/>
          <w:color w:val="000000" w:themeColor="text1"/>
          <w:sz w:val="24"/>
          <w:szCs w:val="24"/>
          <w:lang w:eastAsia="zh-CN"/>
        </w:rPr>
        <w:t>, PhD,</w:t>
      </w:r>
      <w:r w:rsidRPr="00392036">
        <w:rPr>
          <w:rFonts w:ascii="Book Antiqua" w:hAnsi="Book Antiqua" w:cs="Arial"/>
          <w:bCs/>
          <w:color w:val="000000" w:themeColor="text1"/>
          <w:sz w:val="24"/>
          <w:szCs w:val="24"/>
          <w:lang w:eastAsia="zh-CN"/>
        </w:rPr>
        <w:t xml:space="preserve"> Department of </w:t>
      </w:r>
      <w:r w:rsidR="000A3205" w:rsidRPr="00392036">
        <w:rPr>
          <w:rFonts w:ascii="Book Antiqua" w:hAnsi="Book Antiqua" w:cs="Arial"/>
          <w:bCs/>
          <w:color w:val="000000" w:themeColor="text1"/>
          <w:sz w:val="24"/>
          <w:szCs w:val="24"/>
          <w:lang w:eastAsia="zh-CN"/>
        </w:rPr>
        <w:t>Gastroenterology</w:t>
      </w:r>
      <w:r w:rsidRPr="00392036">
        <w:rPr>
          <w:rFonts w:ascii="Book Antiqua" w:hAnsi="Book Antiqua" w:cs="Arial"/>
          <w:bCs/>
          <w:color w:val="000000" w:themeColor="text1"/>
          <w:sz w:val="24"/>
          <w:szCs w:val="24"/>
          <w:lang w:eastAsia="zh-CN"/>
        </w:rPr>
        <w:t xml:space="preserve">, University </w:t>
      </w:r>
      <w:r w:rsidR="000A3205" w:rsidRPr="00392036">
        <w:rPr>
          <w:rFonts w:ascii="Book Antiqua" w:hAnsi="Book Antiqua" w:cs="Arial"/>
          <w:bCs/>
          <w:color w:val="000000" w:themeColor="text1"/>
          <w:sz w:val="24"/>
          <w:szCs w:val="24"/>
          <w:lang w:eastAsia="zh-CN"/>
        </w:rPr>
        <w:t xml:space="preserve">Hospital </w:t>
      </w:r>
      <w:r w:rsidRPr="00392036">
        <w:rPr>
          <w:rFonts w:ascii="Book Antiqua" w:hAnsi="Book Antiqua" w:cs="Arial"/>
          <w:bCs/>
          <w:color w:val="000000" w:themeColor="text1"/>
          <w:sz w:val="24"/>
          <w:szCs w:val="24"/>
          <w:lang w:eastAsia="zh-CN"/>
        </w:rPr>
        <w:t>Merkur, University of Zagreb, Zajceva 19,</w:t>
      </w:r>
      <w:r w:rsidR="002F3CA6" w:rsidRPr="00392036">
        <w:rPr>
          <w:rFonts w:ascii="Book Antiqua" w:hAnsi="Book Antiqua" w:cs="Arial"/>
          <w:bCs/>
          <w:color w:val="000000" w:themeColor="text1"/>
          <w:sz w:val="24"/>
          <w:szCs w:val="24"/>
          <w:lang w:eastAsia="zh-CN"/>
        </w:rPr>
        <w:t xml:space="preserve"> Zagreb, 10000, Croatia, tajana.</w:t>
      </w:r>
      <w:r w:rsidRPr="00392036">
        <w:rPr>
          <w:rFonts w:ascii="Book Antiqua" w:hAnsi="Book Antiqua" w:cs="Arial"/>
          <w:bCs/>
          <w:color w:val="000000" w:themeColor="text1"/>
          <w:sz w:val="24"/>
          <w:szCs w:val="24"/>
          <w:lang w:eastAsia="zh-CN"/>
        </w:rPr>
        <w:t>filipec@</w:t>
      </w:r>
      <w:r w:rsidR="002F3CA6" w:rsidRPr="00392036">
        <w:rPr>
          <w:rFonts w:ascii="Book Antiqua" w:hAnsi="Book Antiqua" w:cs="Arial"/>
          <w:bCs/>
          <w:color w:val="000000" w:themeColor="text1"/>
          <w:sz w:val="24"/>
          <w:szCs w:val="24"/>
          <w:lang w:eastAsia="zh-CN"/>
        </w:rPr>
        <w:t>gmail</w:t>
      </w:r>
      <w:r w:rsidRPr="00392036">
        <w:rPr>
          <w:rFonts w:ascii="Book Antiqua" w:hAnsi="Book Antiqua" w:cs="Arial"/>
          <w:bCs/>
          <w:color w:val="000000" w:themeColor="text1"/>
          <w:sz w:val="24"/>
          <w:szCs w:val="24"/>
          <w:lang w:eastAsia="zh-CN"/>
        </w:rPr>
        <w:t>.com</w:t>
      </w:r>
    </w:p>
    <w:p w:rsidR="00B74FFE" w:rsidRPr="00392036" w:rsidRDefault="00DE74CD" w:rsidP="00313A7D">
      <w:pPr>
        <w:spacing w:after="0" w:line="360" w:lineRule="auto"/>
        <w:jc w:val="both"/>
        <w:rPr>
          <w:rFonts w:ascii="Book Antiqua" w:hAnsi="Book Antiqua" w:cs="Arial"/>
          <w:b/>
          <w:bCs/>
          <w:color w:val="000000" w:themeColor="text1"/>
          <w:sz w:val="24"/>
          <w:szCs w:val="24"/>
          <w:lang w:eastAsia="zh-CN"/>
        </w:rPr>
      </w:pPr>
      <w:r w:rsidRPr="00392036">
        <w:rPr>
          <w:rFonts w:ascii="Book Antiqua" w:hAnsi="Book Antiqua" w:cs="Arial"/>
          <w:b/>
          <w:bCs/>
          <w:color w:val="000000" w:themeColor="text1"/>
          <w:sz w:val="24"/>
          <w:szCs w:val="24"/>
          <w:lang w:eastAsia="zh-CN"/>
        </w:rPr>
        <w:t>Telephone:</w:t>
      </w:r>
      <w:r w:rsidR="00B74FFE" w:rsidRPr="00392036">
        <w:rPr>
          <w:rFonts w:ascii="Book Antiqua" w:hAnsi="Book Antiqua" w:cs="Arial"/>
          <w:b/>
          <w:bCs/>
          <w:color w:val="000000" w:themeColor="text1"/>
          <w:sz w:val="24"/>
          <w:szCs w:val="24"/>
          <w:lang w:eastAsia="zh-CN"/>
        </w:rPr>
        <w:t xml:space="preserve"> </w:t>
      </w:r>
      <w:r w:rsidRPr="00392036">
        <w:rPr>
          <w:rFonts w:ascii="Book Antiqua" w:hAnsi="Book Antiqua" w:cs="Arial"/>
          <w:bCs/>
          <w:color w:val="000000" w:themeColor="text1"/>
          <w:sz w:val="24"/>
          <w:szCs w:val="24"/>
          <w:lang w:eastAsia="zh-CN"/>
        </w:rPr>
        <w:t>+38</w:t>
      </w:r>
      <w:r w:rsidR="00B74FFE" w:rsidRPr="00392036">
        <w:rPr>
          <w:rFonts w:ascii="Book Antiqua" w:hAnsi="Book Antiqua" w:cs="Arial"/>
          <w:bCs/>
          <w:color w:val="000000" w:themeColor="text1"/>
          <w:sz w:val="24"/>
          <w:szCs w:val="24"/>
          <w:lang w:eastAsia="zh-CN"/>
        </w:rPr>
        <w:t>-</w:t>
      </w:r>
      <w:r w:rsidRPr="00392036">
        <w:rPr>
          <w:rFonts w:ascii="Book Antiqua" w:hAnsi="Book Antiqua" w:cs="Arial"/>
          <w:bCs/>
          <w:color w:val="000000" w:themeColor="text1"/>
          <w:sz w:val="24"/>
          <w:szCs w:val="24"/>
          <w:lang w:eastAsia="zh-CN"/>
        </w:rPr>
        <w:t>598</w:t>
      </w:r>
      <w:r w:rsidR="00B74FFE" w:rsidRPr="00392036">
        <w:rPr>
          <w:rFonts w:ascii="Book Antiqua" w:hAnsi="Book Antiqua" w:cs="Arial"/>
          <w:bCs/>
          <w:color w:val="000000" w:themeColor="text1"/>
          <w:sz w:val="24"/>
          <w:szCs w:val="24"/>
          <w:lang w:eastAsia="zh-CN"/>
        </w:rPr>
        <w:t>-</w:t>
      </w:r>
      <w:r w:rsidRPr="00392036">
        <w:rPr>
          <w:rFonts w:ascii="Book Antiqua" w:hAnsi="Book Antiqua" w:cs="Arial"/>
          <w:bCs/>
          <w:color w:val="000000" w:themeColor="text1"/>
          <w:sz w:val="24"/>
          <w:szCs w:val="24"/>
          <w:lang w:eastAsia="zh-CN"/>
        </w:rPr>
        <w:t>623903</w:t>
      </w:r>
      <w:r w:rsidRPr="00392036">
        <w:rPr>
          <w:rFonts w:ascii="Book Antiqua" w:hAnsi="Book Antiqua" w:cs="Arial"/>
          <w:b/>
          <w:bCs/>
          <w:color w:val="000000" w:themeColor="text1"/>
          <w:sz w:val="24"/>
          <w:szCs w:val="24"/>
          <w:lang w:eastAsia="zh-CN"/>
        </w:rPr>
        <w:t xml:space="preserve">       </w:t>
      </w:r>
    </w:p>
    <w:p w:rsidR="00DE74CD" w:rsidRPr="00392036" w:rsidRDefault="00DE74CD" w:rsidP="00313A7D">
      <w:pPr>
        <w:spacing w:after="0" w:line="360" w:lineRule="auto"/>
        <w:jc w:val="both"/>
        <w:rPr>
          <w:rFonts w:ascii="Book Antiqua" w:hAnsi="Book Antiqua" w:cs="Arial"/>
          <w:bCs/>
          <w:color w:val="000000" w:themeColor="text1"/>
          <w:sz w:val="24"/>
          <w:szCs w:val="24"/>
          <w:lang w:eastAsia="zh-CN"/>
        </w:rPr>
      </w:pPr>
      <w:r w:rsidRPr="00392036">
        <w:rPr>
          <w:rFonts w:ascii="Book Antiqua" w:hAnsi="Book Antiqua" w:cs="Arial"/>
          <w:b/>
          <w:bCs/>
          <w:color w:val="000000" w:themeColor="text1"/>
          <w:sz w:val="24"/>
          <w:szCs w:val="24"/>
          <w:lang w:eastAsia="zh-CN"/>
        </w:rPr>
        <w:t>Fax</w:t>
      </w:r>
      <w:r w:rsidRPr="00392036">
        <w:rPr>
          <w:rFonts w:ascii="Book Antiqua" w:hAnsi="Book Antiqua" w:cs="Arial"/>
          <w:bCs/>
          <w:color w:val="000000" w:themeColor="text1"/>
          <w:sz w:val="24"/>
          <w:szCs w:val="24"/>
          <w:lang w:eastAsia="zh-CN"/>
        </w:rPr>
        <w:t>:</w:t>
      </w:r>
      <w:r w:rsidR="00B74FFE" w:rsidRPr="00392036">
        <w:rPr>
          <w:rFonts w:ascii="Book Antiqua" w:hAnsi="Book Antiqua" w:cs="Arial"/>
          <w:bCs/>
          <w:color w:val="000000" w:themeColor="text1"/>
          <w:sz w:val="24"/>
          <w:szCs w:val="24"/>
          <w:lang w:eastAsia="zh-CN"/>
        </w:rPr>
        <w:t xml:space="preserve"> </w:t>
      </w:r>
      <w:r w:rsidRPr="00392036">
        <w:rPr>
          <w:rFonts w:ascii="Book Antiqua" w:hAnsi="Book Antiqua" w:cs="Arial"/>
          <w:bCs/>
          <w:color w:val="000000" w:themeColor="text1"/>
          <w:sz w:val="24"/>
          <w:szCs w:val="24"/>
          <w:lang w:eastAsia="zh-CN"/>
        </w:rPr>
        <w:t>+38</w:t>
      </w:r>
      <w:r w:rsidR="00B74FFE" w:rsidRPr="00392036">
        <w:rPr>
          <w:rFonts w:ascii="Book Antiqua" w:hAnsi="Book Antiqua" w:cs="Arial"/>
          <w:bCs/>
          <w:color w:val="000000" w:themeColor="text1"/>
          <w:sz w:val="24"/>
          <w:szCs w:val="24"/>
          <w:lang w:eastAsia="zh-CN"/>
        </w:rPr>
        <w:t>-</w:t>
      </w:r>
      <w:r w:rsidRPr="00392036">
        <w:rPr>
          <w:rFonts w:ascii="Book Antiqua" w:hAnsi="Book Antiqua" w:cs="Arial"/>
          <w:bCs/>
          <w:color w:val="000000" w:themeColor="text1"/>
          <w:sz w:val="24"/>
          <w:szCs w:val="24"/>
          <w:lang w:eastAsia="zh-CN"/>
        </w:rPr>
        <w:t>512</w:t>
      </w:r>
      <w:r w:rsidR="00B74FFE" w:rsidRPr="00392036">
        <w:rPr>
          <w:rFonts w:ascii="Book Antiqua" w:hAnsi="Book Antiqua" w:cs="Arial"/>
          <w:bCs/>
          <w:color w:val="000000" w:themeColor="text1"/>
          <w:sz w:val="24"/>
          <w:szCs w:val="24"/>
          <w:lang w:eastAsia="zh-CN"/>
        </w:rPr>
        <w:t>-</w:t>
      </w:r>
      <w:r w:rsidRPr="00392036">
        <w:rPr>
          <w:rFonts w:ascii="Book Antiqua" w:hAnsi="Book Antiqua" w:cs="Arial"/>
          <w:bCs/>
          <w:color w:val="000000" w:themeColor="text1"/>
          <w:sz w:val="24"/>
          <w:szCs w:val="24"/>
          <w:lang w:eastAsia="zh-CN"/>
        </w:rPr>
        <w:t>431393</w:t>
      </w:r>
    </w:p>
    <w:p w:rsidR="00F536BE" w:rsidRPr="00392036" w:rsidRDefault="00F536BE" w:rsidP="00313A7D">
      <w:pPr>
        <w:spacing w:after="0" w:line="360" w:lineRule="auto"/>
        <w:jc w:val="both"/>
        <w:rPr>
          <w:rFonts w:ascii="Book Antiqua" w:hAnsi="Book Antiqua"/>
          <w:b/>
          <w:color w:val="000000" w:themeColor="text1"/>
          <w:sz w:val="24"/>
          <w:szCs w:val="24"/>
        </w:rPr>
      </w:pPr>
    </w:p>
    <w:p w:rsidR="00B74FFE" w:rsidRPr="00313A7D" w:rsidRDefault="00B74FFE" w:rsidP="00313A7D">
      <w:pPr>
        <w:spacing w:after="0" w:line="360" w:lineRule="auto"/>
        <w:rPr>
          <w:rFonts w:ascii="Book Antiqua" w:hAnsi="Book Antiqua"/>
          <w:sz w:val="24"/>
          <w:szCs w:val="24"/>
          <w:lang w:eastAsia="zh-CN"/>
        </w:rPr>
      </w:pPr>
      <w:bookmarkStart w:id="3" w:name="OLE_LINK476"/>
      <w:bookmarkStart w:id="4" w:name="OLE_LINK477"/>
      <w:bookmarkStart w:id="5" w:name="OLE_LINK117"/>
      <w:bookmarkStart w:id="6" w:name="OLE_LINK528"/>
      <w:bookmarkStart w:id="7" w:name="OLE_LINK557"/>
      <w:r w:rsidRPr="00392036">
        <w:rPr>
          <w:rFonts w:ascii="Book Antiqua" w:hAnsi="Book Antiqua"/>
          <w:b/>
          <w:sz w:val="24"/>
          <w:szCs w:val="24"/>
        </w:rPr>
        <w:t>Received:</w:t>
      </w:r>
      <w:r w:rsidR="00313A7D">
        <w:rPr>
          <w:rFonts w:ascii="Book Antiqua" w:hAnsi="Book Antiqua" w:hint="eastAsia"/>
          <w:b/>
          <w:sz w:val="24"/>
          <w:szCs w:val="24"/>
          <w:lang w:eastAsia="zh-CN"/>
        </w:rPr>
        <w:t xml:space="preserve"> </w:t>
      </w:r>
      <w:r w:rsidR="00313A7D" w:rsidRPr="00313A7D">
        <w:rPr>
          <w:rFonts w:ascii="Book Antiqua" w:hAnsi="Book Antiqua" w:hint="eastAsia"/>
          <w:sz w:val="24"/>
          <w:szCs w:val="24"/>
          <w:lang w:eastAsia="zh-CN"/>
        </w:rPr>
        <w:t>January 28, 2017</w:t>
      </w:r>
    </w:p>
    <w:p w:rsidR="00B74FFE" w:rsidRPr="00392036" w:rsidRDefault="00B74FFE" w:rsidP="00313A7D">
      <w:pPr>
        <w:spacing w:after="0" w:line="360" w:lineRule="auto"/>
        <w:rPr>
          <w:rFonts w:ascii="Book Antiqua" w:hAnsi="Book Antiqua"/>
          <w:b/>
          <w:sz w:val="24"/>
          <w:szCs w:val="24"/>
          <w:lang w:eastAsia="zh-CN"/>
        </w:rPr>
      </w:pPr>
      <w:r w:rsidRPr="00392036">
        <w:rPr>
          <w:rFonts w:ascii="Book Antiqua" w:hAnsi="Book Antiqua"/>
          <w:b/>
          <w:sz w:val="24"/>
          <w:szCs w:val="24"/>
        </w:rPr>
        <w:t>Peer-review started:</w:t>
      </w:r>
      <w:r w:rsidR="00313A7D">
        <w:rPr>
          <w:rFonts w:ascii="Book Antiqua" w:hAnsi="Book Antiqua" w:hint="eastAsia"/>
          <w:b/>
          <w:sz w:val="24"/>
          <w:szCs w:val="24"/>
          <w:lang w:eastAsia="zh-CN"/>
        </w:rPr>
        <w:t xml:space="preserve"> </w:t>
      </w:r>
      <w:r w:rsidR="00313A7D" w:rsidRPr="00313A7D">
        <w:rPr>
          <w:rFonts w:ascii="Book Antiqua" w:hAnsi="Book Antiqua" w:hint="eastAsia"/>
          <w:sz w:val="24"/>
          <w:szCs w:val="24"/>
          <w:lang w:eastAsia="zh-CN"/>
        </w:rPr>
        <w:t>February 7, 2017</w:t>
      </w:r>
    </w:p>
    <w:p w:rsidR="00B74FFE" w:rsidRPr="00392036" w:rsidRDefault="00B74FFE" w:rsidP="00313A7D">
      <w:pPr>
        <w:spacing w:after="0" w:line="360" w:lineRule="auto"/>
        <w:rPr>
          <w:rFonts w:ascii="Book Antiqua" w:hAnsi="Book Antiqua"/>
          <w:b/>
          <w:sz w:val="24"/>
          <w:szCs w:val="24"/>
          <w:lang w:eastAsia="zh-CN"/>
        </w:rPr>
      </w:pPr>
      <w:r w:rsidRPr="00392036">
        <w:rPr>
          <w:rFonts w:ascii="Book Antiqua" w:hAnsi="Book Antiqua"/>
          <w:b/>
          <w:sz w:val="24"/>
          <w:szCs w:val="24"/>
        </w:rPr>
        <w:t>First decision:</w:t>
      </w:r>
      <w:r w:rsidR="00313A7D">
        <w:rPr>
          <w:rFonts w:ascii="Book Antiqua" w:hAnsi="Book Antiqua" w:hint="eastAsia"/>
          <w:b/>
          <w:sz w:val="24"/>
          <w:szCs w:val="24"/>
          <w:lang w:eastAsia="zh-CN"/>
        </w:rPr>
        <w:t xml:space="preserve"> </w:t>
      </w:r>
      <w:r w:rsidR="00313A7D" w:rsidRPr="00313A7D">
        <w:rPr>
          <w:rFonts w:ascii="Book Antiqua" w:hAnsi="Book Antiqua" w:hint="eastAsia"/>
          <w:sz w:val="24"/>
          <w:szCs w:val="24"/>
          <w:lang w:eastAsia="zh-CN"/>
        </w:rPr>
        <w:t>March 3, 2017</w:t>
      </w:r>
    </w:p>
    <w:p w:rsidR="00B74FFE" w:rsidRPr="00392036" w:rsidRDefault="00B74FFE" w:rsidP="00313A7D">
      <w:pPr>
        <w:spacing w:after="0" w:line="360" w:lineRule="auto"/>
        <w:rPr>
          <w:rFonts w:ascii="Book Antiqua" w:hAnsi="Book Antiqua"/>
          <w:b/>
          <w:sz w:val="24"/>
          <w:szCs w:val="24"/>
          <w:lang w:eastAsia="zh-CN"/>
        </w:rPr>
      </w:pPr>
      <w:r w:rsidRPr="00392036">
        <w:rPr>
          <w:rFonts w:ascii="Book Antiqua" w:hAnsi="Book Antiqua"/>
          <w:b/>
          <w:sz w:val="24"/>
          <w:szCs w:val="24"/>
        </w:rPr>
        <w:t>Revised:</w:t>
      </w:r>
      <w:r w:rsidR="00313A7D">
        <w:rPr>
          <w:rFonts w:ascii="Book Antiqua" w:hAnsi="Book Antiqua" w:hint="eastAsia"/>
          <w:b/>
          <w:sz w:val="24"/>
          <w:szCs w:val="24"/>
          <w:lang w:eastAsia="zh-CN"/>
        </w:rPr>
        <w:t xml:space="preserve"> </w:t>
      </w:r>
      <w:r w:rsidR="00313A7D" w:rsidRPr="00313A7D">
        <w:rPr>
          <w:rFonts w:ascii="Book Antiqua" w:hAnsi="Book Antiqua" w:hint="eastAsia"/>
          <w:sz w:val="24"/>
          <w:szCs w:val="24"/>
          <w:lang w:eastAsia="zh-CN"/>
        </w:rPr>
        <w:t>April 13, 2017</w:t>
      </w:r>
    </w:p>
    <w:p w:rsidR="00B74FFE" w:rsidRPr="00914D89" w:rsidRDefault="00B74FFE" w:rsidP="00914D89">
      <w:pPr>
        <w:spacing w:line="360" w:lineRule="auto"/>
        <w:rPr>
          <w:rFonts w:ascii="Book Antiqua" w:hAnsi="Book Antiqua"/>
          <w:color w:val="000000"/>
          <w:sz w:val="24"/>
        </w:rPr>
      </w:pPr>
      <w:r w:rsidRPr="00392036">
        <w:rPr>
          <w:rFonts w:ascii="Book Antiqua" w:hAnsi="Book Antiqua"/>
          <w:b/>
          <w:sz w:val="24"/>
          <w:szCs w:val="24"/>
        </w:rPr>
        <w:t>Accepted:</w:t>
      </w:r>
      <w:bookmarkStart w:id="8" w:name="OLE_LINK116"/>
      <w:bookmarkStart w:id="9" w:name="OLE_LINK118"/>
      <w:r w:rsidR="00914D89" w:rsidRPr="00914D89">
        <w:rPr>
          <w:rFonts w:ascii="Book Antiqua" w:hAnsi="Book Antiqua"/>
          <w:color w:val="000000"/>
          <w:sz w:val="24"/>
        </w:rPr>
        <w:t xml:space="preserve"> </w:t>
      </w:r>
      <w:r w:rsidR="00914D89">
        <w:rPr>
          <w:rFonts w:ascii="Book Antiqua" w:hAnsi="Book Antiqua"/>
          <w:color w:val="000000"/>
          <w:sz w:val="24"/>
        </w:rPr>
        <w:t>April 21, 2017</w:t>
      </w:r>
      <w:bookmarkStart w:id="10" w:name="_GoBack"/>
      <w:bookmarkEnd w:id="8"/>
      <w:bookmarkEnd w:id="9"/>
      <w:bookmarkEnd w:id="10"/>
      <w:r w:rsidRPr="00392036">
        <w:rPr>
          <w:rFonts w:ascii="Book Antiqua" w:hAnsi="Book Antiqua"/>
          <w:b/>
          <w:sz w:val="24"/>
          <w:szCs w:val="24"/>
        </w:rPr>
        <w:t xml:space="preserve">  </w:t>
      </w:r>
    </w:p>
    <w:p w:rsidR="00B74FFE" w:rsidRPr="00392036" w:rsidRDefault="00B74FFE" w:rsidP="00313A7D">
      <w:pPr>
        <w:spacing w:after="0" w:line="360" w:lineRule="auto"/>
        <w:rPr>
          <w:rFonts w:ascii="Book Antiqua" w:hAnsi="Book Antiqua"/>
          <w:b/>
          <w:sz w:val="24"/>
          <w:szCs w:val="24"/>
        </w:rPr>
      </w:pPr>
      <w:r w:rsidRPr="00392036">
        <w:rPr>
          <w:rFonts w:ascii="Book Antiqua" w:hAnsi="Book Antiqua"/>
          <w:b/>
          <w:sz w:val="24"/>
          <w:szCs w:val="24"/>
        </w:rPr>
        <w:t>Article in press:</w:t>
      </w:r>
    </w:p>
    <w:p w:rsidR="00B74FFE" w:rsidRPr="00392036" w:rsidRDefault="00B74FFE" w:rsidP="00313A7D">
      <w:pPr>
        <w:spacing w:after="0" w:line="360" w:lineRule="auto"/>
        <w:rPr>
          <w:rFonts w:ascii="Book Antiqua" w:hAnsi="Book Antiqua"/>
          <w:b/>
          <w:sz w:val="24"/>
          <w:szCs w:val="24"/>
        </w:rPr>
      </w:pPr>
      <w:r w:rsidRPr="00392036">
        <w:rPr>
          <w:rFonts w:ascii="Book Antiqua" w:hAnsi="Book Antiqua"/>
          <w:b/>
          <w:sz w:val="24"/>
          <w:szCs w:val="24"/>
        </w:rPr>
        <w:t>Published online:</w:t>
      </w:r>
    </w:p>
    <w:bookmarkEnd w:id="3"/>
    <w:bookmarkEnd w:id="4"/>
    <w:bookmarkEnd w:id="5"/>
    <w:bookmarkEnd w:id="6"/>
    <w:bookmarkEnd w:id="7"/>
    <w:p w:rsidR="00B74FFE" w:rsidRPr="00392036" w:rsidRDefault="00B74FFE" w:rsidP="00313A7D">
      <w:pPr>
        <w:spacing w:after="0"/>
        <w:rPr>
          <w:rFonts w:ascii="Book Antiqua" w:hAnsi="Book Antiqua"/>
          <w:b/>
          <w:color w:val="000000" w:themeColor="text1"/>
          <w:sz w:val="24"/>
          <w:szCs w:val="24"/>
          <w:shd w:val="clear" w:color="auto" w:fill="FFFFFF"/>
        </w:rPr>
      </w:pPr>
      <w:r w:rsidRPr="00392036">
        <w:rPr>
          <w:rFonts w:ascii="Book Antiqua" w:hAnsi="Book Antiqua"/>
          <w:b/>
          <w:color w:val="000000" w:themeColor="text1"/>
          <w:sz w:val="24"/>
          <w:szCs w:val="24"/>
          <w:shd w:val="clear" w:color="auto" w:fill="FFFFFF"/>
        </w:rPr>
        <w:br w:type="page"/>
      </w:r>
    </w:p>
    <w:p w:rsidR="00DE74CD" w:rsidRPr="00392036" w:rsidRDefault="00DE74CD" w:rsidP="00313A7D">
      <w:pPr>
        <w:autoSpaceDE w:val="0"/>
        <w:autoSpaceDN w:val="0"/>
        <w:adjustRightInd w:val="0"/>
        <w:spacing w:after="0" w:line="360" w:lineRule="auto"/>
        <w:jc w:val="both"/>
        <w:rPr>
          <w:rFonts w:ascii="Book Antiqua" w:hAnsi="Book Antiqua"/>
          <w:b/>
          <w:color w:val="000000" w:themeColor="text1"/>
          <w:sz w:val="24"/>
          <w:szCs w:val="24"/>
          <w:shd w:val="clear" w:color="auto" w:fill="FFFFFF"/>
        </w:rPr>
      </w:pPr>
      <w:r w:rsidRPr="00392036">
        <w:rPr>
          <w:rFonts w:ascii="Book Antiqua" w:hAnsi="Book Antiqua"/>
          <w:b/>
          <w:color w:val="000000" w:themeColor="text1"/>
          <w:sz w:val="24"/>
          <w:szCs w:val="24"/>
          <w:shd w:val="clear" w:color="auto" w:fill="FFFFFF"/>
        </w:rPr>
        <w:lastRenderedPageBreak/>
        <w:t>Abstract</w:t>
      </w:r>
    </w:p>
    <w:p w:rsidR="00DE74CD" w:rsidRPr="00392036" w:rsidRDefault="00DE74CD" w:rsidP="00313A7D">
      <w:pPr>
        <w:autoSpaceDE w:val="0"/>
        <w:autoSpaceDN w:val="0"/>
        <w:adjustRightInd w:val="0"/>
        <w:spacing w:after="0" w:line="360" w:lineRule="auto"/>
        <w:jc w:val="both"/>
        <w:rPr>
          <w:rFonts w:ascii="Book Antiqua" w:hAnsi="Book Antiqua"/>
          <w:b/>
          <w:i/>
          <w:color w:val="000000" w:themeColor="text1"/>
          <w:sz w:val="24"/>
          <w:szCs w:val="24"/>
          <w:shd w:val="clear" w:color="auto" w:fill="FFFFFF"/>
        </w:rPr>
      </w:pPr>
      <w:r w:rsidRPr="00392036">
        <w:rPr>
          <w:rFonts w:ascii="Book Antiqua" w:hAnsi="Book Antiqua"/>
          <w:color w:val="000000" w:themeColor="text1"/>
          <w:sz w:val="24"/>
          <w:szCs w:val="24"/>
          <w:shd w:val="clear" w:color="auto" w:fill="FFFFFF"/>
        </w:rPr>
        <w:t xml:space="preserve">Most common hepatobiliary manifestation of inflammatory bowel disease (IBD) are primary sclerosing cholangitis (PSC) and autoimmune hepatitis, ranking them as the main cause of liver transplantation (LT) in IBD setting. Course of pre-existing IBD after LT differs depending on many transplant related factors. Potential risk factors related to IBD deterioration after LT are tacrolimus-based immunosuppressive regimens, active IBD and cessation of 5-aminosalicylates at the time of LT. About 30% patients experience improvement of IBD after LT, while approximately the same percentage of patients worsens. Occurrence of </w:t>
      </w:r>
      <w:r w:rsidR="00C806F3" w:rsidRPr="00392036">
        <w:rPr>
          <w:rFonts w:ascii="Book Antiqua" w:hAnsi="Book Antiqua"/>
          <w:color w:val="000000" w:themeColor="text1"/>
          <w:sz w:val="24"/>
          <w:szCs w:val="24"/>
          <w:shd w:val="clear" w:color="auto" w:fill="FFFFFF"/>
        </w:rPr>
        <w:t>de novo</w:t>
      </w:r>
      <w:r w:rsidRPr="00392036">
        <w:rPr>
          <w:rFonts w:ascii="Book Antiqua" w:hAnsi="Book Antiqua"/>
          <w:color w:val="000000" w:themeColor="text1"/>
          <w:sz w:val="24"/>
          <w:szCs w:val="24"/>
          <w:shd w:val="clear" w:color="auto" w:fill="FFFFFF"/>
        </w:rPr>
        <w:t xml:space="preserve"> IBD may develop in 14-30% of patients with PSC. </w:t>
      </w:r>
      <w:r w:rsidRPr="00392036">
        <w:rPr>
          <w:rFonts w:ascii="Book Antiqua" w:hAnsi="Book Antiqua" w:cs="Times New Roman"/>
          <w:color w:val="000000" w:themeColor="text1"/>
          <w:sz w:val="24"/>
          <w:szCs w:val="24"/>
        </w:rPr>
        <w:t>Recommended IBD therapy after LT is equivalent to recommendations to overall IBD patients. Anti-tumor necrosis factor alpha appears to be efficient for refractory IBD. Due to potential side effects it needs to be applied with caution. In average 9% of patients require proctocolectomy due to medically refractory IBD or colorectal carcinoma. The most frequent complication in patients who undergo proctocolectomy with ileal-pouch anal anastomosis is pouchitis. It is still undeterminable if LT adds to risk of developing pouchitis in PSC patients. Annual colonoscopies are recommended as surveillance and precaution of colonic malignancies.</w:t>
      </w:r>
    </w:p>
    <w:p w:rsidR="00423923" w:rsidRPr="00392036" w:rsidRDefault="00423923" w:rsidP="00313A7D">
      <w:pPr>
        <w:spacing w:after="0" w:line="360" w:lineRule="auto"/>
        <w:jc w:val="both"/>
        <w:rPr>
          <w:rFonts w:ascii="Book Antiqua" w:hAnsi="Book Antiqua"/>
          <w:b/>
          <w:color w:val="000000" w:themeColor="text1"/>
          <w:sz w:val="24"/>
          <w:szCs w:val="24"/>
        </w:rPr>
      </w:pPr>
    </w:p>
    <w:p w:rsidR="00423923" w:rsidRPr="00392036" w:rsidRDefault="00423923" w:rsidP="00313A7D">
      <w:pPr>
        <w:autoSpaceDE w:val="0"/>
        <w:autoSpaceDN w:val="0"/>
        <w:adjustRightInd w:val="0"/>
        <w:spacing w:after="0" w:line="360" w:lineRule="auto"/>
        <w:jc w:val="both"/>
        <w:rPr>
          <w:rFonts w:ascii="Book Antiqua" w:hAnsi="Book Antiqua"/>
          <w:color w:val="000000" w:themeColor="text1"/>
          <w:sz w:val="24"/>
          <w:szCs w:val="24"/>
          <w:shd w:val="clear" w:color="auto" w:fill="FFFFFF"/>
        </w:rPr>
      </w:pPr>
      <w:r w:rsidRPr="00392036">
        <w:rPr>
          <w:rFonts w:ascii="Book Antiqua" w:hAnsi="Book Antiqua"/>
          <w:b/>
          <w:color w:val="000000" w:themeColor="text1"/>
          <w:sz w:val="24"/>
          <w:szCs w:val="24"/>
          <w:shd w:val="clear" w:color="auto" w:fill="FFFFFF"/>
        </w:rPr>
        <w:t>Key</w:t>
      </w:r>
      <w:r w:rsidR="00B74FFE" w:rsidRPr="00392036">
        <w:rPr>
          <w:rFonts w:ascii="Book Antiqua" w:hAnsi="Book Antiqua"/>
          <w:b/>
          <w:color w:val="000000" w:themeColor="text1"/>
          <w:sz w:val="24"/>
          <w:szCs w:val="24"/>
          <w:shd w:val="clear" w:color="auto" w:fill="FFFFFF"/>
          <w:lang w:eastAsia="zh-CN"/>
        </w:rPr>
        <w:t xml:space="preserve"> </w:t>
      </w:r>
      <w:r w:rsidRPr="00392036">
        <w:rPr>
          <w:rFonts w:ascii="Book Antiqua" w:hAnsi="Book Antiqua"/>
          <w:b/>
          <w:color w:val="000000" w:themeColor="text1"/>
          <w:sz w:val="24"/>
          <w:szCs w:val="24"/>
          <w:shd w:val="clear" w:color="auto" w:fill="FFFFFF"/>
        </w:rPr>
        <w:t>words:</w:t>
      </w:r>
      <w:r w:rsidRPr="00392036">
        <w:rPr>
          <w:rFonts w:ascii="Book Antiqua" w:hAnsi="Book Antiqua"/>
          <w:color w:val="000000" w:themeColor="text1"/>
          <w:sz w:val="24"/>
          <w:szCs w:val="24"/>
          <w:shd w:val="clear" w:color="auto" w:fill="FFFFFF"/>
        </w:rPr>
        <w:t xml:space="preserve"> </w:t>
      </w:r>
      <w:r w:rsidR="00B74FFE" w:rsidRPr="00392036">
        <w:rPr>
          <w:rFonts w:ascii="Book Antiqua" w:hAnsi="Book Antiqua"/>
          <w:color w:val="000000" w:themeColor="text1"/>
          <w:sz w:val="24"/>
          <w:szCs w:val="24"/>
          <w:shd w:val="clear" w:color="auto" w:fill="FFFFFF"/>
        </w:rPr>
        <w:t xml:space="preserve">Inflammatory </w:t>
      </w:r>
      <w:r w:rsidRPr="00392036">
        <w:rPr>
          <w:rFonts w:ascii="Book Antiqua" w:hAnsi="Book Antiqua"/>
          <w:color w:val="000000" w:themeColor="text1"/>
          <w:sz w:val="24"/>
          <w:szCs w:val="24"/>
          <w:shd w:val="clear" w:color="auto" w:fill="FFFFFF"/>
        </w:rPr>
        <w:t>bowel disease</w:t>
      </w:r>
      <w:r w:rsidR="00B74FFE" w:rsidRPr="00392036">
        <w:rPr>
          <w:rFonts w:ascii="Book Antiqua" w:hAnsi="Book Antiqua"/>
          <w:color w:val="000000" w:themeColor="text1"/>
          <w:sz w:val="24"/>
          <w:szCs w:val="24"/>
          <w:shd w:val="clear" w:color="auto" w:fill="FFFFFF"/>
          <w:lang w:eastAsia="zh-CN"/>
        </w:rPr>
        <w:t>;</w:t>
      </w:r>
      <w:r w:rsidRPr="00392036">
        <w:rPr>
          <w:rFonts w:ascii="Book Antiqua" w:hAnsi="Book Antiqua"/>
          <w:color w:val="000000" w:themeColor="text1"/>
          <w:sz w:val="24"/>
          <w:szCs w:val="24"/>
          <w:shd w:val="clear" w:color="auto" w:fill="FFFFFF"/>
        </w:rPr>
        <w:t xml:space="preserve"> </w:t>
      </w:r>
      <w:r w:rsidR="00B74FFE" w:rsidRPr="00392036">
        <w:rPr>
          <w:rFonts w:ascii="Book Antiqua" w:hAnsi="Book Antiqua"/>
          <w:color w:val="000000" w:themeColor="text1"/>
          <w:sz w:val="24"/>
          <w:szCs w:val="24"/>
          <w:shd w:val="clear" w:color="auto" w:fill="FFFFFF"/>
        </w:rPr>
        <w:t xml:space="preserve">Liver </w:t>
      </w:r>
      <w:r w:rsidRPr="00392036">
        <w:rPr>
          <w:rFonts w:ascii="Book Antiqua" w:hAnsi="Book Antiqua"/>
          <w:color w:val="000000" w:themeColor="text1"/>
          <w:sz w:val="24"/>
          <w:szCs w:val="24"/>
          <w:shd w:val="clear" w:color="auto" w:fill="FFFFFF"/>
        </w:rPr>
        <w:t>transplantation</w:t>
      </w:r>
      <w:r w:rsidR="00B74FFE" w:rsidRPr="00392036">
        <w:rPr>
          <w:rFonts w:ascii="Book Antiqua" w:hAnsi="Book Antiqua"/>
          <w:color w:val="000000" w:themeColor="text1"/>
          <w:sz w:val="24"/>
          <w:szCs w:val="24"/>
          <w:shd w:val="clear" w:color="auto" w:fill="FFFFFF"/>
          <w:lang w:eastAsia="zh-CN"/>
        </w:rPr>
        <w:t>;</w:t>
      </w:r>
      <w:r w:rsidRPr="00392036">
        <w:rPr>
          <w:rFonts w:ascii="Book Antiqua" w:hAnsi="Book Antiqua"/>
          <w:color w:val="000000" w:themeColor="text1"/>
          <w:sz w:val="24"/>
          <w:szCs w:val="24"/>
          <w:shd w:val="clear" w:color="auto" w:fill="FFFFFF"/>
        </w:rPr>
        <w:t xml:space="preserve"> </w:t>
      </w:r>
      <w:r w:rsidR="00B74FFE" w:rsidRPr="00392036">
        <w:rPr>
          <w:rFonts w:ascii="Book Antiqua" w:hAnsi="Book Antiqua"/>
          <w:color w:val="000000" w:themeColor="text1"/>
          <w:sz w:val="24"/>
          <w:szCs w:val="24"/>
          <w:shd w:val="clear" w:color="auto" w:fill="FFFFFF"/>
        </w:rPr>
        <w:t xml:space="preserve">Imunomodulatory </w:t>
      </w:r>
      <w:r w:rsidRPr="00392036">
        <w:rPr>
          <w:rFonts w:ascii="Book Antiqua" w:hAnsi="Book Antiqua"/>
          <w:color w:val="000000" w:themeColor="text1"/>
          <w:sz w:val="24"/>
          <w:szCs w:val="24"/>
          <w:shd w:val="clear" w:color="auto" w:fill="FFFFFF"/>
        </w:rPr>
        <w:t>therapy</w:t>
      </w:r>
      <w:r w:rsidR="00B74FFE" w:rsidRPr="00392036">
        <w:rPr>
          <w:rFonts w:ascii="Book Antiqua" w:hAnsi="Book Antiqua"/>
          <w:color w:val="000000" w:themeColor="text1"/>
          <w:sz w:val="24"/>
          <w:szCs w:val="24"/>
          <w:shd w:val="clear" w:color="auto" w:fill="FFFFFF"/>
          <w:lang w:eastAsia="zh-CN"/>
        </w:rPr>
        <w:t>;</w:t>
      </w:r>
      <w:r w:rsidRPr="00392036">
        <w:rPr>
          <w:rFonts w:ascii="Book Antiqua" w:hAnsi="Book Antiqua"/>
          <w:color w:val="000000" w:themeColor="text1"/>
          <w:sz w:val="24"/>
          <w:szCs w:val="24"/>
          <w:shd w:val="clear" w:color="auto" w:fill="FFFFFF"/>
        </w:rPr>
        <w:t xml:space="preserve"> </w:t>
      </w:r>
      <w:r w:rsidR="00B74FFE" w:rsidRPr="00392036">
        <w:rPr>
          <w:rFonts w:ascii="Book Antiqua" w:hAnsi="Book Antiqua"/>
          <w:color w:val="000000" w:themeColor="text1"/>
          <w:sz w:val="24"/>
          <w:szCs w:val="24"/>
          <w:shd w:val="clear" w:color="auto" w:fill="FFFFFF"/>
        </w:rPr>
        <w:t>Anti</w:t>
      </w:r>
      <w:r w:rsidRPr="00392036">
        <w:rPr>
          <w:rFonts w:ascii="Book Antiqua" w:hAnsi="Book Antiqua"/>
          <w:color w:val="000000" w:themeColor="text1"/>
          <w:sz w:val="24"/>
          <w:szCs w:val="24"/>
          <w:shd w:val="clear" w:color="auto" w:fill="FFFFFF"/>
        </w:rPr>
        <w:t>-TNF alpha therapy</w:t>
      </w:r>
      <w:r w:rsidR="00B74FFE" w:rsidRPr="00392036">
        <w:rPr>
          <w:rFonts w:ascii="Book Antiqua" w:hAnsi="Book Antiqua"/>
          <w:color w:val="000000" w:themeColor="text1"/>
          <w:sz w:val="24"/>
          <w:szCs w:val="24"/>
          <w:shd w:val="clear" w:color="auto" w:fill="FFFFFF"/>
          <w:lang w:eastAsia="zh-CN"/>
        </w:rPr>
        <w:t>;</w:t>
      </w:r>
      <w:r w:rsidRPr="00392036">
        <w:rPr>
          <w:rFonts w:ascii="Book Antiqua" w:hAnsi="Book Antiqua"/>
          <w:color w:val="000000" w:themeColor="text1"/>
          <w:sz w:val="24"/>
          <w:szCs w:val="24"/>
          <w:shd w:val="clear" w:color="auto" w:fill="FFFFFF"/>
        </w:rPr>
        <w:t xml:space="preserve"> </w:t>
      </w:r>
      <w:r w:rsidR="00B74FFE" w:rsidRPr="00392036">
        <w:rPr>
          <w:rFonts w:ascii="Book Antiqua" w:hAnsi="Book Antiqua"/>
          <w:color w:val="000000" w:themeColor="text1"/>
          <w:sz w:val="24"/>
          <w:szCs w:val="24"/>
          <w:shd w:val="clear" w:color="auto" w:fill="FFFFFF"/>
        </w:rPr>
        <w:t>Immunosuppression</w:t>
      </w:r>
      <w:r w:rsidR="00B74FFE" w:rsidRPr="00392036">
        <w:rPr>
          <w:rFonts w:ascii="Book Antiqua" w:hAnsi="Book Antiqua"/>
          <w:color w:val="000000" w:themeColor="text1"/>
          <w:sz w:val="24"/>
          <w:szCs w:val="24"/>
          <w:shd w:val="clear" w:color="auto" w:fill="FFFFFF"/>
          <w:lang w:eastAsia="zh-CN"/>
        </w:rPr>
        <w:t xml:space="preserve">; </w:t>
      </w:r>
      <w:r w:rsidR="00B74FFE" w:rsidRPr="00392036">
        <w:rPr>
          <w:rFonts w:ascii="Book Antiqua" w:hAnsi="Book Antiqua"/>
          <w:color w:val="000000" w:themeColor="text1"/>
          <w:sz w:val="24"/>
          <w:szCs w:val="24"/>
          <w:shd w:val="clear" w:color="auto" w:fill="FFFFFF"/>
        </w:rPr>
        <w:t>Proctoproctocolectomy</w:t>
      </w:r>
      <w:r w:rsidR="00B74FFE" w:rsidRPr="00392036">
        <w:rPr>
          <w:rFonts w:ascii="Book Antiqua" w:hAnsi="Book Antiqua"/>
          <w:color w:val="000000" w:themeColor="text1"/>
          <w:sz w:val="24"/>
          <w:szCs w:val="24"/>
          <w:shd w:val="clear" w:color="auto" w:fill="FFFFFF"/>
          <w:lang w:eastAsia="zh-CN"/>
        </w:rPr>
        <w:t>;</w:t>
      </w:r>
      <w:r w:rsidRPr="00392036">
        <w:rPr>
          <w:rFonts w:ascii="Book Antiqua" w:hAnsi="Book Antiqua"/>
          <w:color w:val="000000" w:themeColor="text1"/>
          <w:sz w:val="24"/>
          <w:szCs w:val="24"/>
          <w:shd w:val="clear" w:color="auto" w:fill="FFFFFF"/>
        </w:rPr>
        <w:t xml:space="preserve"> </w:t>
      </w:r>
      <w:r w:rsidR="00B74FFE" w:rsidRPr="00392036">
        <w:rPr>
          <w:rFonts w:ascii="Book Antiqua" w:hAnsi="Book Antiqua"/>
          <w:color w:val="000000" w:themeColor="text1"/>
          <w:sz w:val="24"/>
          <w:szCs w:val="24"/>
          <w:shd w:val="clear" w:color="auto" w:fill="FFFFFF"/>
        </w:rPr>
        <w:t xml:space="preserve">Risk </w:t>
      </w:r>
      <w:r w:rsidRPr="00392036">
        <w:rPr>
          <w:rFonts w:ascii="Book Antiqua" w:hAnsi="Book Antiqua"/>
          <w:color w:val="000000" w:themeColor="text1"/>
          <w:sz w:val="24"/>
          <w:szCs w:val="24"/>
          <w:shd w:val="clear" w:color="auto" w:fill="FFFFFF"/>
        </w:rPr>
        <w:t>factors</w:t>
      </w:r>
    </w:p>
    <w:p w:rsidR="00DE74CD" w:rsidRPr="00392036" w:rsidRDefault="00DE74CD" w:rsidP="00313A7D">
      <w:pPr>
        <w:spacing w:after="0" w:line="360" w:lineRule="auto"/>
        <w:jc w:val="both"/>
        <w:rPr>
          <w:rFonts w:ascii="Book Antiqua" w:hAnsi="Book Antiqua"/>
          <w:b/>
          <w:color w:val="000000" w:themeColor="text1"/>
          <w:sz w:val="24"/>
          <w:szCs w:val="24"/>
        </w:rPr>
      </w:pPr>
    </w:p>
    <w:p w:rsidR="00DE74CD" w:rsidRPr="00392036" w:rsidRDefault="00DE74CD" w:rsidP="00313A7D">
      <w:pPr>
        <w:spacing w:after="0" w:line="360" w:lineRule="auto"/>
        <w:jc w:val="both"/>
        <w:rPr>
          <w:rFonts w:ascii="Book Antiqua" w:hAnsi="Book Antiqua"/>
          <w:color w:val="000000" w:themeColor="text1"/>
          <w:sz w:val="24"/>
          <w:szCs w:val="24"/>
        </w:rPr>
      </w:pPr>
      <w:r w:rsidRPr="00392036">
        <w:rPr>
          <w:rFonts w:ascii="Book Antiqua" w:hAnsi="Book Antiqua"/>
          <w:b/>
          <w:color w:val="000000" w:themeColor="text1"/>
          <w:sz w:val="24"/>
          <w:szCs w:val="24"/>
        </w:rPr>
        <w:t>© The Author(s) 2017.</w:t>
      </w:r>
      <w:r w:rsidRPr="00392036">
        <w:rPr>
          <w:rFonts w:ascii="Book Antiqua" w:hAnsi="Book Antiqua"/>
          <w:color w:val="000000" w:themeColor="text1"/>
          <w:sz w:val="24"/>
          <w:szCs w:val="24"/>
        </w:rPr>
        <w:t xml:space="preserve"> Published by Baishideng Publishin Group Inc. All rights reserved.</w:t>
      </w:r>
    </w:p>
    <w:p w:rsidR="00DE74CD" w:rsidRPr="00392036" w:rsidRDefault="00DE74CD" w:rsidP="00313A7D">
      <w:pPr>
        <w:autoSpaceDE w:val="0"/>
        <w:autoSpaceDN w:val="0"/>
        <w:adjustRightInd w:val="0"/>
        <w:spacing w:after="0" w:line="360" w:lineRule="auto"/>
        <w:jc w:val="both"/>
        <w:rPr>
          <w:rFonts w:ascii="Book Antiqua" w:hAnsi="Book Antiqua"/>
          <w:color w:val="000000" w:themeColor="text1"/>
          <w:sz w:val="24"/>
          <w:szCs w:val="24"/>
          <w:shd w:val="clear" w:color="auto" w:fill="FFFFFF"/>
        </w:rPr>
      </w:pPr>
    </w:p>
    <w:p w:rsidR="00DE74CD" w:rsidRPr="00392036" w:rsidRDefault="00DE74CD" w:rsidP="00313A7D">
      <w:pPr>
        <w:spacing w:after="0" w:line="360" w:lineRule="auto"/>
        <w:jc w:val="both"/>
        <w:rPr>
          <w:rFonts w:ascii="Book Antiqua" w:hAnsi="Book Antiqua"/>
          <w:color w:val="000000" w:themeColor="text1"/>
          <w:sz w:val="24"/>
          <w:szCs w:val="24"/>
        </w:rPr>
      </w:pPr>
      <w:r w:rsidRPr="00392036">
        <w:rPr>
          <w:rFonts w:ascii="Book Antiqua" w:hAnsi="Book Antiqua"/>
          <w:b/>
          <w:color w:val="000000" w:themeColor="text1"/>
          <w:sz w:val="24"/>
          <w:szCs w:val="24"/>
        </w:rPr>
        <w:t xml:space="preserve">Core tip: </w:t>
      </w:r>
      <w:r w:rsidRPr="00392036">
        <w:rPr>
          <w:rFonts w:ascii="Book Antiqua" w:hAnsi="Book Antiqua"/>
          <w:color w:val="000000" w:themeColor="text1"/>
          <w:sz w:val="24"/>
          <w:szCs w:val="24"/>
        </w:rPr>
        <w:t>Management of i</w:t>
      </w:r>
      <w:r w:rsidRPr="00392036">
        <w:rPr>
          <w:rFonts w:ascii="Book Antiqua" w:hAnsi="Book Antiqua" w:cs="Verdana"/>
          <w:color w:val="000000" w:themeColor="text1"/>
          <w:sz w:val="24"/>
          <w:szCs w:val="24"/>
        </w:rPr>
        <w:t>nflammatory bowel disease</w:t>
      </w:r>
      <w:r w:rsidR="00BD5504">
        <w:rPr>
          <w:rFonts w:ascii="Book Antiqua" w:hAnsi="Book Antiqua" w:cs="Verdana" w:hint="eastAsia"/>
          <w:color w:val="000000" w:themeColor="text1"/>
          <w:sz w:val="24"/>
          <w:szCs w:val="24"/>
          <w:lang w:eastAsia="zh-CN"/>
        </w:rPr>
        <w:t xml:space="preserve"> </w:t>
      </w:r>
      <w:r w:rsidRPr="00392036">
        <w:rPr>
          <w:rFonts w:ascii="Book Antiqua" w:hAnsi="Book Antiqua" w:cs="Verdana"/>
          <w:color w:val="000000" w:themeColor="text1"/>
          <w:sz w:val="24"/>
          <w:szCs w:val="24"/>
        </w:rPr>
        <w:t xml:space="preserve">in setting of liver transplantation (LT) is a clinical challenge because of intermittent flares and remissions of the disease, regardless of post-LT immunosuppression to prevent organ rejection. </w:t>
      </w:r>
      <w:r w:rsidRPr="00392036">
        <w:rPr>
          <w:rFonts w:ascii="Book Antiqua" w:hAnsi="Book Antiqua"/>
          <w:color w:val="000000" w:themeColor="text1"/>
          <w:sz w:val="24"/>
          <w:szCs w:val="24"/>
        </w:rPr>
        <w:t>In this article we report new insight on actual knowledge ondiagnostic and treatment opportunities in pre- and post-transplant period.</w:t>
      </w:r>
    </w:p>
    <w:p w:rsidR="00DE74CD" w:rsidRPr="00392036" w:rsidRDefault="00DE74CD" w:rsidP="00313A7D">
      <w:pPr>
        <w:spacing w:after="0" w:line="360" w:lineRule="auto"/>
        <w:jc w:val="both"/>
        <w:rPr>
          <w:rFonts w:ascii="Book Antiqua" w:hAnsi="Book Antiqua"/>
          <w:b/>
          <w:caps/>
          <w:color w:val="000000" w:themeColor="text1"/>
          <w:sz w:val="24"/>
          <w:szCs w:val="24"/>
        </w:rPr>
      </w:pPr>
    </w:p>
    <w:p w:rsidR="00DE74CD" w:rsidRPr="00392036" w:rsidRDefault="00DE74CD" w:rsidP="00313A7D">
      <w:pPr>
        <w:spacing w:after="0" w:line="360" w:lineRule="auto"/>
        <w:jc w:val="both"/>
        <w:rPr>
          <w:rFonts w:ascii="Book Antiqua" w:hAnsi="Book Antiqua"/>
          <w:b/>
          <w:color w:val="000000" w:themeColor="text1"/>
          <w:sz w:val="24"/>
          <w:szCs w:val="24"/>
        </w:rPr>
      </w:pPr>
      <w:bookmarkStart w:id="11" w:name="OLE_LINK424"/>
      <w:bookmarkStart w:id="12" w:name="OLE_LINK425"/>
      <w:r w:rsidRPr="00392036">
        <w:rPr>
          <w:rFonts w:ascii="Book Antiqua" w:hAnsi="Book Antiqua"/>
          <w:color w:val="000000" w:themeColor="text1"/>
          <w:sz w:val="24"/>
          <w:szCs w:val="24"/>
        </w:rPr>
        <w:t>Filipec Kanizaj T, Mijic M. Inflammatory bowel disease in liver transplanted patients</w:t>
      </w:r>
      <w:r w:rsidR="00B74FFE" w:rsidRPr="00392036">
        <w:rPr>
          <w:rFonts w:ascii="Book Antiqua" w:hAnsi="Book Antiqua"/>
          <w:color w:val="000000" w:themeColor="text1"/>
          <w:sz w:val="24"/>
          <w:szCs w:val="24"/>
          <w:lang w:eastAsia="zh-CN"/>
        </w:rPr>
        <w:t>.</w:t>
      </w:r>
      <w:r w:rsidRPr="00392036">
        <w:rPr>
          <w:rFonts w:ascii="Book Antiqua" w:hAnsi="Book Antiqua"/>
          <w:b/>
          <w:color w:val="000000" w:themeColor="text1"/>
          <w:sz w:val="24"/>
          <w:szCs w:val="24"/>
        </w:rPr>
        <w:t xml:space="preserve"> </w:t>
      </w:r>
      <w:r w:rsidRPr="00392036">
        <w:rPr>
          <w:rFonts w:ascii="Book Antiqua" w:hAnsi="Book Antiqua"/>
          <w:i/>
          <w:color w:val="000000" w:themeColor="text1"/>
          <w:sz w:val="24"/>
          <w:szCs w:val="24"/>
        </w:rPr>
        <w:t>World J Gastroenterol</w:t>
      </w:r>
      <w:r w:rsidRPr="00392036">
        <w:rPr>
          <w:rFonts w:ascii="Book Antiqua" w:hAnsi="Book Antiqua"/>
          <w:color w:val="000000" w:themeColor="text1"/>
          <w:sz w:val="24"/>
          <w:szCs w:val="24"/>
        </w:rPr>
        <w:t xml:space="preserve"> 2017; </w:t>
      </w:r>
      <w:bookmarkStart w:id="13" w:name="OLE_LINK1689"/>
      <w:bookmarkStart w:id="14" w:name="OLE_LINK1298"/>
      <w:bookmarkStart w:id="15" w:name="OLE_LINK1297"/>
      <w:proofErr w:type="gramStart"/>
      <w:r w:rsidRPr="00392036">
        <w:rPr>
          <w:rFonts w:ascii="Book Antiqua" w:hAnsi="Book Antiqua"/>
          <w:color w:val="000000" w:themeColor="text1"/>
          <w:sz w:val="24"/>
          <w:szCs w:val="24"/>
        </w:rPr>
        <w:t>In</w:t>
      </w:r>
      <w:proofErr w:type="gramEnd"/>
      <w:r w:rsidRPr="00392036">
        <w:rPr>
          <w:rFonts w:ascii="Book Antiqua" w:hAnsi="Book Antiqua"/>
          <w:color w:val="000000" w:themeColor="text1"/>
          <w:sz w:val="24"/>
          <w:szCs w:val="24"/>
        </w:rPr>
        <w:t xml:space="preserve"> press</w:t>
      </w:r>
      <w:bookmarkEnd w:id="13"/>
      <w:bookmarkEnd w:id="14"/>
      <w:bookmarkEnd w:id="15"/>
    </w:p>
    <w:bookmarkEnd w:id="11"/>
    <w:bookmarkEnd w:id="12"/>
    <w:p w:rsidR="00DE74CD" w:rsidRPr="00392036" w:rsidRDefault="00DE74CD" w:rsidP="00313A7D">
      <w:pPr>
        <w:spacing w:after="0" w:line="360" w:lineRule="auto"/>
        <w:jc w:val="both"/>
        <w:rPr>
          <w:rFonts w:ascii="Book Antiqua" w:hAnsi="Book Antiqua"/>
          <w:b/>
          <w:caps/>
          <w:color w:val="000000" w:themeColor="text1"/>
          <w:sz w:val="24"/>
          <w:szCs w:val="24"/>
        </w:rPr>
      </w:pPr>
    </w:p>
    <w:p w:rsidR="00B74FFE" w:rsidRPr="00392036" w:rsidRDefault="00B74FFE" w:rsidP="00313A7D">
      <w:pPr>
        <w:spacing w:after="0"/>
        <w:rPr>
          <w:rFonts w:ascii="Book Antiqua" w:hAnsi="Book Antiqua"/>
          <w:b/>
          <w:caps/>
          <w:color w:val="000000" w:themeColor="text1"/>
          <w:sz w:val="24"/>
          <w:szCs w:val="24"/>
        </w:rPr>
      </w:pPr>
      <w:r w:rsidRPr="00392036">
        <w:rPr>
          <w:rFonts w:ascii="Book Antiqua" w:hAnsi="Book Antiqua"/>
          <w:b/>
          <w:caps/>
          <w:color w:val="000000" w:themeColor="text1"/>
          <w:sz w:val="24"/>
          <w:szCs w:val="24"/>
        </w:rPr>
        <w:br w:type="page"/>
      </w:r>
    </w:p>
    <w:p w:rsidR="00077B32" w:rsidRPr="00392036" w:rsidRDefault="00077B32" w:rsidP="00313A7D">
      <w:pPr>
        <w:spacing w:after="0" w:line="360" w:lineRule="auto"/>
        <w:jc w:val="both"/>
        <w:rPr>
          <w:rFonts w:ascii="Book Antiqua" w:hAnsi="Book Antiqua"/>
          <w:b/>
          <w:caps/>
          <w:color w:val="000000" w:themeColor="text1"/>
          <w:sz w:val="24"/>
          <w:szCs w:val="24"/>
        </w:rPr>
      </w:pPr>
      <w:r w:rsidRPr="00392036">
        <w:rPr>
          <w:rFonts w:ascii="Book Antiqua" w:hAnsi="Book Antiqua"/>
          <w:b/>
          <w:caps/>
          <w:color w:val="000000" w:themeColor="text1"/>
          <w:sz w:val="24"/>
          <w:szCs w:val="24"/>
        </w:rPr>
        <w:lastRenderedPageBreak/>
        <w:t>Introduction</w:t>
      </w:r>
    </w:p>
    <w:p w:rsidR="00383D24" w:rsidRPr="00392036" w:rsidRDefault="00080ABB" w:rsidP="00313A7D">
      <w:pPr>
        <w:pStyle w:val="NormalWeb"/>
        <w:spacing w:beforeLines="0" w:afterLines="0" w:after="0" w:line="360" w:lineRule="auto"/>
        <w:jc w:val="both"/>
        <w:rPr>
          <w:rFonts w:ascii="Book Antiqua" w:hAnsi="Book Antiqua"/>
          <w:color w:val="000000" w:themeColor="text1"/>
          <w:sz w:val="24"/>
          <w:szCs w:val="24"/>
        </w:rPr>
      </w:pPr>
      <w:r w:rsidRPr="00392036">
        <w:rPr>
          <w:rFonts w:ascii="Book Antiqua" w:hAnsi="Book Antiqua"/>
          <w:color w:val="000000" w:themeColor="text1"/>
          <w:sz w:val="24"/>
          <w:szCs w:val="24"/>
          <w:lang w:val="en-GB"/>
        </w:rPr>
        <w:t xml:space="preserve">Liver transplantation (LT) is a routine treatment option for patients with end stage liver diseases including autoimmune diseases such primary sclerosing cholangitis (PSC), primary biliary cirrhosis and autoimmune hepatitis (AIH). </w:t>
      </w:r>
      <w:r w:rsidRPr="00392036">
        <w:rPr>
          <w:rFonts w:ascii="Book Antiqua" w:hAnsi="Book Antiqua" w:cs="Verdana"/>
          <w:color w:val="000000" w:themeColor="text1"/>
          <w:sz w:val="24"/>
          <w:szCs w:val="24"/>
          <w:lang w:val="en-GB"/>
        </w:rPr>
        <w:t>The number of organ recipients with PSC and AIH is constantly increasing due to the increased number of newly diagnosed patients, inadequate treatment options and the increased availability of organ donors. Because of the overlap of various autoimmune diseases in high volume transplant centres, patients with i</w:t>
      </w:r>
      <w:r w:rsidRPr="00392036">
        <w:rPr>
          <w:rFonts w:ascii="Book Antiqua" w:hAnsi="Book Antiqua"/>
          <w:color w:val="000000" w:themeColor="text1"/>
          <w:sz w:val="24"/>
          <w:szCs w:val="24"/>
          <w:lang w:val="en-GB"/>
        </w:rPr>
        <w:t xml:space="preserve">nflammatory bowel disease (IBD) as well as </w:t>
      </w:r>
      <w:r w:rsidRPr="00392036">
        <w:rPr>
          <w:rFonts w:ascii="Book Antiqua" w:hAnsi="Book Antiqua" w:cs="Verdana"/>
          <w:color w:val="000000" w:themeColor="text1"/>
          <w:sz w:val="24"/>
          <w:szCs w:val="24"/>
          <w:lang w:val="en-GB"/>
        </w:rPr>
        <w:t xml:space="preserve">PSC, AIH, or both </w:t>
      </w:r>
      <w:r w:rsidRPr="00392036">
        <w:rPr>
          <w:rFonts w:ascii="Book Antiqua" w:hAnsi="Book Antiqua"/>
          <w:color w:val="000000" w:themeColor="text1"/>
          <w:sz w:val="24"/>
          <w:szCs w:val="24"/>
          <w:lang w:val="en-GB"/>
        </w:rPr>
        <w:t>are increasingly common. IBD is a chronic complex pathological immune response/inflammation of the gut, intestines, or both, and its prevalence is increasing in western world.</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Presumably, IBD is a consequence of the improper and continuous activation of the mucosal immune system sustained by physiological </w:t>
      </w:r>
      <w:proofErr w:type="gramStart"/>
      <w:r w:rsidRPr="00392036">
        <w:rPr>
          <w:rFonts w:ascii="Book Antiqua" w:hAnsi="Book Antiqua"/>
          <w:color w:val="000000" w:themeColor="text1"/>
          <w:sz w:val="24"/>
          <w:szCs w:val="24"/>
          <w:lang w:val="en-GB"/>
        </w:rPr>
        <w:t>flora</w:t>
      </w:r>
      <w:r w:rsidR="000407C5" w:rsidRPr="00392036">
        <w:rPr>
          <w:rFonts w:ascii="Book Antiqua" w:hAnsi="Book Antiqua"/>
          <w:color w:val="000000" w:themeColor="text1"/>
          <w:sz w:val="24"/>
          <w:szCs w:val="24"/>
          <w:vertAlign w:val="superscript"/>
        </w:rPr>
        <w:t>[</w:t>
      </w:r>
      <w:proofErr w:type="gramEnd"/>
      <w:r w:rsidR="000407C5" w:rsidRPr="00392036">
        <w:rPr>
          <w:rFonts w:ascii="Book Antiqua" w:hAnsi="Book Antiqua"/>
          <w:color w:val="000000" w:themeColor="text1"/>
          <w:sz w:val="24"/>
          <w:szCs w:val="24"/>
          <w:vertAlign w:val="superscript"/>
        </w:rPr>
        <w:t>1]</w:t>
      </w:r>
      <w:r w:rsidR="000407C5" w:rsidRPr="00392036">
        <w:rPr>
          <w:rFonts w:ascii="Book Antiqua" w:hAnsi="Book Antiqua"/>
          <w:color w:val="000000" w:themeColor="text1"/>
          <w:sz w:val="24"/>
          <w:szCs w:val="24"/>
        </w:rPr>
        <w:t xml:space="preserve">. </w:t>
      </w:r>
      <w:r w:rsidRPr="00392036">
        <w:rPr>
          <w:rFonts w:ascii="Book Antiqua" w:hAnsi="Book Antiqua"/>
          <w:color w:val="000000" w:themeColor="text1"/>
          <w:sz w:val="24"/>
          <w:szCs w:val="24"/>
          <w:lang w:val="en-GB"/>
        </w:rPr>
        <w:t>Three major subtypes usually categorise IBD: ulcerative colitis (UC), Crohn's disease (CD) and unclassified IBD.</w:t>
      </w:r>
      <w:r w:rsidR="00CB5AA7"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A close pathophysiological correlation exists between PSC and IBD prior to </w:t>
      </w:r>
      <w:proofErr w:type="gramStart"/>
      <w:r w:rsidRPr="00392036">
        <w:rPr>
          <w:rFonts w:ascii="Book Antiqua" w:hAnsi="Book Antiqua"/>
          <w:color w:val="000000" w:themeColor="text1"/>
          <w:sz w:val="24"/>
          <w:szCs w:val="24"/>
          <w:lang w:val="en-GB"/>
        </w:rPr>
        <w:t>LT</w:t>
      </w:r>
      <w:r w:rsidR="000407C5" w:rsidRPr="00392036">
        <w:rPr>
          <w:rFonts w:ascii="Book Antiqua" w:hAnsi="Book Antiqua"/>
          <w:color w:val="000000" w:themeColor="text1"/>
          <w:sz w:val="24"/>
          <w:szCs w:val="24"/>
          <w:vertAlign w:val="superscript"/>
        </w:rPr>
        <w:t>[</w:t>
      </w:r>
      <w:proofErr w:type="gramEnd"/>
      <w:r w:rsidR="000407C5" w:rsidRPr="00392036">
        <w:rPr>
          <w:rFonts w:ascii="Book Antiqua" w:hAnsi="Book Antiqua"/>
          <w:color w:val="000000" w:themeColor="text1"/>
          <w:sz w:val="24"/>
          <w:szCs w:val="24"/>
          <w:vertAlign w:val="superscript"/>
        </w:rPr>
        <w:t>2,3]</w:t>
      </w:r>
      <w:r w:rsidR="000407C5" w:rsidRPr="00392036">
        <w:rPr>
          <w:rFonts w:ascii="Book Antiqua" w:hAnsi="Book Antiqua"/>
          <w:color w:val="000000" w:themeColor="text1"/>
          <w:sz w:val="24"/>
          <w:szCs w:val="24"/>
        </w:rPr>
        <w:t xml:space="preserve">. </w:t>
      </w:r>
      <w:r w:rsidRPr="00392036">
        <w:rPr>
          <w:rFonts w:ascii="Book Antiqua" w:hAnsi="Book Antiqua" w:cs="Verdana"/>
          <w:color w:val="000000" w:themeColor="text1"/>
          <w:sz w:val="24"/>
          <w:szCs w:val="24"/>
          <w:lang w:val="en-GB"/>
        </w:rPr>
        <w:t>IBD is diagnosed in approximately 50</w:t>
      </w:r>
      <w:r w:rsidR="00B74FFE" w:rsidRPr="00392036">
        <w:rPr>
          <w:rFonts w:ascii="Book Antiqua" w:hAnsi="Book Antiqua" w:cs="Verdana"/>
          <w:color w:val="000000" w:themeColor="text1"/>
          <w:sz w:val="24"/>
          <w:szCs w:val="24"/>
          <w:lang w:val="en-GB" w:eastAsia="zh-CN"/>
        </w:rPr>
        <w:t>%</w:t>
      </w:r>
      <w:r w:rsidRPr="00392036">
        <w:rPr>
          <w:rFonts w:ascii="Book Antiqua" w:hAnsi="Book Antiqua" w:cs="Verdana"/>
          <w:color w:val="000000" w:themeColor="text1"/>
          <w:sz w:val="24"/>
          <w:szCs w:val="24"/>
          <w:lang w:val="en-GB"/>
        </w:rPr>
        <w:t>-80% of patients with PSC, with UC comprising approximately 80</w:t>
      </w:r>
      <w:r w:rsidR="00B74FFE" w:rsidRPr="00392036">
        <w:rPr>
          <w:rFonts w:ascii="Book Antiqua" w:hAnsi="Book Antiqua" w:cs="Verdana"/>
          <w:color w:val="000000" w:themeColor="text1"/>
          <w:sz w:val="24"/>
          <w:szCs w:val="24"/>
          <w:lang w:val="en-GB" w:eastAsia="zh-CN"/>
        </w:rPr>
        <w:t>%</w:t>
      </w:r>
      <w:r w:rsidRPr="00392036">
        <w:rPr>
          <w:rFonts w:ascii="Book Antiqua" w:hAnsi="Book Antiqua" w:cs="Verdana"/>
          <w:color w:val="000000" w:themeColor="text1"/>
          <w:sz w:val="24"/>
          <w:szCs w:val="24"/>
          <w:lang w:val="en-GB"/>
        </w:rPr>
        <w:t xml:space="preserve">-90% of these cases; however, CD (typically with colonic or ileocolonic involvement) can also </w:t>
      </w:r>
      <w:proofErr w:type="gramStart"/>
      <w:r w:rsidRPr="00392036">
        <w:rPr>
          <w:rFonts w:ascii="Book Antiqua" w:hAnsi="Book Antiqua" w:cs="Verdana"/>
          <w:color w:val="000000" w:themeColor="text1"/>
          <w:sz w:val="24"/>
          <w:szCs w:val="24"/>
          <w:lang w:val="en-GB"/>
        </w:rPr>
        <w:t>occur</w:t>
      </w:r>
      <w:r w:rsidR="000407C5" w:rsidRPr="00392036">
        <w:rPr>
          <w:rFonts w:ascii="Book Antiqua" w:hAnsi="Book Antiqua"/>
          <w:color w:val="000000" w:themeColor="text1"/>
          <w:sz w:val="24"/>
          <w:szCs w:val="24"/>
          <w:vertAlign w:val="superscript"/>
        </w:rPr>
        <w:t>[</w:t>
      </w:r>
      <w:proofErr w:type="gramEnd"/>
      <w:r w:rsidR="000407C5" w:rsidRPr="00392036">
        <w:rPr>
          <w:rFonts w:ascii="Book Antiqua" w:hAnsi="Book Antiqua"/>
          <w:color w:val="000000" w:themeColor="text1"/>
          <w:sz w:val="24"/>
          <w:szCs w:val="24"/>
          <w:vertAlign w:val="superscript"/>
        </w:rPr>
        <w:t>4]</w:t>
      </w:r>
      <w:r w:rsidRPr="00392036">
        <w:rPr>
          <w:rFonts w:ascii="Book Antiqua" w:hAnsi="Book Antiqua"/>
          <w:color w:val="000000" w:themeColor="text1"/>
          <w:sz w:val="24"/>
          <w:szCs w:val="24"/>
        </w:rPr>
        <w:t>.</w:t>
      </w:r>
      <w:r w:rsidR="00077B32" w:rsidRPr="00392036">
        <w:rPr>
          <w:rFonts w:ascii="Book Antiqua" w:hAnsi="Book Antiqua" w:cs="Verdana"/>
          <w:color w:val="000000" w:themeColor="text1"/>
          <w:sz w:val="24"/>
          <w:szCs w:val="24"/>
          <w:lang w:val="en-GB"/>
        </w:rPr>
        <w:t xml:space="preserve"> Overall 2.4</w:t>
      </w:r>
      <w:r w:rsidR="00B74FFE" w:rsidRPr="00392036">
        <w:rPr>
          <w:rFonts w:ascii="Book Antiqua" w:hAnsi="Book Antiqua" w:cs="Verdana"/>
          <w:color w:val="000000" w:themeColor="text1"/>
          <w:sz w:val="24"/>
          <w:szCs w:val="24"/>
          <w:lang w:val="en-GB" w:eastAsia="zh-CN"/>
        </w:rPr>
        <w:t>%</w:t>
      </w:r>
      <w:r w:rsidR="00077B32" w:rsidRPr="00392036">
        <w:rPr>
          <w:rFonts w:ascii="Book Antiqua" w:hAnsi="Book Antiqua" w:cs="Verdana"/>
          <w:color w:val="000000" w:themeColor="text1"/>
          <w:sz w:val="24"/>
          <w:szCs w:val="24"/>
          <w:lang w:val="en-GB"/>
        </w:rPr>
        <w:t>-7.5% of patients with UC and 1.4</w:t>
      </w:r>
      <w:r w:rsidR="00B74FFE" w:rsidRPr="00392036">
        <w:rPr>
          <w:rFonts w:ascii="Book Antiqua" w:hAnsi="Book Antiqua" w:cs="Verdana"/>
          <w:color w:val="000000" w:themeColor="text1"/>
          <w:sz w:val="24"/>
          <w:szCs w:val="24"/>
          <w:lang w:val="en-GB" w:eastAsia="zh-CN"/>
        </w:rPr>
        <w:t>%</w:t>
      </w:r>
      <w:r w:rsidR="00077B32" w:rsidRPr="00392036">
        <w:rPr>
          <w:rFonts w:ascii="Book Antiqua" w:hAnsi="Book Antiqua" w:cs="Verdana"/>
          <w:color w:val="000000" w:themeColor="text1"/>
          <w:sz w:val="24"/>
          <w:szCs w:val="24"/>
          <w:lang w:val="en-GB"/>
        </w:rPr>
        <w:t xml:space="preserve">-3.4% patients with CD are at risk of PSC </w:t>
      </w:r>
      <w:proofErr w:type="gramStart"/>
      <w:r w:rsidR="00077B32" w:rsidRPr="00392036">
        <w:rPr>
          <w:rFonts w:ascii="Book Antiqua" w:hAnsi="Book Antiqua" w:cs="Verdana"/>
          <w:color w:val="000000" w:themeColor="text1"/>
          <w:sz w:val="24"/>
          <w:szCs w:val="24"/>
          <w:lang w:val="en-GB"/>
        </w:rPr>
        <w:t>development</w:t>
      </w:r>
      <w:r w:rsidR="000407C5" w:rsidRPr="00392036">
        <w:rPr>
          <w:rFonts w:ascii="Book Antiqua" w:hAnsi="Book Antiqua"/>
          <w:color w:val="000000" w:themeColor="text1"/>
          <w:sz w:val="24"/>
          <w:szCs w:val="24"/>
          <w:vertAlign w:val="superscript"/>
        </w:rPr>
        <w:t>[</w:t>
      </w:r>
      <w:proofErr w:type="gramEnd"/>
      <w:r w:rsidR="000407C5" w:rsidRPr="00392036">
        <w:rPr>
          <w:rFonts w:ascii="Book Antiqua" w:hAnsi="Book Antiqua"/>
          <w:color w:val="000000" w:themeColor="text1"/>
          <w:sz w:val="24"/>
          <w:szCs w:val="24"/>
          <w:vertAlign w:val="superscript"/>
        </w:rPr>
        <w:t>5,6]</w:t>
      </w:r>
      <w:r w:rsidR="00077B32" w:rsidRPr="00392036">
        <w:rPr>
          <w:rFonts w:ascii="Book Antiqua" w:hAnsi="Book Antiqua" w:cs="Verdana"/>
          <w:color w:val="000000" w:themeColor="text1"/>
          <w:sz w:val="24"/>
          <w:szCs w:val="24"/>
          <w:lang w:val="en-GB"/>
        </w:rPr>
        <w:t xml:space="preserve">. </w:t>
      </w:r>
      <w:r w:rsidR="00383D24" w:rsidRPr="00392036">
        <w:rPr>
          <w:rFonts w:ascii="Book Antiqua" w:hAnsi="Book Antiqua" w:cs="Verdana"/>
          <w:color w:val="000000" w:themeColor="text1"/>
          <w:sz w:val="24"/>
          <w:szCs w:val="24"/>
        </w:rPr>
        <w:t xml:space="preserve">Considering there is no effective medical treatment for PSC, liver transplantation (LT) is the only curative therapy for end-stage liver disease due to PSC at the </w:t>
      </w:r>
      <w:proofErr w:type="gramStart"/>
      <w:r w:rsidR="00383D24" w:rsidRPr="00392036">
        <w:rPr>
          <w:rFonts w:ascii="Book Antiqua" w:hAnsi="Book Antiqua" w:cs="Verdana"/>
          <w:color w:val="000000" w:themeColor="text1"/>
          <w:sz w:val="24"/>
          <w:szCs w:val="24"/>
        </w:rPr>
        <w:t>moment</w:t>
      </w:r>
      <w:r w:rsidR="00383D24" w:rsidRPr="00392036">
        <w:rPr>
          <w:rFonts w:ascii="Book Antiqua" w:hAnsi="Book Antiqua"/>
          <w:color w:val="000000" w:themeColor="text1"/>
          <w:sz w:val="24"/>
          <w:szCs w:val="24"/>
          <w:vertAlign w:val="superscript"/>
        </w:rPr>
        <w:t>[</w:t>
      </w:r>
      <w:proofErr w:type="gramEnd"/>
      <w:r w:rsidR="00383D24" w:rsidRPr="00392036">
        <w:rPr>
          <w:rFonts w:ascii="Book Antiqua" w:hAnsi="Book Antiqua"/>
          <w:color w:val="000000" w:themeColor="text1"/>
          <w:sz w:val="24"/>
          <w:szCs w:val="24"/>
          <w:vertAlign w:val="superscript"/>
        </w:rPr>
        <w:t>6]</w:t>
      </w:r>
      <w:r w:rsidR="00383D24" w:rsidRPr="00392036">
        <w:rPr>
          <w:rFonts w:ascii="Book Antiqua" w:hAnsi="Book Antiqua" w:cs="Verdana"/>
          <w:color w:val="000000" w:themeColor="text1"/>
          <w:sz w:val="24"/>
          <w:szCs w:val="24"/>
        </w:rPr>
        <w:t>. Since PSC is highly prevalent in patients with IBD, it is the most common cause for LT in IBD patients.</w:t>
      </w:r>
    </w:p>
    <w:p w:rsidR="00077B32" w:rsidRPr="00392036" w:rsidRDefault="00077B32" w:rsidP="00313A7D">
      <w:pPr>
        <w:pStyle w:val="NormalWeb"/>
        <w:spacing w:beforeLines="0" w:afterLines="0" w:after="0" w:line="360" w:lineRule="auto"/>
        <w:ind w:firstLineChars="150" w:firstLine="360"/>
        <w:jc w:val="both"/>
        <w:rPr>
          <w:rFonts w:ascii="Book Antiqua" w:hAnsi="Book Antiqua" w:cs="Verdana"/>
          <w:color w:val="000000" w:themeColor="text1"/>
          <w:sz w:val="24"/>
          <w:szCs w:val="24"/>
          <w:lang w:val="en-GB"/>
        </w:rPr>
      </w:pPr>
      <w:r w:rsidRPr="00392036">
        <w:rPr>
          <w:rFonts w:ascii="Book Antiqua" w:hAnsi="Book Antiqua" w:cs="Verdana"/>
          <w:color w:val="000000" w:themeColor="text1"/>
          <w:sz w:val="24"/>
          <w:szCs w:val="24"/>
          <w:lang w:val="en-GB"/>
        </w:rPr>
        <w:t xml:space="preserve">Another form of chronic liver disease associated with IBD is AIH, an inflammation of unknown cause characterized by hypergammaglobulinemia, autoantibodies and specific liver biopsy </w:t>
      </w:r>
      <w:proofErr w:type="gramStart"/>
      <w:r w:rsidRPr="00392036">
        <w:rPr>
          <w:rFonts w:ascii="Book Antiqua" w:hAnsi="Book Antiqua" w:cs="Verdana"/>
          <w:color w:val="000000" w:themeColor="text1"/>
          <w:sz w:val="24"/>
          <w:szCs w:val="24"/>
          <w:lang w:val="en-GB"/>
        </w:rPr>
        <w:t>finding</w:t>
      </w:r>
      <w:r w:rsidR="000407C5" w:rsidRPr="00392036">
        <w:rPr>
          <w:rFonts w:ascii="Book Antiqua" w:hAnsi="Book Antiqua"/>
          <w:color w:val="000000" w:themeColor="text1"/>
          <w:sz w:val="24"/>
          <w:szCs w:val="24"/>
          <w:vertAlign w:val="superscript"/>
        </w:rPr>
        <w:t>[</w:t>
      </w:r>
      <w:proofErr w:type="gramEnd"/>
      <w:r w:rsidR="000407C5" w:rsidRPr="00392036">
        <w:rPr>
          <w:rFonts w:ascii="Book Antiqua" w:hAnsi="Book Antiqua"/>
          <w:color w:val="000000" w:themeColor="text1"/>
          <w:sz w:val="24"/>
          <w:szCs w:val="24"/>
          <w:vertAlign w:val="superscript"/>
        </w:rPr>
        <w:t>7]</w:t>
      </w:r>
      <w:r w:rsidRPr="00392036">
        <w:rPr>
          <w:rFonts w:ascii="Book Antiqua" w:hAnsi="Book Antiqua" w:cs="Verdana"/>
          <w:color w:val="000000" w:themeColor="text1"/>
          <w:sz w:val="24"/>
          <w:szCs w:val="24"/>
          <w:lang w:val="en-GB"/>
        </w:rPr>
        <w:t xml:space="preserve">. </w:t>
      </w:r>
      <w:r w:rsidR="00080ABB" w:rsidRPr="00392036">
        <w:rPr>
          <w:rFonts w:ascii="Book Antiqua" w:hAnsi="Book Antiqua" w:cs="Verdana"/>
          <w:color w:val="000000" w:themeColor="text1"/>
          <w:sz w:val="24"/>
          <w:szCs w:val="24"/>
          <w:lang w:val="en-GB"/>
        </w:rPr>
        <w:t>The prevalence of IBD among patients with AIH is approximately 16% (mostly UC</w:t>
      </w:r>
      <w:proofErr w:type="gramStart"/>
      <w:r w:rsidR="00080ABB" w:rsidRPr="00392036">
        <w:rPr>
          <w:rFonts w:ascii="Book Antiqua" w:hAnsi="Book Antiqua" w:cs="Verdana"/>
          <w:color w:val="000000" w:themeColor="text1"/>
          <w:sz w:val="24"/>
          <w:szCs w:val="24"/>
          <w:lang w:val="en-GB"/>
        </w:rPr>
        <w:t>)</w:t>
      </w:r>
      <w:r w:rsidR="000407C5" w:rsidRPr="00392036">
        <w:rPr>
          <w:rFonts w:ascii="Book Antiqua" w:hAnsi="Book Antiqua"/>
          <w:color w:val="000000" w:themeColor="text1"/>
          <w:sz w:val="24"/>
          <w:szCs w:val="24"/>
          <w:vertAlign w:val="superscript"/>
        </w:rPr>
        <w:t>[</w:t>
      </w:r>
      <w:proofErr w:type="gramEnd"/>
      <w:r w:rsidR="000407C5" w:rsidRPr="00392036">
        <w:rPr>
          <w:rFonts w:ascii="Book Antiqua" w:hAnsi="Book Antiqua"/>
          <w:color w:val="000000" w:themeColor="text1"/>
          <w:sz w:val="24"/>
          <w:szCs w:val="24"/>
          <w:vertAlign w:val="superscript"/>
        </w:rPr>
        <w:t>8]</w:t>
      </w:r>
      <w:r w:rsidRPr="00392036">
        <w:rPr>
          <w:rFonts w:ascii="Book Antiqua" w:hAnsi="Book Antiqua" w:cs="Verdana"/>
          <w:color w:val="000000" w:themeColor="text1"/>
          <w:sz w:val="24"/>
          <w:szCs w:val="24"/>
          <w:lang w:val="en-GB"/>
        </w:rPr>
        <w:t xml:space="preserve">. In case of acute liver failure or decompensated liver cirrhosis, LT is the only treatment option for patients with </w:t>
      </w:r>
      <w:proofErr w:type="gramStart"/>
      <w:r w:rsidRPr="00392036">
        <w:rPr>
          <w:rFonts w:ascii="Book Antiqua" w:hAnsi="Book Antiqua" w:cs="Verdana"/>
          <w:color w:val="000000" w:themeColor="text1"/>
          <w:sz w:val="24"/>
          <w:szCs w:val="24"/>
          <w:lang w:val="en-GB"/>
        </w:rPr>
        <w:t>AIH</w:t>
      </w:r>
      <w:r w:rsidR="000407C5" w:rsidRPr="00392036">
        <w:rPr>
          <w:rFonts w:ascii="Book Antiqua" w:hAnsi="Book Antiqua"/>
          <w:color w:val="000000" w:themeColor="text1"/>
          <w:sz w:val="24"/>
          <w:szCs w:val="24"/>
          <w:vertAlign w:val="superscript"/>
        </w:rPr>
        <w:t>[</w:t>
      </w:r>
      <w:proofErr w:type="gramEnd"/>
      <w:r w:rsidR="000407C5" w:rsidRPr="00392036">
        <w:rPr>
          <w:rFonts w:ascii="Book Antiqua" w:hAnsi="Book Antiqua"/>
          <w:color w:val="000000" w:themeColor="text1"/>
          <w:sz w:val="24"/>
          <w:szCs w:val="24"/>
          <w:vertAlign w:val="superscript"/>
        </w:rPr>
        <w:t>9]</w:t>
      </w:r>
      <w:r w:rsidRPr="00392036">
        <w:rPr>
          <w:rFonts w:ascii="Book Antiqua" w:hAnsi="Book Antiqua" w:cs="Verdana"/>
          <w:color w:val="000000" w:themeColor="text1"/>
          <w:sz w:val="24"/>
          <w:szCs w:val="24"/>
          <w:lang w:val="en-GB"/>
        </w:rPr>
        <w:t>.</w:t>
      </w:r>
    </w:p>
    <w:p w:rsidR="00077B32" w:rsidRPr="00392036" w:rsidRDefault="00080ABB" w:rsidP="00313A7D">
      <w:pPr>
        <w:autoSpaceDE w:val="0"/>
        <w:autoSpaceDN w:val="0"/>
        <w:adjustRightInd w:val="0"/>
        <w:spacing w:after="0" w:line="360" w:lineRule="auto"/>
        <w:ind w:firstLineChars="150" w:firstLine="360"/>
        <w:jc w:val="both"/>
        <w:rPr>
          <w:rFonts w:ascii="Book Antiqua" w:hAnsi="Book Antiqua" w:cs="Verdana"/>
          <w:color w:val="000000" w:themeColor="text1"/>
          <w:sz w:val="24"/>
          <w:szCs w:val="24"/>
        </w:rPr>
      </w:pPr>
      <w:r w:rsidRPr="00392036">
        <w:rPr>
          <w:rFonts w:ascii="Book Antiqua" w:hAnsi="Book Antiqua" w:cs="Verdana"/>
          <w:color w:val="000000" w:themeColor="text1"/>
          <w:sz w:val="24"/>
          <w:szCs w:val="24"/>
        </w:rPr>
        <w:t xml:space="preserve">Treating IBD in patients receiving LT is a clinical struggle because of intermittent flares and remissions, regardless of the significant postoperative immunosuppression needed to prevent organ rejection. </w:t>
      </w:r>
      <w:r w:rsidR="00C806F3" w:rsidRPr="00392036">
        <w:rPr>
          <w:rFonts w:ascii="Book Antiqua" w:hAnsi="Book Antiqua" w:cs="Garamond-Italic"/>
          <w:i/>
          <w:iCs/>
          <w:color w:val="000000" w:themeColor="text1"/>
          <w:sz w:val="24"/>
          <w:szCs w:val="24"/>
        </w:rPr>
        <w:t>De novo</w:t>
      </w:r>
      <w:r w:rsidRPr="00392036">
        <w:rPr>
          <w:rFonts w:ascii="Book Antiqua" w:hAnsi="Book Antiqua" w:cs="Garamond-Italic"/>
          <w:iCs/>
          <w:color w:val="000000" w:themeColor="text1"/>
          <w:sz w:val="24"/>
          <w:szCs w:val="24"/>
        </w:rPr>
        <w:t xml:space="preserve"> </w:t>
      </w:r>
      <w:r w:rsidRPr="00392036">
        <w:rPr>
          <w:rFonts w:ascii="Book Antiqua" w:hAnsi="Book Antiqua" w:cs="Garamond"/>
          <w:color w:val="000000" w:themeColor="text1"/>
          <w:sz w:val="24"/>
          <w:szCs w:val="24"/>
        </w:rPr>
        <w:t xml:space="preserve">IBD after solid organ transplantation has </w:t>
      </w:r>
      <w:r w:rsidRPr="00392036">
        <w:rPr>
          <w:rFonts w:ascii="Book Antiqua" w:hAnsi="Book Antiqua" w:cs="Garamond"/>
          <w:color w:val="000000" w:themeColor="text1"/>
          <w:sz w:val="24"/>
          <w:szCs w:val="24"/>
        </w:rPr>
        <w:lastRenderedPageBreak/>
        <w:t xml:space="preserve">been reported with an incidence estimated to be ten times higher than that of IBD in the general </w:t>
      </w:r>
      <w:proofErr w:type="gramStart"/>
      <w:r w:rsidRPr="00392036">
        <w:rPr>
          <w:rFonts w:ascii="Book Antiqua" w:hAnsi="Book Antiqua" w:cs="Garamond"/>
          <w:color w:val="000000" w:themeColor="text1"/>
          <w:sz w:val="24"/>
          <w:szCs w:val="24"/>
        </w:rPr>
        <w:t>population</w:t>
      </w:r>
      <w:r w:rsidR="000407C5" w:rsidRPr="00392036">
        <w:rPr>
          <w:rFonts w:ascii="Book Antiqua" w:hAnsi="Book Antiqua"/>
          <w:color w:val="000000" w:themeColor="text1"/>
          <w:sz w:val="24"/>
          <w:szCs w:val="24"/>
          <w:vertAlign w:val="superscript"/>
        </w:rPr>
        <w:t>[</w:t>
      </w:r>
      <w:proofErr w:type="gramEnd"/>
      <w:r w:rsidR="000407C5" w:rsidRPr="00392036">
        <w:rPr>
          <w:rFonts w:ascii="Book Antiqua" w:hAnsi="Book Antiqua"/>
          <w:color w:val="000000" w:themeColor="text1"/>
          <w:sz w:val="24"/>
          <w:szCs w:val="24"/>
          <w:vertAlign w:val="superscript"/>
        </w:rPr>
        <w:t>10]</w:t>
      </w:r>
      <w:r w:rsidR="00077B32" w:rsidRPr="00392036">
        <w:rPr>
          <w:rFonts w:ascii="Book Antiqua" w:hAnsi="Book Antiqua" w:cs="Garamond"/>
          <w:color w:val="000000" w:themeColor="text1"/>
          <w:sz w:val="24"/>
          <w:szCs w:val="24"/>
        </w:rPr>
        <w:t>.</w:t>
      </w:r>
    </w:p>
    <w:p w:rsidR="00080ABB" w:rsidRPr="00392036" w:rsidRDefault="00080ABB" w:rsidP="00313A7D">
      <w:pPr>
        <w:spacing w:after="0" w:line="360" w:lineRule="auto"/>
        <w:ind w:firstLineChars="150" w:firstLine="360"/>
        <w:jc w:val="both"/>
        <w:rPr>
          <w:rFonts w:ascii="Book Antiqua" w:hAnsi="Book Antiqua" w:cs="Verdana"/>
          <w:color w:val="000000" w:themeColor="text1"/>
          <w:sz w:val="24"/>
          <w:szCs w:val="24"/>
        </w:rPr>
      </w:pPr>
      <w:r w:rsidRPr="00392036">
        <w:rPr>
          <w:rFonts w:ascii="Book Antiqua" w:hAnsi="Book Antiqua" w:cs="Verdana"/>
          <w:color w:val="000000" w:themeColor="text1"/>
          <w:sz w:val="24"/>
          <w:szCs w:val="24"/>
        </w:rPr>
        <w:t xml:space="preserve">This review describes the evolution of pre-existing IBD and </w:t>
      </w:r>
      <w:r w:rsidR="00C806F3" w:rsidRPr="00392036">
        <w:rPr>
          <w:rFonts w:ascii="Book Antiqua" w:hAnsi="Book Antiqua" w:cs="Verdana"/>
          <w:i/>
          <w:color w:val="000000" w:themeColor="text1"/>
          <w:sz w:val="24"/>
          <w:szCs w:val="24"/>
        </w:rPr>
        <w:t>de novo</w:t>
      </w:r>
      <w:r w:rsidRPr="00392036">
        <w:rPr>
          <w:rFonts w:ascii="Book Antiqua" w:hAnsi="Book Antiqua" w:cs="Verdana"/>
          <w:color w:val="000000" w:themeColor="text1"/>
          <w:sz w:val="24"/>
          <w:szCs w:val="24"/>
        </w:rPr>
        <w:t xml:space="preserve"> IBD after LT, the clinical management of active IBD during the post-transplantation period with special consideration of colorectal carcinoma (CRC) surveillance.</w:t>
      </w:r>
    </w:p>
    <w:p w:rsidR="00077B32" w:rsidRPr="00392036" w:rsidRDefault="00077B32" w:rsidP="00313A7D">
      <w:pPr>
        <w:pStyle w:val="NormalWeb"/>
        <w:spacing w:beforeLines="0" w:afterLines="0" w:after="0" w:line="360" w:lineRule="auto"/>
        <w:jc w:val="both"/>
        <w:rPr>
          <w:rFonts w:ascii="Book Antiqua" w:hAnsi="Book Antiqua"/>
          <w:color w:val="000000" w:themeColor="text1"/>
          <w:sz w:val="24"/>
          <w:szCs w:val="24"/>
          <w:lang w:val="en-GB"/>
        </w:rPr>
      </w:pPr>
    </w:p>
    <w:p w:rsidR="00077B32" w:rsidRPr="00392036" w:rsidRDefault="00077B32" w:rsidP="00313A7D">
      <w:pPr>
        <w:pStyle w:val="NormalWeb"/>
        <w:spacing w:beforeLines="0" w:afterLines="0" w:after="0" w:line="360" w:lineRule="auto"/>
        <w:jc w:val="both"/>
        <w:rPr>
          <w:rFonts w:ascii="Book Antiqua" w:hAnsi="Book Antiqua"/>
          <w:b/>
          <w:color w:val="000000" w:themeColor="text1"/>
          <w:sz w:val="24"/>
          <w:szCs w:val="24"/>
          <w:lang w:val="en-GB"/>
        </w:rPr>
      </w:pPr>
      <w:r w:rsidRPr="00392036">
        <w:rPr>
          <w:rFonts w:ascii="Book Antiqua" w:hAnsi="Book Antiqua"/>
          <w:b/>
          <w:color w:val="000000" w:themeColor="text1"/>
          <w:sz w:val="24"/>
          <w:szCs w:val="24"/>
          <w:lang w:val="en-GB"/>
        </w:rPr>
        <w:t>PRIMARY SCLEROSING CHOLANGITIS AND LIVER TRANSPLANTATION</w:t>
      </w:r>
    </w:p>
    <w:p w:rsidR="00077B32" w:rsidRPr="00392036" w:rsidRDefault="00080ABB" w:rsidP="00313A7D">
      <w:pPr>
        <w:spacing w:after="0" w:line="360" w:lineRule="auto"/>
        <w:jc w:val="both"/>
        <w:rPr>
          <w:rFonts w:ascii="Book Antiqua" w:hAnsi="Book Antiqua"/>
          <w:color w:val="000000" w:themeColor="text1"/>
          <w:sz w:val="24"/>
          <w:szCs w:val="24"/>
        </w:rPr>
      </w:pPr>
      <w:r w:rsidRPr="00392036">
        <w:rPr>
          <w:rFonts w:ascii="Book Antiqua" w:hAnsi="Book Antiqua"/>
          <w:color w:val="000000" w:themeColor="text1"/>
          <w:sz w:val="24"/>
          <w:szCs w:val="24"/>
        </w:rPr>
        <w:t>PSC is an immune-mediated chronic and progressive cholestatic liver disease characterised by inflammation and fibrosis of both the intra- and extra-hepatic bile ducts. Both bile ducts are involved in the majority (up to 87%) of all patients’ disease conditions; small-duct PSC is involved in 5</w:t>
      </w:r>
      <w:r w:rsidR="00BD5504">
        <w:rPr>
          <w:rFonts w:ascii="Book Antiqua" w:hAnsi="Book Antiqua" w:hint="eastAsia"/>
          <w:color w:val="000000" w:themeColor="text1"/>
          <w:sz w:val="24"/>
          <w:szCs w:val="24"/>
          <w:lang w:eastAsia="zh-CN"/>
        </w:rPr>
        <w:t>%</w:t>
      </w:r>
      <w:r w:rsidRPr="00392036">
        <w:rPr>
          <w:rFonts w:ascii="Book Antiqua" w:hAnsi="Book Antiqua"/>
          <w:color w:val="000000" w:themeColor="text1"/>
          <w:sz w:val="24"/>
          <w:szCs w:val="24"/>
        </w:rPr>
        <w:t xml:space="preserve">-20%, whereas large-duct PSC is less </w:t>
      </w:r>
      <w:proofErr w:type="gramStart"/>
      <w:r w:rsidRPr="00392036">
        <w:rPr>
          <w:rFonts w:ascii="Book Antiqua" w:hAnsi="Book Antiqua"/>
          <w:color w:val="000000" w:themeColor="text1"/>
          <w:sz w:val="24"/>
          <w:szCs w:val="24"/>
        </w:rPr>
        <w:t>common</w:t>
      </w:r>
      <w:r w:rsidR="00383D24" w:rsidRPr="00392036">
        <w:rPr>
          <w:rFonts w:ascii="Book Antiqua" w:hAnsi="Book Antiqua"/>
          <w:color w:val="000000" w:themeColor="text1"/>
          <w:sz w:val="24"/>
          <w:szCs w:val="24"/>
          <w:vertAlign w:val="superscript"/>
        </w:rPr>
        <w:t>[</w:t>
      </w:r>
      <w:proofErr w:type="gramEnd"/>
      <w:r w:rsidR="00383D24" w:rsidRPr="00392036">
        <w:rPr>
          <w:rFonts w:ascii="Book Antiqua" w:hAnsi="Book Antiqua"/>
          <w:color w:val="000000" w:themeColor="text1"/>
          <w:sz w:val="24"/>
          <w:szCs w:val="24"/>
          <w:vertAlign w:val="superscript"/>
        </w:rPr>
        <w:t>11]</w:t>
      </w:r>
      <w:r w:rsidR="00077B32" w:rsidRPr="00392036">
        <w:rPr>
          <w:rFonts w:ascii="Book Antiqua" w:hAnsi="Book Antiqua"/>
          <w:color w:val="000000" w:themeColor="text1"/>
          <w:sz w:val="24"/>
          <w:szCs w:val="24"/>
        </w:rPr>
        <w:t xml:space="preserve">. </w:t>
      </w:r>
      <w:r w:rsidRPr="00392036">
        <w:rPr>
          <w:rFonts w:ascii="Book Antiqua" w:hAnsi="Book Antiqua"/>
          <w:color w:val="000000" w:themeColor="text1"/>
          <w:sz w:val="24"/>
          <w:szCs w:val="24"/>
        </w:rPr>
        <w:t>Small-duct PSC appears to represent an early stage associated with a better prognosis than classic PSC, which rarely progresses to large-duct PSC.</w:t>
      </w:r>
    </w:p>
    <w:p w:rsidR="00DC2C6D" w:rsidRPr="00392036" w:rsidRDefault="00080ABB" w:rsidP="00313A7D">
      <w:pPr>
        <w:spacing w:after="0" w:line="360" w:lineRule="auto"/>
        <w:ind w:firstLineChars="100" w:firstLine="240"/>
        <w:jc w:val="both"/>
        <w:rPr>
          <w:rFonts w:ascii="Book Antiqua" w:hAnsi="Book Antiqua"/>
          <w:color w:val="000000" w:themeColor="text1"/>
          <w:sz w:val="24"/>
          <w:szCs w:val="24"/>
        </w:rPr>
      </w:pPr>
      <w:r w:rsidRPr="00392036">
        <w:rPr>
          <w:rFonts w:ascii="Book Antiqua" w:hAnsi="Book Antiqua"/>
          <w:color w:val="000000" w:themeColor="text1"/>
          <w:sz w:val="24"/>
          <w:szCs w:val="24"/>
        </w:rPr>
        <w:t xml:space="preserve">Patients with concurrent PSC and IBD (PSC/IBD) represent a unique population of patients with IBD. They are typically younger with a higher occurrence of cholangiocellular carcinoma, LT or death than other patients with </w:t>
      </w:r>
      <w:proofErr w:type="gramStart"/>
      <w:r w:rsidRPr="00392036">
        <w:rPr>
          <w:rFonts w:ascii="Book Antiqua" w:hAnsi="Book Antiqua"/>
          <w:color w:val="000000" w:themeColor="text1"/>
          <w:sz w:val="24"/>
          <w:szCs w:val="24"/>
        </w:rPr>
        <w:t>PSC</w:t>
      </w:r>
      <w:r w:rsidR="00383D24" w:rsidRPr="00392036">
        <w:rPr>
          <w:rFonts w:ascii="Book Antiqua" w:hAnsi="Book Antiqua"/>
          <w:color w:val="000000" w:themeColor="text1"/>
          <w:sz w:val="24"/>
          <w:szCs w:val="24"/>
          <w:vertAlign w:val="superscript"/>
        </w:rPr>
        <w:t>[</w:t>
      </w:r>
      <w:proofErr w:type="gramEnd"/>
      <w:r w:rsidR="00383D24" w:rsidRPr="00392036">
        <w:rPr>
          <w:rFonts w:ascii="Book Antiqua" w:hAnsi="Book Antiqua"/>
          <w:color w:val="000000" w:themeColor="text1"/>
          <w:sz w:val="24"/>
          <w:szCs w:val="24"/>
          <w:vertAlign w:val="superscript"/>
        </w:rPr>
        <w:t>12,13]</w:t>
      </w:r>
      <w:r w:rsidR="00077B32" w:rsidRPr="00392036">
        <w:rPr>
          <w:rFonts w:ascii="Book Antiqua" w:hAnsi="Book Antiqua"/>
          <w:color w:val="000000" w:themeColor="text1"/>
          <w:sz w:val="24"/>
          <w:szCs w:val="24"/>
        </w:rPr>
        <w:t xml:space="preserve">. </w:t>
      </w:r>
      <w:r w:rsidRPr="00392036">
        <w:rPr>
          <w:rFonts w:ascii="Book Antiqua" w:hAnsi="Book Antiqua"/>
          <w:color w:val="000000" w:themeColor="text1"/>
          <w:sz w:val="24"/>
          <w:szCs w:val="24"/>
        </w:rPr>
        <w:t xml:space="preserve">IBD can be diagnosed at any time during the course of PSC; typically, however, it is diagnosed before PSC. The prevalence of PSC with concomitant CD (PSC/CD) is relatively rare, but the outcome is more benign than PSC with UC (PSC/UC) or without IBD. Unlike patients with other forms of CD, those with PSC/CD are less likely to smoke or have ileal disease </w:t>
      </w:r>
      <w:proofErr w:type="gramStart"/>
      <w:r w:rsidRPr="00392036">
        <w:rPr>
          <w:rFonts w:ascii="Book Antiqua" w:hAnsi="Book Antiqua"/>
          <w:color w:val="000000" w:themeColor="text1"/>
          <w:sz w:val="24"/>
          <w:szCs w:val="24"/>
        </w:rPr>
        <w:t>involvement</w:t>
      </w:r>
      <w:r w:rsidR="00383D24" w:rsidRPr="00392036">
        <w:rPr>
          <w:rFonts w:ascii="Book Antiqua" w:hAnsi="Book Antiqua"/>
          <w:color w:val="000000" w:themeColor="text1"/>
          <w:sz w:val="24"/>
          <w:szCs w:val="24"/>
          <w:vertAlign w:val="superscript"/>
        </w:rPr>
        <w:t>[</w:t>
      </w:r>
      <w:proofErr w:type="gramEnd"/>
      <w:r w:rsidR="00383D24" w:rsidRPr="00392036">
        <w:rPr>
          <w:rFonts w:ascii="Book Antiqua" w:hAnsi="Book Antiqua"/>
          <w:color w:val="000000" w:themeColor="text1"/>
          <w:sz w:val="24"/>
          <w:szCs w:val="24"/>
          <w:vertAlign w:val="superscript"/>
        </w:rPr>
        <w:t>14]</w:t>
      </w:r>
      <w:r w:rsidR="00077B32" w:rsidRPr="00392036">
        <w:rPr>
          <w:rFonts w:ascii="Book Antiqua" w:hAnsi="Book Antiqua"/>
          <w:color w:val="000000" w:themeColor="text1"/>
          <w:sz w:val="24"/>
          <w:szCs w:val="24"/>
          <w:shd w:val="clear" w:color="auto" w:fill="FFFFFF"/>
        </w:rPr>
        <w:t xml:space="preserve">. </w:t>
      </w:r>
      <w:r w:rsidRPr="00392036">
        <w:rPr>
          <w:rFonts w:ascii="Book Antiqua" w:hAnsi="Book Antiqua"/>
          <w:color w:val="000000" w:themeColor="text1"/>
          <w:sz w:val="24"/>
          <w:szCs w:val="24"/>
        </w:rPr>
        <w:t xml:space="preserve">In comparison with the overall UC population, patients with PSC/UC tend to have milder bowel disease, a higher incidence of pancolitis (87% </w:t>
      </w:r>
      <w:r w:rsidR="00B74FFE" w:rsidRPr="00392036">
        <w:rPr>
          <w:rFonts w:ascii="Book Antiqua" w:hAnsi="Book Antiqua"/>
          <w:i/>
          <w:color w:val="000000" w:themeColor="text1"/>
          <w:sz w:val="24"/>
          <w:szCs w:val="24"/>
        </w:rPr>
        <w:t>vs</w:t>
      </w:r>
      <w:r w:rsidR="00B74FFE" w:rsidRPr="00392036">
        <w:rPr>
          <w:rFonts w:ascii="Book Antiqua" w:hAnsi="Book Antiqua"/>
          <w:color w:val="000000" w:themeColor="text1"/>
          <w:sz w:val="24"/>
          <w:szCs w:val="24"/>
          <w:lang w:eastAsia="zh-CN"/>
        </w:rPr>
        <w:t xml:space="preserve"> </w:t>
      </w:r>
      <w:r w:rsidRPr="00392036">
        <w:rPr>
          <w:rFonts w:ascii="Book Antiqua" w:hAnsi="Book Antiqua"/>
          <w:color w:val="000000" w:themeColor="text1"/>
          <w:sz w:val="24"/>
          <w:szCs w:val="24"/>
        </w:rPr>
        <w:t xml:space="preserve">54%), rectal sparing (52% </w:t>
      </w:r>
      <w:r w:rsidR="00C806F3" w:rsidRPr="00392036">
        <w:rPr>
          <w:rFonts w:ascii="Book Antiqua" w:hAnsi="Book Antiqua"/>
          <w:i/>
          <w:color w:val="000000" w:themeColor="text1"/>
          <w:sz w:val="24"/>
          <w:szCs w:val="24"/>
        </w:rPr>
        <w:t>vs</w:t>
      </w:r>
      <w:r w:rsidR="00B74FFE" w:rsidRPr="00392036">
        <w:rPr>
          <w:rFonts w:ascii="Book Antiqua" w:hAnsi="Book Antiqua"/>
          <w:color w:val="000000" w:themeColor="text1"/>
          <w:sz w:val="24"/>
          <w:szCs w:val="24"/>
          <w:lang w:eastAsia="zh-CN"/>
        </w:rPr>
        <w:t xml:space="preserve"> </w:t>
      </w:r>
      <w:r w:rsidRPr="00392036">
        <w:rPr>
          <w:rFonts w:ascii="Book Antiqua" w:hAnsi="Book Antiqua"/>
          <w:color w:val="000000" w:themeColor="text1"/>
          <w:sz w:val="24"/>
          <w:szCs w:val="24"/>
        </w:rPr>
        <w:t>6%) and backwash ileitis (51%</w:t>
      </w:r>
      <w:r w:rsidR="00B74FFE" w:rsidRPr="00392036">
        <w:rPr>
          <w:rFonts w:ascii="Book Antiqua" w:hAnsi="Book Antiqua"/>
          <w:i/>
          <w:color w:val="000000" w:themeColor="text1"/>
          <w:sz w:val="24"/>
          <w:szCs w:val="24"/>
        </w:rPr>
        <w:t xml:space="preserve"> vs</w:t>
      </w:r>
      <w:r w:rsidR="00B74FFE" w:rsidRPr="00392036">
        <w:rPr>
          <w:rFonts w:ascii="Book Antiqua" w:hAnsi="Book Antiqua"/>
          <w:color w:val="000000" w:themeColor="text1"/>
          <w:sz w:val="24"/>
          <w:szCs w:val="24"/>
          <w:lang w:eastAsia="zh-CN"/>
        </w:rPr>
        <w:t xml:space="preserve"> </w:t>
      </w:r>
      <w:r w:rsidRPr="00392036">
        <w:rPr>
          <w:rFonts w:ascii="Book Antiqua" w:hAnsi="Book Antiqua"/>
          <w:color w:val="000000" w:themeColor="text1"/>
          <w:sz w:val="24"/>
          <w:szCs w:val="24"/>
        </w:rPr>
        <w:t>7%)</w:t>
      </w:r>
      <w:r w:rsidR="00DC2C6D" w:rsidRPr="00392036">
        <w:rPr>
          <w:rFonts w:ascii="Book Antiqua" w:hAnsi="Book Antiqua"/>
          <w:color w:val="000000" w:themeColor="text1"/>
          <w:sz w:val="24"/>
          <w:szCs w:val="24"/>
          <w:vertAlign w:val="superscript"/>
        </w:rPr>
        <w:t>[15</w:t>
      </w:r>
      <w:r w:rsidR="00383D24" w:rsidRPr="00392036">
        <w:rPr>
          <w:rFonts w:ascii="Book Antiqua" w:hAnsi="Book Antiqua"/>
          <w:color w:val="000000" w:themeColor="text1"/>
          <w:sz w:val="24"/>
          <w:szCs w:val="24"/>
          <w:vertAlign w:val="superscript"/>
        </w:rPr>
        <w:t>,</w:t>
      </w:r>
      <w:r w:rsidR="00DC2C6D" w:rsidRPr="00392036">
        <w:rPr>
          <w:rFonts w:ascii="Book Antiqua" w:hAnsi="Book Antiqua"/>
          <w:color w:val="000000" w:themeColor="text1"/>
          <w:sz w:val="24"/>
          <w:szCs w:val="24"/>
          <w:vertAlign w:val="superscript"/>
        </w:rPr>
        <w:t>16</w:t>
      </w:r>
      <w:r w:rsidR="00383D24" w:rsidRPr="00392036">
        <w:rPr>
          <w:rFonts w:ascii="Book Antiqua" w:hAnsi="Book Antiqua"/>
          <w:color w:val="000000" w:themeColor="text1"/>
          <w:sz w:val="24"/>
          <w:szCs w:val="24"/>
          <w:vertAlign w:val="superscript"/>
        </w:rPr>
        <w:t>]</w:t>
      </w:r>
      <w:r w:rsidR="00077B32" w:rsidRPr="00392036">
        <w:rPr>
          <w:rFonts w:ascii="Book Antiqua" w:hAnsi="Book Antiqua"/>
          <w:color w:val="000000" w:themeColor="text1"/>
          <w:sz w:val="24"/>
          <w:szCs w:val="24"/>
        </w:rPr>
        <w:t xml:space="preserve">. </w:t>
      </w:r>
      <w:bookmarkStart w:id="16" w:name="_Ref352195260"/>
      <w:r w:rsidR="00DC2C6D" w:rsidRPr="00392036">
        <w:rPr>
          <w:rFonts w:ascii="Book Antiqua" w:hAnsi="Book Antiqua"/>
          <w:color w:val="000000" w:themeColor="text1"/>
          <w:sz w:val="24"/>
          <w:szCs w:val="24"/>
          <w:shd w:val="clear" w:color="auto" w:fill="FFFFFF"/>
        </w:rPr>
        <w:t>PSC/CD patients characteristically have col</w:t>
      </w:r>
      <w:r w:rsidR="004D0AF5" w:rsidRPr="00392036">
        <w:rPr>
          <w:rFonts w:ascii="Book Antiqua" w:hAnsi="Book Antiqua"/>
          <w:color w:val="000000" w:themeColor="text1"/>
          <w:sz w:val="24"/>
          <w:szCs w:val="24"/>
          <w:shd w:val="clear" w:color="auto" w:fill="FFFFFF"/>
        </w:rPr>
        <w:t>onic or ileocolonic involvement,</w:t>
      </w:r>
      <w:r w:rsidR="00DC2C6D" w:rsidRPr="00392036">
        <w:rPr>
          <w:rFonts w:ascii="Book Antiqua" w:hAnsi="Book Antiqua"/>
          <w:color w:val="000000" w:themeColor="text1"/>
          <w:sz w:val="24"/>
          <w:szCs w:val="24"/>
          <w:shd w:val="clear" w:color="auto" w:fill="FFFFFF"/>
        </w:rPr>
        <w:t xml:space="preserve"> small duct PSC (25% patients), a</w:t>
      </w:r>
      <w:r w:rsidR="004D0AF5" w:rsidRPr="00392036">
        <w:rPr>
          <w:rFonts w:ascii="Book Antiqua" w:hAnsi="Book Antiqua"/>
          <w:color w:val="000000" w:themeColor="text1"/>
          <w:sz w:val="24"/>
          <w:szCs w:val="24"/>
          <w:shd w:val="clear" w:color="auto" w:fill="FFFFFF"/>
        </w:rPr>
        <w:t>nd a</w:t>
      </w:r>
      <w:r w:rsidR="00DC2C6D" w:rsidRPr="00392036">
        <w:rPr>
          <w:rFonts w:ascii="Book Antiqua" w:hAnsi="Book Antiqua"/>
          <w:color w:val="000000" w:themeColor="text1"/>
          <w:sz w:val="24"/>
          <w:szCs w:val="24"/>
          <w:shd w:val="clear" w:color="auto" w:fill="FFFFFF"/>
        </w:rPr>
        <w:t>re more likely to be female</w:t>
      </w:r>
      <w:r w:rsidR="004D0AF5" w:rsidRPr="00392036">
        <w:rPr>
          <w:rFonts w:ascii="Book Antiqua" w:hAnsi="Book Antiqua"/>
          <w:color w:val="000000" w:themeColor="text1"/>
          <w:sz w:val="24"/>
          <w:szCs w:val="24"/>
          <w:shd w:val="clear" w:color="auto" w:fill="FFFFFF"/>
        </w:rPr>
        <w:t>.</w:t>
      </w:r>
      <w:r w:rsidR="00DC2C6D" w:rsidRPr="00392036">
        <w:rPr>
          <w:rFonts w:ascii="Book Antiqua" w:hAnsi="Book Antiqua"/>
          <w:color w:val="000000" w:themeColor="text1"/>
          <w:sz w:val="24"/>
          <w:szCs w:val="24"/>
          <w:shd w:val="clear" w:color="auto" w:fill="FFFFFF"/>
        </w:rPr>
        <w:t xml:space="preserve"> </w:t>
      </w:r>
      <w:r w:rsidR="00374A6E" w:rsidRPr="00392036">
        <w:rPr>
          <w:rFonts w:ascii="Book Antiqua" w:hAnsi="Book Antiqua"/>
          <w:color w:val="000000" w:themeColor="text1"/>
          <w:sz w:val="24"/>
          <w:szCs w:val="24"/>
          <w:shd w:val="clear" w:color="auto" w:fill="FFFFFF"/>
        </w:rPr>
        <w:t>Compared</w:t>
      </w:r>
      <w:r w:rsidR="004D0AF5" w:rsidRPr="00392036">
        <w:rPr>
          <w:rFonts w:ascii="Book Antiqua" w:hAnsi="Book Antiqua"/>
          <w:color w:val="000000" w:themeColor="text1"/>
          <w:sz w:val="24"/>
          <w:szCs w:val="24"/>
          <w:shd w:val="clear" w:color="auto" w:fill="FFFFFF"/>
        </w:rPr>
        <w:t xml:space="preserve"> </w:t>
      </w:r>
      <w:r w:rsidR="00374A6E" w:rsidRPr="00392036">
        <w:rPr>
          <w:rFonts w:ascii="Book Antiqua" w:hAnsi="Book Antiqua"/>
          <w:color w:val="000000" w:themeColor="text1"/>
          <w:sz w:val="24"/>
          <w:szCs w:val="24"/>
          <w:shd w:val="clear" w:color="auto" w:fill="FFFFFF"/>
        </w:rPr>
        <w:t>with patients with</w:t>
      </w:r>
      <w:r w:rsidR="004D0AF5" w:rsidRPr="00392036">
        <w:rPr>
          <w:rFonts w:ascii="Book Antiqua" w:hAnsi="Book Antiqua"/>
          <w:color w:val="000000" w:themeColor="text1"/>
          <w:sz w:val="24"/>
          <w:szCs w:val="24"/>
          <w:shd w:val="clear" w:color="auto" w:fill="FFFFFF"/>
        </w:rPr>
        <w:t xml:space="preserve"> PSC/UC,</w:t>
      </w:r>
      <w:r w:rsidR="00DC2C6D" w:rsidRPr="00392036">
        <w:rPr>
          <w:rFonts w:ascii="Book Antiqua" w:hAnsi="Book Antiqua"/>
          <w:color w:val="000000" w:themeColor="text1"/>
          <w:sz w:val="24"/>
          <w:szCs w:val="24"/>
          <w:shd w:val="clear" w:color="auto" w:fill="FFFFFF"/>
        </w:rPr>
        <w:t xml:space="preserve"> </w:t>
      </w:r>
      <w:r w:rsidR="00374A6E" w:rsidRPr="00392036">
        <w:rPr>
          <w:rFonts w:ascii="Book Antiqua" w:hAnsi="Book Antiqua"/>
          <w:color w:val="000000" w:themeColor="text1"/>
          <w:sz w:val="24"/>
          <w:szCs w:val="24"/>
          <w:shd w:val="clear" w:color="auto" w:fill="FFFFFF"/>
        </w:rPr>
        <w:t xml:space="preserve">those with PSC/CD </w:t>
      </w:r>
      <w:r w:rsidR="004D0AF5" w:rsidRPr="00392036">
        <w:rPr>
          <w:rFonts w:ascii="Book Antiqua" w:hAnsi="Book Antiqua"/>
          <w:color w:val="000000" w:themeColor="text1"/>
          <w:sz w:val="24"/>
          <w:szCs w:val="24"/>
          <w:shd w:val="clear" w:color="auto" w:fill="FFFFFF"/>
        </w:rPr>
        <w:t xml:space="preserve">have </w:t>
      </w:r>
      <w:r w:rsidR="00DC2C6D" w:rsidRPr="00392036">
        <w:rPr>
          <w:rFonts w:ascii="Book Antiqua" w:hAnsi="Book Antiqua"/>
          <w:color w:val="000000" w:themeColor="text1"/>
          <w:sz w:val="24"/>
          <w:szCs w:val="24"/>
          <w:shd w:val="clear" w:color="auto" w:fill="FFFFFF"/>
        </w:rPr>
        <w:t xml:space="preserve">less </w:t>
      </w:r>
      <w:r w:rsidR="00374A6E" w:rsidRPr="00392036">
        <w:rPr>
          <w:rFonts w:ascii="Book Antiqua" w:hAnsi="Book Antiqua"/>
          <w:color w:val="000000" w:themeColor="text1"/>
          <w:sz w:val="24"/>
          <w:szCs w:val="24"/>
          <w:shd w:val="clear" w:color="auto" w:fill="FFFFFF"/>
        </w:rPr>
        <w:t xml:space="preserve">IBD </w:t>
      </w:r>
      <w:r w:rsidR="004D0AF5" w:rsidRPr="00392036">
        <w:rPr>
          <w:rFonts w:ascii="Book Antiqua" w:hAnsi="Book Antiqua"/>
          <w:color w:val="000000" w:themeColor="text1"/>
          <w:sz w:val="24"/>
          <w:szCs w:val="24"/>
          <w:shd w:val="clear" w:color="auto" w:fill="FFFFFF"/>
        </w:rPr>
        <w:t>flares associated with lower rate of</w:t>
      </w:r>
      <w:r w:rsidR="00DC2C6D" w:rsidRPr="00392036">
        <w:rPr>
          <w:rFonts w:ascii="Book Antiqua" w:hAnsi="Book Antiqua"/>
          <w:color w:val="000000" w:themeColor="text1"/>
          <w:sz w:val="24"/>
          <w:szCs w:val="24"/>
          <w:shd w:val="clear" w:color="auto" w:fill="FFFFFF"/>
        </w:rPr>
        <w:t xml:space="preserve"> progress</w:t>
      </w:r>
      <w:r w:rsidR="004D0AF5" w:rsidRPr="00392036">
        <w:rPr>
          <w:rFonts w:ascii="Book Antiqua" w:hAnsi="Book Antiqua"/>
          <w:color w:val="000000" w:themeColor="text1"/>
          <w:sz w:val="24"/>
          <w:szCs w:val="24"/>
          <w:shd w:val="clear" w:color="auto" w:fill="FFFFFF"/>
        </w:rPr>
        <w:t>ion</w:t>
      </w:r>
      <w:r w:rsidR="00DC2C6D" w:rsidRPr="00392036">
        <w:rPr>
          <w:rFonts w:ascii="Book Antiqua" w:hAnsi="Book Antiqua"/>
          <w:color w:val="000000" w:themeColor="text1"/>
          <w:sz w:val="24"/>
          <w:szCs w:val="24"/>
          <w:shd w:val="clear" w:color="auto" w:fill="FFFFFF"/>
        </w:rPr>
        <w:t xml:space="preserve"> to cancer, LT or death</w:t>
      </w:r>
      <w:r w:rsidR="004D0AF5" w:rsidRPr="00392036">
        <w:rPr>
          <w:rFonts w:ascii="Book Antiqua" w:hAnsi="Book Antiqua"/>
          <w:color w:val="000000" w:themeColor="text1"/>
          <w:sz w:val="24"/>
          <w:szCs w:val="24"/>
          <w:shd w:val="clear" w:color="auto" w:fill="FFFFFF"/>
        </w:rPr>
        <w:t xml:space="preserve">, </w:t>
      </w:r>
      <w:r w:rsidR="00DC2C6D" w:rsidRPr="00392036">
        <w:rPr>
          <w:rFonts w:ascii="Book Antiqua" w:hAnsi="Book Antiqua"/>
          <w:color w:val="000000" w:themeColor="text1"/>
          <w:sz w:val="24"/>
          <w:szCs w:val="24"/>
        </w:rPr>
        <w:t xml:space="preserve">suggesting a biologically different </w:t>
      </w:r>
      <w:r w:rsidR="004D0AF5" w:rsidRPr="00392036">
        <w:rPr>
          <w:rFonts w:ascii="Book Antiqua" w:hAnsi="Book Antiqua"/>
          <w:color w:val="000000" w:themeColor="text1"/>
          <w:sz w:val="24"/>
          <w:szCs w:val="24"/>
        </w:rPr>
        <w:t xml:space="preserve">progression risk in two </w:t>
      </w:r>
      <w:proofErr w:type="gramStart"/>
      <w:r w:rsidR="004D0AF5" w:rsidRPr="00392036">
        <w:rPr>
          <w:rFonts w:ascii="Book Antiqua" w:hAnsi="Book Antiqua"/>
          <w:color w:val="000000" w:themeColor="text1"/>
          <w:sz w:val="24"/>
          <w:szCs w:val="24"/>
        </w:rPr>
        <w:t>diseases</w:t>
      </w:r>
      <w:r w:rsidR="004D0AF5" w:rsidRPr="00392036">
        <w:rPr>
          <w:rFonts w:ascii="Book Antiqua" w:hAnsi="Book Antiqua"/>
          <w:color w:val="000000" w:themeColor="text1"/>
          <w:sz w:val="24"/>
          <w:szCs w:val="24"/>
          <w:vertAlign w:val="superscript"/>
        </w:rPr>
        <w:t>[</w:t>
      </w:r>
      <w:proofErr w:type="gramEnd"/>
      <w:r w:rsidR="004D0AF5" w:rsidRPr="00392036">
        <w:rPr>
          <w:rFonts w:ascii="Book Antiqua" w:hAnsi="Book Antiqua"/>
          <w:color w:val="000000" w:themeColor="text1"/>
          <w:sz w:val="24"/>
          <w:szCs w:val="24"/>
          <w:vertAlign w:val="superscript"/>
        </w:rPr>
        <w:t>17]</w:t>
      </w:r>
      <w:r w:rsidR="00DC2C6D" w:rsidRPr="00392036">
        <w:rPr>
          <w:rFonts w:ascii="Book Antiqua" w:hAnsi="Book Antiqua"/>
          <w:color w:val="000000" w:themeColor="text1"/>
          <w:sz w:val="24"/>
          <w:szCs w:val="24"/>
        </w:rPr>
        <w:t>.</w:t>
      </w:r>
    </w:p>
    <w:p w:rsidR="00374A6E" w:rsidRPr="00392036" w:rsidRDefault="00374A6E" w:rsidP="00313A7D">
      <w:pPr>
        <w:spacing w:after="0" w:line="360" w:lineRule="auto"/>
        <w:ind w:firstLineChars="150" w:firstLine="360"/>
        <w:jc w:val="both"/>
        <w:rPr>
          <w:rFonts w:ascii="Book Antiqua" w:hAnsi="Book Antiqua" w:cs="Times New Roman"/>
          <w:color w:val="000000" w:themeColor="text1"/>
          <w:sz w:val="24"/>
          <w:szCs w:val="24"/>
          <w:lang w:eastAsia="en-US"/>
        </w:rPr>
      </w:pPr>
      <w:proofErr w:type="gramStart"/>
      <w:r w:rsidRPr="00392036">
        <w:rPr>
          <w:rFonts w:ascii="Book Antiqua" w:hAnsi="Book Antiqua"/>
          <w:color w:val="000000" w:themeColor="text1"/>
          <w:sz w:val="24"/>
          <w:szCs w:val="24"/>
        </w:rPr>
        <w:t>An</w:t>
      </w:r>
      <w:proofErr w:type="gramEnd"/>
      <w:r w:rsidRPr="00392036">
        <w:rPr>
          <w:rFonts w:ascii="Book Antiqua" w:hAnsi="Book Antiqua"/>
          <w:color w:val="000000" w:themeColor="text1"/>
          <w:sz w:val="24"/>
          <w:szCs w:val="24"/>
        </w:rPr>
        <w:t xml:space="preserve"> negative relationship exists between the severity of PSC and the severity of IBD. Progressive PSC requiring LT, reflected by a higher Mayo PSC risk score, is associated with a decreased need for colectomy. The possibility of lymphocyte </w:t>
      </w:r>
      <w:r w:rsidRPr="00392036">
        <w:rPr>
          <w:rFonts w:ascii="Book Antiqua" w:hAnsi="Book Antiqua"/>
          <w:color w:val="000000" w:themeColor="text1"/>
          <w:sz w:val="24"/>
          <w:szCs w:val="24"/>
        </w:rPr>
        <w:lastRenderedPageBreak/>
        <w:t xml:space="preserve">trafficking in this phenomenon has not been fully </w:t>
      </w:r>
      <w:proofErr w:type="gramStart"/>
      <w:r w:rsidRPr="00392036">
        <w:rPr>
          <w:rFonts w:ascii="Book Antiqua" w:hAnsi="Book Antiqua"/>
          <w:color w:val="000000" w:themeColor="text1"/>
          <w:sz w:val="24"/>
          <w:szCs w:val="24"/>
        </w:rPr>
        <w:t>explored</w:t>
      </w:r>
      <w:r w:rsidRPr="00392036">
        <w:rPr>
          <w:rFonts w:ascii="Book Antiqua" w:hAnsi="Book Antiqua"/>
          <w:color w:val="000000" w:themeColor="text1"/>
          <w:sz w:val="24"/>
          <w:szCs w:val="24"/>
          <w:vertAlign w:val="superscript"/>
        </w:rPr>
        <w:t>[</w:t>
      </w:r>
      <w:proofErr w:type="gramEnd"/>
      <w:r w:rsidRPr="00392036">
        <w:rPr>
          <w:rFonts w:ascii="Book Antiqua" w:hAnsi="Book Antiqua"/>
          <w:color w:val="000000" w:themeColor="text1"/>
          <w:sz w:val="24"/>
          <w:szCs w:val="24"/>
          <w:vertAlign w:val="superscript"/>
        </w:rPr>
        <w:t>16,18,19]</w:t>
      </w:r>
      <w:r w:rsidRPr="00392036">
        <w:rPr>
          <w:rFonts w:ascii="Book Antiqua" w:hAnsi="Book Antiqua"/>
          <w:color w:val="000000" w:themeColor="text1"/>
          <w:sz w:val="24"/>
          <w:szCs w:val="24"/>
        </w:rPr>
        <w:t xml:space="preserve">. </w:t>
      </w:r>
      <w:bookmarkEnd w:id="16"/>
      <w:r w:rsidRPr="00392036">
        <w:rPr>
          <w:rFonts w:ascii="Book Antiqua" w:hAnsi="Book Antiqua" w:cs="Times New Roman"/>
          <w:color w:val="000000" w:themeColor="text1"/>
          <w:sz w:val="24"/>
          <w:szCs w:val="24"/>
          <w:lang w:eastAsia="en-US"/>
        </w:rPr>
        <w:t xml:space="preserve">Because of the inverse relationship between the activity of PSC and UC, patients who require LT might be expected to have a worsening of underlying UC after LT. </w:t>
      </w:r>
      <w:r w:rsidRPr="00392036">
        <w:rPr>
          <w:rFonts w:ascii="Book Antiqua" w:hAnsi="Book Antiqua"/>
          <w:color w:val="000000" w:themeColor="text1"/>
          <w:sz w:val="24"/>
          <w:szCs w:val="24"/>
        </w:rPr>
        <w:t>Despite the strong association, the two diseases progress independently of each other.</w:t>
      </w:r>
    </w:p>
    <w:p w:rsidR="00077B32" w:rsidRPr="00392036" w:rsidRDefault="00374A6E" w:rsidP="00313A7D">
      <w:pPr>
        <w:spacing w:after="0" w:line="360" w:lineRule="auto"/>
        <w:ind w:firstLineChars="150" w:firstLine="360"/>
        <w:jc w:val="both"/>
        <w:rPr>
          <w:rFonts w:ascii="Book Antiqua" w:hAnsi="Book Antiqua"/>
          <w:color w:val="000000" w:themeColor="text1"/>
          <w:sz w:val="24"/>
          <w:szCs w:val="24"/>
        </w:rPr>
      </w:pPr>
      <w:r w:rsidRPr="00392036">
        <w:rPr>
          <w:rFonts w:ascii="Book Antiqua" w:hAnsi="Book Antiqua"/>
          <w:color w:val="000000" w:themeColor="text1"/>
          <w:sz w:val="24"/>
          <w:szCs w:val="24"/>
          <w:shd w:val="clear" w:color="auto" w:fill="FFFFFF"/>
          <w:lang w:eastAsia="en-US"/>
        </w:rPr>
        <w:t xml:space="preserve">The risk of CRC is ten-fold higher in patients with PSC/UC than the general </w:t>
      </w:r>
      <w:proofErr w:type="gramStart"/>
      <w:r w:rsidRPr="00392036">
        <w:rPr>
          <w:rFonts w:ascii="Book Antiqua" w:hAnsi="Book Antiqua"/>
          <w:color w:val="000000" w:themeColor="text1"/>
          <w:sz w:val="24"/>
          <w:szCs w:val="24"/>
          <w:shd w:val="clear" w:color="auto" w:fill="FFFFFF"/>
          <w:lang w:eastAsia="en-US"/>
        </w:rPr>
        <w:t>population</w:t>
      </w:r>
      <w:r w:rsidR="00383D24" w:rsidRPr="00392036">
        <w:rPr>
          <w:rFonts w:ascii="Book Antiqua" w:hAnsi="Book Antiqua"/>
          <w:color w:val="000000" w:themeColor="text1"/>
          <w:sz w:val="24"/>
          <w:szCs w:val="24"/>
          <w:vertAlign w:val="superscript"/>
        </w:rPr>
        <w:t>[</w:t>
      </w:r>
      <w:proofErr w:type="gramEnd"/>
      <w:r w:rsidR="00383D24" w:rsidRPr="00392036">
        <w:rPr>
          <w:rFonts w:ascii="Book Antiqua" w:hAnsi="Book Antiqua"/>
          <w:color w:val="000000" w:themeColor="text1"/>
          <w:sz w:val="24"/>
          <w:szCs w:val="24"/>
          <w:vertAlign w:val="superscript"/>
        </w:rPr>
        <w:t>20]</w:t>
      </w:r>
      <w:r w:rsidR="00383D24" w:rsidRPr="00392036">
        <w:rPr>
          <w:rFonts w:ascii="Book Antiqua" w:hAnsi="Book Antiqua"/>
          <w:color w:val="000000" w:themeColor="text1"/>
          <w:sz w:val="24"/>
          <w:szCs w:val="24"/>
        </w:rPr>
        <w:t>.</w:t>
      </w:r>
      <w:r w:rsidR="00383D24" w:rsidRPr="00392036">
        <w:rPr>
          <w:rFonts w:ascii="Book Antiqua" w:hAnsi="Book Antiqua"/>
          <w:color w:val="000000" w:themeColor="text1"/>
          <w:sz w:val="24"/>
          <w:szCs w:val="24"/>
          <w:vertAlign w:val="superscript"/>
        </w:rPr>
        <w:t xml:space="preserve"> </w:t>
      </w:r>
      <w:r w:rsidRPr="00392036">
        <w:rPr>
          <w:rFonts w:ascii="Book Antiqua" w:hAnsi="Book Antiqua"/>
          <w:color w:val="000000" w:themeColor="text1"/>
          <w:sz w:val="24"/>
          <w:szCs w:val="24"/>
          <w:shd w:val="clear" w:color="auto" w:fill="FFFFFF"/>
          <w:lang w:eastAsia="en-US"/>
        </w:rPr>
        <w:t>The development of neoplasia (dysplasia or colorectal carcinoma) is four times higher in the PSC/UC population than the overall UC population. The cumulative 10-year risk is between 0% and 11</w:t>
      </w:r>
      <w:proofErr w:type="gramStart"/>
      <w:r w:rsidRPr="00392036">
        <w:rPr>
          <w:rFonts w:ascii="Book Antiqua" w:hAnsi="Book Antiqua"/>
          <w:color w:val="000000" w:themeColor="text1"/>
          <w:sz w:val="24"/>
          <w:szCs w:val="24"/>
          <w:shd w:val="clear" w:color="auto" w:fill="FFFFFF"/>
          <w:lang w:eastAsia="en-US"/>
        </w:rPr>
        <w:t>%</w:t>
      </w:r>
      <w:r w:rsidR="00383D24" w:rsidRPr="00392036">
        <w:rPr>
          <w:rFonts w:ascii="Book Antiqua" w:hAnsi="Book Antiqua"/>
          <w:color w:val="000000" w:themeColor="text1"/>
          <w:sz w:val="24"/>
          <w:szCs w:val="24"/>
          <w:vertAlign w:val="superscript"/>
        </w:rPr>
        <w:t>[</w:t>
      </w:r>
      <w:proofErr w:type="gramEnd"/>
      <w:r w:rsidR="00383D24" w:rsidRPr="00392036">
        <w:rPr>
          <w:rFonts w:ascii="Book Antiqua" w:hAnsi="Book Antiqua"/>
          <w:color w:val="000000" w:themeColor="text1"/>
          <w:sz w:val="24"/>
          <w:szCs w:val="24"/>
          <w:vertAlign w:val="superscript"/>
        </w:rPr>
        <w:t>22]</w:t>
      </w:r>
      <w:r w:rsidR="00077B32" w:rsidRPr="00392036">
        <w:rPr>
          <w:rFonts w:ascii="Book Antiqua" w:hAnsi="Book Antiqua"/>
          <w:i/>
          <w:color w:val="000000" w:themeColor="text1"/>
          <w:sz w:val="24"/>
          <w:szCs w:val="24"/>
          <w:shd w:val="clear" w:color="auto" w:fill="FFFFFF"/>
        </w:rPr>
        <w:t>.</w:t>
      </w:r>
      <w:r w:rsidR="00077B32" w:rsidRPr="00392036">
        <w:rPr>
          <w:rFonts w:ascii="Book Antiqua" w:hAnsi="Book Antiqua"/>
          <w:color w:val="000000" w:themeColor="text1"/>
          <w:sz w:val="24"/>
          <w:szCs w:val="24"/>
        </w:rPr>
        <w:t xml:space="preserve"> </w:t>
      </w:r>
      <w:r w:rsidRPr="00392036">
        <w:rPr>
          <w:rFonts w:ascii="Book Antiqua" w:hAnsi="Book Antiqua"/>
          <w:color w:val="000000" w:themeColor="text1"/>
          <w:sz w:val="24"/>
          <w:szCs w:val="24"/>
        </w:rPr>
        <w:t xml:space="preserve">However, a less significant association exists among patients with CD. In </w:t>
      </w:r>
      <w:r w:rsidR="00A05E53" w:rsidRPr="00392036">
        <w:rPr>
          <w:rFonts w:ascii="Book Antiqua" w:hAnsi="Book Antiqua"/>
          <w:color w:val="000000" w:themeColor="text1"/>
          <w:sz w:val="24"/>
          <w:szCs w:val="24"/>
        </w:rPr>
        <w:t xml:space="preserve">the </w:t>
      </w:r>
      <w:r w:rsidRPr="00392036">
        <w:rPr>
          <w:rFonts w:ascii="Book Antiqua" w:hAnsi="Book Antiqua"/>
          <w:color w:val="000000" w:themeColor="text1"/>
          <w:sz w:val="24"/>
          <w:szCs w:val="24"/>
        </w:rPr>
        <w:t xml:space="preserve">study of Navaneethan </w:t>
      </w:r>
      <w:r w:rsidRPr="00392036">
        <w:rPr>
          <w:rFonts w:ascii="Book Antiqua" w:hAnsi="Book Antiqua"/>
          <w:i/>
          <w:color w:val="000000" w:themeColor="text1"/>
          <w:sz w:val="24"/>
          <w:szCs w:val="24"/>
        </w:rPr>
        <w:t xml:space="preserve">et </w:t>
      </w:r>
      <w:proofErr w:type="gramStart"/>
      <w:r w:rsidRPr="00392036">
        <w:rPr>
          <w:rFonts w:ascii="Book Antiqua" w:hAnsi="Book Antiqua"/>
          <w:i/>
          <w:color w:val="000000" w:themeColor="text1"/>
          <w:sz w:val="24"/>
          <w:szCs w:val="24"/>
        </w:rPr>
        <w:t>al</w:t>
      </w:r>
      <w:r w:rsidR="00B74FFE" w:rsidRPr="00392036">
        <w:rPr>
          <w:rFonts w:ascii="Book Antiqua" w:hAnsi="Book Antiqua"/>
          <w:color w:val="000000" w:themeColor="text1"/>
          <w:sz w:val="24"/>
          <w:szCs w:val="24"/>
          <w:vertAlign w:val="superscript"/>
        </w:rPr>
        <w:t>[</w:t>
      </w:r>
      <w:proofErr w:type="gramEnd"/>
      <w:r w:rsidR="00B74FFE" w:rsidRPr="00392036">
        <w:rPr>
          <w:rFonts w:ascii="Book Antiqua" w:hAnsi="Book Antiqua"/>
          <w:color w:val="000000" w:themeColor="text1"/>
          <w:sz w:val="24"/>
          <w:szCs w:val="24"/>
          <w:vertAlign w:val="superscript"/>
        </w:rPr>
        <w:t>16]</w:t>
      </w:r>
      <w:r w:rsidR="00A05E53" w:rsidRPr="00392036">
        <w:rPr>
          <w:rFonts w:ascii="Book Antiqua" w:hAnsi="Book Antiqua"/>
          <w:color w:val="000000" w:themeColor="text1"/>
          <w:sz w:val="24"/>
          <w:szCs w:val="24"/>
        </w:rPr>
        <w:t xml:space="preserve"> m</w:t>
      </w:r>
      <w:r w:rsidR="00077B32" w:rsidRPr="00392036">
        <w:rPr>
          <w:rFonts w:ascii="Book Antiqua" w:hAnsi="Book Antiqua"/>
          <w:color w:val="000000" w:themeColor="text1"/>
          <w:sz w:val="24"/>
          <w:szCs w:val="24"/>
        </w:rPr>
        <w:t xml:space="preserve">ore patients with PSC/UC developed colon neoplasia than PSC/CD (35.9% </w:t>
      </w:r>
      <w:r w:rsidR="00B74FFE" w:rsidRPr="00392036">
        <w:rPr>
          <w:rFonts w:ascii="Book Antiqua" w:hAnsi="Book Antiqua"/>
          <w:i/>
          <w:color w:val="000000" w:themeColor="text1"/>
          <w:sz w:val="24"/>
          <w:szCs w:val="24"/>
        </w:rPr>
        <w:t>vs</w:t>
      </w:r>
      <w:r w:rsidR="00B74FFE" w:rsidRPr="00392036">
        <w:rPr>
          <w:rFonts w:ascii="Book Antiqua" w:hAnsi="Book Antiqua"/>
          <w:color w:val="000000" w:themeColor="text1"/>
          <w:sz w:val="24"/>
          <w:szCs w:val="24"/>
          <w:lang w:eastAsia="zh-CN"/>
        </w:rPr>
        <w:t xml:space="preserve"> </w:t>
      </w:r>
      <w:r w:rsidR="00A05E53" w:rsidRPr="00392036">
        <w:rPr>
          <w:rFonts w:ascii="Book Antiqua" w:hAnsi="Book Antiqua"/>
          <w:color w:val="000000" w:themeColor="text1"/>
          <w:sz w:val="24"/>
          <w:szCs w:val="24"/>
        </w:rPr>
        <w:t>18%).</w:t>
      </w:r>
      <w:r w:rsidR="00077B32" w:rsidRPr="00392036">
        <w:rPr>
          <w:rFonts w:ascii="Book Antiqua" w:hAnsi="Book Antiqua"/>
          <w:color w:val="000000" w:themeColor="text1"/>
          <w:sz w:val="24"/>
          <w:szCs w:val="24"/>
        </w:rPr>
        <w:t xml:space="preserve"> </w:t>
      </w:r>
      <w:r w:rsidR="00A05E53" w:rsidRPr="00392036">
        <w:rPr>
          <w:rFonts w:ascii="Book Antiqua" w:hAnsi="Book Antiqua"/>
          <w:color w:val="000000" w:themeColor="text1"/>
          <w:sz w:val="24"/>
          <w:szCs w:val="24"/>
        </w:rPr>
        <w:t xml:space="preserve">Patients with UC had a 56% higher risk of developing colon neoplasia than CD. The colectomy-free survival and LT-free survival rates did not significantly differ between the IBD groups. Moderate-to-severe disease activity on endoscopy at the time of diagnosis and the duration of UC or CD independently increased the risk of developing any colon </w:t>
      </w:r>
      <w:proofErr w:type="gramStart"/>
      <w:r w:rsidR="00A05E53" w:rsidRPr="00392036">
        <w:rPr>
          <w:rFonts w:ascii="Book Antiqua" w:hAnsi="Book Antiqua"/>
          <w:color w:val="000000" w:themeColor="text1"/>
          <w:sz w:val="24"/>
          <w:szCs w:val="24"/>
        </w:rPr>
        <w:t>neoplasia</w:t>
      </w:r>
      <w:r w:rsidR="00AC1673" w:rsidRPr="00392036">
        <w:rPr>
          <w:rFonts w:ascii="Book Antiqua" w:hAnsi="Book Antiqua"/>
          <w:color w:val="000000" w:themeColor="text1"/>
          <w:sz w:val="24"/>
          <w:szCs w:val="24"/>
          <w:vertAlign w:val="superscript"/>
        </w:rPr>
        <w:t>[</w:t>
      </w:r>
      <w:proofErr w:type="gramEnd"/>
      <w:r w:rsidR="00AC1673" w:rsidRPr="00392036">
        <w:rPr>
          <w:rFonts w:ascii="Book Antiqua" w:hAnsi="Book Antiqua"/>
          <w:color w:val="000000" w:themeColor="text1"/>
          <w:sz w:val="24"/>
          <w:szCs w:val="24"/>
          <w:vertAlign w:val="superscript"/>
        </w:rPr>
        <w:t>16</w:t>
      </w:r>
      <w:r w:rsidR="00383D24" w:rsidRPr="00392036">
        <w:rPr>
          <w:rFonts w:ascii="Book Antiqua" w:hAnsi="Book Antiqua"/>
          <w:color w:val="000000" w:themeColor="text1"/>
          <w:sz w:val="24"/>
          <w:szCs w:val="24"/>
          <w:vertAlign w:val="superscript"/>
        </w:rPr>
        <w:t>]</w:t>
      </w:r>
      <w:r w:rsidR="00077B32" w:rsidRPr="00392036">
        <w:rPr>
          <w:rFonts w:ascii="Book Antiqua" w:hAnsi="Book Antiqua"/>
          <w:color w:val="000000" w:themeColor="text1"/>
          <w:sz w:val="24"/>
          <w:szCs w:val="24"/>
        </w:rPr>
        <w:t xml:space="preserve">. </w:t>
      </w:r>
    </w:p>
    <w:p w:rsidR="003E5B8A" w:rsidRPr="00392036" w:rsidRDefault="00A05E53" w:rsidP="00313A7D">
      <w:pPr>
        <w:pStyle w:val="NormalWeb"/>
        <w:spacing w:beforeLines="0" w:afterLines="0" w:after="0" w:line="360" w:lineRule="auto"/>
        <w:ind w:firstLineChars="150" w:firstLine="360"/>
        <w:jc w:val="both"/>
        <w:rPr>
          <w:rFonts w:ascii="Book Antiqua" w:hAnsi="Book Antiqua" w:cs="Verdana"/>
          <w:color w:val="000000" w:themeColor="text1"/>
          <w:sz w:val="24"/>
          <w:szCs w:val="24"/>
          <w:lang w:val="en-GB"/>
        </w:rPr>
      </w:pPr>
      <w:r w:rsidRPr="00392036">
        <w:rPr>
          <w:rFonts w:ascii="Book Antiqua" w:hAnsi="Book Antiqua" w:cs="Verdana"/>
          <w:color w:val="000000" w:themeColor="text1"/>
          <w:sz w:val="24"/>
          <w:szCs w:val="24"/>
          <w:lang w:val="en-GB"/>
        </w:rPr>
        <w:t xml:space="preserve">In patients with PSC without known UC screening colonoscopy, multiple rectal biopsies should be performed at the time of diagnosis and, if negative, repeated every 5 years thereafter because many of these patients are asymptomatic. Patients with PSC with known UC should have colonoscopies during their initial evaluations and every 1-2 years thereafter because of the increased risk of </w:t>
      </w:r>
      <w:proofErr w:type="gramStart"/>
      <w:r w:rsidRPr="00392036">
        <w:rPr>
          <w:rFonts w:ascii="Book Antiqua" w:hAnsi="Book Antiqua" w:cs="Verdana"/>
          <w:color w:val="000000" w:themeColor="text1"/>
          <w:sz w:val="24"/>
          <w:szCs w:val="24"/>
          <w:lang w:val="en-GB"/>
        </w:rPr>
        <w:t>neoplasia</w:t>
      </w:r>
      <w:r w:rsidR="00E61032" w:rsidRPr="00392036">
        <w:rPr>
          <w:rFonts w:ascii="Book Antiqua" w:hAnsi="Book Antiqua"/>
          <w:color w:val="000000" w:themeColor="text1"/>
          <w:sz w:val="24"/>
          <w:szCs w:val="24"/>
          <w:vertAlign w:val="superscript"/>
        </w:rPr>
        <w:t>[</w:t>
      </w:r>
      <w:proofErr w:type="gramEnd"/>
      <w:r w:rsidR="00E61032" w:rsidRPr="00392036">
        <w:rPr>
          <w:rFonts w:ascii="Book Antiqua" w:hAnsi="Book Antiqua"/>
          <w:color w:val="000000" w:themeColor="text1"/>
          <w:sz w:val="24"/>
          <w:szCs w:val="24"/>
          <w:vertAlign w:val="superscript"/>
        </w:rPr>
        <w:t>23]</w:t>
      </w:r>
      <w:r w:rsidR="00E61032" w:rsidRPr="00392036">
        <w:rPr>
          <w:rFonts w:ascii="Book Antiqua" w:hAnsi="Book Antiqua" w:cs="Verdana"/>
          <w:color w:val="000000" w:themeColor="text1"/>
          <w:sz w:val="24"/>
          <w:szCs w:val="24"/>
          <w:lang w:val="en-GB"/>
        </w:rPr>
        <w:t>.</w:t>
      </w:r>
      <w:r w:rsidR="00077B32" w:rsidRPr="00392036">
        <w:rPr>
          <w:rFonts w:ascii="Book Antiqua" w:hAnsi="Book Antiqua" w:cs="Verdana"/>
          <w:color w:val="000000" w:themeColor="text1"/>
          <w:sz w:val="24"/>
          <w:szCs w:val="24"/>
          <w:lang w:val="en-GB"/>
        </w:rPr>
        <w:t xml:space="preserve"> Pancolonic methylene blue o</w:t>
      </w:r>
      <w:r w:rsidRPr="00392036">
        <w:rPr>
          <w:rFonts w:ascii="Book Antiqua" w:hAnsi="Book Antiqua" w:cs="Verdana"/>
          <w:color w:val="000000" w:themeColor="text1"/>
          <w:sz w:val="24"/>
          <w:szCs w:val="24"/>
          <w:lang w:val="en-GB"/>
        </w:rPr>
        <w:t>r indigo carmine chromoendoscopies</w:t>
      </w:r>
      <w:r w:rsidR="00077B32" w:rsidRPr="00392036">
        <w:rPr>
          <w:rFonts w:ascii="Book Antiqua" w:hAnsi="Book Antiqua" w:cs="Verdana"/>
          <w:color w:val="000000" w:themeColor="text1"/>
          <w:sz w:val="24"/>
          <w:szCs w:val="24"/>
          <w:lang w:val="en-GB"/>
        </w:rPr>
        <w:t xml:space="preserve"> should be performed during surveillance colonoscopy, with targeted biopsies of any visible </w:t>
      </w:r>
      <w:proofErr w:type="gramStart"/>
      <w:r w:rsidR="00077B32" w:rsidRPr="00392036">
        <w:rPr>
          <w:rFonts w:ascii="Book Antiqua" w:hAnsi="Book Antiqua" w:cs="Verdana"/>
          <w:color w:val="000000" w:themeColor="text1"/>
          <w:sz w:val="24"/>
          <w:szCs w:val="24"/>
          <w:lang w:val="en-GB"/>
        </w:rPr>
        <w:t>lesion</w:t>
      </w:r>
      <w:r w:rsidR="00E61032" w:rsidRPr="00392036">
        <w:rPr>
          <w:rFonts w:ascii="Book Antiqua" w:hAnsi="Book Antiqua"/>
          <w:color w:val="000000" w:themeColor="text1"/>
          <w:sz w:val="24"/>
          <w:szCs w:val="24"/>
          <w:vertAlign w:val="superscript"/>
        </w:rPr>
        <w:t>[</w:t>
      </w:r>
      <w:proofErr w:type="gramEnd"/>
      <w:r w:rsidR="00E61032" w:rsidRPr="00392036">
        <w:rPr>
          <w:rFonts w:ascii="Book Antiqua" w:hAnsi="Book Antiqua"/>
          <w:color w:val="000000" w:themeColor="text1"/>
          <w:sz w:val="24"/>
          <w:szCs w:val="24"/>
          <w:vertAlign w:val="superscript"/>
        </w:rPr>
        <w:t>24</w:t>
      </w:r>
      <w:r w:rsidR="00383D24" w:rsidRPr="00392036">
        <w:rPr>
          <w:rFonts w:ascii="Book Antiqua" w:hAnsi="Book Antiqua"/>
          <w:color w:val="000000" w:themeColor="text1"/>
          <w:sz w:val="24"/>
          <w:szCs w:val="24"/>
          <w:vertAlign w:val="superscript"/>
        </w:rPr>
        <w:t>]</w:t>
      </w:r>
      <w:r w:rsidR="00077B32" w:rsidRPr="00392036">
        <w:rPr>
          <w:rFonts w:ascii="Book Antiqua" w:hAnsi="Book Antiqua" w:cs="Verdana"/>
          <w:color w:val="000000" w:themeColor="text1"/>
          <w:sz w:val="24"/>
          <w:szCs w:val="24"/>
          <w:lang w:val="en-GB"/>
        </w:rPr>
        <w:t xml:space="preserve">. </w:t>
      </w:r>
      <w:r w:rsidR="003E5B8A" w:rsidRPr="00392036">
        <w:rPr>
          <w:rFonts w:ascii="Book Antiqua" w:hAnsi="Book Antiqua"/>
          <w:color w:val="000000" w:themeColor="text1"/>
          <w:sz w:val="24"/>
          <w:szCs w:val="24"/>
          <w:lang w:val="en-GB"/>
        </w:rPr>
        <w:t xml:space="preserve">Meta-analysis </w:t>
      </w:r>
      <w:r w:rsidRPr="00392036">
        <w:rPr>
          <w:rFonts w:ascii="Book Antiqua" w:hAnsi="Book Antiqua"/>
          <w:color w:val="000000" w:themeColor="text1"/>
          <w:sz w:val="24"/>
          <w:szCs w:val="24"/>
          <w:lang w:val="en-GB"/>
        </w:rPr>
        <w:t xml:space="preserve">examined the diagnostic accuracy of chromoendoscopy compared with histology and reported a sensitivity of 83.3% and a specificity of 91.3% for chromoendoscopy regarding the detection of intraepithelial </w:t>
      </w:r>
      <w:proofErr w:type="gramStart"/>
      <w:r w:rsidRPr="00392036">
        <w:rPr>
          <w:rFonts w:ascii="Book Antiqua" w:hAnsi="Book Antiqua"/>
          <w:color w:val="000000" w:themeColor="text1"/>
          <w:sz w:val="24"/>
          <w:szCs w:val="24"/>
          <w:lang w:val="en-GB"/>
        </w:rPr>
        <w:t>neoplasia</w:t>
      </w:r>
      <w:r w:rsidR="007B2CCC" w:rsidRPr="00392036">
        <w:rPr>
          <w:rFonts w:ascii="Book Antiqua" w:hAnsi="Book Antiqua"/>
          <w:color w:val="000000" w:themeColor="text1"/>
          <w:sz w:val="24"/>
          <w:szCs w:val="24"/>
          <w:vertAlign w:val="superscript"/>
        </w:rPr>
        <w:t>[</w:t>
      </w:r>
      <w:proofErr w:type="gramEnd"/>
      <w:r w:rsidR="007B2CCC" w:rsidRPr="00392036">
        <w:rPr>
          <w:rFonts w:ascii="Book Antiqua" w:hAnsi="Book Antiqua"/>
          <w:color w:val="000000" w:themeColor="text1"/>
          <w:sz w:val="24"/>
          <w:szCs w:val="24"/>
          <w:vertAlign w:val="superscript"/>
        </w:rPr>
        <w:t>25</w:t>
      </w:r>
      <w:r w:rsidR="003E5B8A" w:rsidRPr="00392036">
        <w:rPr>
          <w:rFonts w:ascii="Book Antiqua" w:hAnsi="Book Antiqua"/>
          <w:color w:val="000000" w:themeColor="text1"/>
          <w:sz w:val="24"/>
          <w:szCs w:val="24"/>
          <w:vertAlign w:val="superscript"/>
        </w:rPr>
        <w:t>]</w:t>
      </w:r>
      <w:r w:rsidR="003E5B8A"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Chromoendoscopy also aids in the discrimination between neoplastic and non-neoplastic changes based on surface crypt architecture (pit pattern). </w:t>
      </w:r>
      <w:r w:rsidR="00077B32" w:rsidRPr="00392036">
        <w:rPr>
          <w:rFonts w:ascii="Book Antiqua" w:hAnsi="Book Antiqua" w:cs="Verdana"/>
          <w:color w:val="000000" w:themeColor="text1"/>
          <w:sz w:val="24"/>
          <w:szCs w:val="24"/>
          <w:lang w:val="en-GB"/>
        </w:rPr>
        <w:t>If appropriate exper</w:t>
      </w:r>
      <w:r w:rsidRPr="00392036">
        <w:rPr>
          <w:rFonts w:ascii="Book Antiqua" w:hAnsi="Book Antiqua" w:cs="Verdana"/>
          <w:color w:val="000000" w:themeColor="text1"/>
          <w:sz w:val="24"/>
          <w:szCs w:val="24"/>
          <w:lang w:val="en-GB"/>
        </w:rPr>
        <w:t>tise for chromoendoscopy is un</w:t>
      </w:r>
      <w:r w:rsidR="00077B32" w:rsidRPr="00392036">
        <w:rPr>
          <w:rFonts w:ascii="Book Antiqua" w:hAnsi="Book Antiqua" w:cs="Verdana"/>
          <w:color w:val="000000" w:themeColor="text1"/>
          <w:sz w:val="24"/>
          <w:szCs w:val="24"/>
          <w:lang w:val="en-GB"/>
        </w:rPr>
        <w:t xml:space="preserve">available, </w:t>
      </w:r>
      <w:r w:rsidRPr="00392036">
        <w:rPr>
          <w:rFonts w:ascii="Book Antiqua" w:hAnsi="Book Antiqua" w:cs="Verdana"/>
          <w:color w:val="000000" w:themeColor="text1"/>
          <w:sz w:val="24"/>
          <w:szCs w:val="24"/>
          <w:lang w:val="en-GB"/>
        </w:rPr>
        <w:t xml:space="preserve">then </w:t>
      </w:r>
      <w:r w:rsidR="00077B32" w:rsidRPr="00392036">
        <w:rPr>
          <w:rFonts w:ascii="Book Antiqua" w:hAnsi="Book Antiqua" w:cs="Verdana"/>
          <w:color w:val="000000" w:themeColor="text1"/>
          <w:sz w:val="24"/>
          <w:szCs w:val="24"/>
          <w:lang w:val="en-GB"/>
        </w:rPr>
        <w:t xml:space="preserve">random biopsies (ideally 4 every 10 cm) should be performed. </w:t>
      </w:r>
      <w:r w:rsidR="00077B32" w:rsidRPr="00392036">
        <w:rPr>
          <w:rFonts w:ascii="Book Antiqua" w:hAnsi="Book Antiqua" w:cs="Arial"/>
          <w:color w:val="000000" w:themeColor="text1"/>
          <w:sz w:val="24"/>
          <w:szCs w:val="24"/>
          <w:lang w:val="en-GB"/>
        </w:rPr>
        <w:t xml:space="preserve">In addition, any suspicious lesions, </w:t>
      </w:r>
      <w:r w:rsidR="00077B32" w:rsidRPr="00392036">
        <w:rPr>
          <w:rFonts w:ascii="Book Antiqua" w:hAnsi="Book Antiqua"/>
          <w:color w:val="000000" w:themeColor="text1"/>
          <w:sz w:val="24"/>
          <w:szCs w:val="24"/>
          <w:lang w:val="en-GB"/>
        </w:rPr>
        <w:t xml:space="preserve">mucosal irregularity </w:t>
      </w:r>
      <w:r w:rsidR="00077B32" w:rsidRPr="00392036">
        <w:rPr>
          <w:rFonts w:ascii="Book Antiqua" w:hAnsi="Book Antiqua" w:cs="Arial"/>
          <w:color w:val="000000" w:themeColor="text1"/>
          <w:sz w:val="24"/>
          <w:szCs w:val="24"/>
          <w:lang w:val="en-GB"/>
        </w:rPr>
        <w:t xml:space="preserve">or masses should be </w:t>
      </w:r>
      <w:proofErr w:type="gramStart"/>
      <w:r w:rsidR="00077B32" w:rsidRPr="00392036">
        <w:rPr>
          <w:rFonts w:ascii="Book Antiqua" w:hAnsi="Book Antiqua" w:cs="Arial"/>
          <w:color w:val="000000" w:themeColor="text1"/>
          <w:sz w:val="24"/>
          <w:szCs w:val="24"/>
          <w:lang w:val="en-GB"/>
        </w:rPr>
        <w:t>biopsied</w:t>
      </w:r>
      <w:r w:rsidR="007B2CCC" w:rsidRPr="00392036">
        <w:rPr>
          <w:rFonts w:ascii="Book Antiqua" w:hAnsi="Book Antiqua"/>
          <w:color w:val="000000" w:themeColor="text1"/>
          <w:sz w:val="24"/>
          <w:szCs w:val="24"/>
          <w:vertAlign w:val="superscript"/>
        </w:rPr>
        <w:t>[</w:t>
      </w:r>
      <w:proofErr w:type="gramEnd"/>
      <w:r w:rsidR="007B2CCC" w:rsidRPr="00392036">
        <w:rPr>
          <w:rFonts w:ascii="Book Antiqua" w:hAnsi="Book Antiqua"/>
          <w:color w:val="000000" w:themeColor="text1"/>
          <w:sz w:val="24"/>
          <w:szCs w:val="24"/>
          <w:vertAlign w:val="superscript"/>
        </w:rPr>
        <w:t>26</w:t>
      </w:r>
      <w:r w:rsidR="00383D24" w:rsidRPr="00392036">
        <w:rPr>
          <w:rFonts w:ascii="Book Antiqua" w:hAnsi="Book Antiqua"/>
          <w:color w:val="000000" w:themeColor="text1"/>
          <w:sz w:val="24"/>
          <w:szCs w:val="24"/>
          <w:vertAlign w:val="superscript"/>
        </w:rPr>
        <w:t>]</w:t>
      </w:r>
      <w:r w:rsidR="00077B32" w:rsidRPr="00392036">
        <w:rPr>
          <w:rFonts w:ascii="Book Antiqua" w:hAnsi="Book Antiqua" w:cs="Arial"/>
          <w:color w:val="000000" w:themeColor="text1"/>
          <w:sz w:val="24"/>
          <w:szCs w:val="24"/>
          <w:lang w:val="en-GB"/>
        </w:rPr>
        <w:t xml:space="preserve">. </w:t>
      </w:r>
      <w:r w:rsidRPr="00392036">
        <w:rPr>
          <w:rFonts w:ascii="Book Antiqua" w:hAnsi="Book Antiqua" w:cs="Verdana"/>
          <w:color w:val="000000" w:themeColor="text1"/>
          <w:sz w:val="24"/>
          <w:szCs w:val="24"/>
          <w:lang w:val="en-GB"/>
        </w:rPr>
        <w:t xml:space="preserve">However, this option is inferior to chromoendoscopy regarding the detection rate of neoplastic </w:t>
      </w:r>
      <w:proofErr w:type="gramStart"/>
      <w:r w:rsidRPr="00392036">
        <w:rPr>
          <w:rFonts w:ascii="Book Antiqua" w:hAnsi="Book Antiqua" w:cs="Verdana"/>
          <w:color w:val="000000" w:themeColor="text1"/>
          <w:sz w:val="24"/>
          <w:szCs w:val="24"/>
          <w:lang w:val="en-GB"/>
        </w:rPr>
        <w:t>lesions</w:t>
      </w:r>
      <w:r w:rsidR="00E61032" w:rsidRPr="00392036">
        <w:rPr>
          <w:rFonts w:ascii="Book Antiqua" w:hAnsi="Book Antiqua"/>
          <w:color w:val="000000" w:themeColor="text1"/>
          <w:sz w:val="24"/>
          <w:szCs w:val="24"/>
          <w:vertAlign w:val="superscript"/>
        </w:rPr>
        <w:t>[</w:t>
      </w:r>
      <w:proofErr w:type="gramEnd"/>
      <w:r w:rsidR="00E61032" w:rsidRPr="00392036">
        <w:rPr>
          <w:rFonts w:ascii="Book Antiqua" w:hAnsi="Book Antiqua"/>
          <w:color w:val="000000" w:themeColor="text1"/>
          <w:sz w:val="24"/>
          <w:szCs w:val="24"/>
          <w:vertAlign w:val="superscript"/>
        </w:rPr>
        <w:t>2</w:t>
      </w:r>
      <w:r w:rsidR="007B2CCC" w:rsidRPr="00392036">
        <w:rPr>
          <w:rFonts w:ascii="Book Antiqua" w:hAnsi="Book Antiqua"/>
          <w:color w:val="000000" w:themeColor="text1"/>
          <w:sz w:val="24"/>
          <w:szCs w:val="24"/>
          <w:vertAlign w:val="superscript"/>
        </w:rPr>
        <w:t>7</w:t>
      </w:r>
      <w:r w:rsidR="00131194" w:rsidRPr="00392036">
        <w:rPr>
          <w:rFonts w:ascii="Book Antiqua" w:hAnsi="Book Antiqua"/>
          <w:color w:val="000000" w:themeColor="text1"/>
          <w:sz w:val="24"/>
          <w:szCs w:val="24"/>
          <w:vertAlign w:val="superscript"/>
        </w:rPr>
        <w:t>-2</w:t>
      </w:r>
      <w:r w:rsidR="007B2CCC" w:rsidRPr="00392036">
        <w:rPr>
          <w:rFonts w:ascii="Book Antiqua" w:hAnsi="Book Antiqua"/>
          <w:color w:val="000000" w:themeColor="text1"/>
          <w:sz w:val="24"/>
          <w:szCs w:val="24"/>
          <w:vertAlign w:val="superscript"/>
        </w:rPr>
        <w:t>8</w:t>
      </w:r>
      <w:r w:rsidR="00383D24" w:rsidRPr="00392036">
        <w:rPr>
          <w:rFonts w:ascii="Book Antiqua" w:hAnsi="Book Antiqua"/>
          <w:color w:val="000000" w:themeColor="text1"/>
          <w:sz w:val="24"/>
          <w:szCs w:val="24"/>
          <w:vertAlign w:val="superscript"/>
        </w:rPr>
        <w:t>]</w:t>
      </w:r>
      <w:r w:rsidR="00077B32" w:rsidRPr="00392036">
        <w:rPr>
          <w:rFonts w:ascii="Book Antiqua" w:hAnsi="Book Antiqua"/>
          <w:color w:val="000000" w:themeColor="text1"/>
          <w:sz w:val="24"/>
          <w:szCs w:val="24"/>
          <w:lang w:val="en-GB"/>
        </w:rPr>
        <w:t xml:space="preserve">. </w:t>
      </w:r>
    </w:p>
    <w:p w:rsidR="00077B32" w:rsidRPr="00392036" w:rsidRDefault="00FE31E9" w:rsidP="00313A7D">
      <w:pPr>
        <w:pStyle w:val="NormalWeb"/>
        <w:spacing w:beforeLines="0" w:afterLines="0" w:after="0" w:line="360" w:lineRule="auto"/>
        <w:ind w:firstLineChars="150" w:firstLine="360"/>
        <w:jc w:val="both"/>
        <w:rPr>
          <w:rFonts w:ascii="Book Antiqua" w:hAnsi="Book Antiqua" w:cs="Arial"/>
          <w:color w:val="000000" w:themeColor="text1"/>
          <w:sz w:val="24"/>
          <w:szCs w:val="24"/>
          <w:lang w:val="en-GB"/>
        </w:rPr>
      </w:pPr>
      <w:r w:rsidRPr="00392036">
        <w:rPr>
          <w:rFonts w:ascii="Book Antiqua" w:hAnsi="Book Antiqua"/>
          <w:color w:val="000000" w:themeColor="text1"/>
          <w:sz w:val="24"/>
          <w:szCs w:val="24"/>
          <w:lang w:val="en-GB"/>
        </w:rPr>
        <w:lastRenderedPageBreak/>
        <w:t>Multiple medical therapies have been studied in PSC with limited success. LT remains the only option for patients with PSC who develop complications of end-stage liver disease or disease-specific complications such as recurrent episodes of bacterial cholangitis, intractable pruritus, and cholagiocelullar carcinoma (in carefully selected patients</w:t>
      </w:r>
      <w:proofErr w:type="gramStart"/>
      <w:r w:rsidRPr="00392036">
        <w:rPr>
          <w:rFonts w:ascii="Book Antiqua" w:hAnsi="Book Antiqua"/>
          <w:color w:val="000000" w:themeColor="text1"/>
          <w:sz w:val="24"/>
          <w:szCs w:val="24"/>
          <w:lang w:val="en-GB"/>
        </w:rPr>
        <w:t>)</w:t>
      </w:r>
      <w:r w:rsidR="00501287" w:rsidRPr="00392036">
        <w:rPr>
          <w:rFonts w:ascii="Book Antiqua" w:hAnsi="Book Antiqua"/>
          <w:color w:val="000000" w:themeColor="text1"/>
          <w:sz w:val="24"/>
          <w:szCs w:val="24"/>
          <w:vertAlign w:val="superscript"/>
        </w:rPr>
        <w:t>[</w:t>
      </w:r>
      <w:proofErr w:type="gramEnd"/>
      <w:r w:rsidR="00501287" w:rsidRPr="00392036">
        <w:rPr>
          <w:rFonts w:ascii="Book Antiqua" w:hAnsi="Book Antiqua"/>
          <w:color w:val="000000" w:themeColor="text1"/>
          <w:sz w:val="24"/>
          <w:szCs w:val="24"/>
          <w:vertAlign w:val="superscript"/>
        </w:rPr>
        <w:t>6]</w:t>
      </w:r>
      <w:r w:rsidR="00077B32" w:rsidRPr="00392036">
        <w:rPr>
          <w:rFonts w:ascii="Book Antiqua" w:hAnsi="Book Antiqua"/>
          <w:color w:val="000000" w:themeColor="text1"/>
          <w:sz w:val="24"/>
          <w:szCs w:val="24"/>
          <w:lang w:val="en-GB"/>
        </w:rPr>
        <w:t xml:space="preserve">. </w:t>
      </w:r>
      <w:r w:rsidR="007500FD" w:rsidRPr="00392036">
        <w:rPr>
          <w:rFonts w:ascii="Book Antiqua" w:hAnsi="Book Antiqua" w:cs="Arial"/>
          <w:color w:val="000000" w:themeColor="text1"/>
          <w:sz w:val="24"/>
          <w:szCs w:val="24"/>
          <w:lang w:val="en-GB"/>
        </w:rPr>
        <w:t xml:space="preserve">The evaluation of patients with PSC for LT is inherently difficult because of the unpredictability of the disease course and the high risk of biliary tract malignancy. Disease–specific complications can arise at any time during the disease course. Several prognostic models have been developed to assist clinicians to predict the natural history of PSC; one of the best known is the Mayo Risk Score. Current guidelines do not recommend any specific model to predict clinical outcomes in individual patients because no consensus exists concerning the optimal method to </w:t>
      </w:r>
      <w:proofErr w:type="gramStart"/>
      <w:r w:rsidR="007500FD" w:rsidRPr="00392036">
        <w:rPr>
          <w:rFonts w:ascii="Book Antiqua" w:hAnsi="Book Antiqua" w:cs="Arial"/>
          <w:color w:val="000000" w:themeColor="text1"/>
          <w:sz w:val="24"/>
          <w:szCs w:val="24"/>
          <w:lang w:val="en-GB"/>
        </w:rPr>
        <w:t>apply</w:t>
      </w:r>
      <w:r w:rsidR="00501287" w:rsidRPr="00392036">
        <w:rPr>
          <w:rFonts w:ascii="Book Antiqua" w:hAnsi="Book Antiqua"/>
          <w:color w:val="000000" w:themeColor="text1"/>
          <w:sz w:val="24"/>
          <w:szCs w:val="24"/>
          <w:vertAlign w:val="superscript"/>
        </w:rPr>
        <w:t>[</w:t>
      </w:r>
      <w:proofErr w:type="gramEnd"/>
      <w:r w:rsidR="00501287" w:rsidRPr="00392036">
        <w:rPr>
          <w:rFonts w:ascii="Book Antiqua" w:hAnsi="Book Antiqua"/>
          <w:color w:val="000000" w:themeColor="text1"/>
          <w:sz w:val="24"/>
          <w:szCs w:val="24"/>
          <w:vertAlign w:val="superscript"/>
        </w:rPr>
        <w:t>5]</w:t>
      </w:r>
      <w:r w:rsidR="00077B32" w:rsidRPr="00392036">
        <w:rPr>
          <w:rFonts w:ascii="Book Antiqua" w:hAnsi="Book Antiqua" w:cs="Verdana"/>
          <w:color w:val="000000" w:themeColor="text1"/>
          <w:sz w:val="24"/>
          <w:szCs w:val="24"/>
          <w:lang w:val="en-GB"/>
        </w:rPr>
        <w:t xml:space="preserve">. </w:t>
      </w:r>
      <w:r w:rsidR="007500FD" w:rsidRPr="00392036">
        <w:rPr>
          <w:rFonts w:ascii="Book Antiqua" w:hAnsi="Book Antiqua"/>
          <w:color w:val="000000" w:themeColor="text1"/>
          <w:sz w:val="24"/>
          <w:szCs w:val="24"/>
          <w:lang w:val="en-GB"/>
        </w:rPr>
        <w:t>Consequently, the general criteria for LT do not differ between PSC and other chronic liver diseases; the Model of End-stage Liver Disease (MELD) applies the liver allocation procedure identically to other indications.</w:t>
      </w:r>
    </w:p>
    <w:p w:rsidR="00077B32" w:rsidRPr="00392036" w:rsidRDefault="007500FD" w:rsidP="00313A7D">
      <w:pPr>
        <w:pStyle w:val="NormalWeb"/>
        <w:spacing w:beforeLines="0" w:afterLines="0" w:after="0" w:line="360" w:lineRule="auto"/>
        <w:ind w:firstLineChars="150" w:firstLine="360"/>
        <w:jc w:val="both"/>
        <w:rPr>
          <w:rFonts w:ascii="Book Antiqua" w:hAnsi="Book Antiqua" w:cs="Verdana"/>
          <w:color w:val="000000" w:themeColor="text1"/>
          <w:sz w:val="24"/>
          <w:szCs w:val="24"/>
          <w:lang w:val="en-GB"/>
        </w:rPr>
      </w:pPr>
      <w:r w:rsidRPr="00392036">
        <w:rPr>
          <w:rFonts w:ascii="Book Antiqua" w:hAnsi="Book Antiqua" w:cs="Verdana"/>
          <w:color w:val="000000" w:themeColor="text1"/>
          <w:sz w:val="24"/>
          <w:szCs w:val="24"/>
          <w:lang w:val="en-GB"/>
        </w:rPr>
        <w:t>Currently, no specific guidelines exist for the medical management of patients with PSC and active IBD before LT. Additional prospective controlled studies are needed to deliver specific recommendations regarding the PSC/IBD population. Until then, patients should be treated similarly to other patients with IBD according to general guidelines, knowing the risk of immunomodulatory therapy side effects, and these effects should be controlled before the patient assumes a position at the top of the transplant list.</w:t>
      </w:r>
      <w:r w:rsidR="00077B32" w:rsidRPr="00392036">
        <w:rPr>
          <w:rFonts w:ascii="Book Antiqua" w:hAnsi="Book Antiqua" w:cs="Verdana"/>
          <w:color w:val="000000" w:themeColor="text1"/>
          <w:sz w:val="24"/>
          <w:szCs w:val="24"/>
          <w:lang w:val="en-GB"/>
        </w:rPr>
        <w:t xml:space="preserve"> </w:t>
      </w:r>
      <w:r w:rsidRPr="00392036">
        <w:rPr>
          <w:rFonts w:ascii="Book Antiqua" w:hAnsi="Book Antiqua" w:cs="Verdana"/>
          <w:color w:val="000000" w:themeColor="text1"/>
          <w:sz w:val="24"/>
          <w:szCs w:val="24"/>
          <w:lang w:val="en-GB"/>
        </w:rPr>
        <w:t xml:space="preserve">The introduction of any immunomodulatory therapy in patients with PSC/IBD should be weighed against risk of liver or infectious disease deterioration (Table 1). Alternatively, attempts to minimise immunomodulatory therapy in stable patients at the top of the list to reduce the chance of an opportunistic infection should be individually and carefully weighed against the potential of disease </w:t>
      </w:r>
      <w:proofErr w:type="gramStart"/>
      <w:r w:rsidRPr="00392036">
        <w:rPr>
          <w:rFonts w:ascii="Book Antiqua" w:hAnsi="Book Antiqua" w:cs="Verdana"/>
          <w:color w:val="000000" w:themeColor="text1"/>
          <w:sz w:val="24"/>
          <w:szCs w:val="24"/>
          <w:lang w:val="en-GB"/>
        </w:rPr>
        <w:t>flare</w:t>
      </w:r>
      <w:r w:rsidR="00E61032" w:rsidRPr="00392036">
        <w:rPr>
          <w:rFonts w:ascii="Book Antiqua" w:hAnsi="Book Antiqua"/>
          <w:color w:val="000000" w:themeColor="text1"/>
          <w:sz w:val="24"/>
          <w:szCs w:val="24"/>
          <w:vertAlign w:val="superscript"/>
        </w:rPr>
        <w:t>[</w:t>
      </w:r>
      <w:proofErr w:type="gramEnd"/>
      <w:r w:rsidR="00E61032" w:rsidRPr="00392036">
        <w:rPr>
          <w:rFonts w:ascii="Book Antiqua" w:hAnsi="Book Antiqua"/>
          <w:color w:val="000000" w:themeColor="text1"/>
          <w:sz w:val="24"/>
          <w:szCs w:val="24"/>
          <w:vertAlign w:val="superscript"/>
        </w:rPr>
        <w:t>29,30</w:t>
      </w:r>
      <w:r w:rsidR="00501287" w:rsidRPr="00392036">
        <w:rPr>
          <w:rFonts w:ascii="Book Antiqua" w:hAnsi="Book Antiqua"/>
          <w:color w:val="000000" w:themeColor="text1"/>
          <w:sz w:val="24"/>
          <w:szCs w:val="24"/>
          <w:vertAlign w:val="superscript"/>
        </w:rPr>
        <w:t>]</w:t>
      </w:r>
      <w:r w:rsidR="00077B32" w:rsidRPr="00392036">
        <w:rPr>
          <w:rFonts w:ascii="Book Antiqua" w:hAnsi="Book Antiqua"/>
          <w:color w:val="000000" w:themeColor="text1"/>
          <w:sz w:val="24"/>
          <w:szCs w:val="24"/>
        </w:rPr>
        <w:t>.</w:t>
      </w:r>
    </w:p>
    <w:p w:rsidR="00077B32" w:rsidRPr="00392036" w:rsidRDefault="007500FD" w:rsidP="00313A7D">
      <w:pPr>
        <w:pStyle w:val="NormalWeb"/>
        <w:spacing w:beforeLines="0" w:afterLines="0" w:after="0" w:line="360" w:lineRule="auto"/>
        <w:ind w:firstLineChars="150" w:firstLine="360"/>
        <w:jc w:val="both"/>
        <w:rPr>
          <w:rFonts w:ascii="Book Antiqua" w:hAnsi="Book Antiqua" w:cs="Verdana"/>
          <w:color w:val="000000" w:themeColor="text1"/>
          <w:sz w:val="24"/>
          <w:szCs w:val="24"/>
          <w:lang w:val="en-GB"/>
        </w:rPr>
      </w:pPr>
      <w:r w:rsidRPr="00392036">
        <w:rPr>
          <w:rFonts w:ascii="Book Antiqua" w:hAnsi="Book Antiqua" w:cs="Verdana"/>
          <w:color w:val="000000" w:themeColor="text1"/>
          <w:sz w:val="24"/>
          <w:szCs w:val="24"/>
          <w:lang w:val="en-GB"/>
        </w:rPr>
        <w:t xml:space="preserve">If colonic neoplasia is present, then total colectomy should be reconsidered before LT. Each case must be carefully assessed for the potential risks and benefits and considered individually because no data from controlled studies exist regarding this problem, and general recommendations on an optimal approach are lacking. Colonic resection in face of end-stage-liver-disease might be associated with increased </w:t>
      </w:r>
      <w:r w:rsidRPr="00392036">
        <w:rPr>
          <w:rFonts w:ascii="Book Antiqua" w:hAnsi="Book Antiqua" w:cs="Verdana"/>
          <w:color w:val="000000" w:themeColor="text1"/>
          <w:sz w:val="24"/>
          <w:szCs w:val="24"/>
          <w:lang w:val="en-GB"/>
        </w:rPr>
        <w:lastRenderedPageBreak/>
        <w:t>morbidity and mortality. Alternatively, the approach of delaying a resection until a suitable time after LT increases the chance that the malignancy is already present and risks further aggravation with immunosuppression or uncontrolled active disease refractory to medical therapy.</w:t>
      </w:r>
    </w:p>
    <w:p w:rsidR="00077B32" w:rsidRPr="00392036" w:rsidRDefault="00077B32" w:rsidP="00313A7D">
      <w:pPr>
        <w:spacing w:after="0" w:line="360" w:lineRule="auto"/>
        <w:jc w:val="both"/>
        <w:rPr>
          <w:rFonts w:ascii="Book Antiqua" w:hAnsi="Book Antiqua"/>
          <w:b/>
          <w:caps/>
          <w:color w:val="000000" w:themeColor="text1"/>
          <w:sz w:val="24"/>
          <w:szCs w:val="24"/>
        </w:rPr>
      </w:pPr>
    </w:p>
    <w:p w:rsidR="00077B32" w:rsidRPr="00392036" w:rsidRDefault="00C7582E" w:rsidP="00313A7D">
      <w:pPr>
        <w:spacing w:after="0" w:line="360" w:lineRule="auto"/>
        <w:jc w:val="both"/>
        <w:rPr>
          <w:rFonts w:ascii="Book Antiqua" w:hAnsi="Book Antiqua"/>
          <w:b/>
          <w:caps/>
          <w:color w:val="000000" w:themeColor="text1"/>
          <w:sz w:val="24"/>
          <w:szCs w:val="24"/>
        </w:rPr>
      </w:pPr>
      <w:r w:rsidRPr="00392036">
        <w:rPr>
          <w:rFonts w:ascii="Book Antiqua" w:hAnsi="Book Antiqua"/>
          <w:b/>
          <w:caps/>
          <w:color w:val="000000" w:themeColor="text1"/>
          <w:sz w:val="24"/>
          <w:szCs w:val="24"/>
        </w:rPr>
        <w:t xml:space="preserve">THE </w:t>
      </w:r>
      <w:r w:rsidR="00077B32" w:rsidRPr="00392036">
        <w:rPr>
          <w:rFonts w:ascii="Book Antiqua" w:hAnsi="Book Antiqua"/>
          <w:b/>
          <w:caps/>
          <w:color w:val="000000" w:themeColor="text1"/>
          <w:sz w:val="24"/>
          <w:szCs w:val="24"/>
        </w:rPr>
        <w:t xml:space="preserve">Risk factors associated with exacerbation or </w:t>
      </w:r>
      <w:r w:rsidR="00C806F3" w:rsidRPr="00392036">
        <w:rPr>
          <w:rFonts w:ascii="Book Antiqua" w:hAnsi="Book Antiqua"/>
          <w:b/>
          <w:i/>
          <w:caps/>
          <w:color w:val="000000" w:themeColor="text1"/>
          <w:sz w:val="24"/>
          <w:szCs w:val="24"/>
        </w:rPr>
        <w:t>de novo</w:t>
      </w:r>
      <w:r w:rsidR="00077B32" w:rsidRPr="00392036">
        <w:rPr>
          <w:rFonts w:ascii="Book Antiqua" w:hAnsi="Book Antiqua"/>
          <w:b/>
          <w:caps/>
          <w:color w:val="000000" w:themeColor="text1"/>
          <w:sz w:val="24"/>
          <w:szCs w:val="24"/>
        </w:rPr>
        <w:t xml:space="preserve"> IBD after liver transplantation</w:t>
      </w:r>
    </w:p>
    <w:p w:rsidR="00077B32" w:rsidRPr="00392036" w:rsidRDefault="00077B32" w:rsidP="00313A7D">
      <w:pPr>
        <w:pStyle w:val="NormalWeb"/>
        <w:spacing w:beforeLines="0" w:afterLines="0" w:after="0" w:line="360" w:lineRule="auto"/>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lang w:val="en-GB"/>
        </w:rPr>
        <w:t xml:space="preserve">The course of IBD after LT is highly variable. </w:t>
      </w:r>
      <w:r w:rsidR="00C7582E" w:rsidRPr="00392036">
        <w:rPr>
          <w:rFonts w:ascii="Book Antiqua" w:hAnsi="Book Antiqua"/>
          <w:color w:val="000000" w:themeColor="text1"/>
          <w:sz w:val="24"/>
          <w:szCs w:val="24"/>
          <w:lang w:val="en-GB"/>
        </w:rPr>
        <w:t xml:space="preserve">The development of </w:t>
      </w:r>
      <w:r w:rsidR="00C806F3" w:rsidRPr="00392036">
        <w:rPr>
          <w:rFonts w:ascii="Book Antiqua" w:hAnsi="Book Antiqua"/>
          <w:color w:val="000000" w:themeColor="text1"/>
          <w:sz w:val="24"/>
          <w:szCs w:val="24"/>
          <w:lang w:val="en-GB"/>
        </w:rPr>
        <w:t>de novo</w:t>
      </w:r>
      <w:r w:rsidR="00C7582E" w:rsidRPr="00392036">
        <w:rPr>
          <w:rFonts w:ascii="Book Antiqua" w:hAnsi="Book Antiqua"/>
          <w:color w:val="000000" w:themeColor="text1"/>
          <w:sz w:val="24"/>
          <w:szCs w:val="24"/>
          <w:lang w:val="en-GB"/>
        </w:rPr>
        <w:t xml:space="preserve"> or the worsening of pre-existing IBD after an LT might have different pathogenic pathways than traditional IBD.</w:t>
      </w:r>
      <w:r w:rsidRPr="00392036">
        <w:rPr>
          <w:rFonts w:ascii="Book Antiqua" w:hAnsi="Book Antiqua"/>
          <w:color w:val="000000" w:themeColor="text1"/>
          <w:sz w:val="24"/>
          <w:szCs w:val="24"/>
          <w:lang w:val="en-GB"/>
        </w:rPr>
        <w:t xml:space="preserve"> </w:t>
      </w:r>
      <w:r w:rsidR="00C7582E" w:rsidRPr="00392036">
        <w:rPr>
          <w:rFonts w:ascii="Book Antiqua" w:hAnsi="Book Antiqua"/>
          <w:color w:val="000000" w:themeColor="text1"/>
          <w:sz w:val="24"/>
          <w:szCs w:val="24"/>
          <w:lang w:val="en-GB"/>
        </w:rPr>
        <w:t>This course might be affected by the possible cessation of the pre-transplant protective effect of PSC activity and different immunosuppressive regimens after LT. The interpretation of the results from previously published studies is complicated because of the small number of included patients, the differences in inclusion and exclusion criteria, diagnostic and treatment procedures, statistical analyses and duration of follow up. Some questionnaire-based studies have reported significant improvements in IBD activity (59</w:t>
      </w:r>
      <w:r w:rsidR="00B74FFE" w:rsidRPr="00392036">
        <w:rPr>
          <w:rFonts w:ascii="Book Antiqua" w:hAnsi="Book Antiqua"/>
          <w:color w:val="000000" w:themeColor="text1"/>
          <w:sz w:val="24"/>
          <w:szCs w:val="24"/>
          <w:lang w:val="en-GB" w:eastAsia="zh-CN"/>
        </w:rPr>
        <w:t>%</w:t>
      </w:r>
      <w:r w:rsidR="00C7582E" w:rsidRPr="00392036">
        <w:rPr>
          <w:rFonts w:ascii="Book Antiqua" w:hAnsi="Book Antiqua"/>
          <w:color w:val="000000" w:themeColor="text1"/>
          <w:sz w:val="24"/>
          <w:szCs w:val="24"/>
          <w:lang w:val="en-GB"/>
        </w:rPr>
        <w:t xml:space="preserve">-82% of patients reported improved symptoms), whereas other studies have shown a deterioration of IBD course (in up to 50% of patients), with 30% of patients experiencing repetitive </w:t>
      </w:r>
      <w:proofErr w:type="gramStart"/>
      <w:r w:rsidR="00C7582E" w:rsidRPr="00392036">
        <w:rPr>
          <w:rFonts w:ascii="Book Antiqua" w:hAnsi="Book Antiqua"/>
          <w:color w:val="000000" w:themeColor="text1"/>
          <w:sz w:val="24"/>
          <w:szCs w:val="24"/>
          <w:lang w:val="en-GB"/>
        </w:rPr>
        <w:t>flares</w:t>
      </w:r>
      <w:r w:rsidR="00F35618" w:rsidRPr="00392036">
        <w:rPr>
          <w:rFonts w:ascii="Book Antiqua" w:hAnsi="Book Antiqua"/>
          <w:color w:val="000000" w:themeColor="text1"/>
          <w:sz w:val="24"/>
          <w:szCs w:val="24"/>
          <w:vertAlign w:val="superscript"/>
        </w:rPr>
        <w:t>[</w:t>
      </w:r>
      <w:proofErr w:type="gramEnd"/>
      <w:r w:rsidR="00F35618" w:rsidRPr="00392036">
        <w:rPr>
          <w:rFonts w:ascii="Book Antiqua" w:hAnsi="Book Antiqua"/>
          <w:color w:val="000000" w:themeColor="text1"/>
          <w:sz w:val="24"/>
          <w:szCs w:val="24"/>
          <w:vertAlign w:val="superscript"/>
        </w:rPr>
        <w:t>31-34]</w:t>
      </w:r>
      <w:r w:rsidRPr="00392036">
        <w:rPr>
          <w:rFonts w:ascii="Book Antiqua" w:hAnsi="Book Antiqua"/>
          <w:color w:val="000000" w:themeColor="text1"/>
          <w:sz w:val="24"/>
          <w:szCs w:val="24"/>
          <w:lang w:val="en-GB"/>
        </w:rPr>
        <w:t xml:space="preserve">. Dvorchik </w:t>
      </w:r>
      <w:r w:rsidR="00305222" w:rsidRPr="00392036">
        <w:rPr>
          <w:rFonts w:ascii="Book Antiqua" w:hAnsi="Book Antiqua"/>
          <w:color w:val="000000" w:themeColor="text1"/>
          <w:sz w:val="24"/>
          <w:szCs w:val="24"/>
          <w:lang w:val="en-GB"/>
        </w:rPr>
        <w:t>et</w:t>
      </w:r>
      <w:r w:rsidRPr="00392036">
        <w:rPr>
          <w:rFonts w:ascii="Book Antiqua" w:hAnsi="Book Antiqua"/>
          <w:color w:val="000000" w:themeColor="text1"/>
          <w:sz w:val="24"/>
          <w:szCs w:val="24"/>
          <w:lang w:val="en-GB"/>
        </w:rPr>
        <w:t xml:space="preserve"> al. </w:t>
      </w:r>
      <w:r w:rsidR="001020EE" w:rsidRPr="00392036">
        <w:rPr>
          <w:rFonts w:ascii="Book Antiqua" w:hAnsi="Book Antiqua"/>
          <w:color w:val="000000" w:themeColor="text1"/>
          <w:sz w:val="24"/>
          <w:szCs w:val="24"/>
          <w:lang w:val="en-GB"/>
        </w:rPr>
        <w:t>suggested</w:t>
      </w:r>
      <w:r w:rsidRPr="00392036">
        <w:rPr>
          <w:rFonts w:ascii="Book Antiqua" w:hAnsi="Book Antiqua"/>
          <w:color w:val="000000" w:themeColor="text1"/>
          <w:sz w:val="24"/>
          <w:szCs w:val="24"/>
          <w:lang w:val="en-GB"/>
        </w:rPr>
        <w:t xml:space="preserve"> that </w:t>
      </w:r>
      <w:r w:rsidRPr="00392036">
        <w:rPr>
          <w:rFonts w:ascii="Book Antiqua" w:hAnsi="Book Antiqua" w:cs="Arial"/>
          <w:color w:val="000000" w:themeColor="text1"/>
          <w:sz w:val="24"/>
          <w:szCs w:val="24"/>
          <w:lang w:val="en-GB"/>
        </w:rPr>
        <w:t xml:space="preserve">LT and </w:t>
      </w:r>
      <w:r w:rsidR="001020EE" w:rsidRPr="00392036">
        <w:rPr>
          <w:rFonts w:ascii="Book Antiqua" w:hAnsi="Book Antiqua" w:cs="Arial"/>
          <w:color w:val="000000" w:themeColor="text1"/>
          <w:sz w:val="24"/>
          <w:szCs w:val="24"/>
          <w:lang w:val="en-GB"/>
        </w:rPr>
        <w:t xml:space="preserve">the </w:t>
      </w:r>
      <w:r w:rsidRPr="00392036">
        <w:rPr>
          <w:rFonts w:ascii="Book Antiqua" w:hAnsi="Book Antiqua" w:cs="Arial"/>
          <w:color w:val="000000" w:themeColor="text1"/>
          <w:sz w:val="24"/>
          <w:szCs w:val="24"/>
          <w:lang w:val="en-GB"/>
        </w:rPr>
        <w:t xml:space="preserve">concomitant use of immunosuppression </w:t>
      </w:r>
      <w:r w:rsidR="00C2390A" w:rsidRPr="00392036">
        <w:rPr>
          <w:rFonts w:ascii="Book Antiqua" w:hAnsi="Book Antiqua" w:cs="Arial"/>
          <w:color w:val="000000" w:themeColor="text1"/>
          <w:sz w:val="24"/>
          <w:szCs w:val="24"/>
          <w:lang w:val="en-GB"/>
        </w:rPr>
        <w:t>triple</w:t>
      </w:r>
      <w:r w:rsidRPr="00392036">
        <w:rPr>
          <w:rFonts w:ascii="Book Antiqua" w:hAnsi="Book Antiqua" w:cs="Arial"/>
          <w:color w:val="000000" w:themeColor="text1"/>
          <w:sz w:val="24"/>
          <w:szCs w:val="24"/>
          <w:lang w:val="en-GB"/>
        </w:rPr>
        <w:t xml:space="preserve"> the </w:t>
      </w:r>
      <w:r w:rsidR="00C2390A" w:rsidRPr="00392036">
        <w:rPr>
          <w:rFonts w:ascii="Book Antiqua" w:hAnsi="Book Antiqua" w:cs="Arial"/>
          <w:color w:val="000000" w:themeColor="text1"/>
          <w:sz w:val="24"/>
          <w:szCs w:val="24"/>
          <w:lang w:val="en-GB"/>
        </w:rPr>
        <w:t xml:space="preserve">rate of IBD </w:t>
      </w:r>
      <w:r w:rsidRPr="00392036">
        <w:rPr>
          <w:rFonts w:ascii="Book Antiqua" w:hAnsi="Book Antiqua" w:cs="Arial"/>
          <w:color w:val="000000" w:themeColor="text1"/>
          <w:sz w:val="24"/>
          <w:szCs w:val="24"/>
          <w:lang w:val="en-GB"/>
        </w:rPr>
        <w:t>prog</w:t>
      </w:r>
      <w:r w:rsidR="00C2390A" w:rsidRPr="00392036">
        <w:rPr>
          <w:rFonts w:ascii="Book Antiqua" w:hAnsi="Book Antiqua" w:cs="Arial"/>
          <w:color w:val="000000" w:themeColor="text1"/>
          <w:sz w:val="24"/>
          <w:szCs w:val="24"/>
          <w:lang w:val="en-GB"/>
        </w:rPr>
        <w:t xml:space="preserve">ression </w:t>
      </w:r>
      <w:r w:rsidRPr="00392036">
        <w:rPr>
          <w:rFonts w:ascii="Book Antiqua" w:hAnsi="Book Antiqua" w:cs="Arial"/>
          <w:color w:val="000000" w:themeColor="text1"/>
          <w:sz w:val="24"/>
          <w:szCs w:val="24"/>
          <w:lang w:val="en-GB"/>
        </w:rPr>
        <w:t xml:space="preserve">and </w:t>
      </w:r>
      <w:r w:rsidR="00256F20" w:rsidRPr="00392036">
        <w:rPr>
          <w:rFonts w:ascii="Book Antiqua" w:hAnsi="Book Antiqua" w:cs="Arial"/>
          <w:color w:val="000000" w:themeColor="text1"/>
          <w:sz w:val="24"/>
          <w:szCs w:val="24"/>
          <w:lang w:val="en-GB"/>
        </w:rPr>
        <w:t xml:space="preserve">the </w:t>
      </w:r>
      <w:r w:rsidRPr="00392036">
        <w:rPr>
          <w:rFonts w:ascii="Book Antiqua" w:hAnsi="Book Antiqua" w:cs="Arial"/>
          <w:color w:val="000000" w:themeColor="text1"/>
          <w:sz w:val="24"/>
          <w:szCs w:val="24"/>
          <w:lang w:val="en-GB"/>
        </w:rPr>
        <w:t xml:space="preserve">need for </w:t>
      </w:r>
      <w:proofErr w:type="gramStart"/>
      <w:r w:rsidRPr="00392036">
        <w:rPr>
          <w:rFonts w:ascii="Book Antiqua" w:hAnsi="Book Antiqua" w:cs="Arial"/>
          <w:color w:val="000000" w:themeColor="text1"/>
          <w:sz w:val="24"/>
          <w:szCs w:val="24"/>
          <w:lang w:val="en-GB"/>
        </w:rPr>
        <w:t>colectomy</w:t>
      </w:r>
      <w:r w:rsidR="00F35618" w:rsidRPr="00392036">
        <w:rPr>
          <w:rFonts w:ascii="Book Antiqua" w:hAnsi="Book Antiqua"/>
          <w:color w:val="000000" w:themeColor="text1"/>
          <w:sz w:val="24"/>
          <w:szCs w:val="24"/>
          <w:vertAlign w:val="superscript"/>
        </w:rPr>
        <w:t>[</w:t>
      </w:r>
      <w:proofErr w:type="gramEnd"/>
      <w:r w:rsidR="00F35618" w:rsidRPr="00392036">
        <w:rPr>
          <w:rFonts w:ascii="Book Antiqua" w:hAnsi="Book Antiqua"/>
          <w:color w:val="000000" w:themeColor="text1"/>
          <w:sz w:val="24"/>
          <w:szCs w:val="24"/>
          <w:vertAlign w:val="superscript"/>
        </w:rPr>
        <w:t>35]</w:t>
      </w:r>
      <w:r w:rsidRPr="00392036">
        <w:rPr>
          <w:rFonts w:ascii="Book Antiqua" w:hAnsi="Book Antiqua" w:cs="Arial"/>
          <w:color w:val="000000" w:themeColor="text1"/>
          <w:sz w:val="24"/>
          <w:szCs w:val="24"/>
          <w:lang w:val="en-GB"/>
        </w:rPr>
        <w:t xml:space="preserve">. </w:t>
      </w:r>
      <w:r w:rsidR="00256F20" w:rsidRPr="00392036">
        <w:rPr>
          <w:rFonts w:ascii="Book Antiqua" w:hAnsi="Book Antiqua"/>
          <w:color w:val="000000" w:themeColor="text1"/>
          <w:sz w:val="24"/>
          <w:szCs w:val="24"/>
          <w:lang w:val="en-GB"/>
        </w:rPr>
        <w:t xml:space="preserve">The Nordic Transplant registry of 439 PSC liver recipients revealed increases in post-transplant overall IBD activity, colonic inflammation and the number of relapses. Although not significant, a trend of a higher risk for colectomy due to increased disease activity was </w:t>
      </w:r>
      <w:proofErr w:type="gramStart"/>
      <w:r w:rsidR="00256F20" w:rsidRPr="00392036">
        <w:rPr>
          <w:rFonts w:ascii="Book Antiqua" w:hAnsi="Book Antiqua"/>
          <w:color w:val="000000" w:themeColor="text1"/>
          <w:sz w:val="24"/>
          <w:szCs w:val="24"/>
          <w:lang w:val="en-GB"/>
        </w:rPr>
        <w:t>observed</w:t>
      </w:r>
      <w:r w:rsidR="00F35618" w:rsidRPr="00392036">
        <w:rPr>
          <w:rFonts w:ascii="Book Antiqua" w:hAnsi="Book Antiqua"/>
          <w:color w:val="000000" w:themeColor="text1"/>
          <w:sz w:val="24"/>
          <w:szCs w:val="24"/>
          <w:vertAlign w:val="superscript"/>
        </w:rPr>
        <w:t>[</w:t>
      </w:r>
      <w:proofErr w:type="gramEnd"/>
      <w:r w:rsidR="00F35618" w:rsidRPr="00392036">
        <w:rPr>
          <w:rFonts w:ascii="Book Antiqua" w:hAnsi="Book Antiqua"/>
          <w:color w:val="000000" w:themeColor="text1"/>
          <w:sz w:val="24"/>
          <w:szCs w:val="24"/>
          <w:vertAlign w:val="superscript"/>
        </w:rPr>
        <w:t>36]</w:t>
      </w:r>
      <w:r w:rsidRPr="00392036">
        <w:rPr>
          <w:rFonts w:ascii="Book Antiqua" w:hAnsi="Book Antiqua"/>
          <w:color w:val="000000" w:themeColor="text1"/>
          <w:sz w:val="24"/>
          <w:szCs w:val="24"/>
          <w:lang w:val="en-GB"/>
        </w:rPr>
        <w:t xml:space="preserve">. In 2013, Singh et al. </w:t>
      </w:r>
      <w:r w:rsidR="00256F20" w:rsidRPr="00392036">
        <w:rPr>
          <w:rFonts w:ascii="Book Antiqua" w:hAnsi="Book Antiqua"/>
          <w:color w:val="000000" w:themeColor="text1"/>
          <w:sz w:val="24"/>
          <w:szCs w:val="24"/>
          <w:lang w:val="en-GB"/>
        </w:rPr>
        <w:t xml:space="preserve">analysed the evolution of IBD after LT for patients with PSC. This analysis included 14 studies of </w:t>
      </w:r>
      <w:r w:rsidR="00256F20" w:rsidRPr="00392036">
        <w:rPr>
          <w:rFonts w:ascii="Book Antiqua" w:hAnsi="Book Antiqua" w:cstheme="minorBidi"/>
          <w:color w:val="000000" w:themeColor="text1"/>
          <w:sz w:val="24"/>
          <w:szCs w:val="24"/>
          <w:lang w:val="en-GB" w:eastAsia="hr-HR"/>
        </w:rPr>
        <w:t>609 patients receiving LT with inactive IBD at the time of LT and a follow-up period of approximately 4.8 years (range, 1.8-7.2 years)</w:t>
      </w:r>
      <w:r w:rsidR="00305222" w:rsidRPr="00392036">
        <w:rPr>
          <w:rFonts w:ascii="Book Antiqua" w:hAnsi="Book Antiqua"/>
          <w:color w:val="000000" w:themeColor="text1"/>
          <w:sz w:val="24"/>
          <w:szCs w:val="24"/>
          <w:vertAlign w:val="superscript"/>
        </w:rPr>
        <w:t>[37]</w:t>
      </w:r>
      <w:r w:rsidRPr="00392036">
        <w:rPr>
          <w:rFonts w:ascii="Book Antiqua" w:hAnsi="Book Antiqua"/>
          <w:color w:val="000000" w:themeColor="text1"/>
          <w:sz w:val="24"/>
          <w:szCs w:val="24"/>
          <w:lang w:val="en-GB"/>
        </w:rPr>
        <w:t xml:space="preserve">. </w:t>
      </w:r>
      <w:r w:rsidR="00256F20" w:rsidRPr="00392036">
        <w:rPr>
          <w:rFonts w:ascii="Book Antiqua" w:hAnsi="Book Antiqua" w:cstheme="minorBidi"/>
          <w:color w:val="000000" w:themeColor="text1"/>
          <w:sz w:val="24"/>
          <w:szCs w:val="24"/>
          <w:lang w:val="en-GB" w:eastAsia="hr-HR"/>
        </w:rPr>
        <w:t>Three different patterns of the disease courses were almost equally distributed across the patients: 31% improved, 39% were stable and 30% worsened. After 5 and 10 years, the cumulative risks of disease exacerbation were 39</w:t>
      </w:r>
      <w:r w:rsidR="00B74FFE" w:rsidRPr="00392036">
        <w:rPr>
          <w:rFonts w:ascii="Book Antiqua" w:hAnsi="Book Antiqua" w:cstheme="minorBidi"/>
          <w:color w:val="000000" w:themeColor="text1"/>
          <w:sz w:val="24"/>
          <w:szCs w:val="24"/>
          <w:lang w:val="en-GB" w:eastAsia="zh-CN"/>
        </w:rPr>
        <w:t>%</w:t>
      </w:r>
      <w:r w:rsidR="00256F20" w:rsidRPr="00392036">
        <w:rPr>
          <w:rFonts w:ascii="Book Antiqua" w:hAnsi="Book Antiqua" w:cstheme="minorBidi"/>
          <w:color w:val="000000" w:themeColor="text1"/>
          <w:sz w:val="24"/>
          <w:szCs w:val="24"/>
          <w:lang w:val="en-GB" w:eastAsia="hr-HR"/>
        </w:rPr>
        <w:t>-63% and 39</w:t>
      </w:r>
      <w:r w:rsidR="00B74FFE" w:rsidRPr="00392036">
        <w:rPr>
          <w:rFonts w:ascii="Book Antiqua" w:hAnsi="Book Antiqua" w:cstheme="minorBidi"/>
          <w:color w:val="000000" w:themeColor="text1"/>
          <w:sz w:val="24"/>
          <w:szCs w:val="24"/>
          <w:lang w:val="en-GB" w:eastAsia="zh-CN"/>
        </w:rPr>
        <w:t>%</w:t>
      </w:r>
      <w:r w:rsidR="00256F20" w:rsidRPr="00392036">
        <w:rPr>
          <w:rFonts w:ascii="Book Antiqua" w:hAnsi="Book Antiqua" w:cstheme="minorBidi"/>
          <w:color w:val="000000" w:themeColor="text1"/>
          <w:sz w:val="24"/>
          <w:szCs w:val="24"/>
          <w:lang w:val="en-GB" w:eastAsia="hr-HR"/>
        </w:rPr>
        <w:t xml:space="preserve">-98%, </w:t>
      </w:r>
      <w:proofErr w:type="gramStart"/>
      <w:r w:rsidR="00256F20" w:rsidRPr="00392036">
        <w:rPr>
          <w:rFonts w:ascii="Book Antiqua" w:hAnsi="Book Antiqua" w:cstheme="minorBidi"/>
          <w:color w:val="000000" w:themeColor="text1"/>
          <w:sz w:val="24"/>
          <w:szCs w:val="24"/>
          <w:lang w:val="en-GB" w:eastAsia="hr-HR"/>
        </w:rPr>
        <w:t>respectively</w:t>
      </w:r>
      <w:r w:rsidR="00305222" w:rsidRPr="00392036">
        <w:rPr>
          <w:rFonts w:ascii="Book Antiqua" w:hAnsi="Book Antiqua"/>
          <w:color w:val="000000" w:themeColor="text1"/>
          <w:sz w:val="24"/>
          <w:szCs w:val="24"/>
          <w:vertAlign w:val="superscript"/>
        </w:rPr>
        <w:t>[</w:t>
      </w:r>
      <w:proofErr w:type="gramEnd"/>
      <w:r w:rsidR="00305222" w:rsidRPr="00392036">
        <w:rPr>
          <w:rFonts w:ascii="Book Antiqua" w:hAnsi="Book Antiqua"/>
          <w:color w:val="000000" w:themeColor="text1"/>
          <w:sz w:val="24"/>
          <w:szCs w:val="24"/>
          <w:vertAlign w:val="superscript"/>
        </w:rPr>
        <w:t>37,38]</w:t>
      </w:r>
      <w:r w:rsidRPr="00392036">
        <w:rPr>
          <w:rFonts w:ascii="Book Antiqua" w:hAnsi="Book Antiqua" w:cstheme="minorBidi"/>
          <w:color w:val="000000" w:themeColor="text1"/>
          <w:sz w:val="24"/>
          <w:szCs w:val="24"/>
          <w:lang w:val="en-GB" w:eastAsia="hr-HR"/>
        </w:rPr>
        <w:t>.</w:t>
      </w:r>
    </w:p>
    <w:p w:rsidR="00077B32" w:rsidRPr="00392036" w:rsidRDefault="00256F20" w:rsidP="00313A7D">
      <w:pPr>
        <w:pStyle w:val="NormalWeb"/>
        <w:spacing w:beforeLines="0" w:afterLines="0" w:after="0" w:line="360" w:lineRule="auto"/>
        <w:ind w:firstLineChars="150" w:firstLine="360"/>
        <w:jc w:val="both"/>
        <w:rPr>
          <w:rFonts w:ascii="Book Antiqua" w:hAnsi="Book Antiqua" w:cs="MinionPro-Regular"/>
          <w:color w:val="000000" w:themeColor="text1"/>
          <w:sz w:val="24"/>
          <w:szCs w:val="24"/>
          <w:lang w:val="en-GB"/>
        </w:rPr>
      </w:pPr>
      <w:r w:rsidRPr="00392036">
        <w:rPr>
          <w:rFonts w:ascii="Book Antiqua" w:hAnsi="Book Antiqua"/>
          <w:color w:val="000000" w:themeColor="text1"/>
          <w:sz w:val="24"/>
          <w:szCs w:val="24"/>
          <w:lang w:val="en-GB"/>
        </w:rPr>
        <w:lastRenderedPageBreak/>
        <w:t xml:space="preserve">At the moment, it is not possible to correlate age, gender, duration or severity of PSC disease, the extent and type of IBD (UC or CD), or pre-transplant IBD treatment (immunomodulator or corticosteroids) with the upcoming post-transplant clinical IBD </w:t>
      </w:r>
      <w:proofErr w:type="gramStart"/>
      <w:r w:rsidRPr="00392036">
        <w:rPr>
          <w:rFonts w:ascii="Book Antiqua" w:hAnsi="Book Antiqua"/>
          <w:color w:val="000000" w:themeColor="text1"/>
          <w:sz w:val="24"/>
          <w:szCs w:val="24"/>
          <w:lang w:val="en-GB"/>
        </w:rPr>
        <w:t>course</w:t>
      </w:r>
      <w:r w:rsidR="00A51977" w:rsidRPr="00392036">
        <w:rPr>
          <w:rFonts w:ascii="Book Antiqua" w:hAnsi="Book Antiqua"/>
          <w:color w:val="000000" w:themeColor="text1"/>
          <w:sz w:val="24"/>
          <w:szCs w:val="24"/>
          <w:vertAlign w:val="superscript"/>
        </w:rPr>
        <w:t>[</w:t>
      </w:r>
      <w:proofErr w:type="gramEnd"/>
      <w:r w:rsidR="00A51977" w:rsidRPr="00392036">
        <w:rPr>
          <w:rFonts w:ascii="Book Antiqua" w:hAnsi="Book Antiqua"/>
          <w:color w:val="000000" w:themeColor="text1"/>
          <w:sz w:val="24"/>
          <w:szCs w:val="24"/>
          <w:vertAlign w:val="superscript"/>
        </w:rPr>
        <w:t>34,35,37,38,39,40]</w:t>
      </w:r>
      <w:r w:rsidR="00A51977" w:rsidRPr="00392036">
        <w:rPr>
          <w:rFonts w:ascii="Book Antiqua" w:hAnsi="Book Antiqua" w:cstheme="minorBidi"/>
          <w:color w:val="000000" w:themeColor="text1"/>
          <w:sz w:val="24"/>
          <w:szCs w:val="24"/>
          <w:lang w:val="en-GB" w:eastAsia="hr-HR"/>
        </w:rPr>
        <w:t xml:space="preserve">. </w:t>
      </w:r>
      <w:r w:rsidR="00077B32" w:rsidRPr="00392036">
        <w:rPr>
          <w:rFonts w:ascii="Book Antiqua" w:hAnsi="Book Antiqua" w:cs="MinionPro-Regular"/>
          <w:color w:val="000000" w:themeColor="text1"/>
          <w:sz w:val="24"/>
          <w:szCs w:val="24"/>
          <w:lang w:val="en-GB"/>
        </w:rPr>
        <w:t xml:space="preserve">Verdonk </w:t>
      </w:r>
      <w:r w:rsidR="00077B32" w:rsidRPr="00392036">
        <w:rPr>
          <w:rFonts w:ascii="Book Antiqua" w:hAnsi="Book Antiqua" w:cs="MinionPro-Regular"/>
          <w:i/>
          <w:color w:val="000000" w:themeColor="text1"/>
          <w:sz w:val="24"/>
          <w:szCs w:val="24"/>
          <w:lang w:val="en-GB"/>
        </w:rPr>
        <w:t xml:space="preserve">et </w:t>
      </w:r>
      <w:proofErr w:type="gramStart"/>
      <w:r w:rsidR="00077B32" w:rsidRPr="00392036">
        <w:rPr>
          <w:rFonts w:ascii="Book Antiqua" w:hAnsi="Book Antiqua" w:cs="MinionPro-Regular"/>
          <w:i/>
          <w:color w:val="000000" w:themeColor="text1"/>
          <w:sz w:val="24"/>
          <w:szCs w:val="24"/>
          <w:lang w:val="en-GB"/>
        </w:rPr>
        <w:t>al</w:t>
      </w:r>
      <w:r w:rsidR="00B74FFE" w:rsidRPr="00392036">
        <w:rPr>
          <w:rFonts w:ascii="Book Antiqua" w:hAnsi="Book Antiqua"/>
          <w:color w:val="000000" w:themeColor="text1"/>
          <w:sz w:val="24"/>
          <w:szCs w:val="24"/>
          <w:vertAlign w:val="superscript"/>
        </w:rPr>
        <w:t>[</w:t>
      </w:r>
      <w:proofErr w:type="gramEnd"/>
      <w:r w:rsidR="00B74FFE" w:rsidRPr="00392036">
        <w:rPr>
          <w:rFonts w:ascii="Book Antiqua" w:hAnsi="Book Antiqua"/>
          <w:color w:val="000000" w:themeColor="text1"/>
          <w:sz w:val="24"/>
          <w:szCs w:val="24"/>
          <w:vertAlign w:val="superscript"/>
        </w:rPr>
        <w:t>41]</w:t>
      </w:r>
      <w:r w:rsidR="00077B32" w:rsidRPr="00392036">
        <w:rPr>
          <w:rFonts w:ascii="Book Antiqua" w:hAnsi="Book Antiqua" w:cs="MinionPro-Regular"/>
          <w:color w:val="000000" w:themeColor="text1"/>
          <w:sz w:val="24"/>
          <w:szCs w:val="24"/>
          <w:lang w:val="en-GB"/>
        </w:rPr>
        <w:t xml:space="preserve"> reported that clinically active IBD at the time of LT is related to </w:t>
      </w:r>
      <w:r w:rsidRPr="00392036">
        <w:rPr>
          <w:rFonts w:ascii="Book Antiqua" w:hAnsi="Book Antiqua" w:cs="MinionPro-Regular"/>
          <w:color w:val="000000" w:themeColor="text1"/>
          <w:sz w:val="24"/>
          <w:szCs w:val="24"/>
          <w:lang w:val="en-GB"/>
        </w:rPr>
        <w:t xml:space="preserve">a </w:t>
      </w:r>
      <w:r w:rsidR="00077B32" w:rsidRPr="00392036">
        <w:rPr>
          <w:rFonts w:ascii="Book Antiqua" w:hAnsi="Book Antiqua" w:cs="MinionPro-Regular"/>
          <w:color w:val="000000" w:themeColor="text1"/>
          <w:sz w:val="24"/>
          <w:szCs w:val="24"/>
          <w:lang w:val="en-GB"/>
        </w:rPr>
        <w:t xml:space="preserve">threefold higher risk for </w:t>
      </w:r>
      <w:r w:rsidRPr="00392036">
        <w:rPr>
          <w:rFonts w:ascii="Book Antiqua" w:hAnsi="Book Antiqua" w:cs="MinionPro-Regular"/>
          <w:color w:val="000000" w:themeColor="text1"/>
          <w:sz w:val="24"/>
          <w:szCs w:val="24"/>
          <w:lang w:val="en-GB"/>
        </w:rPr>
        <w:t xml:space="preserve">a </w:t>
      </w:r>
      <w:r w:rsidR="00077B32" w:rsidRPr="00392036">
        <w:rPr>
          <w:rFonts w:ascii="Book Antiqua" w:hAnsi="Book Antiqua" w:cs="MinionPro-Regular"/>
          <w:color w:val="000000" w:themeColor="text1"/>
          <w:sz w:val="24"/>
          <w:szCs w:val="24"/>
          <w:lang w:val="en-GB"/>
        </w:rPr>
        <w:t xml:space="preserve">post-transplant IBD flare up. </w:t>
      </w:r>
      <w:r w:rsidRPr="00392036">
        <w:rPr>
          <w:rFonts w:ascii="Book Antiqua" w:hAnsi="Book Antiqua" w:cs="MinionPro-Regular"/>
          <w:color w:val="000000" w:themeColor="text1"/>
          <w:sz w:val="24"/>
          <w:szCs w:val="24"/>
          <w:lang w:val="en-GB"/>
        </w:rPr>
        <w:t xml:space="preserve">In addition, </w:t>
      </w:r>
      <w:r w:rsidR="00077B32" w:rsidRPr="00392036">
        <w:rPr>
          <w:rFonts w:ascii="Book Antiqua" w:hAnsi="Book Antiqua" w:cs="MinionPro-Regular"/>
          <w:color w:val="000000" w:themeColor="text1"/>
          <w:sz w:val="24"/>
          <w:szCs w:val="24"/>
          <w:lang w:val="en-GB"/>
        </w:rPr>
        <w:t xml:space="preserve">Befeler </w:t>
      </w:r>
      <w:r w:rsidR="00077B32" w:rsidRPr="00BD5504">
        <w:rPr>
          <w:rFonts w:ascii="Book Antiqua" w:hAnsi="Book Antiqua" w:cs="MinionPro-Regular"/>
          <w:i/>
          <w:color w:val="000000" w:themeColor="text1"/>
          <w:sz w:val="24"/>
          <w:szCs w:val="24"/>
          <w:lang w:val="en-GB"/>
        </w:rPr>
        <w:t xml:space="preserve">et </w:t>
      </w:r>
      <w:proofErr w:type="gramStart"/>
      <w:r w:rsidR="00077B32" w:rsidRPr="00BD5504">
        <w:rPr>
          <w:rFonts w:ascii="Book Antiqua" w:hAnsi="Book Antiqua" w:cs="MinionPro-Regular"/>
          <w:i/>
          <w:color w:val="000000" w:themeColor="text1"/>
          <w:sz w:val="24"/>
          <w:szCs w:val="24"/>
          <w:lang w:val="en-GB"/>
        </w:rPr>
        <w:t>al</w:t>
      </w:r>
      <w:bookmarkStart w:id="17" w:name="_Ref352137782"/>
      <w:r w:rsidR="00BD5504" w:rsidRPr="00392036">
        <w:rPr>
          <w:rFonts w:ascii="Book Antiqua" w:hAnsi="Book Antiqua"/>
          <w:color w:val="000000" w:themeColor="text1"/>
          <w:sz w:val="24"/>
          <w:szCs w:val="24"/>
          <w:vertAlign w:val="superscript"/>
        </w:rPr>
        <w:t>[</w:t>
      </w:r>
      <w:proofErr w:type="gramEnd"/>
      <w:r w:rsidR="00BD5504" w:rsidRPr="00392036">
        <w:rPr>
          <w:rFonts w:ascii="Book Antiqua" w:hAnsi="Book Antiqua"/>
          <w:color w:val="000000" w:themeColor="text1"/>
          <w:sz w:val="24"/>
          <w:szCs w:val="24"/>
          <w:vertAlign w:val="superscript"/>
        </w:rPr>
        <w:t>42]</w:t>
      </w:r>
      <w:r w:rsidR="00077B32" w:rsidRPr="00392036">
        <w:rPr>
          <w:rFonts w:ascii="Book Antiqua" w:hAnsi="Book Antiqua" w:cs="MinionPro-Regular"/>
          <w:color w:val="000000" w:themeColor="text1"/>
          <w:sz w:val="24"/>
          <w:szCs w:val="24"/>
          <w:lang w:val="en-GB"/>
        </w:rPr>
        <w:t xml:space="preserve"> </w:t>
      </w:r>
      <w:bookmarkEnd w:id="17"/>
      <w:r w:rsidR="00077B32" w:rsidRPr="00392036">
        <w:rPr>
          <w:rFonts w:ascii="Book Antiqua" w:hAnsi="Book Antiqua" w:cs="MinionPro-Regular"/>
          <w:color w:val="000000" w:themeColor="text1"/>
          <w:sz w:val="24"/>
          <w:szCs w:val="24"/>
          <w:lang w:val="en-GB"/>
        </w:rPr>
        <w:t>reported more favourable IBD outcome</w:t>
      </w:r>
      <w:r w:rsidRPr="00392036">
        <w:rPr>
          <w:rFonts w:ascii="Book Antiqua" w:hAnsi="Book Antiqua" w:cs="MinionPro-Regular"/>
          <w:color w:val="000000" w:themeColor="text1"/>
          <w:sz w:val="24"/>
          <w:szCs w:val="24"/>
          <w:lang w:val="en-GB"/>
        </w:rPr>
        <w:t>s</w:t>
      </w:r>
      <w:r w:rsidR="00077B32" w:rsidRPr="00392036">
        <w:rPr>
          <w:rFonts w:ascii="Book Antiqua" w:hAnsi="Book Antiqua" w:cs="MinionPro-Regular"/>
          <w:color w:val="000000" w:themeColor="text1"/>
          <w:sz w:val="24"/>
          <w:szCs w:val="24"/>
          <w:lang w:val="en-GB"/>
        </w:rPr>
        <w:t xml:space="preserve"> with inactive dis</w:t>
      </w:r>
      <w:r w:rsidRPr="00392036">
        <w:rPr>
          <w:rFonts w:ascii="Book Antiqua" w:hAnsi="Book Antiqua" w:cs="MinionPro-Regular"/>
          <w:color w:val="000000" w:themeColor="text1"/>
          <w:sz w:val="24"/>
          <w:szCs w:val="24"/>
          <w:lang w:val="en-GB"/>
        </w:rPr>
        <w:t>ease at the time of LT, emphasis</w:t>
      </w:r>
      <w:r w:rsidR="00077B32" w:rsidRPr="00392036">
        <w:rPr>
          <w:rFonts w:ascii="Book Antiqua" w:hAnsi="Book Antiqua" w:cs="MinionPro-Regular"/>
          <w:color w:val="000000" w:themeColor="text1"/>
          <w:sz w:val="24"/>
          <w:szCs w:val="24"/>
          <w:lang w:val="en-GB"/>
        </w:rPr>
        <w:t xml:space="preserve">ing the importance of proper IBD treatment before LT. According to Joshi </w:t>
      </w:r>
      <w:r w:rsidR="00077B32" w:rsidRPr="00BD5504">
        <w:rPr>
          <w:rFonts w:ascii="Book Antiqua" w:hAnsi="Book Antiqua" w:cs="MinionPro-Regular"/>
          <w:i/>
          <w:color w:val="000000" w:themeColor="text1"/>
          <w:sz w:val="24"/>
          <w:szCs w:val="24"/>
          <w:lang w:val="en-GB"/>
        </w:rPr>
        <w:t xml:space="preserve">et </w:t>
      </w:r>
      <w:proofErr w:type="gramStart"/>
      <w:r w:rsidR="00077B32" w:rsidRPr="00BD5504">
        <w:rPr>
          <w:rFonts w:ascii="Book Antiqua" w:hAnsi="Book Antiqua" w:cs="MinionPro-Regular"/>
          <w:i/>
          <w:color w:val="000000" w:themeColor="text1"/>
          <w:sz w:val="24"/>
          <w:szCs w:val="24"/>
          <w:lang w:val="en-GB"/>
        </w:rPr>
        <w:t>al</w:t>
      </w:r>
      <w:r w:rsidR="00BD5504" w:rsidRPr="00392036">
        <w:rPr>
          <w:rFonts w:ascii="Book Antiqua" w:hAnsi="Book Antiqua"/>
          <w:color w:val="000000" w:themeColor="text1"/>
          <w:sz w:val="24"/>
          <w:szCs w:val="24"/>
          <w:vertAlign w:val="superscript"/>
        </w:rPr>
        <w:t>[</w:t>
      </w:r>
      <w:proofErr w:type="gramEnd"/>
      <w:r w:rsidR="00BD5504" w:rsidRPr="00392036">
        <w:rPr>
          <w:rFonts w:ascii="Book Antiqua" w:hAnsi="Book Antiqua"/>
          <w:color w:val="000000" w:themeColor="text1"/>
          <w:sz w:val="24"/>
          <w:szCs w:val="24"/>
          <w:vertAlign w:val="superscript"/>
        </w:rPr>
        <w:t>38]</w:t>
      </w:r>
      <w:r w:rsidR="00077B32" w:rsidRPr="00392036">
        <w:rPr>
          <w:rFonts w:ascii="Book Antiqua" w:hAnsi="Book Antiqua" w:cs="MinionPro-Regular"/>
          <w:color w:val="000000" w:themeColor="text1"/>
          <w:sz w:val="24"/>
          <w:szCs w:val="24"/>
          <w:lang w:val="en-GB"/>
        </w:rPr>
        <w:t xml:space="preserve"> </w:t>
      </w:r>
      <w:r w:rsidRPr="00392036">
        <w:rPr>
          <w:rFonts w:ascii="Book Antiqua" w:hAnsi="Book Antiqua" w:cs="MinionPro-Regular"/>
          <w:color w:val="000000" w:themeColor="text1"/>
          <w:sz w:val="24"/>
          <w:szCs w:val="24"/>
          <w:lang w:val="en-GB"/>
        </w:rPr>
        <w:t>smoking is an additional risk factor for pre-existing IBD worsening at the time of LT</w:t>
      </w:r>
      <w:r w:rsidR="00A51977" w:rsidRPr="00392036">
        <w:rPr>
          <w:rFonts w:ascii="Book Antiqua" w:hAnsi="Book Antiqua" w:cstheme="minorBidi"/>
          <w:color w:val="000000" w:themeColor="text1"/>
          <w:sz w:val="24"/>
          <w:szCs w:val="24"/>
          <w:lang w:val="en-GB" w:eastAsia="hr-HR"/>
        </w:rPr>
        <w:t>.</w:t>
      </w:r>
      <w:r w:rsidR="00077B32" w:rsidRPr="00392036">
        <w:rPr>
          <w:rFonts w:ascii="Book Antiqua" w:hAnsi="Book Antiqua" w:cs="MinionPro-Regular"/>
          <w:color w:val="000000" w:themeColor="text1"/>
          <w:sz w:val="24"/>
          <w:szCs w:val="24"/>
          <w:lang w:val="en-GB"/>
        </w:rPr>
        <w:t xml:space="preserve"> </w:t>
      </w:r>
      <w:r w:rsidRPr="00392036">
        <w:rPr>
          <w:rFonts w:ascii="Book Antiqua" w:hAnsi="Book Antiqua"/>
          <w:color w:val="000000" w:themeColor="text1"/>
          <w:sz w:val="24"/>
          <w:szCs w:val="24"/>
          <w:lang w:val="en-GB"/>
        </w:rPr>
        <w:t xml:space="preserve">Nevertheless, the pre-transplant use of immunomodulators, corticosteroids, or both along with a lower level of IBD activity does not universally predict favourable post-transplant IBD </w:t>
      </w:r>
      <w:proofErr w:type="gramStart"/>
      <w:r w:rsidRPr="00392036">
        <w:rPr>
          <w:rFonts w:ascii="Book Antiqua" w:hAnsi="Book Antiqua"/>
          <w:color w:val="000000" w:themeColor="text1"/>
          <w:sz w:val="24"/>
          <w:szCs w:val="24"/>
          <w:lang w:val="en-GB"/>
        </w:rPr>
        <w:t>courses</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37,38,40]</w:t>
      </w:r>
      <w:r w:rsidR="00077B32" w:rsidRPr="00392036">
        <w:rPr>
          <w:rFonts w:ascii="Book Antiqua" w:hAnsi="Book Antiqua" w:cs="MinionPro-Regular"/>
          <w:color w:val="000000" w:themeColor="text1"/>
          <w:sz w:val="24"/>
          <w:szCs w:val="24"/>
          <w:lang w:val="en-GB"/>
        </w:rPr>
        <w:t>.</w:t>
      </w:r>
    </w:p>
    <w:p w:rsidR="00077B32" w:rsidRPr="00392036" w:rsidRDefault="00256F20" w:rsidP="00313A7D">
      <w:pPr>
        <w:pStyle w:val="NormalWeb"/>
        <w:spacing w:beforeLines="0" w:afterLines="0" w:after="0" w:line="360" w:lineRule="auto"/>
        <w:ind w:firstLineChars="150" w:firstLine="360"/>
        <w:jc w:val="both"/>
        <w:rPr>
          <w:rFonts w:ascii="Book Antiqua" w:hAnsi="Book Antiqua"/>
          <w:color w:val="000000" w:themeColor="text1"/>
          <w:sz w:val="24"/>
          <w:szCs w:val="24"/>
          <w:lang w:val="en-GB"/>
        </w:rPr>
      </w:pPr>
      <w:r w:rsidRPr="00392036">
        <w:rPr>
          <w:rFonts w:ascii="Book Antiqua" w:hAnsi="Book Antiqua" w:cstheme="minorBidi"/>
          <w:color w:val="000000" w:themeColor="text1"/>
          <w:sz w:val="24"/>
          <w:szCs w:val="24"/>
          <w:lang w:val="en-GB" w:eastAsia="hr-HR"/>
        </w:rPr>
        <w:t xml:space="preserve">The risk of </w:t>
      </w:r>
      <w:r w:rsidR="00C806F3" w:rsidRPr="00392036">
        <w:rPr>
          <w:rFonts w:ascii="Book Antiqua" w:hAnsi="Book Antiqua" w:cstheme="minorBidi"/>
          <w:color w:val="000000" w:themeColor="text1"/>
          <w:sz w:val="24"/>
          <w:szCs w:val="24"/>
          <w:lang w:val="en-GB" w:eastAsia="hr-HR"/>
        </w:rPr>
        <w:t>de novo</w:t>
      </w:r>
      <w:r w:rsidRPr="00392036">
        <w:rPr>
          <w:rFonts w:ascii="Book Antiqua" w:hAnsi="Book Antiqua" w:cstheme="minorBidi"/>
          <w:color w:val="000000" w:themeColor="text1"/>
          <w:sz w:val="24"/>
          <w:szCs w:val="24"/>
          <w:lang w:val="en-GB" w:eastAsia="hr-HR"/>
        </w:rPr>
        <w:t xml:space="preserve"> IBD after LT for patients with PSC is significantly lower than the rate of recurrence (10</w:t>
      </w:r>
      <w:r w:rsidR="00B74FFE" w:rsidRPr="00392036">
        <w:rPr>
          <w:rFonts w:ascii="Book Antiqua" w:hAnsi="Book Antiqua" w:cstheme="minorBidi"/>
          <w:color w:val="000000" w:themeColor="text1"/>
          <w:sz w:val="24"/>
          <w:szCs w:val="24"/>
          <w:lang w:val="en-GB" w:eastAsia="zh-CN"/>
        </w:rPr>
        <w:t>%</w:t>
      </w:r>
      <w:r w:rsidRPr="00392036">
        <w:rPr>
          <w:rFonts w:ascii="Book Antiqua" w:hAnsi="Book Antiqua" w:cstheme="minorBidi"/>
          <w:color w:val="000000" w:themeColor="text1"/>
          <w:sz w:val="24"/>
          <w:szCs w:val="24"/>
          <w:lang w:val="en-GB" w:eastAsia="hr-HR"/>
        </w:rPr>
        <w:t>-11% after 5 years, and 14</w:t>
      </w:r>
      <w:r w:rsidR="00B74FFE" w:rsidRPr="00392036">
        <w:rPr>
          <w:rFonts w:ascii="Book Antiqua" w:hAnsi="Book Antiqua" w:cstheme="minorBidi"/>
          <w:color w:val="000000" w:themeColor="text1"/>
          <w:sz w:val="24"/>
          <w:szCs w:val="24"/>
          <w:lang w:val="en-GB" w:eastAsia="zh-CN"/>
        </w:rPr>
        <w:t>%</w:t>
      </w:r>
      <w:r w:rsidRPr="00392036">
        <w:rPr>
          <w:rFonts w:ascii="Book Antiqua" w:hAnsi="Book Antiqua" w:cstheme="minorBidi"/>
          <w:color w:val="000000" w:themeColor="text1"/>
          <w:sz w:val="24"/>
          <w:szCs w:val="24"/>
          <w:lang w:val="en-GB" w:eastAsia="hr-HR"/>
        </w:rPr>
        <w:t>-30% after 10 years, respectively</w:t>
      </w:r>
      <w:proofErr w:type="gramStart"/>
      <w:r w:rsidRPr="00392036">
        <w:rPr>
          <w:rFonts w:ascii="Book Antiqua" w:hAnsi="Book Antiqua" w:cstheme="minorBidi"/>
          <w:color w:val="000000" w:themeColor="text1"/>
          <w:sz w:val="24"/>
          <w:szCs w:val="24"/>
          <w:lang w:val="en-GB" w:eastAsia="hr-HR"/>
        </w:rPr>
        <w:t>)</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41,43]</w:t>
      </w:r>
      <w:r w:rsidR="00507EA5" w:rsidRPr="00392036">
        <w:rPr>
          <w:rFonts w:ascii="Book Antiqua" w:hAnsi="Book Antiqua" w:cstheme="minorBidi"/>
          <w:color w:val="000000" w:themeColor="text1"/>
          <w:sz w:val="24"/>
          <w:szCs w:val="24"/>
          <w:lang w:val="en-GB" w:eastAsia="hr-HR"/>
        </w:rPr>
        <w:t xml:space="preserve">. </w:t>
      </w:r>
      <w:r w:rsidRPr="00392036">
        <w:rPr>
          <w:rFonts w:ascii="Book Antiqua" w:hAnsi="Book Antiqua" w:cstheme="minorBidi"/>
          <w:color w:val="000000" w:themeColor="text1"/>
          <w:sz w:val="24"/>
          <w:szCs w:val="24"/>
          <w:lang w:val="en-GB" w:eastAsia="hr-HR"/>
        </w:rPr>
        <w:t xml:space="preserve">However, the incidence of </w:t>
      </w:r>
      <w:r w:rsidR="00C806F3" w:rsidRPr="00392036">
        <w:rPr>
          <w:rFonts w:ascii="Book Antiqua" w:hAnsi="Book Antiqua" w:cstheme="minorBidi"/>
          <w:color w:val="000000" w:themeColor="text1"/>
          <w:sz w:val="24"/>
          <w:szCs w:val="24"/>
          <w:lang w:val="en-GB" w:eastAsia="hr-HR"/>
        </w:rPr>
        <w:t>de novo</w:t>
      </w:r>
      <w:r w:rsidRPr="00392036">
        <w:rPr>
          <w:rFonts w:ascii="Book Antiqua" w:hAnsi="Book Antiqua" w:cstheme="minorBidi"/>
          <w:color w:val="000000" w:themeColor="text1"/>
          <w:sz w:val="24"/>
          <w:szCs w:val="24"/>
          <w:lang w:val="en-GB" w:eastAsia="hr-HR"/>
        </w:rPr>
        <w:t xml:space="preserve"> IBD after solid organ transplantation is 10 times higher than that among the overall population (20/100.000 patients year </w:t>
      </w:r>
      <w:r w:rsidR="00C806F3" w:rsidRPr="00392036">
        <w:rPr>
          <w:rFonts w:ascii="Book Antiqua" w:hAnsi="Book Antiqua" w:cstheme="minorBidi"/>
          <w:i/>
          <w:color w:val="000000" w:themeColor="text1"/>
          <w:sz w:val="24"/>
          <w:szCs w:val="24"/>
          <w:lang w:val="en-GB" w:eastAsia="hr-HR"/>
        </w:rPr>
        <w:t>vs</w:t>
      </w:r>
      <w:r w:rsidR="00C806F3" w:rsidRPr="00392036">
        <w:rPr>
          <w:rFonts w:ascii="Book Antiqua" w:hAnsi="Book Antiqua" w:cstheme="minorBidi"/>
          <w:color w:val="000000" w:themeColor="text1"/>
          <w:sz w:val="24"/>
          <w:szCs w:val="24"/>
          <w:lang w:val="en-GB" w:eastAsia="hr-HR"/>
        </w:rPr>
        <w:t xml:space="preserve"> </w:t>
      </w:r>
      <w:r w:rsidRPr="00392036">
        <w:rPr>
          <w:rFonts w:ascii="Book Antiqua" w:hAnsi="Book Antiqua" w:cstheme="minorBidi"/>
          <w:color w:val="000000" w:themeColor="text1"/>
          <w:sz w:val="24"/>
          <w:szCs w:val="24"/>
          <w:lang w:val="en-GB" w:eastAsia="hr-HR"/>
        </w:rPr>
        <w:t xml:space="preserve">206/100.000 patients year), and at most related to patients with PSC receiving </w:t>
      </w:r>
      <w:proofErr w:type="gramStart"/>
      <w:r w:rsidRPr="00392036">
        <w:rPr>
          <w:rFonts w:ascii="Book Antiqua" w:hAnsi="Book Antiqua" w:cstheme="minorBidi"/>
          <w:color w:val="000000" w:themeColor="text1"/>
          <w:sz w:val="24"/>
          <w:szCs w:val="24"/>
          <w:lang w:val="en-GB" w:eastAsia="hr-HR"/>
        </w:rPr>
        <w:t>LT</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10]</w:t>
      </w:r>
      <w:r w:rsidR="00077B32" w:rsidRPr="00392036">
        <w:rPr>
          <w:rFonts w:ascii="Book Antiqua" w:hAnsi="Book Antiqua" w:cstheme="minorBidi"/>
          <w:color w:val="000000" w:themeColor="text1"/>
          <w:sz w:val="24"/>
          <w:szCs w:val="24"/>
          <w:lang w:val="en-GB" w:eastAsia="hr-HR"/>
        </w:rPr>
        <w:t xml:space="preserve">. </w:t>
      </w:r>
      <w:r w:rsidRPr="00392036">
        <w:rPr>
          <w:rFonts w:ascii="Book Antiqua" w:hAnsi="Book Antiqua" w:cstheme="minorBidi"/>
          <w:color w:val="000000" w:themeColor="text1"/>
          <w:sz w:val="24"/>
          <w:szCs w:val="24"/>
          <w:lang w:val="en-GB" w:eastAsia="hr-HR"/>
        </w:rPr>
        <w:t xml:space="preserve">The published median time to IBD exacerbation is 1 year (range, 0.3-8.6 years), and it is approximately 4 times longer (3.9 years, range 1.1–7.1 years) for </w:t>
      </w:r>
      <w:r w:rsidR="00C806F3" w:rsidRPr="00392036">
        <w:rPr>
          <w:rFonts w:ascii="Book Antiqua" w:hAnsi="Book Antiqua" w:cstheme="minorBidi"/>
          <w:color w:val="000000" w:themeColor="text1"/>
          <w:sz w:val="24"/>
          <w:szCs w:val="24"/>
          <w:lang w:val="en-GB" w:eastAsia="hr-HR"/>
        </w:rPr>
        <w:t>de novo</w:t>
      </w:r>
      <w:r w:rsidRPr="00392036">
        <w:rPr>
          <w:rFonts w:ascii="Book Antiqua" w:hAnsi="Book Antiqua" w:cstheme="minorBidi"/>
          <w:color w:val="000000" w:themeColor="text1"/>
          <w:sz w:val="24"/>
          <w:szCs w:val="24"/>
          <w:lang w:val="en-GB" w:eastAsia="hr-HR"/>
        </w:rPr>
        <w:t xml:space="preserve"> IBD</w:t>
      </w:r>
      <w:r w:rsidR="00507EA5" w:rsidRPr="00392036">
        <w:rPr>
          <w:rFonts w:ascii="Book Antiqua" w:hAnsi="Book Antiqua"/>
          <w:color w:val="000000" w:themeColor="text1"/>
          <w:sz w:val="24"/>
          <w:szCs w:val="24"/>
          <w:vertAlign w:val="superscript"/>
        </w:rPr>
        <w:t>[38,41,43]</w:t>
      </w:r>
      <w:r w:rsidR="00507EA5" w:rsidRPr="00392036">
        <w:rPr>
          <w:rFonts w:ascii="Book Antiqua" w:hAnsi="Book Antiqua" w:cstheme="minorBidi"/>
          <w:color w:val="000000" w:themeColor="text1"/>
          <w:sz w:val="24"/>
          <w:szCs w:val="24"/>
          <w:lang w:val="en-GB" w:eastAsia="hr-HR"/>
        </w:rPr>
        <w:t xml:space="preserve">. </w:t>
      </w:r>
      <w:r w:rsidRPr="00392036">
        <w:rPr>
          <w:rFonts w:ascii="Book Antiqua" w:hAnsi="Book Antiqua" w:cs="MinionPro-Regular"/>
          <w:color w:val="000000" w:themeColor="text1"/>
          <w:sz w:val="24"/>
          <w:szCs w:val="24"/>
          <w:lang w:val="en-GB" w:eastAsia="hr-HR"/>
        </w:rPr>
        <w:t xml:space="preserve">Verdonk </w:t>
      </w:r>
      <w:r w:rsidRPr="00392036">
        <w:rPr>
          <w:rFonts w:ascii="Book Antiqua" w:hAnsi="Book Antiqua" w:cs="MinionPro-Regular"/>
          <w:i/>
          <w:color w:val="000000" w:themeColor="text1"/>
          <w:sz w:val="24"/>
          <w:szCs w:val="24"/>
          <w:lang w:val="en-GB" w:eastAsia="hr-HR"/>
        </w:rPr>
        <w:t xml:space="preserve">et </w:t>
      </w:r>
      <w:proofErr w:type="gramStart"/>
      <w:r w:rsidRPr="00392036">
        <w:rPr>
          <w:rFonts w:ascii="Book Antiqua" w:hAnsi="Book Antiqua" w:cs="MinionPro-Regular"/>
          <w:i/>
          <w:color w:val="000000" w:themeColor="text1"/>
          <w:sz w:val="24"/>
          <w:szCs w:val="24"/>
          <w:lang w:val="en-GB" w:eastAsia="hr-HR"/>
        </w:rPr>
        <w:t>al</w:t>
      </w:r>
      <w:r w:rsidR="00B74FFE" w:rsidRPr="00392036">
        <w:rPr>
          <w:rFonts w:ascii="Book Antiqua" w:hAnsi="Book Antiqua"/>
          <w:color w:val="000000" w:themeColor="text1"/>
          <w:sz w:val="24"/>
          <w:szCs w:val="24"/>
          <w:vertAlign w:val="superscript"/>
        </w:rPr>
        <w:t>[</w:t>
      </w:r>
      <w:proofErr w:type="gramEnd"/>
      <w:r w:rsidR="00B74FFE" w:rsidRPr="00392036">
        <w:rPr>
          <w:rFonts w:ascii="Book Antiqua" w:hAnsi="Book Antiqua"/>
          <w:color w:val="000000" w:themeColor="text1"/>
          <w:sz w:val="24"/>
          <w:szCs w:val="24"/>
          <w:vertAlign w:val="superscript"/>
        </w:rPr>
        <w:t>41]</w:t>
      </w:r>
      <w:r w:rsidRPr="00392036">
        <w:rPr>
          <w:rFonts w:ascii="Book Antiqua" w:hAnsi="Book Antiqua" w:cs="MinionPro-Regular"/>
          <w:color w:val="000000" w:themeColor="text1"/>
          <w:sz w:val="24"/>
          <w:szCs w:val="24"/>
          <w:lang w:val="en-GB" w:eastAsia="hr-HR"/>
        </w:rPr>
        <w:t xml:space="preserve"> </w:t>
      </w:r>
      <w:r w:rsidRPr="00392036">
        <w:rPr>
          <w:rFonts w:ascii="Book Antiqua" w:hAnsi="Book Antiqua"/>
          <w:color w:val="000000" w:themeColor="text1"/>
          <w:sz w:val="24"/>
          <w:szCs w:val="24"/>
          <w:lang w:val="en-GB"/>
        </w:rPr>
        <w:t xml:space="preserve">studied 91 LT recipients with PSC and found that 19% developed </w:t>
      </w:r>
      <w:r w:rsidR="00C806F3" w:rsidRPr="00392036">
        <w:rPr>
          <w:rFonts w:ascii="Book Antiqua" w:hAnsi="Book Antiqua"/>
          <w:color w:val="000000" w:themeColor="text1"/>
          <w:sz w:val="24"/>
          <w:szCs w:val="24"/>
          <w:lang w:val="en-GB"/>
        </w:rPr>
        <w:t>de novo</w:t>
      </w:r>
      <w:r w:rsidRPr="00392036">
        <w:rPr>
          <w:rFonts w:ascii="Book Antiqua" w:hAnsi="Book Antiqua"/>
          <w:color w:val="000000" w:themeColor="text1"/>
          <w:sz w:val="24"/>
          <w:szCs w:val="24"/>
          <w:lang w:val="en-GB"/>
        </w:rPr>
        <w:t xml:space="preserve"> post-transplant IBD disease, the majority of them (63%) with AIH, and all but one with an indeterminate result developed UC</w:t>
      </w:r>
      <w:r w:rsidR="00077B32" w:rsidRPr="00392036">
        <w:rPr>
          <w:rFonts w:ascii="Book Antiqua" w:hAnsi="Book Antiqua"/>
          <w:color w:val="000000" w:themeColor="text1"/>
          <w:sz w:val="24"/>
          <w:szCs w:val="24"/>
          <w:lang w:val="en-GB"/>
        </w:rPr>
        <w:t xml:space="preserve">. </w:t>
      </w:r>
      <w:r w:rsidR="00C806F3" w:rsidRPr="00392036">
        <w:rPr>
          <w:rFonts w:ascii="Book Antiqua" w:hAnsi="Book Antiqua"/>
          <w:iCs/>
          <w:color w:val="000000" w:themeColor="text1"/>
          <w:sz w:val="24"/>
          <w:szCs w:val="24"/>
          <w:lang w:val="en-GB"/>
        </w:rPr>
        <w:t>De novo</w:t>
      </w:r>
      <w:r w:rsidRPr="00392036">
        <w:rPr>
          <w:rFonts w:ascii="Book Antiqua" w:hAnsi="Book Antiqua"/>
          <w:iCs/>
          <w:color w:val="000000" w:themeColor="text1"/>
          <w:sz w:val="24"/>
          <w:szCs w:val="24"/>
          <w:lang w:val="en-GB"/>
        </w:rPr>
        <w:t xml:space="preserve"> IBD after LT is also observed in patients who receive LT for non-PSC indications such as autoimmune hepatitis, Wilson’s disease and hepatitis B. The pathophysiology of this seemingly paradoxical phenomenon is poorly </w:t>
      </w:r>
      <w:proofErr w:type="gramStart"/>
      <w:r w:rsidRPr="00392036">
        <w:rPr>
          <w:rFonts w:ascii="Book Antiqua" w:hAnsi="Book Antiqua"/>
          <w:iCs/>
          <w:color w:val="000000" w:themeColor="text1"/>
          <w:sz w:val="24"/>
          <w:szCs w:val="24"/>
          <w:lang w:val="en-GB"/>
        </w:rPr>
        <w:t>understood</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37]</w:t>
      </w:r>
      <w:r w:rsidR="00077B32" w:rsidRPr="00392036">
        <w:rPr>
          <w:rFonts w:ascii="Book Antiqua" w:hAnsi="Book Antiqua"/>
          <w:color w:val="000000" w:themeColor="text1"/>
          <w:sz w:val="24"/>
          <w:szCs w:val="24"/>
          <w:lang w:val="en-GB"/>
        </w:rPr>
        <w:t>.</w:t>
      </w:r>
    </w:p>
    <w:p w:rsidR="00077B32" w:rsidRPr="00392036" w:rsidRDefault="0073516A" w:rsidP="00313A7D">
      <w:pPr>
        <w:pStyle w:val="NormalWeb"/>
        <w:spacing w:beforeLines="0" w:afterLines="0" w:after="0" w:line="360" w:lineRule="auto"/>
        <w:ind w:firstLineChars="150" w:firstLine="360"/>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lang w:val="en-GB"/>
        </w:rPr>
        <w:t>The possible different patterns of disease course in two IBD entities (UC and CD) is difficult to obtain because of the small number of patients with CD in most studies; the authors rarely report separate results for two IBD entities; and the influence of other factors on disease course. In one study, the rate of disease exacerbation was higher in patients with UC (73%) than those with CD (38%</w:t>
      </w:r>
      <w:proofErr w:type="gramStart"/>
      <w:r w:rsidRPr="00392036">
        <w:rPr>
          <w:rFonts w:ascii="Book Antiqua" w:hAnsi="Book Antiqua"/>
          <w:color w:val="000000" w:themeColor="text1"/>
          <w:sz w:val="24"/>
          <w:szCs w:val="24"/>
          <w:lang w:val="en-GB"/>
        </w:rPr>
        <w:t>)</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41]</w:t>
      </w:r>
      <w:r w:rsidR="00A51977" w:rsidRPr="00392036">
        <w:rPr>
          <w:rFonts w:ascii="Book Antiqua" w:hAnsi="Book Antiqua"/>
          <w:color w:val="000000" w:themeColor="text1"/>
          <w:sz w:val="24"/>
          <w:szCs w:val="24"/>
          <w:lang w:val="en-GB"/>
        </w:rPr>
        <w:t>.</w:t>
      </w:r>
    </w:p>
    <w:p w:rsidR="00557FE8" w:rsidRPr="00392036" w:rsidRDefault="0073516A" w:rsidP="00313A7D">
      <w:pPr>
        <w:pStyle w:val="NormalWeb"/>
        <w:spacing w:beforeLines="0" w:afterLines="0" w:after="0" w:line="360" w:lineRule="auto"/>
        <w:ind w:firstLineChars="100" w:firstLine="240"/>
        <w:jc w:val="both"/>
        <w:rPr>
          <w:rFonts w:ascii="Book Antiqua" w:hAnsi="Book Antiqua" w:cs="MinionPro-Regular"/>
          <w:color w:val="000000" w:themeColor="text1"/>
          <w:sz w:val="24"/>
          <w:szCs w:val="24"/>
          <w:lang w:val="en-GB"/>
        </w:rPr>
      </w:pPr>
      <w:r w:rsidRPr="00392036">
        <w:rPr>
          <w:rFonts w:ascii="Book Antiqua" w:hAnsi="Book Antiqua"/>
          <w:color w:val="000000" w:themeColor="text1"/>
          <w:sz w:val="24"/>
          <w:szCs w:val="24"/>
          <w:lang w:val="en-GB"/>
        </w:rPr>
        <w:lastRenderedPageBreak/>
        <w:t>The r</w:t>
      </w:r>
      <w:r w:rsidR="00077B32" w:rsidRPr="00392036">
        <w:rPr>
          <w:rFonts w:ascii="Book Antiqua" w:hAnsi="Book Antiqua"/>
          <w:color w:val="000000" w:themeColor="text1"/>
          <w:sz w:val="24"/>
          <w:szCs w:val="24"/>
          <w:lang w:val="en-GB"/>
        </w:rPr>
        <w:t xml:space="preserve">ole of citomegalovirus (CMV) infection in IBD after LT is controversial. </w:t>
      </w:r>
      <w:r w:rsidRPr="00392036">
        <w:rPr>
          <w:rFonts w:ascii="Book Antiqua" w:hAnsi="Book Antiqua"/>
          <w:color w:val="000000" w:themeColor="text1"/>
          <w:sz w:val="24"/>
          <w:szCs w:val="24"/>
          <w:lang w:val="en-GB"/>
        </w:rPr>
        <w:t>Tissue-invasive GI tract CMV disease during the post-transplant period commonly manifests with symptoms that are indistinguishable from IBD. In addition, CMV is a potent up-regulator of alloantigens and thereby increases the risk of allograft rejection. In transplanted patients with IBD, the immunomodulatory effects of CMV might be related to the modulation of local and systemic immune responses to other GI pathogens, increased intestinal permeability, the expression of vascular cell adhesion molecule 1 (VCAM-1), the up-regulation of major histocompatibility complex 1 (MHC-1), and increased mucosal interleukin-6 (IL-6) production</w:t>
      </w:r>
      <w:r w:rsidR="00507EA5" w:rsidRPr="00392036">
        <w:rPr>
          <w:rFonts w:ascii="Book Antiqua" w:hAnsi="Book Antiqua"/>
          <w:color w:val="000000" w:themeColor="text1"/>
          <w:sz w:val="24"/>
          <w:szCs w:val="24"/>
          <w:vertAlign w:val="superscript"/>
        </w:rPr>
        <w:t>[41]</w:t>
      </w:r>
      <w:r w:rsidR="00A51977" w:rsidRPr="00392036">
        <w:rPr>
          <w:rFonts w:ascii="Book Antiqua" w:hAnsi="Book Antiqua"/>
          <w:color w:val="000000" w:themeColor="text1"/>
          <w:sz w:val="24"/>
          <w:szCs w:val="24"/>
          <w:lang w:val="en-GB"/>
        </w:rPr>
        <w:t xml:space="preserve">. </w:t>
      </w:r>
      <w:r w:rsidRPr="00392036">
        <w:rPr>
          <w:rFonts w:ascii="Book Antiqua" w:hAnsi="Book Antiqua" w:cs="MinionPro-Regular"/>
          <w:color w:val="000000" w:themeColor="text1"/>
          <w:sz w:val="24"/>
          <w:szCs w:val="24"/>
          <w:lang w:val="en-GB"/>
        </w:rPr>
        <w:t xml:space="preserve">Previous studies have suggested that only CMV mismatch positively influences </w:t>
      </w:r>
      <w:r w:rsidR="00C806F3" w:rsidRPr="00392036">
        <w:rPr>
          <w:rFonts w:ascii="Book Antiqua" w:hAnsi="Book Antiqua" w:cs="MinionPro-Regular"/>
          <w:color w:val="000000" w:themeColor="text1"/>
          <w:sz w:val="24"/>
          <w:szCs w:val="24"/>
          <w:lang w:val="en-GB"/>
        </w:rPr>
        <w:t>de novo</w:t>
      </w:r>
      <w:r w:rsidRPr="00392036">
        <w:rPr>
          <w:rFonts w:ascii="Book Antiqua" w:hAnsi="Book Antiqua" w:cs="MinionPro-Regular"/>
          <w:color w:val="000000" w:themeColor="text1"/>
          <w:sz w:val="24"/>
          <w:szCs w:val="24"/>
          <w:lang w:val="en-GB"/>
        </w:rPr>
        <w:t xml:space="preserve"> post-transplant occurrence (RR</w:t>
      </w:r>
      <w:r w:rsidR="00BD5504">
        <w:rPr>
          <w:rFonts w:ascii="Book Antiqua" w:hAnsi="Book Antiqua" w:cs="MinionPro-Regular" w:hint="eastAsia"/>
          <w:color w:val="000000" w:themeColor="text1"/>
          <w:sz w:val="24"/>
          <w:szCs w:val="24"/>
          <w:lang w:val="en-GB" w:eastAsia="zh-CN"/>
        </w:rPr>
        <w:t xml:space="preserve"> = </w:t>
      </w:r>
      <w:r w:rsidRPr="00392036">
        <w:rPr>
          <w:rFonts w:ascii="Book Antiqua" w:hAnsi="Book Antiqua" w:cs="MinionPro-Regular"/>
          <w:color w:val="000000" w:themeColor="text1"/>
          <w:sz w:val="24"/>
          <w:szCs w:val="24"/>
          <w:lang w:val="en-GB"/>
        </w:rPr>
        <w:t xml:space="preserve">4.5) because other studies have been unable to confirm these data regarding the recurrence of pre-transplant established </w:t>
      </w:r>
      <w:proofErr w:type="gramStart"/>
      <w:r w:rsidRPr="00392036">
        <w:rPr>
          <w:rFonts w:ascii="Book Antiqua" w:hAnsi="Book Antiqua" w:cs="MinionPro-Regular"/>
          <w:color w:val="000000" w:themeColor="text1"/>
          <w:sz w:val="24"/>
          <w:szCs w:val="24"/>
          <w:lang w:val="en-GB"/>
        </w:rPr>
        <w:t>IBD</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38,39,41,42,44]</w:t>
      </w:r>
      <w:r w:rsidR="00077B32" w:rsidRPr="00392036">
        <w:rPr>
          <w:rFonts w:ascii="Book Antiqua" w:hAnsi="Book Antiqua" w:cs="MinionPro-Regular"/>
          <w:color w:val="000000" w:themeColor="text1"/>
          <w:sz w:val="24"/>
          <w:szCs w:val="24"/>
          <w:lang w:val="en-GB"/>
        </w:rPr>
        <w:t xml:space="preserve">. </w:t>
      </w:r>
      <w:r w:rsidRPr="00392036">
        <w:rPr>
          <w:rFonts w:ascii="Book Antiqua" w:hAnsi="Book Antiqua" w:cs="MinionPro-Regular"/>
          <w:color w:val="000000" w:themeColor="text1"/>
          <w:sz w:val="24"/>
          <w:szCs w:val="24"/>
          <w:lang w:val="en-GB"/>
        </w:rPr>
        <w:t>To detect</w:t>
      </w:r>
      <w:r w:rsidR="00077B32" w:rsidRPr="00392036">
        <w:rPr>
          <w:rFonts w:ascii="Book Antiqua" w:hAnsi="Book Antiqua" w:cs="MinionPro-Regular"/>
          <w:color w:val="000000" w:themeColor="text1"/>
          <w:sz w:val="24"/>
          <w:szCs w:val="24"/>
          <w:lang w:val="en-GB"/>
        </w:rPr>
        <w:t xml:space="preserve"> recipients at high risk of post-transplant CMV disease, all recipients and donors should be screened for serum antibodies to CMV. </w:t>
      </w:r>
      <w:r w:rsidRPr="00392036">
        <w:rPr>
          <w:rFonts w:ascii="Book Antiqua" w:hAnsi="Book Antiqua"/>
          <w:color w:val="000000" w:themeColor="text1"/>
          <w:sz w:val="24"/>
          <w:szCs w:val="24"/>
          <w:lang w:val="en-GB"/>
        </w:rPr>
        <w:t xml:space="preserve">CMV prophylaxis based on valganciclovir for at least 3 months should be implemented for all patients at a high risk of developing CMV infection, including the use of </w:t>
      </w:r>
      <w:r w:rsidRPr="00392036">
        <w:rPr>
          <w:rFonts w:ascii="Book Antiqua" w:hAnsi="Book Antiqua" w:cs="MinionPro-Regular"/>
          <w:color w:val="000000" w:themeColor="text1"/>
          <w:sz w:val="24"/>
          <w:szCs w:val="24"/>
          <w:lang w:val="en-GB"/>
        </w:rPr>
        <w:t xml:space="preserve">CMV-seropositive donors in CMV-seronegative recipients, the treatment of acute rejection episodes, and the use of intense immunosuppression. </w:t>
      </w:r>
      <w:r w:rsidR="00E1237B" w:rsidRPr="00392036">
        <w:rPr>
          <w:rFonts w:ascii="Book Antiqua" w:hAnsi="Book Antiqua" w:cs="MinionPro-Regular"/>
          <w:color w:val="000000" w:themeColor="text1"/>
          <w:sz w:val="24"/>
          <w:szCs w:val="24"/>
          <w:lang w:val="en-GB"/>
        </w:rPr>
        <w:t xml:space="preserve">The detection of viremia </w:t>
      </w:r>
      <w:r w:rsidRPr="00392036">
        <w:rPr>
          <w:rFonts w:ascii="Book Antiqua" w:hAnsi="Book Antiqua" w:cs="MinionPro-Regular"/>
          <w:color w:val="000000" w:themeColor="text1"/>
          <w:sz w:val="24"/>
          <w:szCs w:val="24"/>
          <w:lang w:val="en-GB"/>
        </w:rPr>
        <w:t>via</w:t>
      </w:r>
      <w:r w:rsidR="00E1237B" w:rsidRPr="00392036">
        <w:rPr>
          <w:rFonts w:ascii="Book Antiqua" w:hAnsi="Book Antiqua" w:cs="MinionPro-Regular"/>
          <w:color w:val="000000" w:themeColor="text1"/>
          <w:sz w:val="24"/>
          <w:szCs w:val="24"/>
          <w:lang w:val="en-GB"/>
        </w:rPr>
        <w:t xml:space="preserve"> CMV-PCR</w:t>
      </w:r>
      <w:r w:rsidR="00C806F3" w:rsidRPr="00392036">
        <w:rPr>
          <w:rFonts w:ascii="Book Antiqua" w:hAnsi="Book Antiqua" w:cs="MinionPro-Regular"/>
          <w:color w:val="000000" w:themeColor="text1"/>
          <w:sz w:val="24"/>
          <w:szCs w:val="24"/>
          <w:lang w:val="en-GB"/>
        </w:rPr>
        <w:t>,</w:t>
      </w:r>
      <w:r w:rsidR="00E1237B" w:rsidRPr="00392036">
        <w:rPr>
          <w:rFonts w:ascii="Book Antiqua" w:hAnsi="Book Antiqua" w:cs="MinionPro-Regular"/>
          <w:color w:val="000000" w:themeColor="text1"/>
          <w:sz w:val="24"/>
          <w:szCs w:val="24"/>
          <w:lang w:val="en-GB"/>
        </w:rPr>
        <w:t xml:space="preserve"> in all suspected patients, is essential for </w:t>
      </w:r>
      <w:r w:rsidRPr="00392036">
        <w:rPr>
          <w:rFonts w:ascii="Book Antiqua" w:hAnsi="Book Antiqua" w:cs="MinionPro-Regular"/>
          <w:color w:val="000000" w:themeColor="text1"/>
          <w:sz w:val="24"/>
          <w:szCs w:val="24"/>
          <w:lang w:val="en-GB"/>
        </w:rPr>
        <w:t xml:space="preserve">the </w:t>
      </w:r>
      <w:r w:rsidR="00E1237B" w:rsidRPr="00392036">
        <w:rPr>
          <w:rFonts w:ascii="Book Antiqua" w:hAnsi="Book Antiqua" w:cs="MinionPro-Regular"/>
          <w:color w:val="000000" w:themeColor="text1"/>
          <w:sz w:val="24"/>
          <w:szCs w:val="24"/>
          <w:lang w:val="en-GB"/>
        </w:rPr>
        <w:t xml:space="preserve">early diagnosis of CMV </w:t>
      </w:r>
      <w:r w:rsidR="00446AD8" w:rsidRPr="00392036">
        <w:rPr>
          <w:rFonts w:ascii="Book Antiqua" w:hAnsi="Book Antiqua" w:cs="MinionPro-Regular"/>
          <w:color w:val="000000" w:themeColor="text1"/>
          <w:sz w:val="24"/>
          <w:szCs w:val="24"/>
          <w:lang w:val="en-GB"/>
        </w:rPr>
        <w:t>infection</w:t>
      </w:r>
      <w:r w:rsidR="00E1237B" w:rsidRPr="00392036">
        <w:rPr>
          <w:rFonts w:ascii="Book Antiqua" w:hAnsi="Book Antiqua" w:cs="MinionPro-Regular"/>
          <w:color w:val="000000" w:themeColor="text1"/>
          <w:sz w:val="24"/>
          <w:szCs w:val="24"/>
          <w:lang w:val="en-GB"/>
        </w:rPr>
        <w:t xml:space="preserve">. </w:t>
      </w:r>
      <w:r w:rsidRPr="00392036">
        <w:rPr>
          <w:rFonts w:ascii="Book Antiqua" w:hAnsi="Book Antiqua" w:cs="MinionPro-Regular"/>
          <w:color w:val="000000" w:themeColor="text1"/>
          <w:sz w:val="24"/>
          <w:szCs w:val="24"/>
          <w:lang w:val="en-GB"/>
        </w:rPr>
        <w:t xml:space="preserve">Treatment with ganciclovir or valganciclovir should be implemented for patients with persistent or increasing viremia (CMV infection) and in all individuals for whom CMV infection evolves into CMV </w:t>
      </w:r>
      <w:proofErr w:type="gramStart"/>
      <w:r w:rsidRPr="00392036">
        <w:rPr>
          <w:rFonts w:ascii="Book Antiqua" w:hAnsi="Book Antiqua" w:cs="MinionPro-Regular"/>
          <w:color w:val="000000" w:themeColor="text1"/>
          <w:sz w:val="24"/>
          <w:szCs w:val="24"/>
          <w:lang w:val="en-GB"/>
        </w:rPr>
        <w:t>disease</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45]</w:t>
      </w:r>
      <w:r w:rsidR="00077B32" w:rsidRPr="00392036">
        <w:rPr>
          <w:rFonts w:ascii="Book Antiqua" w:hAnsi="Book Antiqua" w:cs="MinionPro-Regular"/>
          <w:color w:val="000000" w:themeColor="text1"/>
          <w:sz w:val="24"/>
          <w:szCs w:val="24"/>
          <w:lang w:val="en-GB"/>
        </w:rPr>
        <w:t>.</w:t>
      </w:r>
    </w:p>
    <w:p w:rsidR="00077B32" w:rsidRPr="00392036" w:rsidRDefault="0073516A" w:rsidP="00313A7D">
      <w:pPr>
        <w:pStyle w:val="NormalWeb"/>
        <w:spacing w:beforeLines="0" w:afterLines="0" w:after="0" w:line="360" w:lineRule="auto"/>
        <w:ind w:firstLineChars="100" w:firstLine="240"/>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rPr>
        <w:t xml:space="preserve">The empirical reinitiating of 5-ASA directly after LT likely protects against the worsening disease activity of IBD after LT, with an estimated 80% decrease in risk of flare-ups, proctocolectomy, or </w:t>
      </w:r>
      <w:proofErr w:type="gramStart"/>
      <w:r w:rsidRPr="00392036">
        <w:rPr>
          <w:rFonts w:ascii="Book Antiqua" w:hAnsi="Book Antiqua"/>
          <w:color w:val="000000" w:themeColor="text1"/>
          <w:sz w:val="24"/>
          <w:szCs w:val="24"/>
        </w:rPr>
        <w:t>both</w:t>
      </w:r>
      <w:r w:rsidR="00557FE8" w:rsidRPr="00392036">
        <w:rPr>
          <w:rFonts w:ascii="Book Antiqua" w:hAnsi="Book Antiqua"/>
          <w:color w:val="000000" w:themeColor="text1"/>
          <w:sz w:val="24"/>
          <w:szCs w:val="24"/>
          <w:vertAlign w:val="superscript"/>
        </w:rPr>
        <w:t>[</w:t>
      </w:r>
      <w:proofErr w:type="gramEnd"/>
      <w:r w:rsidR="00557FE8" w:rsidRPr="00392036">
        <w:rPr>
          <w:rFonts w:ascii="Book Antiqua" w:hAnsi="Book Antiqua"/>
          <w:color w:val="000000" w:themeColor="text1"/>
          <w:sz w:val="24"/>
          <w:szCs w:val="24"/>
          <w:vertAlign w:val="superscript"/>
        </w:rPr>
        <w:t>15,16</w:t>
      </w:r>
      <w:r w:rsidR="00571263" w:rsidRPr="00392036">
        <w:rPr>
          <w:rFonts w:ascii="Book Antiqua" w:hAnsi="Book Antiqua"/>
          <w:color w:val="000000" w:themeColor="text1"/>
          <w:sz w:val="24"/>
          <w:szCs w:val="24"/>
          <w:vertAlign w:val="superscript"/>
        </w:rPr>
        <w:t>]</w:t>
      </w:r>
      <w:r w:rsidR="00571263" w:rsidRPr="00392036">
        <w:rPr>
          <w:rFonts w:ascii="Book Antiqua" w:hAnsi="Book Antiqua" w:cs="MinionPro-Regular"/>
          <w:color w:val="000000" w:themeColor="text1"/>
          <w:sz w:val="24"/>
          <w:szCs w:val="24"/>
          <w:lang w:val="en-GB"/>
        </w:rPr>
        <w:t xml:space="preserve">. </w:t>
      </w:r>
      <w:r w:rsidR="00FC50AB" w:rsidRPr="00392036">
        <w:rPr>
          <w:rFonts w:ascii="Book Antiqua" w:hAnsi="Book Antiqua"/>
          <w:color w:val="000000" w:themeColor="text1"/>
          <w:sz w:val="24"/>
          <w:szCs w:val="24"/>
        </w:rPr>
        <w:t>In a</w:t>
      </w:r>
      <w:r w:rsidR="00571263" w:rsidRPr="00392036">
        <w:rPr>
          <w:rFonts w:ascii="Book Antiqua" w:hAnsi="Book Antiqua"/>
          <w:color w:val="000000" w:themeColor="text1"/>
          <w:sz w:val="24"/>
          <w:szCs w:val="24"/>
        </w:rPr>
        <w:t xml:space="preserve">lmost </w:t>
      </w:r>
      <w:r w:rsidRPr="00392036">
        <w:rPr>
          <w:rFonts w:ascii="Book Antiqua" w:hAnsi="Book Antiqua"/>
          <w:color w:val="000000" w:themeColor="text1"/>
          <w:sz w:val="24"/>
          <w:szCs w:val="24"/>
        </w:rPr>
        <w:t xml:space="preserve">all </w:t>
      </w:r>
      <w:r w:rsidR="00571263" w:rsidRPr="00392036">
        <w:rPr>
          <w:rFonts w:ascii="Book Antiqua" w:hAnsi="Book Antiqua"/>
          <w:color w:val="000000" w:themeColor="text1"/>
          <w:sz w:val="24"/>
          <w:szCs w:val="24"/>
        </w:rPr>
        <w:t>published studies</w:t>
      </w:r>
      <w:r w:rsidR="00FC50AB" w:rsidRPr="00392036">
        <w:rPr>
          <w:rFonts w:ascii="Book Antiqua" w:hAnsi="Book Antiqua"/>
          <w:color w:val="000000" w:themeColor="text1"/>
          <w:sz w:val="24"/>
          <w:szCs w:val="24"/>
        </w:rPr>
        <w:t>,</w:t>
      </w:r>
      <w:r w:rsidRPr="00392036">
        <w:rPr>
          <w:rFonts w:ascii="Book Antiqua" w:hAnsi="Book Antiqua"/>
          <w:color w:val="000000" w:themeColor="text1"/>
          <w:sz w:val="24"/>
          <w:szCs w:val="24"/>
        </w:rPr>
        <w:t xml:space="preserve"> patients </w:t>
      </w:r>
      <w:r w:rsidR="00FC50AB" w:rsidRPr="00392036">
        <w:rPr>
          <w:rFonts w:ascii="Book Antiqua" w:hAnsi="Book Antiqua"/>
          <w:color w:val="000000" w:themeColor="text1"/>
          <w:sz w:val="24"/>
          <w:szCs w:val="24"/>
        </w:rPr>
        <w:t xml:space="preserve">with </w:t>
      </w:r>
      <w:r w:rsidR="00571263" w:rsidRPr="00392036">
        <w:rPr>
          <w:rFonts w:ascii="Book Antiqua" w:hAnsi="Book Antiqua"/>
          <w:color w:val="000000" w:themeColor="text1"/>
          <w:sz w:val="24"/>
          <w:szCs w:val="24"/>
        </w:rPr>
        <w:t xml:space="preserve">UC </w:t>
      </w:r>
      <w:r w:rsidR="00FC50AB" w:rsidRPr="00392036">
        <w:rPr>
          <w:rFonts w:ascii="Book Antiqua" w:hAnsi="Book Antiqua"/>
          <w:color w:val="000000" w:themeColor="text1"/>
          <w:sz w:val="24"/>
          <w:szCs w:val="24"/>
        </w:rPr>
        <w:t>represent majority (80</w:t>
      </w:r>
      <w:r w:rsidR="00B74FFE" w:rsidRPr="00392036">
        <w:rPr>
          <w:rFonts w:ascii="Book Antiqua" w:hAnsi="Book Antiqua"/>
          <w:color w:val="000000" w:themeColor="text1"/>
          <w:sz w:val="24"/>
          <w:szCs w:val="24"/>
          <w:lang w:eastAsia="zh-CN"/>
        </w:rPr>
        <w:t>%</w:t>
      </w:r>
      <w:r w:rsidR="00FC50AB" w:rsidRPr="00392036">
        <w:rPr>
          <w:rFonts w:ascii="Book Antiqua" w:hAnsi="Book Antiqua"/>
          <w:color w:val="000000" w:themeColor="text1"/>
          <w:sz w:val="24"/>
          <w:szCs w:val="24"/>
        </w:rPr>
        <w:t>-</w:t>
      </w:r>
      <w:r w:rsidR="00571263" w:rsidRPr="00392036">
        <w:rPr>
          <w:rFonts w:ascii="Book Antiqua" w:hAnsi="Book Antiqua"/>
          <w:color w:val="000000" w:themeColor="text1"/>
          <w:sz w:val="24"/>
          <w:szCs w:val="24"/>
        </w:rPr>
        <w:t>9</w:t>
      </w:r>
      <w:r w:rsidR="00FC50AB" w:rsidRPr="00392036">
        <w:rPr>
          <w:rFonts w:ascii="Book Antiqua" w:hAnsi="Book Antiqua"/>
          <w:color w:val="000000" w:themeColor="text1"/>
          <w:sz w:val="24"/>
          <w:szCs w:val="24"/>
        </w:rPr>
        <w:t>0%),</w:t>
      </w:r>
      <w:r w:rsidR="00571263" w:rsidRPr="00392036">
        <w:rPr>
          <w:rFonts w:ascii="Book Antiqua" w:hAnsi="Book Antiqua"/>
          <w:color w:val="000000" w:themeColor="text1"/>
          <w:sz w:val="24"/>
          <w:szCs w:val="24"/>
        </w:rPr>
        <w:t xml:space="preserve"> with only </w:t>
      </w:r>
      <w:r w:rsidR="00FC50AB" w:rsidRPr="00392036">
        <w:rPr>
          <w:rFonts w:ascii="Book Antiqua" w:hAnsi="Book Antiqua"/>
          <w:color w:val="000000" w:themeColor="text1"/>
          <w:sz w:val="24"/>
          <w:szCs w:val="24"/>
        </w:rPr>
        <w:t>small number of</w:t>
      </w:r>
      <w:r w:rsidR="00571263" w:rsidRPr="00392036">
        <w:rPr>
          <w:rFonts w:ascii="Book Antiqua" w:hAnsi="Book Antiqua"/>
          <w:color w:val="000000" w:themeColor="text1"/>
          <w:sz w:val="24"/>
          <w:szCs w:val="24"/>
        </w:rPr>
        <w:t xml:space="preserve"> CD </w:t>
      </w:r>
      <w:r w:rsidR="00FC50AB" w:rsidRPr="00392036">
        <w:rPr>
          <w:rFonts w:ascii="Book Antiqua" w:hAnsi="Book Antiqua"/>
          <w:color w:val="000000" w:themeColor="text1"/>
          <w:sz w:val="24"/>
          <w:szCs w:val="24"/>
        </w:rPr>
        <w:t xml:space="preserve">patients </w:t>
      </w:r>
      <w:r w:rsidR="00571263" w:rsidRPr="00392036">
        <w:rPr>
          <w:rFonts w:ascii="Book Antiqua" w:hAnsi="Book Antiqua"/>
          <w:color w:val="000000" w:themeColor="text1"/>
          <w:sz w:val="24"/>
          <w:szCs w:val="24"/>
        </w:rPr>
        <w:t xml:space="preserve">(typically with colonic or ileocolonic involvement). </w:t>
      </w:r>
      <w:r w:rsidR="00FC50AB" w:rsidRPr="00392036">
        <w:rPr>
          <w:rFonts w:ascii="Book Antiqua" w:hAnsi="Book Antiqua"/>
          <w:color w:val="000000" w:themeColor="text1"/>
          <w:sz w:val="24"/>
          <w:szCs w:val="24"/>
        </w:rPr>
        <w:t xml:space="preserve">Most </w:t>
      </w:r>
      <w:r w:rsidR="00571263" w:rsidRPr="00392036">
        <w:rPr>
          <w:rFonts w:ascii="Book Antiqua" w:hAnsi="Book Antiqua"/>
          <w:color w:val="000000" w:themeColor="text1"/>
          <w:sz w:val="24"/>
          <w:szCs w:val="24"/>
        </w:rPr>
        <w:t xml:space="preserve">authors did not provide details on type of IBD (CD or UC) </w:t>
      </w:r>
      <w:r w:rsidR="00FC50AB" w:rsidRPr="00392036">
        <w:rPr>
          <w:rFonts w:ascii="Book Antiqua" w:hAnsi="Book Antiqua"/>
          <w:color w:val="000000" w:themeColor="text1"/>
          <w:sz w:val="24"/>
          <w:szCs w:val="24"/>
        </w:rPr>
        <w:t>while concluding</w:t>
      </w:r>
      <w:r w:rsidR="00571263" w:rsidRPr="00392036">
        <w:rPr>
          <w:rFonts w:ascii="Book Antiqua" w:hAnsi="Book Antiqua"/>
          <w:color w:val="000000" w:themeColor="text1"/>
          <w:sz w:val="24"/>
          <w:szCs w:val="24"/>
        </w:rPr>
        <w:t xml:space="preserve"> that 5-ASA have positive effects in </w:t>
      </w:r>
      <w:r w:rsidR="00FC50AB" w:rsidRPr="00392036">
        <w:rPr>
          <w:rFonts w:ascii="Book Antiqua" w:hAnsi="Book Antiqua"/>
          <w:color w:val="000000" w:themeColor="text1"/>
          <w:sz w:val="24"/>
          <w:szCs w:val="24"/>
        </w:rPr>
        <w:t>post-transplant IBD treatment</w:t>
      </w:r>
      <w:r w:rsidR="00571263" w:rsidRPr="00392036">
        <w:rPr>
          <w:rFonts w:ascii="Book Antiqua" w:hAnsi="Book Antiqua"/>
          <w:color w:val="000000" w:themeColor="text1"/>
          <w:sz w:val="24"/>
          <w:szCs w:val="24"/>
        </w:rPr>
        <w:t>.</w:t>
      </w:r>
      <w:r w:rsidR="00FC50AB" w:rsidRPr="00392036">
        <w:rPr>
          <w:rFonts w:ascii="Book Antiqua" w:hAnsi="Book Antiqua"/>
          <w:color w:val="000000" w:themeColor="text1"/>
          <w:sz w:val="24"/>
          <w:szCs w:val="24"/>
        </w:rPr>
        <w:t xml:space="preserve"> From experience in overall IBD population, 5-ASA is effective treatment option in patients with colonic IBD involvement.</w:t>
      </w:r>
    </w:p>
    <w:p w:rsidR="00E7370A" w:rsidRPr="00392036" w:rsidRDefault="00E7370A" w:rsidP="00313A7D">
      <w:pPr>
        <w:pStyle w:val="NormalWeb"/>
        <w:spacing w:beforeLines="0" w:afterLines="0" w:after="0" w:line="360" w:lineRule="auto"/>
        <w:ind w:firstLineChars="100" w:firstLine="240"/>
        <w:jc w:val="both"/>
        <w:rPr>
          <w:rFonts w:ascii="Book Antiqua" w:hAnsi="Book Antiqua"/>
          <w:color w:val="000000" w:themeColor="text1"/>
          <w:sz w:val="24"/>
          <w:szCs w:val="24"/>
          <w:lang w:val="en-GB"/>
        </w:rPr>
      </w:pPr>
      <w:r w:rsidRPr="00392036">
        <w:rPr>
          <w:rFonts w:ascii="Book Antiqua" w:hAnsi="Book Antiqua" w:cs="MinionPro-Regular"/>
          <w:color w:val="000000" w:themeColor="text1"/>
          <w:sz w:val="24"/>
          <w:szCs w:val="24"/>
          <w:lang w:val="en-GB"/>
        </w:rPr>
        <w:lastRenderedPageBreak/>
        <w:t>Considering CNI-based regimens after LT and their correlation with IBD during a</w:t>
      </w:r>
      <w:r w:rsidRPr="00392036">
        <w:rPr>
          <w:rFonts w:ascii="Book Antiqua" w:hAnsi="Book Antiqua"/>
          <w:color w:val="000000" w:themeColor="text1"/>
          <w:sz w:val="24"/>
          <w:szCs w:val="24"/>
          <w:lang w:val="en-GB"/>
        </w:rPr>
        <w:t xml:space="preserve"> 1- to 5-year period, 13</w:t>
      </w:r>
      <w:r w:rsidR="00B74FFE" w:rsidRPr="00392036">
        <w:rPr>
          <w:rFonts w:ascii="Book Antiqua" w:hAnsi="Book Antiqua"/>
          <w:color w:val="000000" w:themeColor="text1"/>
          <w:sz w:val="24"/>
          <w:szCs w:val="24"/>
          <w:lang w:val="en-GB" w:eastAsia="zh-CN"/>
        </w:rPr>
        <w:t>%</w:t>
      </w:r>
      <w:r w:rsidRPr="00392036">
        <w:rPr>
          <w:rFonts w:ascii="Book Antiqua" w:hAnsi="Book Antiqua"/>
          <w:color w:val="000000" w:themeColor="text1"/>
          <w:sz w:val="24"/>
          <w:szCs w:val="24"/>
          <w:lang w:val="en-GB"/>
        </w:rPr>
        <w:t>-64% of patients receiving tacrolimus and 4-10% receiving tacrolimus-free regime</w:t>
      </w:r>
      <w:r w:rsidR="001B7096" w:rsidRPr="00392036">
        <w:rPr>
          <w:rFonts w:ascii="Book Antiqua" w:hAnsi="Book Antiqua"/>
          <w:color w:val="000000" w:themeColor="text1"/>
          <w:sz w:val="24"/>
          <w:szCs w:val="24"/>
          <w:lang w:val="en-GB"/>
        </w:rPr>
        <w:t>ns have experienced IBD flare-</w:t>
      </w:r>
      <w:proofErr w:type="gramStart"/>
      <w:r w:rsidRPr="00392036">
        <w:rPr>
          <w:rFonts w:ascii="Book Antiqua" w:hAnsi="Book Antiqua"/>
          <w:color w:val="000000" w:themeColor="text1"/>
          <w:sz w:val="24"/>
          <w:szCs w:val="24"/>
          <w:lang w:val="en-GB"/>
        </w:rPr>
        <w:t>ups</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35]</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Similarly, retrospective studies have confirmed that tacrolimus increases the risk of post-transplant IBD relapse by four </w:t>
      </w:r>
      <w:proofErr w:type="gramStart"/>
      <w:r w:rsidRPr="00392036">
        <w:rPr>
          <w:rFonts w:ascii="Book Antiqua" w:hAnsi="Book Antiqua"/>
          <w:color w:val="000000" w:themeColor="text1"/>
          <w:sz w:val="24"/>
          <w:szCs w:val="24"/>
          <w:lang w:val="en-GB"/>
        </w:rPr>
        <w:t>times</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41,43]</w:t>
      </w:r>
      <w:r w:rsidR="00077B32" w:rsidRPr="00392036">
        <w:rPr>
          <w:rFonts w:ascii="Book Antiqua" w:hAnsi="Book Antiqua"/>
          <w:color w:val="000000" w:themeColor="text1"/>
          <w:sz w:val="24"/>
          <w:szCs w:val="24"/>
          <w:lang w:val="en-GB"/>
        </w:rPr>
        <w:t xml:space="preserve">. </w:t>
      </w:r>
      <w:r w:rsidR="00C806F3" w:rsidRPr="00392036">
        <w:rPr>
          <w:rFonts w:ascii="Book Antiqua" w:hAnsi="Book Antiqua"/>
          <w:color w:val="000000" w:themeColor="text1"/>
          <w:sz w:val="24"/>
          <w:szCs w:val="24"/>
          <w:lang w:val="en-GB"/>
        </w:rPr>
        <w:t xml:space="preserve">Haagsma </w:t>
      </w:r>
      <w:r w:rsidR="00C806F3" w:rsidRPr="00392036">
        <w:rPr>
          <w:rFonts w:ascii="Book Antiqua" w:hAnsi="Book Antiqua"/>
          <w:i/>
          <w:color w:val="000000" w:themeColor="text1"/>
          <w:sz w:val="24"/>
          <w:szCs w:val="24"/>
          <w:lang w:val="en-GB"/>
        </w:rPr>
        <w:t xml:space="preserve">et </w:t>
      </w:r>
      <w:proofErr w:type="gramStart"/>
      <w:r w:rsidR="00C806F3" w:rsidRPr="00392036">
        <w:rPr>
          <w:rFonts w:ascii="Book Antiqua" w:hAnsi="Book Antiqua"/>
          <w:i/>
          <w:color w:val="000000" w:themeColor="text1"/>
          <w:sz w:val="24"/>
          <w:szCs w:val="24"/>
          <w:lang w:val="en-GB"/>
        </w:rPr>
        <w:t>al</w:t>
      </w:r>
      <w:r w:rsidR="00B74FFE" w:rsidRPr="00392036">
        <w:rPr>
          <w:rFonts w:ascii="Book Antiqua" w:hAnsi="Book Antiqua"/>
          <w:color w:val="000000" w:themeColor="text1"/>
          <w:sz w:val="24"/>
          <w:szCs w:val="24"/>
          <w:vertAlign w:val="superscript"/>
        </w:rPr>
        <w:t>[</w:t>
      </w:r>
      <w:proofErr w:type="gramEnd"/>
      <w:r w:rsidR="00B74FFE" w:rsidRPr="00392036">
        <w:rPr>
          <w:rFonts w:ascii="Book Antiqua" w:hAnsi="Book Antiqua"/>
          <w:color w:val="000000" w:themeColor="text1"/>
          <w:sz w:val="24"/>
          <w:szCs w:val="24"/>
          <w:vertAlign w:val="superscript"/>
        </w:rPr>
        <w:t>43]</w:t>
      </w:r>
      <w:r w:rsidR="00C806F3"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previously described a cumulative risk of 11% for patients with IBD after 5 years in a prednisone/cyclosporine/azathioprine treatment group versus 42% in a prednisone/tacrolimus treatment group</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This finding is similar to the risk of 41% observed after 5 years for patients using prednisone/tacrolimus found by Verdonk </w:t>
      </w:r>
      <w:r w:rsidRPr="00392036">
        <w:rPr>
          <w:rFonts w:ascii="Book Antiqua" w:hAnsi="Book Antiqua"/>
          <w:i/>
          <w:color w:val="000000" w:themeColor="text1"/>
          <w:sz w:val="24"/>
          <w:szCs w:val="24"/>
          <w:lang w:val="en-GB"/>
        </w:rPr>
        <w:t xml:space="preserve">et </w:t>
      </w:r>
      <w:proofErr w:type="gramStart"/>
      <w:r w:rsidRPr="00392036">
        <w:rPr>
          <w:rFonts w:ascii="Book Antiqua" w:hAnsi="Book Antiqua"/>
          <w:i/>
          <w:color w:val="000000" w:themeColor="text1"/>
          <w:sz w:val="24"/>
          <w:szCs w:val="24"/>
          <w:lang w:val="en-GB"/>
        </w:rPr>
        <w:t>al</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41]</w:t>
      </w:r>
      <w:r w:rsidR="00A51977"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A study evaluating the Nordic Liver Transplant Registry data regarding the post-transplant course of 439 patients with PSC revealed that an age younger than 20 years at diagnosis of IBD and the use of dual therapy with tacrolimus and MMF were significant risk factors for the worsening of IBD (HRs</w:t>
      </w:r>
      <w:r w:rsidR="00B74FFE" w:rsidRPr="00392036">
        <w:rPr>
          <w:rFonts w:ascii="Book Antiqua" w:hAnsi="Book Antiqua"/>
          <w:color w:val="000000" w:themeColor="text1"/>
          <w:sz w:val="24"/>
          <w:szCs w:val="24"/>
          <w:lang w:val="en-GB" w:eastAsia="zh-CN"/>
        </w:rPr>
        <w:t xml:space="preserve"> = </w:t>
      </w:r>
      <w:r w:rsidRPr="00392036">
        <w:rPr>
          <w:rFonts w:ascii="Book Antiqua" w:hAnsi="Book Antiqua"/>
          <w:color w:val="000000" w:themeColor="text1"/>
          <w:sz w:val="24"/>
          <w:szCs w:val="24"/>
          <w:lang w:val="en-GB"/>
        </w:rPr>
        <w:t>1.8 and 3.9, respectively), whereas a dual treatment with CsA and AZA revealed a significant protective effect (HR</w:t>
      </w:r>
      <w:r w:rsidR="00B74FFE" w:rsidRPr="00392036">
        <w:rPr>
          <w:rFonts w:ascii="Book Antiqua" w:hAnsi="Book Antiqua"/>
          <w:color w:val="000000" w:themeColor="text1"/>
          <w:sz w:val="24"/>
          <w:szCs w:val="24"/>
          <w:lang w:val="en-GB" w:eastAsia="zh-CN"/>
        </w:rPr>
        <w:t xml:space="preserve"> = </w:t>
      </w:r>
      <w:r w:rsidRPr="00392036">
        <w:rPr>
          <w:rFonts w:ascii="Book Antiqua" w:hAnsi="Book Antiqua"/>
          <w:color w:val="000000" w:themeColor="text1"/>
          <w:sz w:val="24"/>
          <w:szCs w:val="24"/>
          <w:lang w:val="en-GB"/>
        </w:rPr>
        <w:t>0.4).</w:t>
      </w:r>
      <w:r w:rsidR="00077B32" w:rsidRPr="00392036">
        <w:rPr>
          <w:rFonts w:ascii="Book Antiqua" w:hAnsi="Book Antiqua"/>
          <w:color w:val="000000" w:themeColor="text1"/>
          <w:sz w:val="24"/>
          <w:szCs w:val="24"/>
          <w:lang w:val="en-GB"/>
        </w:rPr>
        <w:t xml:space="preserve"> </w:t>
      </w:r>
      <w:r w:rsidR="00C806F3" w:rsidRPr="00392036">
        <w:rPr>
          <w:rFonts w:ascii="Book Antiqua" w:hAnsi="Book Antiqua"/>
          <w:color w:val="000000" w:themeColor="text1"/>
          <w:sz w:val="24"/>
          <w:szCs w:val="24"/>
          <w:lang w:val="en-GB"/>
        </w:rPr>
        <w:t>De novo</w:t>
      </w:r>
      <w:r w:rsidRPr="00392036">
        <w:rPr>
          <w:rFonts w:ascii="Book Antiqua" w:hAnsi="Book Antiqua"/>
          <w:color w:val="000000" w:themeColor="text1"/>
          <w:sz w:val="24"/>
          <w:szCs w:val="24"/>
          <w:lang w:val="en-GB"/>
        </w:rPr>
        <w:t xml:space="preserve"> IBD-free survival was decreased significantly among patients receiving tacrolimus </w:t>
      </w:r>
      <w:r w:rsidR="00C806F3" w:rsidRPr="00392036">
        <w:rPr>
          <w:rFonts w:ascii="Book Antiqua" w:hAnsi="Book Antiqua"/>
          <w:color w:val="000000" w:themeColor="text1"/>
          <w:sz w:val="24"/>
          <w:szCs w:val="24"/>
          <w:lang w:val="en-GB"/>
        </w:rPr>
        <w:t>vs</w:t>
      </w:r>
      <w:r w:rsidRPr="00392036">
        <w:rPr>
          <w:rFonts w:ascii="Book Antiqua" w:hAnsi="Book Antiqua"/>
          <w:color w:val="000000" w:themeColor="text1"/>
          <w:sz w:val="24"/>
          <w:szCs w:val="24"/>
          <w:lang w:val="en-GB"/>
        </w:rPr>
        <w:t xml:space="preserve"> those who did </w:t>
      </w:r>
      <w:proofErr w:type="gramStart"/>
      <w:r w:rsidRPr="00392036">
        <w:rPr>
          <w:rFonts w:ascii="Book Antiqua" w:hAnsi="Book Antiqua"/>
          <w:color w:val="000000" w:themeColor="text1"/>
          <w:sz w:val="24"/>
          <w:szCs w:val="24"/>
          <w:lang w:val="en-GB"/>
        </w:rPr>
        <w:t>not</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36]</w:t>
      </w:r>
      <w:r w:rsidR="00507EA5" w:rsidRPr="00392036">
        <w:rPr>
          <w:rFonts w:ascii="Book Antiqua" w:hAnsi="Book Antiqua"/>
          <w:color w:val="000000" w:themeColor="text1"/>
          <w:sz w:val="24"/>
          <w:szCs w:val="24"/>
        </w:rPr>
        <w:t>.</w:t>
      </w:r>
      <w:r w:rsidR="00507EA5" w:rsidRPr="00392036">
        <w:rPr>
          <w:rFonts w:ascii="Book Antiqua" w:hAnsi="Book Antiqua"/>
          <w:color w:val="000000" w:themeColor="text1"/>
          <w:sz w:val="24"/>
          <w:szCs w:val="24"/>
          <w:vertAlign w:val="superscript"/>
        </w:rPr>
        <w:t xml:space="preserve"> </w:t>
      </w:r>
      <w:r w:rsidRPr="00392036">
        <w:rPr>
          <w:rFonts w:ascii="Book Antiqua" w:hAnsi="Book Antiqua"/>
          <w:color w:val="000000" w:themeColor="text1"/>
          <w:sz w:val="24"/>
          <w:szCs w:val="24"/>
          <w:lang w:val="en-GB"/>
        </w:rPr>
        <w:t xml:space="preserve">Tacrolimus can suppress interleukin-2, thereby generating T-regulatory lymphocytes; it enhances the risk of pathological change in bacterial gut microflora as well as increases gut infections, intestinal permeability, exposure of the intestinal mucosa elements to the immune system and, therefore, IBD </w:t>
      </w:r>
      <w:proofErr w:type="gramStart"/>
      <w:r w:rsidRPr="00392036">
        <w:rPr>
          <w:rFonts w:ascii="Book Antiqua" w:hAnsi="Book Antiqua"/>
          <w:color w:val="000000" w:themeColor="text1"/>
          <w:sz w:val="24"/>
          <w:szCs w:val="24"/>
          <w:lang w:val="en-GB"/>
        </w:rPr>
        <w:t>evolution</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37,41,43,46]</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However, it is inconclusive whether all tacrolimus-based regimens are universally associated with an increased risk of IBD flare-up and the need for proctocolectomy after </w:t>
      </w:r>
      <w:proofErr w:type="gramStart"/>
      <w:r w:rsidRPr="00392036">
        <w:rPr>
          <w:rFonts w:ascii="Book Antiqua" w:hAnsi="Book Antiqua"/>
          <w:color w:val="000000" w:themeColor="text1"/>
          <w:sz w:val="24"/>
          <w:szCs w:val="24"/>
          <w:lang w:val="en-GB"/>
        </w:rPr>
        <w:t>LT</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33,39,41,47.48]</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In addition, not all cyclosporine-based regimens have a worsen</w:t>
      </w:r>
      <w:r w:rsidR="00B74FFE" w:rsidRPr="00392036">
        <w:rPr>
          <w:rFonts w:ascii="Book Antiqua" w:hAnsi="Book Antiqua"/>
          <w:color w:val="000000" w:themeColor="text1"/>
          <w:sz w:val="24"/>
          <w:szCs w:val="24"/>
          <w:lang w:val="en-GB"/>
        </w:rPr>
        <w:t xml:space="preserve">ing effect on the course of </w:t>
      </w:r>
      <w:proofErr w:type="gramStart"/>
      <w:r w:rsidR="00B74FFE" w:rsidRPr="00392036">
        <w:rPr>
          <w:rFonts w:ascii="Book Antiqua" w:hAnsi="Book Antiqua"/>
          <w:color w:val="000000" w:themeColor="text1"/>
          <w:sz w:val="24"/>
          <w:szCs w:val="24"/>
          <w:lang w:val="en-GB"/>
        </w:rPr>
        <w:t>IBD</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39,41]</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Cyclosporine favourable effects have also been confirmed with regard to the treatment of severe, steroid-resistant UC in the overall </w:t>
      </w:r>
      <w:proofErr w:type="gramStart"/>
      <w:r w:rsidRPr="00392036">
        <w:rPr>
          <w:rFonts w:ascii="Book Antiqua" w:hAnsi="Book Antiqua"/>
          <w:color w:val="000000" w:themeColor="text1"/>
          <w:sz w:val="24"/>
          <w:szCs w:val="24"/>
          <w:lang w:val="en-GB"/>
        </w:rPr>
        <w:t>population</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49]</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Although cyclosporine, and possibly tacrolimus, effectively induce remission in patients with steroid-resistant UC, these drugs are not effective for maintaining long-term remission in the overall IBD population. </w:t>
      </w:r>
    </w:p>
    <w:p w:rsidR="00077B32" w:rsidRPr="00392036" w:rsidRDefault="00E7370A" w:rsidP="00313A7D">
      <w:pPr>
        <w:pStyle w:val="NormalWeb"/>
        <w:spacing w:beforeLines="0" w:afterLines="0" w:after="0" w:line="360" w:lineRule="auto"/>
        <w:ind w:firstLineChars="150" w:firstLine="360"/>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lang w:val="en-GB"/>
        </w:rPr>
        <w:t>Systemic corticosteroid therapy is applied to post-transplant IBD patients to prevent acute and chronic allograft rejection and induce IBD remission; however, this therapy remains inadequate to maintain remission and for endoscopic healing in patients with IBD. Prednisone therapy might positively affect the course of post-</w:t>
      </w:r>
      <w:r w:rsidRPr="00392036">
        <w:rPr>
          <w:rFonts w:ascii="Book Antiqua" w:hAnsi="Book Antiqua"/>
          <w:color w:val="000000" w:themeColor="text1"/>
          <w:sz w:val="24"/>
          <w:szCs w:val="24"/>
          <w:lang w:val="en-GB"/>
        </w:rPr>
        <w:lastRenderedPageBreak/>
        <w:t xml:space="preserve">transplant IBD and the need for colectomy, but it is also linked to important side effects that require its controlled </w:t>
      </w:r>
      <w:proofErr w:type="gramStart"/>
      <w:r w:rsidRPr="00392036">
        <w:rPr>
          <w:rFonts w:ascii="Book Antiqua" w:hAnsi="Book Antiqua"/>
          <w:color w:val="000000" w:themeColor="text1"/>
          <w:sz w:val="24"/>
          <w:szCs w:val="24"/>
          <w:lang w:val="en-GB"/>
        </w:rPr>
        <w:t>application</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40,48]</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Prolonged steroid therapies are an indirect risk factor for PSC recurrence by altering the immune </w:t>
      </w:r>
      <w:proofErr w:type="gramStart"/>
      <w:r w:rsidRPr="00392036">
        <w:rPr>
          <w:rFonts w:ascii="Book Antiqua" w:hAnsi="Book Antiqua"/>
          <w:color w:val="000000" w:themeColor="text1"/>
          <w:sz w:val="24"/>
          <w:szCs w:val="24"/>
          <w:lang w:val="en-GB"/>
        </w:rPr>
        <w:t>response</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50]</w:t>
      </w:r>
      <w:r w:rsidR="00077B32" w:rsidRPr="00392036">
        <w:rPr>
          <w:rFonts w:ascii="Book Antiqua" w:hAnsi="Book Antiqua"/>
          <w:color w:val="000000" w:themeColor="text1"/>
          <w:sz w:val="24"/>
          <w:szCs w:val="24"/>
          <w:lang w:val="en-GB"/>
        </w:rPr>
        <w:t>.</w:t>
      </w:r>
    </w:p>
    <w:p w:rsidR="00077B32" w:rsidRPr="00392036" w:rsidDel="00B73D4F" w:rsidRDefault="00E7370A" w:rsidP="00313A7D">
      <w:pPr>
        <w:pStyle w:val="NormalWeb"/>
        <w:spacing w:beforeLines="0" w:afterLines="0" w:after="0" w:line="360" w:lineRule="auto"/>
        <w:ind w:firstLineChars="150" w:firstLine="360"/>
        <w:jc w:val="both"/>
        <w:rPr>
          <w:rFonts w:ascii="Book Antiqua" w:hAnsi="Book Antiqua"/>
          <w:color w:val="000000" w:themeColor="text1"/>
          <w:sz w:val="24"/>
          <w:szCs w:val="24"/>
        </w:rPr>
      </w:pPr>
      <w:r w:rsidRPr="00392036">
        <w:rPr>
          <w:rFonts w:ascii="Book Antiqua" w:hAnsi="Book Antiqua"/>
          <w:color w:val="000000" w:themeColor="text1"/>
          <w:sz w:val="24"/>
          <w:szCs w:val="24"/>
          <w:lang w:val="en-GB"/>
        </w:rPr>
        <w:t>Although the exact role of mycophenolate mofetil (MMF) in IBD is not defined, its application is related to gastrointestinal side effects that mimic IBD flare-</w:t>
      </w:r>
      <w:proofErr w:type="gramStart"/>
      <w:r w:rsidRPr="00392036">
        <w:rPr>
          <w:rFonts w:ascii="Book Antiqua" w:hAnsi="Book Antiqua"/>
          <w:color w:val="000000" w:themeColor="text1"/>
          <w:sz w:val="24"/>
          <w:szCs w:val="24"/>
          <w:lang w:val="en-GB"/>
        </w:rPr>
        <w:t>ups</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51]</w:t>
      </w:r>
      <w:r w:rsidR="00077B32" w:rsidRPr="00392036">
        <w:rPr>
          <w:rFonts w:ascii="Book Antiqua" w:hAnsi="Book Antiqua"/>
          <w:color w:val="000000" w:themeColor="text1"/>
          <w:sz w:val="24"/>
          <w:szCs w:val="24"/>
          <w:lang w:val="en-GB"/>
        </w:rPr>
        <w:t>.</w:t>
      </w:r>
    </w:p>
    <w:p w:rsidR="00077B32" w:rsidRPr="00392036" w:rsidRDefault="006D3A87" w:rsidP="00313A7D">
      <w:pPr>
        <w:pStyle w:val="NormalWeb"/>
        <w:spacing w:beforeLines="0" w:afterLines="0" w:after="0" w:line="360" w:lineRule="auto"/>
        <w:ind w:firstLineChars="150" w:firstLine="360"/>
        <w:jc w:val="both"/>
        <w:rPr>
          <w:rFonts w:ascii="Book Antiqua" w:hAnsi="Book Antiqua"/>
          <w:i/>
          <w:color w:val="000000" w:themeColor="text1"/>
          <w:sz w:val="24"/>
          <w:szCs w:val="24"/>
        </w:rPr>
      </w:pPr>
      <w:r w:rsidRPr="00392036">
        <w:rPr>
          <w:rFonts w:ascii="Book Antiqua" w:hAnsi="Book Antiqua"/>
          <w:color w:val="000000" w:themeColor="text1"/>
          <w:sz w:val="24"/>
          <w:szCs w:val="24"/>
        </w:rPr>
        <w:t xml:space="preserve">Azathioprine and 6-mercaptopurine were among the first anti-rejection agents used in solid organ transplantation and showed reasonable efficacy. They have since fallen out of favour partially because of a perceived higher side effect profile given that the doses required to prevent rejection often led to cytopenias and hepatotoxicity. However, the evidence for a significant benefit in terms of preventing acute cellular rejection using MMF rather than AZA is poor. Only two randomised controlled trials directly compared MMF with AZA with one update, and no difference was found between these treatments in terms of patient or graft </w:t>
      </w:r>
      <w:proofErr w:type="gramStart"/>
      <w:r w:rsidRPr="00392036">
        <w:rPr>
          <w:rFonts w:ascii="Book Antiqua" w:hAnsi="Book Antiqua"/>
          <w:color w:val="000000" w:themeColor="text1"/>
          <w:sz w:val="24"/>
          <w:szCs w:val="24"/>
        </w:rPr>
        <w:t>survival</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52-54</w:t>
      </w:r>
      <w:r w:rsidRPr="00392036">
        <w:rPr>
          <w:rFonts w:ascii="Book Antiqua" w:hAnsi="Book Antiqua"/>
          <w:color w:val="000000" w:themeColor="text1"/>
          <w:sz w:val="24"/>
          <w:szCs w:val="24"/>
          <w:vertAlign w:val="superscript"/>
        </w:rPr>
        <w:t>]</w:t>
      </w:r>
      <w:r w:rsidRPr="00392036">
        <w:rPr>
          <w:rFonts w:ascii="Book Antiqua" w:hAnsi="Book Antiqua"/>
          <w:color w:val="000000" w:themeColor="text1"/>
          <w:sz w:val="24"/>
          <w:szCs w:val="24"/>
        </w:rPr>
        <w:t>.</w:t>
      </w:r>
      <w:r w:rsidRPr="00392036">
        <w:rPr>
          <w:rFonts w:ascii="Book Antiqua" w:hAnsi="Book Antiqua"/>
          <w:color w:val="000000" w:themeColor="text1"/>
          <w:sz w:val="24"/>
          <w:szCs w:val="24"/>
          <w:vertAlign w:val="superscript"/>
        </w:rPr>
        <w:t xml:space="preserve"> </w:t>
      </w:r>
      <w:r w:rsidRPr="00392036">
        <w:rPr>
          <w:rFonts w:ascii="Book Antiqua" w:hAnsi="Book Antiqua"/>
          <w:color w:val="000000" w:themeColor="text1"/>
          <w:sz w:val="24"/>
          <w:szCs w:val="24"/>
          <w:lang w:val="en-GB"/>
        </w:rPr>
        <w:t xml:space="preserve">In patients with IBD, however, MMF with AZA remain among the most used drugs for maintaining remission with proven efficacy in both patients with CD and those with UC. Azathioprine serves as a protective as immunosuppressant after LT among people with IBD. Based on 1- and 5-year follow-up assessments, the IBD-free survival rates of patients treated with azathioprine were 96% and 88%, respectively, compared with 87% and 54%, respectively, of untreated </w:t>
      </w:r>
      <w:proofErr w:type="gramStart"/>
      <w:r w:rsidRPr="00392036">
        <w:rPr>
          <w:rFonts w:ascii="Book Antiqua" w:hAnsi="Book Antiqua"/>
          <w:color w:val="000000" w:themeColor="text1"/>
          <w:sz w:val="24"/>
          <w:szCs w:val="24"/>
          <w:lang w:val="en-GB"/>
        </w:rPr>
        <w:t>patients</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36,43]</w:t>
      </w:r>
      <w:r w:rsidR="00077B32" w:rsidRPr="00392036">
        <w:rPr>
          <w:rFonts w:ascii="Book Antiqua" w:hAnsi="Book Antiqua"/>
          <w:color w:val="000000" w:themeColor="text1"/>
          <w:sz w:val="24"/>
          <w:szCs w:val="24"/>
        </w:rPr>
        <w:t xml:space="preserve">. </w:t>
      </w:r>
      <w:r w:rsidRPr="00392036">
        <w:rPr>
          <w:rFonts w:ascii="Book Antiqua" w:hAnsi="Book Antiqua"/>
          <w:color w:val="000000" w:themeColor="text1"/>
          <w:sz w:val="24"/>
          <w:szCs w:val="24"/>
        </w:rPr>
        <w:t xml:space="preserve">Unlike cyclosporine and tacrolimus, azathioprine is an effective and accepted therapy for preventing relapses among patients with CD or UC and the overall IBD </w:t>
      </w:r>
      <w:proofErr w:type="gramStart"/>
      <w:r w:rsidRPr="00392036">
        <w:rPr>
          <w:rFonts w:ascii="Book Antiqua" w:hAnsi="Book Antiqua"/>
          <w:color w:val="000000" w:themeColor="text1"/>
          <w:sz w:val="24"/>
          <w:szCs w:val="24"/>
        </w:rPr>
        <w:t>population</w:t>
      </w:r>
      <w:r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49]</w:t>
      </w:r>
      <w:r w:rsidR="00077B32" w:rsidRPr="00392036">
        <w:rPr>
          <w:rFonts w:ascii="Book Antiqua" w:hAnsi="Book Antiqua"/>
          <w:color w:val="000000" w:themeColor="text1"/>
          <w:sz w:val="24"/>
          <w:szCs w:val="24"/>
        </w:rPr>
        <w:t>.</w:t>
      </w:r>
    </w:p>
    <w:p w:rsidR="00077B32" w:rsidRPr="00392036" w:rsidRDefault="006D3A87" w:rsidP="00313A7D">
      <w:pPr>
        <w:spacing w:after="0" w:line="360" w:lineRule="auto"/>
        <w:ind w:firstLineChars="100" w:firstLine="240"/>
        <w:jc w:val="both"/>
        <w:rPr>
          <w:rFonts w:ascii="Book Antiqua" w:hAnsi="Book Antiqua"/>
          <w:bCs/>
          <w:color w:val="000000" w:themeColor="text1"/>
          <w:sz w:val="24"/>
          <w:szCs w:val="24"/>
        </w:rPr>
      </w:pPr>
      <w:r w:rsidRPr="00392036">
        <w:rPr>
          <w:rFonts w:ascii="Book Antiqua" w:hAnsi="Book Antiqua"/>
          <w:color w:val="000000" w:themeColor="text1"/>
          <w:sz w:val="24"/>
          <w:szCs w:val="24"/>
        </w:rPr>
        <w:t xml:space="preserve">The data concerning mTOR treatment for IBD are limited and whether mTOR can control disease activity in patients with IBD is currently not </w:t>
      </w:r>
      <w:proofErr w:type="gramStart"/>
      <w:r w:rsidRPr="00392036">
        <w:rPr>
          <w:rFonts w:ascii="Book Antiqua" w:hAnsi="Book Antiqua"/>
          <w:color w:val="000000" w:themeColor="text1"/>
          <w:sz w:val="24"/>
          <w:szCs w:val="24"/>
        </w:rPr>
        <w:t>established</w:t>
      </w:r>
      <w:r w:rsidR="00507EA5" w:rsidRPr="00392036">
        <w:rPr>
          <w:rFonts w:ascii="Book Antiqua" w:hAnsi="Book Antiqua"/>
          <w:color w:val="000000" w:themeColor="text1"/>
          <w:sz w:val="24"/>
          <w:szCs w:val="24"/>
          <w:vertAlign w:val="superscript"/>
        </w:rPr>
        <w:t>[</w:t>
      </w:r>
      <w:proofErr w:type="gramEnd"/>
      <w:r w:rsidR="00507EA5" w:rsidRPr="00392036">
        <w:rPr>
          <w:rFonts w:ascii="Book Antiqua" w:hAnsi="Book Antiqua"/>
          <w:color w:val="000000" w:themeColor="text1"/>
          <w:sz w:val="24"/>
          <w:szCs w:val="24"/>
          <w:vertAlign w:val="superscript"/>
        </w:rPr>
        <w:t>55]</w:t>
      </w:r>
      <w:r w:rsidR="00077B32" w:rsidRPr="00392036">
        <w:rPr>
          <w:rFonts w:ascii="Book Antiqua" w:hAnsi="Book Antiqua"/>
          <w:color w:val="000000" w:themeColor="text1"/>
          <w:sz w:val="24"/>
          <w:szCs w:val="24"/>
        </w:rPr>
        <w:t>.</w:t>
      </w:r>
    </w:p>
    <w:p w:rsidR="00077B32" w:rsidRPr="00392036" w:rsidRDefault="00077B32" w:rsidP="00313A7D">
      <w:pPr>
        <w:autoSpaceDE w:val="0"/>
        <w:autoSpaceDN w:val="0"/>
        <w:adjustRightInd w:val="0"/>
        <w:spacing w:after="0" w:line="360" w:lineRule="auto"/>
        <w:jc w:val="both"/>
        <w:rPr>
          <w:rFonts w:ascii="Book Antiqua" w:hAnsi="Book Antiqua" w:cs="Times New Roman"/>
          <w:color w:val="000000" w:themeColor="text1"/>
          <w:sz w:val="24"/>
          <w:szCs w:val="24"/>
          <w:u w:val="single"/>
        </w:rPr>
      </w:pPr>
    </w:p>
    <w:p w:rsidR="00077B32" w:rsidRPr="00392036" w:rsidRDefault="00077B32" w:rsidP="00313A7D">
      <w:pPr>
        <w:autoSpaceDE w:val="0"/>
        <w:autoSpaceDN w:val="0"/>
        <w:adjustRightInd w:val="0"/>
        <w:spacing w:after="0" w:line="360" w:lineRule="auto"/>
        <w:jc w:val="both"/>
        <w:rPr>
          <w:rFonts w:ascii="Book Antiqua" w:hAnsi="Book Antiqua" w:cs="Times New Roman"/>
          <w:b/>
          <w:color w:val="000000" w:themeColor="text1"/>
          <w:sz w:val="24"/>
          <w:szCs w:val="24"/>
        </w:rPr>
      </w:pPr>
      <w:r w:rsidRPr="00392036">
        <w:rPr>
          <w:rFonts w:ascii="Book Antiqua" w:hAnsi="Book Antiqua" w:cs="Times New Roman"/>
          <w:b/>
          <w:color w:val="000000" w:themeColor="text1"/>
          <w:sz w:val="24"/>
          <w:szCs w:val="24"/>
        </w:rPr>
        <w:t>DIAGNOSTIC ALGORITHM</w:t>
      </w:r>
    </w:p>
    <w:p w:rsidR="00077B32" w:rsidRPr="00392036" w:rsidRDefault="00144FCD" w:rsidP="00313A7D">
      <w:pPr>
        <w:pStyle w:val="NormalWeb"/>
        <w:spacing w:beforeLines="0" w:afterLines="0" w:after="0" w:line="360" w:lineRule="auto"/>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lang w:val="en-GB"/>
        </w:rPr>
        <w:t>Diarrhoea is the most common sign related to a post-transplant IBD flare-up. Because approximately 43% of patients suffer from various causes of diarrhoea after LT, this condition requires exact an identification of the underlying aetiology, whether it is the consequence of an infection, drug application, dietary modification, small intestinal bacterial overgrowth, IBD, or other cause</w:t>
      </w:r>
      <w:r w:rsidR="007E44A8" w:rsidRPr="00392036">
        <w:rPr>
          <w:rFonts w:ascii="Book Antiqua" w:hAnsi="Book Antiqua"/>
          <w:color w:val="000000" w:themeColor="text1"/>
          <w:sz w:val="24"/>
          <w:szCs w:val="24"/>
          <w:vertAlign w:val="superscript"/>
        </w:rPr>
        <w:t>[56]</w:t>
      </w:r>
      <w:r w:rsidR="007E44A8" w:rsidRPr="00392036">
        <w:rPr>
          <w:rFonts w:ascii="Book Antiqua" w:hAnsi="Book Antiqua"/>
          <w:color w:val="000000" w:themeColor="text1"/>
          <w:sz w:val="24"/>
          <w:szCs w:val="24"/>
        </w:rPr>
        <w:t>.</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MMF is more commonly </w:t>
      </w:r>
      <w:r w:rsidRPr="00392036">
        <w:rPr>
          <w:rFonts w:ascii="Book Antiqua" w:hAnsi="Book Antiqua"/>
          <w:color w:val="000000" w:themeColor="text1"/>
          <w:sz w:val="24"/>
          <w:szCs w:val="24"/>
          <w:lang w:val="en-GB"/>
        </w:rPr>
        <w:lastRenderedPageBreak/>
        <w:t>associated with diarrhoea than other immunosuppressive agents (11</w:t>
      </w:r>
      <w:r w:rsidR="00B74FFE" w:rsidRPr="00392036">
        <w:rPr>
          <w:rFonts w:ascii="Book Antiqua" w:hAnsi="Book Antiqua"/>
          <w:color w:val="000000" w:themeColor="text1"/>
          <w:sz w:val="24"/>
          <w:szCs w:val="24"/>
          <w:lang w:val="en-GB" w:eastAsia="zh-CN"/>
        </w:rPr>
        <w:t>.</w:t>
      </w:r>
      <w:r w:rsidRPr="00392036">
        <w:rPr>
          <w:rFonts w:ascii="Book Antiqua" w:hAnsi="Book Antiqua"/>
          <w:color w:val="000000" w:themeColor="text1"/>
          <w:sz w:val="24"/>
          <w:szCs w:val="24"/>
          <w:lang w:val="en-GB"/>
        </w:rPr>
        <w:t>6% of patients</w:t>
      </w:r>
      <w:proofErr w:type="gramStart"/>
      <w:r w:rsidRPr="00392036">
        <w:rPr>
          <w:rFonts w:ascii="Book Antiqua" w:hAnsi="Book Antiqua"/>
          <w:color w:val="000000" w:themeColor="text1"/>
          <w:sz w:val="24"/>
          <w:szCs w:val="24"/>
          <w:lang w:val="en-GB"/>
        </w:rPr>
        <w:t>)</w:t>
      </w:r>
      <w:r w:rsidR="007E44A8" w:rsidRPr="00392036">
        <w:rPr>
          <w:rFonts w:ascii="Book Antiqua" w:hAnsi="Book Antiqua"/>
          <w:color w:val="000000" w:themeColor="text1"/>
          <w:sz w:val="24"/>
          <w:szCs w:val="24"/>
          <w:vertAlign w:val="superscript"/>
        </w:rPr>
        <w:t>[</w:t>
      </w:r>
      <w:proofErr w:type="gramEnd"/>
      <w:r w:rsidR="007E44A8" w:rsidRPr="00392036">
        <w:rPr>
          <w:rFonts w:ascii="Book Antiqua" w:hAnsi="Book Antiqua"/>
          <w:color w:val="000000" w:themeColor="text1"/>
          <w:sz w:val="24"/>
          <w:szCs w:val="24"/>
          <w:vertAlign w:val="superscript"/>
        </w:rPr>
        <w:t>57]</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Antibiotics and dietary modifications during the post-transplant period can also cause diarrhoea. A stool sample analysis must be performed to identify infection agents such as enteropathogenic bacteria, especially </w:t>
      </w:r>
      <w:r w:rsidRPr="00392036">
        <w:rPr>
          <w:rFonts w:ascii="Book Antiqua" w:hAnsi="Book Antiqua"/>
          <w:i/>
          <w:color w:val="000000" w:themeColor="text1"/>
          <w:sz w:val="24"/>
          <w:szCs w:val="24"/>
          <w:lang w:val="en-GB"/>
        </w:rPr>
        <w:t xml:space="preserve">Clostridium difficile </w:t>
      </w:r>
      <w:r w:rsidRPr="00392036">
        <w:rPr>
          <w:rFonts w:ascii="Book Antiqua" w:hAnsi="Book Antiqua"/>
          <w:color w:val="000000" w:themeColor="text1"/>
          <w:sz w:val="24"/>
          <w:szCs w:val="24"/>
          <w:lang w:val="en-GB"/>
        </w:rPr>
        <w:t>toxin</w:t>
      </w:r>
      <w:r w:rsidRPr="00392036">
        <w:rPr>
          <w:rFonts w:ascii="Book Antiqua" w:hAnsi="Book Antiqua"/>
          <w:i/>
          <w:color w:val="000000" w:themeColor="text1"/>
          <w:sz w:val="24"/>
          <w:szCs w:val="24"/>
          <w:lang w:val="en-GB"/>
        </w:rPr>
        <w:t>,</w:t>
      </w:r>
      <w:r w:rsidRPr="00392036">
        <w:rPr>
          <w:rFonts w:ascii="Book Antiqua" w:hAnsi="Book Antiqua"/>
          <w:color w:val="000000" w:themeColor="text1"/>
          <w:sz w:val="24"/>
          <w:szCs w:val="24"/>
          <w:lang w:val="en-GB"/>
        </w:rPr>
        <w:t xml:space="preserve"> which is a common cause of IBD exacerbations during the pre- and post- transplant </w:t>
      </w:r>
      <w:proofErr w:type="gramStart"/>
      <w:r w:rsidRPr="00392036">
        <w:rPr>
          <w:rFonts w:ascii="Book Antiqua" w:hAnsi="Book Antiqua"/>
          <w:color w:val="000000" w:themeColor="text1"/>
          <w:sz w:val="24"/>
          <w:szCs w:val="24"/>
          <w:lang w:val="en-GB"/>
        </w:rPr>
        <w:t>periods</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58]</w:t>
      </w:r>
      <w:r w:rsidR="00FC1418"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CMV disease can be confirmed with positive blood samples of PCR, pathognomonic changes on bioptic samples of infected tissue (bulls eyes), or both. Colonoscopy is mandatory to confirm </w:t>
      </w:r>
      <w:r w:rsidR="00C806F3" w:rsidRPr="00392036">
        <w:rPr>
          <w:rFonts w:ascii="Book Antiqua" w:hAnsi="Book Antiqua"/>
          <w:color w:val="000000" w:themeColor="text1"/>
          <w:sz w:val="24"/>
          <w:szCs w:val="24"/>
          <w:lang w:val="en-GB"/>
        </w:rPr>
        <w:t>de novo</w:t>
      </w:r>
      <w:r w:rsidRPr="00392036">
        <w:rPr>
          <w:rFonts w:ascii="Book Antiqua" w:hAnsi="Book Antiqua"/>
          <w:color w:val="000000" w:themeColor="text1"/>
          <w:sz w:val="24"/>
          <w:szCs w:val="24"/>
          <w:lang w:val="en-GB"/>
        </w:rPr>
        <w:t xml:space="preserve"> or recurrent IBD, evaluate the severity and extension of the disease, exclude other aetiologies or neoplasia and evaluate therapy success. Regular follow-up examinations with biopsies should be performed in suspected cases of disease exacerbation, to screen for neoplasia, or both.</w:t>
      </w:r>
    </w:p>
    <w:p w:rsidR="00077B32" w:rsidRPr="00392036" w:rsidRDefault="00077B32" w:rsidP="00313A7D">
      <w:pPr>
        <w:autoSpaceDE w:val="0"/>
        <w:autoSpaceDN w:val="0"/>
        <w:adjustRightInd w:val="0"/>
        <w:spacing w:after="0" w:line="360" w:lineRule="auto"/>
        <w:jc w:val="both"/>
        <w:rPr>
          <w:rFonts w:ascii="Book Antiqua" w:hAnsi="Book Antiqua" w:cs="Times New Roman"/>
          <w:color w:val="000000" w:themeColor="text1"/>
          <w:sz w:val="24"/>
          <w:szCs w:val="24"/>
        </w:rPr>
      </w:pPr>
    </w:p>
    <w:p w:rsidR="00077B32" w:rsidRPr="00392036" w:rsidRDefault="00077B32" w:rsidP="00313A7D">
      <w:pPr>
        <w:autoSpaceDE w:val="0"/>
        <w:autoSpaceDN w:val="0"/>
        <w:adjustRightInd w:val="0"/>
        <w:spacing w:after="0" w:line="360" w:lineRule="auto"/>
        <w:jc w:val="both"/>
        <w:rPr>
          <w:rFonts w:ascii="Book Antiqua" w:hAnsi="Book Antiqua" w:cs="Times New Roman"/>
          <w:b/>
          <w:caps/>
          <w:color w:val="000000" w:themeColor="text1"/>
          <w:sz w:val="24"/>
          <w:szCs w:val="24"/>
          <w:lang w:eastAsia="zh-CN"/>
        </w:rPr>
      </w:pPr>
      <w:r w:rsidRPr="00392036">
        <w:rPr>
          <w:rFonts w:ascii="Book Antiqua" w:hAnsi="Book Antiqua" w:cs="Times New Roman"/>
          <w:b/>
          <w:caps/>
          <w:color w:val="000000" w:themeColor="text1"/>
          <w:sz w:val="24"/>
          <w:szCs w:val="24"/>
        </w:rPr>
        <w:t xml:space="preserve">Treatment </w:t>
      </w:r>
      <w:r w:rsidR="00AC4B13" w:rsidRPr="00392036">
        <w:rPr>
          <w:rFonts w:ascii="Book Antiqua" w:hAnsi="Book Antiqua" w:cs="Times New Roman"/>
          <w:b/>
          <w:caps/>
          <w:color w:val="000000" w:themeColor="text1"/>
          <w:sz w:val="24"/>
          <w:szCs w:val="24"/>
        </w:rPr>
        <w:t>OF POST-TRANSPLANTATION INFLAMMATORY BOWEL DISEASE</w:t>
      </w:r>
    </w:p>
    <w:p w:rsidR="00FC65BC" w:rsidRPr="00392036" w:rsidRDefault="00FC65BC" w:rsidP="00313A7D">
      <w:pPr>
        <w:spacing w:after="0" w:line="360" w:lineRule="auto"/>
        <w:jc w:val="both"/>
        <w:rPr>
          <w:rFonts w:ascii="Book Antiqua" w:hAnsi="Book Antiqua"/>
          <w:color w:val="000000" w:themeColor="text1"/>
          <w:sz w:val="24"/>
          <w:szCs w:val="24"/>
        </w:rPr>
      </w:pPr>
      <w:r w:rsidRPr="00392036">
        <w:rPr>
          <w:rFonts w:ascii="Book Antiqua" w:hAnsi="Book Antiqua"/>
          <w:color w:val="000000" w:themeColor="text1"/>
          <w:sz w:val="24"/>
          <w:szCs w:val="24"/>
        </w:rPr>
        <w:t xml:space="preserve">The high number of patients with IBD deterioration after LT illustrates the importance of close follow-up evaluations to optimise IBD treatment. Considering </w:t>
      </w:r>
      <w:r w:rsidR="00BD5504" w:rsidRPr="00392036">
        <w:rPr>
          <w:rFonts w:ascii="Book Antiqua" w:hAnsi="Book Antiqua"/>
          <w:color w:val="000000" w:themeColor="text1"/>
          <w:sz w:val="24"/>
          <w:szCs w:val="24"/>
        </w:rPr>
        <w:t>the</w:t>
      </w:r>
      <w:r w:rsidRPr="00392036">
        <w:rPr>
          <w:rFonts w:ascii="Book Antiqua" w:hAnsi="Book Antiqua"/>
          <w:color w:val="000000" w:themeColor="text1"/>
          <w:sz w:val="24"/>
          <w:szCs w:val="24"/>
        </w:rPr>
        <w:t xml:space="preserve"> known association between colonic inflammation and the development of neoplasia as well as the high risk of colorectal cancer (CRC) after LT, efforts should be made to restrict IBD activity after transplant. Knowing the influence of IBD remission at the time of LT on the post-transplant course it is of great importance to achieve remission even before the LT and to evaluate indications for proctocolectomy among selected patients with medically refractory IBD or at high risk of CRC.</w:t>
      </w:r>
    </w:p>
    <w:p w:rsidR="00FC65BC" w:rsidRPr="00392036" w:rsidRDefault="00FC65BC" w:rsidP="00313A7D">
      <w:pPr>
        <w:autoSpaceDE w:val="0"/>
        <w:autoSpaceDN w:val="0"/>
        <w:adjustRightInd w:val="0"/>
        <w:spacing w:after="0" w:line="360" w:lineRule="auto"/>
        <w:ind w:firstLineChars="150" w:firstLine="360"/>
        <w:jc w:val="both"/>
        <w:rPr>
          <w:rFonts w:ascii="Book Antiqua" w:hAnsi="Book Antiqua"/>
          <w:color w:val="000000" w:themeColor="text1"/>
          <w:sz w:val="24"/>
          <w:szCs w:val="24"/>
        </w:rPr>
      </w:pPr>
      <w:r w:rsidRPr="00392036">
        <w:rPr>
          <w:rFonts w:ascii="Book Antiqua" w:hAnsi="Book Antiqua"/>
          <w:color w:val="000000" w:themeColor="text1"/>
          <w:sz w:val="24"/>
          <w:szCs w:val="24"/>
        </w:rPr>
        <w:t xml:space="preserve">Most of the data used to treat IBD in the post-transplant setting come from retrospective, uncontrolled studies on a small number of patients. Comparisons of these studies are hampered by the differences in study design, the number of patients, the length of follow-up and the level of details presented with regard to the studied patient population. Regarding these overall scarce data, no general recommendations exist for guidelines on specific treatments of patients with PSC/IBD during the post-transplant period. The proposed approach is mostly based </w:t>
      </w:r>
      <w:r w:rsidRPr="00392036">
        <w:rPr>
          <w:rFonts w:ascii="Book Antiqua" w:hAnsi="Book Antiqua"/>
          <w:color w:val="000000" w:themeColor="text1"/>
          <w:sz w:val="24"/>
          <w:szCs w:val="24"/>
        </w:rPr>
        <w:lastRenderedPageBreak/>
        <w:t>on data from published uncontrolled retrospective studies and the application of general scientific recommendations to treat patients with IBD (Table 1).</w:t>
      </w:r>
    </w:p>
    <w:p w:rsidR="00077B32" w:rsidRPr="00392036" w:rsidRDefault="00FC65BC" w:rsidP="00313A7D">
      <w:pPr>
        <w:autoSpaceDE w:val="0"/>
        <w:autoSpaceDN w:val="0"/>
        <w:adjustRightInd w:val="0"/>
        <w:spacing w:after="0" w:line="360" w:lineRule="auto"/>
        <w:jc w:val="both"/>
        <w:rPr>
          <w:rFonts w:ascii="Book Antiqua" w:hAnsi="Book Antiqua" w:cs="Times New Roman"/>
          <w:color w:val="000000" w:themeColor="text1"/>
          <w:sz w:val="24"/>
          <w:szCs w:val="24"/>
        </w:rPr>
      </w:pPr>
      <w:r w:rsidRPr="00392036">
        <w:rPr>
          <w:rFonts w:ascii="Book Antiqua" w:hAnsi="Book Antiqua"/>
          <w:color w:val="000000" w:themeColor="text1"/>
          <w:sz w:val="24"/>
          <w:szCs w:val="24"/>
        </w:rPr>
        <w:t>In most studies at the time of LT, patients were without therapy or on 5-ASA; only a few patients were on imunomodulatory therapy, especially anti-TNF-</w:t>
      </w:r>
      <w:proofErr w:type="gramStart"/>
      <w:r w:rsidRPr="00392036">
        <w:rPr>
          <w:rFonts w:ascii="Book Antiqua" w:hAnsi="Book Antiqua"/>
          <w:color w:val="000000" w:themeColor="text1"/>
          <w:sz w:val="24"/>
          <w:szCs w:val="24"/>
        </w:rPr>
        <w:t>alpha</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41,43]</w:t>
      </w:r>
      <w:r w:rsidR="00FC1418" w:rsidRPr="00392036">
        <w:rPr>
          <w:rFonts w:ascii="Book Antiqua" w:hAnsi="Book Antiqua"/>
          <w:color w:val="000000" w:themeColor="text1"/>
          <w:sz w:val="24"/>
          <w:szCs w:val="24"/>
        </w:rPr>
        <w:t>.</w:t>
      </w:r>
      <w:r w:rsidRPr="00392036">
        <w:rPr>
          <w:rFonts w:ascii="Book Antiqua" w:hAnsi="Book Antiqua"/>
          <w:color w:val="000000" w:themeColor="text1"/>
          <w:sz w:val="24"/>
          <w:szCs w:val="24"/>
        </w:rPr>
        <w:t xml:space="preserve"> </w:t>
      </w:r>
      <w:r w:rsidR="00B74FFE" w:rsidRPr="00392036">
        <w:rPr>
          <w:rFonts w:ascii="Book Antiqua" w:hAnsi="Book Antiqua"/>
          <w:color w:val="000000" w:themeColor="text1"/>
          <w:sz w:val="24"/>
          <w:szCs w:val="24"/>
        </w:rPr>
        <w:t>Verdonk</w:t>
      </w:r>
      <w:r w:rsidR="00077B32" w:rsidRPr="00392036">
        <w:rPr>
          <w:rFonts w:ascii="Book Antiqua" w:hAnsi="Book Antiqua"/>
          <w:color w:val="000000" w:themeColor="text1"/>
          <w:sz w:val="24"/>
          <w:szCs w:val="24"/>
        </w:rPr>
        <w:t xml:space="preserve"> </w:t>
      </w:r>
      <w:r w:rsidR="00B74FFE" w:rsidRPr="00392036">
        <w:rPr>
          <w:rFonts w:ascii="Book Antiqua" w:hAnsi="Book Antiqua"/>
          <w:i/>
          <w:color w:val="000000" w:themeColor="text1"/>
          <w:sz w:val="24"/>
          <w:szCs w:val="24"/>
          <w:lang w:eastAsia="zh-CN"/>
        </w:rPr>
        <w:t xml:space="preserve">et </w:t>
      </w:r>
      <w:proofErr w:type="gramStart"/>
      <w:r w:rsidR="00077B32" w:rsidRPr="00392036">
        <w:rPr>
          <w:rFonts w:ascii="Book Antiqua" w:hAnsi="Book Antiqua"/>
          <w:i/>
          <w:color w:val="000000" w:themeColor="text1"/>
          <w:sz w:val="24"/>
          <w:szCs w:val="24"/>
        </w:rPr>
        <w:t>al</w:t>
      </w:r>
      <w:r w:rsidR="00B74FFE" w:rsidRPr="00392036">
        <w:rPr>
          <w:rFonts w:ascii="Book Antiqua" w:hAnsi="Book Antiqua"/>
          <w:color w:val="000000" w:themeColor="text1"/>
          <w:sz w:val="24"/>
          <w:szCs w:val="24"/>
          <w:vertAlign w:val="superscript"/>
        </w:rPr>
        <w:t>[</w:t>
      </w:r>
      <w:proofErr w:type="gramEnd"/>
      <w:r w:rsidR="00B74FFE" w:rsidRPr="00392036">
        <w:rPr>
          <w:rFonts w:ascii="Book Antiqua" w:hAnsi="Book Antiqua"/>
          <w:color w:val="000000" w:themeColor="text1"/>
          <w:sz w:val="24"/>
          <w:szCs w:val="24"/>
          <w:vertAlign w:val="superscript"/>
        </w:rPr>
        <w:t>41]</w:t>
      </w:r>
      <w:r w:rsidR="00077B32" w:rsidRPr="00392036">
        <w:rPr>
          <w:rFonts w:ascii="Book Antiqua" w:hAnsi="Book Antiqua"/>
          <w:color w:val="000000" w:themeColor="text1"/>
          <w:sz w:val="24"/>
          <w:szCs w:val="24"/>
        </w:rPr>
        <w:t xml:space="preserve"> </w:t>
      </w:r>
      <w:r w:rsidRPr="00392036">
        <w:rPr>
          <w:rFonts w:ascii="Book Antiqua" w:hAnsi="Book Antiqua"/>
          <w:color w:val="000000" w:themeColor="text1"/>
          <w:sz w:val="24"/>
          <w:szCs w:val="24"/>
        </w:rPr>
        <w:t>examined 91 patients receiving LT with PSC or AIH (75% PSC, 13% AIH), and 54% had IBD before LT</w:t>
      </w:r>
      <w:r w:rsidR="00077B32" w:rsidRPr="00392036">
        <w:rPr>
          <w:rFonts w:ascii="Book Antiqua" w:hAnsi="Book Antiqua"/>
          <w:color w:val="000000" w:themeColor="text1"/>
          <w:sz w:val="24"/>
          <w:szCs w:val="24"/>
        </w:rPr>
        <w:t xml:space="preserve">. </w:t>
      </w:r>
      <w:r w:rsidR="007A3422" w:rsidRPr="00392036">
        <w:rPr>
          <w:rFonts w:ascii="Book Antiqua" w:hAnsi="Book Antiqua"/>
          <w:color w:val="000000" w:themeColor="text1"/>
          <w:sz w:val="24"/>
          <w:szCs w:val="24"/>
        </w:rPr>
        <w:t xml:space="preserve">All patients had colonic involvement (90% UC, 8% CD, and 2% indeterminate disease). Approximately two-thirds (69%) of patients with IBD were on medication (59% 5-ASA, 6% prednisone, 4% AZA) at the time of LT. Because of the small number (4%) of patients with active disease at LT, IBD therapy was frequently discontinued preoperatively. Only some patients (mainly those with positive symptoms before LT) received empirically restarted 5-ASA. The majority (65%) of patients with PSC/AIH-IBD and pre-existing IBD developed exacerbation. After established IBD recurrence or </w:t>
      </w:r>
      <w:r w:rsidR="00C806F3" w:rsidRPr="00392036">
        <w:rPr>
          <w:rFonts w:ascii="Book Antiqua" w:hAnsi="Book Antiqua"/>
          <w:color w:val="000000" w:themeColor="text1"/>
          <w:sz w:val="24"/>
          <w:szCs w:val="24"/>
        </w:rPr>
        <w:t>de novo</w:t>
      </w:r>
      <w:r w:rsidR="007A3422" w:rsidRPr="00392036">
        <w:rPr>
          <w:rFonts w:ascii="Book Antiqua" w:hAnsi="Book Antiqua"/>
          <w:color w:val="000000" w:themeColor="text1"/>
          <w:sz w:val="24"/>
          <w:szCs w:val="24"/>
        </w:rPr>
        <w:t xml:space="preserve"> disease, patients were treated with 5-ASA, prednisone, AZA, or some combination therein. Complete remission occurred in 53% of patients; partial remission occurred in 19% of patients with recurrent IBD; and 8% patients underwent proctocolectomy because of intractable disease. A high number of patients with </w:t>
      </w:r>
      <w:r w:rsidR="00C806F3" w:rsidRPr="00392036">
        <w:rPr>
          <w:rFonts w:ascii="Book Antiqua" w:hAnsi="Book Antiqua"/>
          <w:color w:val="000000" w:themeColor="text1"/>
          <w:sz w:val="24"/>
          <w:szCs w:val="24"/>
        </w:rPr>
        <w:t>de novo</w:t>
      </w:r>
      <w:r w:rsidR="007A3422" w:rsidRPr="00392036">
        <w:rPr>
          <w:rFonts w:ascii="Book Antiqua" w:hAnsi="Book Antiqua"/>
          <w:color w:val="000000" w:themeColor="text1"/>
          <w:sz w:val="24"/>
          <w:szCs w:val="24"/>
        </w:rPr>
        <w:t xml:space="preserve"> IBD achieved complete remission (75%), and none needed surgery. The empirical reinitiating of 5-ASA directly after LT likely protects against the worsening disease activity of IBD after LT, with an estimated 80% decrease in risk of flare-ups, proctocolectomy, or </w:t>
      </w:r>
      <w:proofErr w:type="gramStart"/>
      <w:r w:rsidR="007A3422" w:rsidRPr="00392036">
        <w:rPr>
          <w:rFonts w:ascii="Book Antiqua" w:hAnsi="Book Antiqua"/>
          <w:color w:val="000000" w:themeColor="text1"/>
          <w:sz w:val="24"/>
          <w:szCs w:val="24"/>
        </w:rPr>
        <w:t>both</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15,16,48]</w:t>
      </w:r>
      <w:r w:rsidR="00077B32" w:rsidRPr="00392036">
        <w:rPr>
          <w:rFonts w:ascii="Book Antiqua" w:hAnsi="Book Antiqua"/>
          <w:color w:val="000000" w:themeColor="text1"/>
          <w:sz w:val="24"/>
          <w:szCs w:val="24"/>
        </w:rPr>
        <w:t>.</w:t>
      </w:r>
      <w:r w:rsidR="00AC4B13" w:rsidRPr="00392036">
        <w:rPr>
          <w:rFonts w:ascii="Book Antiqua" w:hAnsi="Book Antiqua"/>
          <w:color w:val="000000" w:themeColor="text1"/>
          <w:sz w:val="24"/>
          <w:szCs w:val="24"/>
        </w:rPr>
        <w:t xml:space="preserve"> </w:t>
      </w:r>
    </w:p>
    <w:p w:rsidR="00077B32" w:rsidRPr="00392036" w:rsidRDefault="007A3422" w:rsidP="00313A7D">
      <w:pPr>
        <w:pStyle w:val="NormalWeb"/>
        <w:spacing w:beforeLines="0" w:afterLines="0" w:after="0" w:line="360" w:lineRule="auto"/>
        <w:ind w:firstLineChars="150" w:firstLine="360"/>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rPr>
        <w:t xml:space="preserve">Comparing the effects of the immunosuppressive agents used in LT anti-rejection or IBD management, great differences exist in efficacy, dosage, indications and the mode of actions between these treatment strategies. These differences might be influenced by differences in involved tissues and the pathogenesis of the different, although related, </w:t>
      </w:r>
      <w:proofErr w:type="gramStart"/>
      <w:r w:rsidRPr="00392036">
        <w:rPr>
          <w:rFonts w:ascii="Book Antiqua" w:hAnsi="Book Antiqua"/>
          <w:color w:val="000000" w:themeColor="text1"/>
          <w:sz w:val="24"/>
          <w:szCs w:val="24"/>
        </w:rPr>
        <w:t>diseases</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59]</w:t>
      </w:r>
      <w:r w:rsidR="00077B32" w:rsidRPr="00392036">
        <w:rPr>
          <w:rFonts w:ascii="Book Antiqua" w:hAnsi="Book Antiqua"/>
          <w:color w:val="000000" w:themeColor="text1"/>
          <w:sz w:val="24"/>
          <w:szCs w:val="24"/>
        </w:rPr>
        <w:t xml:space="preserve">. </w:t>
      </w:r>
      <w:r w:rsidRPr="00392036">
        <w:rPr>
          <w:rFonts w:ascii="Book Antiqua" w:hAnsi="Book Antiqua"/>
          <w:color w:val="000000" w:themeColor="text1"/>
          <w:sz w:val="24"/>
          <w:szCs w:val="24"/>
          <w:lang w:val="en-GB"/>
        </w:rPr>
        <w:t>In m</w:t>
      </w:r>
      <w:r w:rsidR="00B70311" w:rsidRPr="00392036">
        <w:rPr>
          <w:rFonts w:ascii="Book Antiqua" w:hAnsi="Book Antiqua"/>
          <w:color w:val="000000" w:themeColor="text1"/>
          <w:sz w:val="24"/>
          <w:szCs w:val="24"/>
          <w:lang w:val="en-GB"/>
        </w:rPr>
        <w:t>ost of published data on treatment of IBD in PSC patients’ analysi</w:t>
      </w:r>
      <w:r w:rsidRPr="00392036">
        <w:rPr>
          <w:rFonts w:ascii="Book Antiqua" w:hAnsi="Book Antiqua"/>
          <w:color w:val="000000" w:themeColor="text1"/>
          <w:sz w:val="24"/>
          <w:szCs w:val="24"/>
          <w:lang w:val="en-GB"/>
        </w:rPr>
        <w:t>s was of retrospective nature, i</w:t>
      </w:r>
      <w:r w:rsidR="00B70311" w:rsidRPr="00392036">
        <w:rPr>
          <w:rFonts w:ascii="Book Antiqua" w:hAnsi="Book Antiqua"/>
          <w:color w:val="000000" w:themeColor="text1"/>
          <w:sz w:val="24"/>
          <w:szCs w:val="24"/>
          <w:lang w:val="en-GB"/>
        </w:rPr>
        <w:t>mmunosuppressive drugs were not prescribed re</w:t>
      </w:r>
      <w:r w:rsidRPr="00392036">
        <w:rPr>
          <w:rFonts w:ascii="Book Antiqua" w:hAnsi="Book Antiqua"/>
          <w:color w:val="000000" w:themeColor="text1"/>
          <w:sz w:val="24"/>
          <w:szCs w:val="24"/>
          <w:lang w:val="en-GB"/>
        </w:rPr>
        <w:t xml:space="preserve">garding risk of IBD recurrence and </w:t>
      </w:r>
      <w:r w:rsidR="00B70311" w:rsidRPr="00392036">
        <w:rPr>
          <w:rFonts w:ascii="Book Antiqua" w:hAnsi="Book Antiqua"/>
          <w:color w:val="000000" w:themeColor="text1"/>
          <w:sz w:val="24"/>
          <w:szCs w:val="24"/>
          <w:lang w:val="en-GB"/>
        </w:rPr>
        <w:t xml:space="preserve">most of the patients were treated with calcineurin inhibitors (mainly tacrolimus). </w:t>
      </w:r>
      <w:r w:rsidRPr="00392036">
        <w:rPr>
          <w:rFonts w:ascii="Book Antiqua" w:hAnsi="Book Antiqua"/>
          <w:color w:val="000000" w:themeColor="text1"/>
          <w:sz w:val="24"/>
          <w:szCs w:val="24"/>
        </w:rPr>
        <w:t xml:space="preserve">Calcineurin inhibitors (i.e., cyclosporine and tacrolimus) are highly effective as chronic therapies in solid organ transplantation and remain the first line agents at many institutions. In contrast, cyclosporine has limited utility among patients with IBD; it is used primarily in cases </w:t>
      </w:r>
      <w:r w:rsidRPr="00392036">
        <w:rPr>
          <w:rFonts w:ascii="Book Antiqua" w:hAnsi="Book Antiqua"/>
          <w:color w:val="000000" w:themeColor="text1"/>
          <w:sz w:val="24"/>
          <w:szCs w:val="24"/>
        </w:rPr>
        <w:lastRenderedPageBreak/>
        <w:t xml:space="preserve">of fulminant UC and shows no proven efficacy with regard to CD. Tacrolimus is also largely ineffective for patients with IBD, with only a marginal improvement in fistulising </w:t>
      </w:r>
      <w:proofErr w:type="gramStart"/>
      <w:r w:rsidRPr="00392036">
        <w:rPr>
          <w:rFonts w:ascii="Book Antiqua" w:hAnsi="Book Antiqua"/>
          <w:color w:val="000000" w:themeColor="text1"/>
          <w:sz w:val="24"/>
          <w:szCs w:val="24"/>
        </w:rPr>
        <w:t>CD</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29]</w:t>
      </w:r>
      <w:r w:rsidR="00077B32" w:rsidRPr="00392036">
        <w:rPr>
          <w:rFonts w:ascii="Book Antiqua" w:hAnsi="Book Antiqua"/>
          <w:color w:val="000000" w:themeColor="text1"/>
          <w:sz w:val="24"/>
          <w:szCs w:val="24"/>
        </w:rPr>
        <w:t xml:space="preserve">. </w:t>
      </w:r>
      <w:r w:rsidRPr="00392036">
        <w:rPr>
          <w:rFonts w:ascii="Book Antiqua" w:hAnsi="Book Antiqua"/>
          <w:color w:val="000000" w:themeColor="text1"/>
          <w:sz w:val="24"/>
          <w:szCs w:val="24"/>
        </w:rPr>
        <w:t xml:space="preserve">Although convincing data is lacking, knowing the possible negative effects of tacrolimus and MMF on the course of post-transplant IBD (in case of active IBD with a low risk of graft rejection) is important. Preferential immunosuppressive regimens might be based on cyclosporine (over tacrolimus), azathioprine (over MMF), or both. </w:t>
      </w:r>
      <w:r w:rsidRPr="00392036">
        <w:rPr>
          <w:rFonts w:ascii="Book Antiqua" w:hAnsi="Book Antiqua"/>
          <w:color w:val="000000" w:themeColor="text1"/>
          <w:sz w:val="24"/>
          <w:szCs w:val="24"/>
          <w:lang w:val="en-GB"/>
        </w:rPr>
        <w:t xml:space="preserve">When deciding on the optimal immunosuppressive approach for individual PSC/IBD patients, it is important to evaluate for the potentially increased risk of acute and chronic graft rejection for non-tacrolimus based regimens, especially because this risk is likely relatively high in patients receiving LT with PSC or </w:t>
      </w:r>
      <w:proofErr w:type="gramStart"/>
      <w:r w:rsidRPr="00392036">
        <w:rPr>
          <w:rFonts w:ascii="Book Antiqua" w:hAnsi="Book Antiqua"/>
          <w:color w:val="000000" w:themeColor="text1"/>
          <w:sz w:val="24"/>
          <w:szCs w:val="24"/>
          <w:lang w:val="en-GB"/>
        </w:rPr>
        <w:t>AIH</w:t>
      </w:r>
      <w:r w:rsidR="00AD4250" w:rsidRPr="00392036">
        <w:rPr>
          <w:rFonts w:ascii="Book Antiqua" w:hAnsi="Book Antiqua"/>
          <w:color w:val="000000" w:themeColor="text1"/>
          <w:sz w:val="24"/>
          <w:szCs w:val="24"/>
          <w:vertAlign w:val="superscript"/>
        </w:rPr>
        <w:t>[</w:t>
      </w:r>
      <w:proofErr w:type="gramEnd"/>
      <w:r w:rsidR="00AD4250" w:rsidRPr="00392036">
        <w:rPr>
          <w:rFonts w:ascii="Book Antiqua" w:hAnsi="Book Antiqua"/>
          <w:color w:val="000000" w:themeColor="text1"/>
          <w:sz w:val="24"/>
          <w:szCs w:val="24"/>
          <w:vertAlign w:val="superscript"/>
        </w:rPr>
        <w:t>60]</w:t>
      </w:r>
      <w:r w:rsidR="00AD4250" w:rsidRPr="00392036">
        <w:rPr>
          <w:rFonts w:ascii="Book Antiqua" w:hAnsi="Book Antiqua"/>
          <w:color w:val="000000" w:themeColor="text1"/>
          <w:sz w:val="24"/>
          <w:szCs w:val="24"/>
        </w:rPr>
        <w:t>.</w:t>
      </w:r>
      <w:r w:rsidR="00AD4250" w:rsidRPr="00392036">
        <w:rPr>
          <w:rFonts w:ascii="Book Antiqua" w:hAnsi="Book Antiqua"/>
          <w:color w:val="000000" w:themeColor="text1"/>
          <w:sz w:val="24"/>
          <w:szCs w:val="24"/>
          <w:vertAlign w:val="superscript"/>
        </w:rPr>
        <w:t xml:space="preserve"> </w:t>
      </w:r>
      <w:r w:rsidRPr="00392036">
        <w:rPr>
          <w:rFonts w:ascii="Book Antiqua" w:hAnsi="Book Antiqua"/>
          <w:color w:val="000000" w:themeColor="text1"/>
          <w:sz w:val="24"/>
          <w:szCs w:val="24"/>
          <w:lang w:val="en-GB"/>
        </w:rPr>
        <w:t xml:space="preserve">To fully compare the two CNI, additional studies are needed. A prospective study comparing the triple regimen of cyclosporine/azathioprine/prednisolone with others such as azathioprine/tacrolimus or rapamycin-containing regimens would be useful. </w:t>
      </w:r>
    </w:p>
    <w:p w:rsidR="00077B32" w:rsidRPr="00392036" w:rsidRDefault="007A3422" w:rsidP="00313A7D">
      <w:pPr>
        <w:autoSpaceDE w:val="0"/>
        <w:autoSpaceDN w:val="0"/>
        <w:adjustRightInd w:val="0"/>
        <w:spacing w:after="0" w:line="360" w:lineRule="auto"/>
        <w:ind w:firstLineChars="150" w:firstLine="360"/>
        <w:jc w:val="both"/>
        <w:rPr>
          <w:rFonts w:ascii="Book Antiqua" w:hAnsi="Book Antiqua" w:cs="Times New Roman"/>
          <w:color w:val="000000" w:themeColor="text1"/>
          <w:sz w:val="24"/>
          <w:szCs w:val="24"/>
        </w:rPr>
      </w:pPr>
      <w:r w:rsidRPr="00392036">
        <w:rPr>
          <w:rFonts w:ascii="Book Antiqua" w:hAnsi="Book Antiqua" w:cs="Times New Roman"/>
          <w:color w:val="000000" w:themeColor="text1"/>
          <w:sz w:val="24"/>
          <w:szCs w:val="24"/>
        </w:rPr>
        <w:t xml:space="preserve">For patients with active IBD, recommended IBD therapies within the post-transplant setting are equivalent to recommendations for the overall IBD </w:t>
      </w:r>
      <w:proofErr w:type="gramStart"/>
      <w:r w:rsidRPr="00392036">
        <w:rPr>
          <w:rFonts w:ascii="Book Antiqua" w:hAnsi="Book Antiqua" w:cs="Times New Roman"/>
          <w:color w:val="000000" w:themeColor="text1"/>
          <w:sz w:val="24"/>
          <w:szCs w:val="24"/>
        </w:rPr>
        <w:t>population</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29,47]</w:t>
      </w:r>
      <w:r w:rsidR="00077B32" w:rsidRPr="00392036">
        <w:rPr>
          <w:rFonts w:ascii="Book Antiqua" w:hAnsi="Book Antiqua" w:cs="Times New Roman"/>
          <w:color w:val="000000" w:themeColor="text1"/>
          <w:sz w:val="24"/>
          <w:szCs w:val="24"/>
        </w:rPr>
        <w:t xml:space="preserve">. </w:t>
      </w:r>
      <w:r w:rsidRPr="00392036">
        <w:rPr>
          <w:rFonts w:ascii="Book Antiqua" w:hAnsi="Book Antiqua" w:cs="Times New Roman"/>
          <w:color w:val="000000" w:themeColor="text1"/>
          <w:sz w:val="24"/>
          <w:szCs w:val="24"/>
        </w:rPr>
        <w:t xml:space="preserve">Several facts must be considered when choosing the optimal treatment approach: </w:t>
      </w:r>
      <w:r w:rsidR="00077B32" w:rsidRPr="00392036">
        <w:rPr>
          <w:rFonts w:ascii="Book Antiqua" w:hAnsi="Book Antiqua" w:cs="Times New Roman"/>
          <w:color w:val="000000" w:themeColor="text1"/>
          <w:sz w:val="24"/>
          <w:szCs w:val="24"/>
        </w:rPr>
        <w:t>drug potency and safety profile (especially interactions with other immunosuppressant’s), previous response to therapy in cases of IBD relapse</w:t>
      </w:r>
      <w:r w:rsidR="00AD4250" w:rsidRPr="00392036">
        <w:rPr>
          <w:rFonts w:ascii="Book Antiqua" w:hAnsi="Book Antiqua" w:cs="Times New Roman"/>
          <w:color w:val="000000" w:themeColor="text1"/>
          <w:sz w:val="24"/>
          <w:szCs w:val="24"/>
        </w:rPr>
        <w:t>, co morbidities (especially infections and neoplasia), type, severity, extension and extraintestinal manifestations of the disease</w:t>
      </w:r>
      <w:r w:rsidR="00077B32" w:rsidRPr="00392036">
        <w:rPr>
          <w:rFonts w:ascii="Book Antiqua" w:hAnsi="Book Antiqua" w:cs="Times New Roman"/>
          <w:color w:val="000000" w:themeColor="text1"/>
          <w:sz w:val="24"/>
          <w:szCs w:val="24"/>
        </w:rPr>
        <w:t xml:space="preserve">. </w:t>
      </w:r>
      <w:r w:rsidRPr="00392036">
        <w:rPr>
          <w:rFonts w:ascii="Book Antiqua" w:hAnsi="Book Antiqua" w:cs="Times New Roman"/>
          <w:color w:val="000000" w:themeColor="text1"/>
          <w:sz w:val="24"/>
          <w:szCs w:val="24"/>
        </w:rPr>
        <w:t>Although</w:t>
      </w:r>
      <w:r w:rsidR="00077B32" w:rsidRPr="00392036">
        <w:rPr>
          <w:rFonts w:ascii="Book Antiqua" w:hAnsi="Book Antiqua" w:cs="Times New Roman"/>
          <w:color w:val="000000" w:themeColor="text1"/>
          <w:sz w:val="24"/>
          <w:szCs w:val="24"/>
        </w:rPr>
        <w:t xml:space="preserve"> robust data to support</w:t>
      </w:r>
      <w:r w:rsidRPr="00392036">
        <w:rPr>
          <w:rFonts w:ascii="Book Antiqua" w:hAnsi="Book Antiqua" w:cs="Times New Roman"/>
          <w:color w:val="000000" w:themeColor="text1"/>
          <w:sz w:val="24"/>
          <w:szCs w:val="24"/>
        </w:rPr>
        <w:t>ing</w:t>
      </w:r>
      <w:r w:rsidR="00077B32" w:rsidRPr="00392036">
        <w:rPr>
          <w:rFonts w:ascii="Book Antiqua" w:hAnsi="Book Antiqua" w:cs="Times New Roman"/>
          <w:color w:val="000000" w:themeColor="text1"/>
          <w:sz w:val="24"/>
          <w:szCs w:val="24"/>
        </w:rPr>
        <w:t xml:space="preserve"> the use of immunomodulators or biologics </w:t>
      </w:r>
      <w:r w:rsidR="000759F2" w:rsidRPr="00392036">
        <w:rPr>
          <w:rFonts w:ascii="Book Antiqua" w:hAnsi="Book Antiqua" w:cs="Times New Roman"/>
          <w:color w:val="000000" w:themeColor="text1"/>
          <w:sz w:val="24"/>
          <w:szCs w:val="24"/>
        </w:rPr>
        <w:t>are</w:t>
      </w:r>
      <w:r w:rsidR="00077B32" w:rsidRPr="00392036">
        <w:rPr>
          <w:rFonts w:ascii="Book Antiqua" w:hAnsi="Book Antiqua" w:cs="Times New Roman"/>
          <w:color w:val="000000" w:themeColor="text1"/>
          <w:sz w:val="24"/>
          <w:szCs w:val="24"/>
        </w:rPr>
        <w:t xml:space="preserve"> not available, the limited data from case series show that these medications can be used safely.</w:t>
      </w:r>
    </w:p>
    <w:p w:rsidR="00077B32" w:rsidRPr="00392036" w:rsidRDefault="00077B32" w:rsidP="00313A7D">
      <w:pPr>
        <w:pStyle w:val="NormalWeb"/>
        <w:spacing w:beforeLines="0" w:afterLines="0" w:after="0" w:line="360" w:lineRule="auto"/>
        <w:ind w:firstLineChars="100" w:firstLine="240"/>
        <w:jc w:val="both"/>
        <w:rPr>
          <w:rFonts w:ascii="Book Antiqua" w:hAnsi="Book Antiqua"/>
          <w:color w:val="000000" w:themeColor="text1"/>
          <w:sz w:val="24"/>
          <w:szCs w:val="24"/>
          <w:shd w:val="clear" w:color="auto" w:fill="FFFFFF"/>
          <w:lang w:val="en-GB"/>
        </w:rPr>
      </w:pPr>
      <w:r w:rsidRPr="00392036">
        <w:rPr>
          <w:rFonts w:ascii="Book Antiqua" w:hAnsi="Book Antiqua"/>
          <w:color w:val="000000" w:themeColor="text1"/>
          <w:sz w:val="24"/>
          <w:szCs w:val="24"/>
          <w:lang w:val="en-GB"/>
        </w:rPr>
        <w:t>Depending on the severity and extension of the disease, first line t</w:t>
      </w:r>
      <w:r w:rsidRPr="00392036">
        <w:rPr>
          <w:rFonts w:ascii="Book Antiqua" w:hAnsi="Book Antiqua"/>
          <w:color w:val="000000" w:themeColor="text1"/>
          <w:sz w:val="24"/>
          <w:szCs w:val="24"/>
          <w:shd w:val="clear" w:color="auto" w:fill="FFFFFF"/>
          <w:lang w:val="en-GB"/>
        </w:rPr>
        <w:t xml:space="preserve">reatment of patients with mild-moderate UC should </w:t>
      </w:r>
      <w:r w:rsidR="000759F2" w:rsidRPr="00392036">
        <w:rPr>
          <w:rFonts w:ascii="Book Antiqua" w:hAnsi="Book Antiqua"/>
          <w:color w:val="000000" w:themeColor="text1"/>
          <w:sz w:val="24"/>
          <w:szCs w:val="24"/>
          <w:shd w:val="clear" w:color="auto" w:fill="FFFFFF"/>
          <w:lang w:val="en-GB"/>
        </w:rPr>
        <w:t>begin</w:t>
      </w:r>
      <w:r w:rsidRPr="00392036">
        <w:rPr>
          <w:rFonts w:ascii="Book Antiqua" w:hAnsi="Book Antiqua"/>
          <w:color w:val="000000" w:themeColor="text1"/>
          <w:sz w:val="24"/>
          <w:szCs w:val="24"/>
          <w:shd w:val="clear" w:color="auto" w:fill="FFFFFF"/>
          <w:lang w:val="en-GB"/>
        </w:rPr>
        <w:t xml:space="preserve"> with oral 5-aminosalicylates (5-ASA) &gt;</w:t>
      </w:r>
      <w:r w:rsidR="00B74FFE" w:rsidRPr="00392036">
        <w:rPr>
          <w:rFonts w:ascii="Book Antiqua" w:hAnsi="Book Antiqua"/>
          <w:color w:val="000000" w:themeColor="text1"/>
          <w:sz w:val="24"/>
          <w:szCs w:val="24"/>
          <w:shd w:val="clear" w:color="auto" w:fill="FFFFFF"/>
          <w:lang w:val="en-GB" w:eastAsia="zh-CN"/>
        </w:rPr>
        <w:t xml:space="preserve"> </w:t>
      </w:r>
      <w:r w:rsidRPr="00392036">
        <w:rPr>
          <w:rFonts w:ascii="Book Antiqua" w:hAnsi="Book Antiqua"/>
          <w:color w:val="000000" w:themeColor="text1"/>
          <w:sz w:val="24"/>
          <w:szCs w:val="24"/>
          <w:shd w:val="clear" w:color="auto" w:fill="FFFFFF"/>
          <w:lang w:val="en-GB"/>
        </w:rPr>
        <w:t>2 g/</w:t>
      </w:r>
      <w:r w:rsidR="00B74FFE" w:rsidRPr="00392036">
        <w:rPr>
          <w:rFonts w:ascii="Book Antiqua" w:hAnsi="Book Antiqua"/>
          <w:color w:val="000000" w:themeColor="text1"/>
          <w:sz w:val="24"/>
          <w:szCs w:val="24"/>
          <w:shd w:val="clear" w:color="auto" w:fill="FFFFFF"/>
          <w:lang w:val="en-GB" w:eastAsia="zh-CN"/>
        </w:rPr>
        <w:t>d</w:t>
      </w:r>
      <w:r w:rsidR="000759F2" w:rsidRPr="00392036">
        <w:rPr>
          <w:rFonts w:ascii="Book Antiqua" w:hAnsi="Book Antiqua"/>
          <w:color w:val="000000" w:themeColor="text1"/>
          <w:sz w:val="24"/>
          <w:szCs w:val="24"/>
          <w:shd w:val="clear" w:color="auto" w:fill="FFFFFF"/>
          <w:lang w:val="en-GB"/>
        </w:rPr>
        <w:t>,</w:t>
      </w:r>
      <w:r w:rsidRPr="00392036">
        <w:rPr>
          <w:rFonts w:ascii="Book Antiqua" w:hAnsi="Book Antiqua"/>
          <w:color w:val="000000" w:themeColor="text1"/>
          <w:sz w:val="24"/>
          <w:szCs w:val="24"/>
          <w:shd w:val="clear" w:color="auto" w:fill="FFFFFF"/>
          <w:lang w:val="en-GB"/>
        </w:rPr>
        <w:t xml:space="preserve"> combined with topical mesalazine if tolerated, to boost remission </w:t>
      </w:r>
      <w:proofErr w:type="gramStart"/>
      <w:r w:rsidRPr="00392036">
        <w:rPr>
          <w:rFonts w:ascii="Book Antiqua" w:hAnsi="Book Antiqua"/>
          <w:color w:val="000000" w:themeColor="text1"/>
          <w:sz w:val="24"/>
          <w:szCs w:val="24"/>
          <w:shd w:val="clear" w:color="auto" w:fill="FFFFFF"/>
          <w:lang w:val="en-GB"/>
        </w:rPr>
        <w:t>rates</w:t>
      </w:r>
      <w:r w:rsidR="00AD4250" w:rsidRPr="00392036">
        <w:rPr>
          <w:rFonts w:ascii="Book Antiqua" w:hAnsi="Book Antiqua"/>
          <w:color w:val="000000" w:themeColor="text1"/>
          <w:sz w:val="24"/>
          <w:szCs w:val="24"/>
          <w:vertAlign w:val="superscript"/>
        </w:rPr>
        <w:t>[</w:t>
      </w:r>
      <w:proofErr w:type="gramEnd"/>
      <w:r w:rsidR="00AD4250" w:rsidRPr="00392036">
        <w:rPr>
          <w:rFonts w:ascii="Book Antiqua" w:hAnsi="Book Antiqua"/>
          <w:color w:val="000000" w:themeColor="text1"/>
          <w:sz w:val="24"/>
          <w:szCs w:val="24"/>
          <w:vertAlign w:val="superscript"/>
        </w:rPr>
        <w:t>47]</w:t>
      </w:r>
      <w:r w:rsidRPr="00392036">
        <w:rPr>
          <w:rFonts w:ascii="Book Antiqua" w:hAnsi="Book Antiqua"/>
          <w:color w:val="000000" w:themeColor="text1"/>
          <w:sz w:val="24"/>
          <w:szCs w:val="24"/>
          <w:lang w:val="en-GB"/>
        </w:rPr>
        <w:t>.</w:t>
      </w:r>
      <w:r w:rsidRPr="00392036">
        <w:rPr>
          <w:rFonts w:ascii="Book Antiqua" w:hAnsi="Book Antiqua"/>
          <w:color w:val="000000" w:themeColor="text1"/>
          <w:sz w:val="24"/>
          <w:szCs w:val="24"/>
          <w:shd w:val="clear" w:color="auto" w:fill="FFFFFF"/>
          <w:lang w:val="en-GB"/>
        </w:rPr>
        <w:t xml:space="preserve"> </w:t>
      </w:r>
      <w:r w:rsidR="000759F2" w:rsidRPr="00392036">
        <w:rPr>
          <w:rFonts w:ascii="Book Antiqua" w:hAnsi="Book Antiqua"/>
          <w:color w:val="000000" w:themeColor="text1"/>
          <w:sz w:val="24"/>
          <w:szCs w:val="24"/>
          <w:shd w:val="clear" w:color="auto" w:fill="FFFFFF"/>
          <w:lang w:val="en-GB"/>
        </w:rPr>
        <w:t xml:space="preserve">5-ASA therapy decreases the risks of flare-ups and proctocolectomy for approximately 80% of </w:t>
      </w:r>
      <w:proofErr w:type="gramStart"/>
      <w:r w:rsidR="000759F2" w:rsidRPr="00392036">
        <w:rPr>
          <w:rFonts w:ascii="Book Antiqua" w:hAnsi="Book Antiqua"/>
          <w:color w:val="000000" w:themeColor="text1"/>
          <w:sz w:val="24"/>
          <w:szCs w:val="24"/>
          <w:shd w:val="clear" w:color="auto" w:fill="FFFFFF"/>
          <w:lang w:val="en-GB"/>
        </w:rPr>
        <w:t>patients</w:t>
      </w:r>
      <w:r w:rsidR="00AD4250" w:rsidRPr="00392036">
        <w:rPr>
          <w:rFonts w:ascii="Book Antiqua" w:hAnsi="Book Antiqua"/>
          <w:color w:val="000000" w:themeColor="text1"/>
          <w:sz w:val="24"/>
          <w:szCs w:val="24"/>
          <w:vertAlign w:val="superscript"/>
        </w:rPr>
        <w:t>[</w:t>
      </w:r>
      <w:proofErr w:type="gramEnd"/>
      <w:r w:rsidR="00AD4250" w:rsidRPr="00392036">
        <w:rPr>
          <w:rFonts w:ascii="Book Antiqua" w:hAnsi="Book Antiqua"/>
          <w:color w:val="000000" w:themeColor="text1"/>
          <w:sz w:val="24"/>
          <w:szCs w:val="24"/>
          <w:vertAlign w:val="superscript"/>
        </w:rPr>
        <w:t>41,48]</w:t>
      </w:r>
      <w:r w:rsidRPr="00392036">
        <w:rPr>
          <w:rFonts w:ascii="Book Antiqua" w:hAnsi="Book Antiqua"/>
          <w:color w:val="000000" w:themeColor="text1"/>
          <w:sz w:val="24"/>
          <w:szCs w:val="24"/>
          <w:shd w:val="clear" w:color="auto" w:fill="FFFFFF"/>
          <w:lang w:val="en-GB"/>
        </w:rPr>
        <w:t xml:space="preserve">. </w:t>
      </w:r>
      <w:r w:rsidR="000759F2" w:rsidRPr="00392036">
        <w:rPr>
          <w:rFonts w:ascii="Book Antiqua" w:hAnsi="Book Antiqua"/>
          <w:color w:val="000000" w:themeColor="text1"/>
          <w:sz w:val="24"/>
          <w:szCs w:val="24"/>
          <w:shd w:val="clear" w:color="auto" w:fill="FFFFFF"/>
          <w:lang w:val="en-GB"/>
        </w:rPr>
        <w:t xml:space="preserve">In some cases, 5-ASA interacts with azathioprine and increases the risk of </w:t>
      </w:r>
      <w:proofErr w:type="gramStart"/>
      <w:r w:rsidR="000759F2" w:rsidRPr="00392036">
        <w:rPr>
          <w:rFonts w:ascii="Book Antiqua" w:hAnsi="Book Antiqua"/>
          <w:color w:val="000000" w:themeColor="text1"/>
          <w:sz w:val="24"/>
          <w:szCs w:val="24"/>
          <w:shd w:val="clear" w:color="auto" w:fill="FFFFFF"/>
          <w:lang w:val="en-GB"/>
        </w:rPr>
        <w:t>leukopenia</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37,61]</w:t>
      </w:r>
      <w:r w:rsidRPr="00392036">
        <w:rPr>
          <w:rFonts w:ascii="Book Antiqua" w:hAnsi="Book Antiqua"/>
          <w:color w:val="000000" w:themeColor="text1"/>
          <w:sz w:val="24"/>
          <w:szCs w:val="24"/>
          <w:shd w:val="clear" w:color="auto" w:fill="FFFFFF"/>
          <w:lang w:val="en-GB"/>
        </w:rPr>
        <w:t>.</w:t>
      </w:r>
    </w:p>
    <w:p w:rsidR="00077B32" w:rsidRPr="00392036" w:rsidRDefault="000759F2" w:rsidP="00313A7D">
      <w:pPr>
        <w:pStyle w:val="NormalWeb"/>
        <w:spacing w:beforeLines="0" w:afterLines="0" w:after="0" w:line="360" w:lineRule="auto"/>
        <w:ind w:firstLineChars="150" w:firstLine="360"/>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lang w:val="en-GB"/>
        </w:rPr>
        <w:t xml:space="preserve">Budesonide (9 mg/kg) has been shown to induce the remission of terminal ileitis and inflammation of the colon with fewer systemic side effects than conventional </w:t>
      </w:r>
      <w:r w:rsidRPr="00392036">
        <w:rPr>
          <w:rFonts w:ascii="Book Antiqua" w:hAnsi="Book Antiqua"/>
          <w:color w:val="000000" w:themeColor="text1"/>
          <w:sz w:val="24"/>
          <w:szCs w:val="24"/>
          <w:lang w:val="en-GB"/>
        </w:rPr>
        <w:lastRenderedPageBreak/>
        <w:t xml:space="preserve">corticosteroids among non-transplant patients with IBD; moreover, budesonide is an effective steroid-sparing agent. In liver transplant patients already receiving systemic immunosuppression, budesonide can be considered as a first-line therapy for </w:t>
      </w:r>
      <w:r w:rsidR="00C806F3" w:rsidRPr="00392036">
        <w:rPr>
          <w:rFonts w:ascii="Book Antiqua" w:hAnsi="Book Antiqua"/>
          <w:color w:val="000000" w:themeColor="text1"/>
          <w:sz w:val="24"/>
          <w:szCs w:val="24"/>
          <w:lang w:val="en-GB"/>
        </w:rPr>
        <w:t>de novo</w:t>
      </w:r>
      <w:r w:rsidRPr="00392036">
        <w:rPr>
          <w:rFonts w:ascii="Book Antiqua" w:hAnsi="Book Antiqua"/>
          <w:color w:val="000000" w:themeColor="text1"/>
          <w:sz w:val="24"/>
          <w:szCs w:val="24"/>
          <w:lang w:val="en-GB"/>
        </w:rPr>
        <w:t xml:space="preserve"> post-transplant IBD to spare the use of systemic steroids.</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Although it has not been investigated in large randomised controlled trials, this approach has been effective in case series of </w:t>
      </w:r>
      <w:r w:rsidR="00C806F3" w:rsidRPr="00392036">
        <w:rPr>
          <w:rFonts w:ascii="Book Antiqua" w:hAnsi="Book Antiqua"/>
          <w:color w:val="000000" w:themeColor="text1"/>
          <w:sz w:val="24"/>
          <w:szCs w:val="24"/>
          <w:lang w:val="en-GB"/>
        </w:rPr>
        <w:t>de novo</w:t>
      </w:r>
      <w:r w:rsidRPr="00392036">
        <w:rPr>
          <w:rFonts w:ascii="Book Antiqua" w:hAnsi="Book Antiqua"/>
          <w:color w:val="000000" w:themeColor="text1"/>
          <w:sz w:val="24"/>
          <w:szCs w:val="24"/>
          <w:lang w:val="en-GB"/>
        </w:rPr>
        <w:t xml:space="preserve"> IBD in the post-transplant </w:t>
      </w:r>
      <w:proofErr w:type="gramStart"/>
      <w:r w:rsidRPr="00392036">
        <w:rPr>
          <w:rFonts w:ascii="Book Antiqua" w:hAnsi="Book Antiqua"/>
          <w:color w:val="000000" w:themeColor="text1"/>
          <w:sz w:val="24"/>
          <w:szCs w:val="24"/>
          <w:lang w:val="en-GB"/>
        </w:rPr>
        <w:t>setting</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62]</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shd w:val="clear" w:color="auto" w:fill="FFFFFF"/>
          <w:lang w:val="en-GB"/>
        </w:rPr>
        <w:t>Moderate-to-severe IBD flare-ups should be treated with corticosteroids (</w:t>
      </w:r>
      <w:r w:rsidRPr="00392036">
        <w:rPr>
          <w:rFonts w:ascii="Book Antiqua" w:hAnsi="Book Antiqua"/>
          <w:i/>
          <w:color w:val="000000" w:themeColor="text1"/>
          <w:sz w:val="24"/>
          <w:szCs w:val="24"/>
          <w:shd w:val="clear" w:color="auto" w:fill="FFFFFF"/>
          <w:lang w:val="en-GB"/>
        </w:rPr>
        <w:t>e.g.,</w:t>
      </w:r>
      <w:r w:rsidRPr="00392036">
        <w:rPr>
          <w:rFonts w:ascii="Book Antiqua" w:hAnsi="Book Antiqua"/>
          <w:color w:val="000000" w:themeColor="text1"/>
          <w:sz w:val="24"/>
          <w:szCs w:val="24"/>
          <w:shd w:val="clear" w:color="auto" w:fill="FFFFFF"/>
          <w:lang w:val="en-GB"/>
        </w:rPr>
        <w:t xml:space="preserve"> a prolonged taper with oral or intravenous induction</w:t>
      </w:r>
      <w:proofErr w:type="gramStart"/>
      <w:r w:rsidRPr="00392036">
        <w:rPr>
          <w:rFonts w:ascii="Book Antiqua" w:hAnsi="Book Antiqua"/>
          <w:color w:val="000000" w:themeColor="text1"/>
          <w:sz w:val="24"/>
          <w:szCs w:val="24"/>
          <w:shd w:val="clear" w:color="auto" w:fill="FFFFFF"/>
          <w:lang w:val="en-GB"/>
        </w:rPr>
        <w:t>)</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29,30,49]</w:t>
      </w:r>
      <w:r w:rsidR="00077B32" w:rsidRPr="00392036">
        <w:rPr>
          <w:rFonts w:ascii="Book Antiqua" w:hAnsi="Book Antiqua"/>
          <w:color w:val="000000" w:themeColor="text1"/>
          <w:sz w:val="24"/>
          <w:szCs w:val="24"/>
          <w:shd w:val="clear" w:color="auto" w:fill="FFFFFF"/>
          <w:lang w:val="en-GB"/>
        </w:rPr>
        <w:t xml:space="preserve">. </w:t>
      </w:r>
      <w:r w:rsidRPr="00392036">
        <w:rPr>
          <w:rFonts w:ascii="Book Antiqua" w:hAnsi="Book Antiqua"/>
          <w:color w:val="000000" w:themeColor="text1"/>
          <w:sz w:val="24"/>
          <w:szCs w:val="24"/>
          <w:shd w:val="clear" w:color="auto" w:fill="FFFFFF"/>
          <w:lang w:val="en-GB"/>
        </w:rPr>
        <w:t xml:space="preserve">In severe cases, corticosteroids are generally applied intravenously using methylprednisolone (60 mg/24 h), and the response is optimally assessed on the third day of application. Higher doses than those recommended are not more effective, whereas lower doses are less </w:t>
      </w:r>
      <w:proofErr w:type="gramStart"/>
      <w:r w:rsidRPr="00392036">
        <w:rPr>
          <w:rFonts w:ascii="Book Antiqua" w:hAnsi="Book Antiqua"/>
          <w:color w:val="000000" w:themeColor="text1"/>
          <w:sz w:val="24"/>
          <w:szCs w:val="24"/>
          <w:shd w:val="clear" w:color="auto" w:fill="FFFFFF"/>
          <w:lang w:val="en-GB"/>
        </w:rPr>
        <w:t>effective</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49]</w:t>
      </w:r>
      <w:r w:rsidR="00077B32" w:rsidRPr="00392036">
        <w:rPr>
          <w:rFonts w:ascii="Book Antiqua" w:hAnsi="Book Antiqua"/>
          <w:color w:val="000000" w:themeColor="text1"/>
          <w:sz w:val="24"/>
          <w:szCs w:val="24"/>
          <w:shd w:val="clear" w:color="auto" w:fill="FFFFFF"/>
          <w:lang w:val="en-GB"/>
        </w:rPr>
        <w:t>. Immunosuppression with azathioprine (2.0-2.5g/kg per day) is shown to be effective as maintenance therapy aft</w:t>
      </w:r>
      <w:bookmarkStart w:id="18" w:name="_Ref352194681"/>
      <w:r w:rsidR="00077B32" w:rsidRPr="00392036">
        <w:rPr>
          <w:rFonts w:ascii="Book Antiqua" w:hAnsi="Book Antiqua"/>
          <w:color w:val="000000" w:themeColor="text1"/>
          <w:sz w:val="24"/>
          <w:szCs w:val="24"/>
          <w:shd w:val="clear" w:color="auto" w:fill="FFFFFF"/>
          <w:lang w:val="en-GB"/>
        </w:rPr>
        <w:t xml:space="preserve">er corticosteroid </w:t>
      </w:r>
      <w:proofErr w:type="gramStart"/>
      <w:r w:rsidR="00077B32" w:rsidRPr="00392036">
        <w:rPr>
          <w:rFonts w:ascii="Book Antiqua" w:hAnsi="Book Antiqua"/>
          <w:color w:val="000000" w:themeColor="text1"/>
          <w:sz w:val="24"/>
          <w:szCs w:val="24"/>
          <w:shd w:val="clear" w:color="auto" w:fill="FFFFFF"/>
          <w:lang w:val="en-GB"/>
        </w:rPr>
        <w:t>application</w:t>
      </w:r>
      <w:bookmarkEnd w:id="18"/>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63]</w:t>
      </w:r>
      <w:r w:rsidR="00077B32" w:rsidRPr="00392036">
        <w:rPr>
          <w:rFonts w:ascii="Book Antiqua" w:hAnsi="Book Antiqua"/>
          <w:color w:val="000000" w:themeColor="text1"/>
          <w:sz w:val="24"/>
          <w:szCs w:val="24"/>
          <w:shd w:val="clear" w:color="auto" w:fill="FFFFFF"/>
          <w:lang w:val="en-GB"/>
        </w:rPr>
        <w:t>.</w:t>
      </w:r>
    </w:p>
    <w:p w:rsidR="00077B32" w:rsidRPr="00392036" w:rsidRDefault="000759F2" w:rsidP="00313A7D">
      <w:pPr>
        <w:pStyle w:val="NormalWeb"/>
        <w:spacing w:beforeLines="0" w:afterLines="0" w:after="0" w:line="360" w:lineRule="auto"/>
        <w:ind w:firstLineChars="150" w:firstLine="360"/>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shd w:val="clear" w:color="auto" w:fill="FFFFFF"/>
          <w:lang w:val="en-GB"/>
        </w:rPr>
        <w:t>Because most patients receiving LT are already on immunosuppressive protocols with calcineurin inhibitors (</w:t>
      </w:r>
      <w:r w:rsidRPr="00392036">
        <w:rPr>
          <w:rFonts w:ascii="Book Antiqua" w:hAnsi="Book Antiqua"/>
          <w:i/>
          <w:color w:val="000000" w:themeColor="text1"/>
          <w:sz w:val="24"/>
          <w:szCs w:val="24"/>
          <w:shd w:val="clear" w:color="auto" w:fill="FFFFFF"/>
          <w:lang w:val="en-GB"/>
        </w:rPr>
        <w:t>e.g.,</w:t>
      </w:r>
      <w:r w:rsidRPr="00392036">
        <w:rPr>
          <w:rFonts w:ascii="Book Antiqua" w:hAnsi="Book Antiqua"/>
          <w:color w:val="000000" w:themeColor="text1"/>
          <w:sz w:val="24"/>
          <w:szCs w:val="24"/>
          <w:shd w:val="clear" w:color="auto" w:fill="FFFFFF"/>
          <w:lang w:val="en-GB"/>
        </w:rPr>
        <w:t xml:space="preserve"> cyclosporine and tacrolimus), second line therapies include biological therapy (</w:t>
      </w:r>
      <w:r w:rsidR="00B74FFE" w:rsidRPr="00392036">
        <w:rPr>
          <w:rFonts w:ascii="Book Antiqua" w:hAnsi="Book Antiqua"/>
          <w:i/>
          <w:color w:val="000000" w:themeColor="text1"/>
          <w:sz w:val="24"/>
          <w:szCs w:val="24"/>
          <w:shd w:val="clear" w:color="auto" w:fill="FFFFFF"/>
          <w:lang w:val="en-GB"/>
        </w:rPr>
        <w:t>e.g.,</w:t>
      </w:r>
      <w:r w:rsidR="00B74FFE" w:rsidRPr="00392036">
        <w:rPr>
          <w:rFonts w:ascii="Book Antiqua" w:hAnsi="Book Antiqua"/>
          <w:i/>
          <w:color w:val="000000" w:themeColor="text1"/>
          <w:sz w:val="24"/>
          <w:szCs w:val="24"/>
          <w:shd w:val="clear" w:color="auto" w:fill="FFFFFF"/>
          <w:lang w:val="en-GB" w:eastAsia="zh-CN"/>
        </w:rPr>
        <w:t xml:space="preserve"> </w:t>
      </w:r>
      <w:r w:rsidRPr="00392036">
        <w:rPr>
          <w:rFonts w:ascii="Book Antiqua" w:hAnsi="Book Antiqua"/>
          <w:color w:val="000000" w:themeColor="text1"/>
          <w:sz w:val="24"/>
          <w:szCs w:val="24"/>
          <w:shd w:val="clear" w:color="auto" w:fill="FFFFFF"/>
          <w:lang w:val="en-GB"/>
        </w:rPr>
        <w:t>infliximab and adalimumab</w:t>
      </w:r>
      <w:proofErr w:type="gramStart"/>
      <w:r w:rsidRPr="00392036">
        <w:rPr>
          <w:rFonts w:ascii="Book Antiqua" w:hAnsi="Book Antiqua"/>
          <w:color w:val="000000" w:themeColor="text1"/>
          <w:sz w:val="24"/>
          <w:szCs w:val="24"/>
          <w:shd w:val="clear" w:color="auto" w:fill="FFFFFF"/>
          <w:lang w:val="en-GB"/>
        </w:rPr>
        <w:t>)</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49]</w:t>
      </w:r>
      <w:r w:rsidR="00077B32" w:rsidRPr="00392036">
        <w:rPr>
          <w:rFonts w:ascii="Book Antiqua" w:hAnsi="Book Antiqua"/>
          <w:color w:val="000000" w:themeColor="text1"/>
          <w:sz w:val="24"/>
          <w:szCs w:val="24"/>
          <w:shd w:val="clear" w:color="auto" w:fill="FFFFFF"/>
          <w:lang w:val="en-GB"/>
        </w:rPr>
        <w:t xml:space="preserve">. </w:t>
      </w:r>
      <w:r w:rsidRPr="00392036">
        <w:rPr>
          <w:rFonts w:ascii="Book Antiqua" w:hAnsi="Book Antiqua"/>
          <w:color w:val="000000" w:themeColor="text1"/>
          <w:sz w:val="24"/>
          <w:szCs w:val="24"/>
          <w:shd w:val="clear" w:color="auto" w:fill="FFFFFF"/>
          <w:lang w:val="en-GB"/>
        </w:rPr>
        <w:t>The overall published number of patients receiving LT with severe IBD started on anti-TNF-alpha treatment is currently limited (31 patients). Consequently, data concerning the long-term efficacy and side effects of this treatment are limited regarding their implementation.</w:t>
      </w:r>
      <w:r w:rsidRPr="00392036">
        <w:rPr>
          <w:rFonts w:ascii="Book Antiqua" w:hAnsi="Book Antiqua"/>
          <w:color w:val="000000" w:themeColor="text1"/>
          <w:sz w:val="24"/>
          <w:szCs w:val="24"/>
          <w:lang w:val="en-GB" w:eastAsia="hr-HR"/>
        </w:rPr>
        <w:t xml:space="preserve"> Of the 31 patients receiving LT who were submitted to anti-TNF-alpha therapy, 24 showed a clinical response (77.42%); the </w:t>
      </w:r>
      <w:r w:rsidRPr="00392036">
        <w:rPr>
          <w:rFonts w:ascii="Book Antiqua" w:hAnsi="Book Antiqua"/>
          <w:color w:val="000000" w:themeColor="text1"/>
          <w:sz w:val="24"/>
          <w:szCs w:val="24"/>
          <w:lang w:val="en-GB"/>
        </w:rPr>
        <w:t xml:space="preserve">mucosal healing rate approached 43%, and the ability to taper off corticosteroids occurred in 83.3% of patients. However, </w:t>
      </w:r>
      <w:r w:rsidRPr="00392036">
        <w:rPr>
          <w:rFonts w:ascii="Book Antiqua" w:hAnsi="Book Antiqua"/>
          <w:color w:val="000000" w:themeColor="text1"/>
          <w:sz w:val="24"/>
          <w:szCs w:val="24"/>
          <w:lang w:val="en-GB" w:eastAsia="hr-HR"/>
        </w:rPr>
        <w:t xml:space="preserve">7 patients had serious infections (22.58%), and 2 patients developed malignancies (6.45%). No mortalities were reported. The potential side effects of biological therapy in the post-transplant setting might be severe (mostly related to malignancy, infection and autoimmune diseases); thus, cautious administration and vigilant patient re-evaluation are </w:t>
      </w:r>
      <w:proofErr w:type="gramStart"/>
      <w:r w:rsidRPr="00392036">
        <w:rPr>
          <w:rFonts w:ascii="Book Antiqua" w:hAnsi="Book Antiqua"/>
          <w:color w:val="000000" w:themeColor="text1"/>
          <w:sz w:val="24"/>
          <w:szCs w:val="24"/>
          <w:lang w:val="en-GB" w:eastAsia="hr-HR"/>
        </w:rPr>
        <w:t>required</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37]</w:t>
      </w:r>
      <w:r w:rsidR="00D77F18" w:rsidRPr="00392036">
        <w:rPr>
          <w:rFonts w:ascii="Book Antiqua" w:hAnsi="Book Antiqua"/>
          <w:color w:val="000000" w:themeColor="text1"/>
          <w:sz w:val="24"/>
          <w:szCs w:val="24"/>
        </w:rPr>
        <w:t>.</w:t>
      </w:r>
      <w:r w:rsidR="00D77F18" w:rsidRPr="00392036">
        <w:rPr>
          <w:rFonts w:ascii="Book Antiqua" w:hAnsi="Book Antiqua"/>
          <w:color w:val="000000" w:themeColor="text1"/>
          <w:sz w:val="24"/>
          <w:szCs w:val="24"/>
          <w:lang w:val="en-GB" w:eastAsia="hr-HR"/>
        </w:rPr>
        <w:t xml:space="preserve"> </w:t>
      </w:r>
    </w:p>
    <w:p w:rsidR="00077B32" w:rsidRPr="00392036" w:rsidRDefault="000759F2" w:rsidP="00313A7D">
      <w:pPr>
        <w:autoSpaceDE w:val="0"/>
        <w:autoSpaceDN w:val="0"/>
        <w:adjustRightInd w:val="0"/>
        <w:spacing w:after="0" w:line="360" w:lineRule="auto"/>
        <w:ind w:firstLineChars="150" w:firstLine="360"/>
        <w:jc w:val="both"/>
        <w:rPr>
          <w:rFonts w:ascii="Book Antiqua" w:hAnsi="Book Antiqua" w:cs="Times New Roman"/>
          <w:color w:val="000000" w:themeColor="text1"/>
          <w:sz w:val="24"/>
          <w:szCs w:val="24"/>
        </w:rPr>
      </w:pPr>
      <w:r w:rsidRPr="00392036">
        <w:rPr>
          <w:rFonts w:ascii="Book Antiqua" w:hAnsi="Book Antiqua" w:cs="Times New Roman"/>
          <w:color w:val="000000" w:themeColor="text1"/>
          <w:sz w:val="24"/>
          <w:szCs w:val="24"/>
        </w:rPr>
        <w:t xml:space="preserve">Compared with patients with recurrent IBD, those with </w:t>
      </w:r>
      <w:r w:rsidR="00C806F3" w:rsidRPr="00392036">
        <w:rPr>
          <w:rFonts w:ascii="Book Antiqua" w:hAnsi="Book Antiqua" w:cs="Times New Roman"/>
          <w:i/>
          <w:color w:val="000000" w:themeColor="text1"/>
          <w:sz w:val="24"/>
          <w:szCs w:val="24"/>
        </w:rPr>
        <w:t>de novo</w:t>
      </w:r>
      <w:r w:rsidRPr="00392036">
        <w:rPr>
          <w:rFonts w:ascii="Book Antiqua" w:hAnsi="Book Antiqua" w:cs="Times New Roman"/>
          <w:color w:val="000000" w:themeColor="text1"/>
          <w:sz w:val="24"/>
          <w:szCs w:val="24"/>
        </w:rPr>
        <w:t xml:space="preserve"> IBD responded better to medical therapy and needed fewer </w:t>
      </w:r>
      <w:proofErr w:type="gramStart"/>
      <w:r w:rsidRPr="00392036">
        <w:rPr>
          <w:rFonts w:ascii="Book Antiqua" w:hAnsi="Book Antiqua" w:cs="Times New Roman"/>
          <w:color w:val="000000" w:themeColor="text1"/>
          <w:sz w:val="24"/>
          <w:szCs w:val="24"/>
        </w:rPr>
        <w:t>proctocolectomies</w:t>
      </w:r>
      <w:r w:rsidR="00777819" w:rsidRPr="00392036">
        <w:rPr>
          <w:rFonts w:ascii="Book Antiqua" w:hAnsi="Book Antiqua"/>
          <w:color w:val="000000" w:themeColor="text1"/>
          <w:sz w:val="24"/>
          <w:szCs w:val="24"/>
          <w:vertAlign w:val="superscript"/>
        </w:rPr>
        <w:t>[</w:t>
      </w:r>
      <w:proofErr w:type="gramEnd"/>
      <w:r w:rsidR="00777819" w:rsidRPr="00392036">
        <w:rPr>
          <w:rFonts w:ascii="Book Antiqua" w:hAnsi="Book Antiqua"/>
          <w:color w:val="000000" w:themeColor="text1"/>
          <w:sz w:val="24"/>
          <w:szCs w:val="24"/>
          <w:vertAlign w:val="superscript"/>
        </w:rPr>
        <w:t>41]</w:t>
      </w:r>
      <w:r w:rsidR="00A51977" w:rsidRPr="00392036">
        <w:rPr>
          <w:rFonts w:ascii="Book Antiqua" w:hAnsi="Book Antiqua" w:cs="Times New Roman"/>
          <w:color w:val="000000" w:themeColor="text1"/>
          <w:sz w:val="24"/>
          <w:szCs w:val="24"/>
        </w:rPr>
        <w:t>.</w:t>
      </w:r>
    </w:p>
    <w:p w:rsidR="000759F2" w:rsidRPr="00392036" w:rsidRDefault="000759F2" w:rsidP="00313A7D">
      <w:pPr>
        <w:autoSpaceDE w:val="0"/>
        <w:autoSpaceDN w:val="0"/>
        <w:adjustRightInd w:val="0"/>
        <w:spacing w:after="0" w:line="360" w:lineRule="auto"/>
        <w:ind w:firstLineChars="150" w:firstLine="360"/>
        <w:jc w:val="both"/>
        <w:rPr>
          <w:rFonts w:ascii="Book Antiqua" w:hAnsi="Book Antiqua" w:cs="Times New Roman"/>
          <w:color w:val="000000" w:themeColor="text1"/>
          <w:sz w:val="24"/>
          <w:szCs w:val="24"/>
        </w:rPr>
      </w:pPr>
      <w:r w:rsidRPr="00392036">
        <w:rPr>
          <w:rFonts w:ascii="Book Antiqua" w:hAnsi="Book Antiqua" w:cs="Times New Roman"/>
          <w:color w:val="000000" w:themeColor="text1"/>
          <w:sz w:val="24"/>
          <w:szCs w:val="24"/>
        </w:rPr>
        <w:t xml:space="preserve">In cases of IBD refractory to conventional medical treatment, surgery should be considered as an alternative therapeutic approach. </w:t>
      </w:r>
    </w:p>
    <w:p w:rsidR="00077B32" w:rsidRPr="00392036" w:rsidRDefault="00077B32" w:rsidP="00313A7D">
      <w:pPr>
        <w:autoSpaceDE w:val="0"/>
        <w:autoSpaceDN w:val="0"/>
        <w:adjustRightInd w:val="0"/>
        <w:spacing w:after="0" w:line="360" w:lineRule="auto"/>
        <w:jc w:val="both"/>
        <w:rPr>
          <w:rFonts w:ascii="Book Antiqua" w:hAnsi="Book Antiqua" w:cs="Times New Roman"/>
          <w:color w:val="000000" w:themeColor="text1"/>
          <w:sz w:val="24"/>
          <w:szCs w:val="24"/>
        </w:rPr>
      </w:pPr>
    </w:p>
    <w:p w:rsidR="00077B32" w:rsidRPr="00392036" w:rsidRDefault="00077B32" w:rsidP="00313A7D">
      <w:pPr>
        <w:autoSpaceDE w:val="0"/>
        <w:autoSpaceDN w:val="0"/>
        <w:adjustRightInd w:val="0"/>
        <w:spacing w:after="0" w:line="360" w:lineRule="auto"/>
        <w:jc w:val="both"/>
        <w:rPr>
          <w:rFonts w:ascii="Book Antiqua" w:hAnsi="Book Antiqua" w:cs="Times New Roman"/>
          <w:b/>
          <w:color w:val="000000" w:themeColor="text1"/>
          <w:sz w:val="24"/>
          <w:szCs w:val="24"/>
        </w:rPr>
      </w:pPr>
      <w:r w:rsidRPr="00392036">
        <w:rPr>
          <w:rFonts w:ascii="Book Antiqua" w:hAnsi="Book Antiqua" w:cs="Times New Roman"/>
          <w:b/>
          <w:color w:val="000000" w:themeColor="text1"/>
          <w:sz w:val="24"/>
          <w:szCs w:val="24"/>
        </w:rPr>
        <w:t xml:space="preserve">PROCTOCOLECTOMY </w:t>
      </w:r>
    </w:p>
    <w:p w:rsidR="00077B32" w:rsidRPr="00392036" w:rsidRDefault="002A1FCF" w:rsidP="00313A7D">
      <w:pPr>
        <w:autoSpaceDE w:val="0"/>
        <w:autoSpaceDN w:val="0"/>
        <w:adjustRightInd w:val="0"/>
        <w:spacing w:after="0" w:line="360" w:lineRule="auto"/>
        <w:jc w:val="both"/>
        <w:rPr>
          <w:rFonts w:ascii="Book Antiqua" w:hAnsi="Book Antiqua" w:cs="Times New Roman"/>
          <w:color w:val="000000" w:themeColor="text1"/>
          <w:sz w:val="24"/>
          <w:szCs w:val="24"/>
        </w:rPr>
      </w:pPr>
      <w:r w:rsidRPr="00392036">
        <w:rPr>
          <w:rFonts w:ascii="Book Antiqua" w:hAnsi="Book Antiqua" w:cs="Times New Roman"/>
          <w:color w:val="000000" w:themeColor="text1"/>
          <w:sz w:val="24"/>
          <w:szCs w:val="24"/>
        </w:rPr>
        <w:t xml:space="preserve">In cases of acute severe colitis, medically refractory colitis, dysplasia or colorectal carcinoma, surgery remains a subsequent treatment </w:t>
      </w:r>
      <w:proofErr w:type="gramStart"/>
      <w:r w:rsidRPr="00392036">
        <w:rPr>
          <w:rFonts w:ascii="Book Antiqua" w:hAnsi="Book Antiqua" w:cs="Times New Roman"/>
          <w:color w:val="000000" w:themeColor="text1"/>
          <w:sz w:val="24"/>
          <w:szCs w:val="24"/>
        </w:rPr>
        <w:t>option</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49]</w:t>
      </w:r>
      <w:r w:rsidR="00077B32" w:rsidRPr="00392036">
        <w:rPr>
          <w:rFonts w:ascii="Book Antiqua" w:hAnsi="Book Antiqua"/>
          <w:color w:val="000000" w:themeColor="text1"/>
          <w:sz w:val="24"/>
          <w:szCs w:val="24"/>
          <w:shd w:val="clear" w:color="auto" w:fill="FFFFFF"/>
        </w:rPr>
        <w:t>.</w:t>
      </w:r>
    </w:p>
    <w:p w:rsidR="00077B32" w:rsidRPr="00392036" w:rsidRDefault="002A1FCF" w:rsidP="00313A7D">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392036">
        <w:rPr>
          <w:rFonts w:ascii="Book Antiqua" w:hAnsi="Book Antiqua" w:cs="Times New Roman"/>
          <w:color w:val="000000" w:themeColor="text1"/>
          <w:sz w:val="24"/>
          <w:szCs w:val="24"/>
        </w:rPr>
        <w:t>The overall need of proctocolectomy after LT is approximately 35</w:t>
      </w:r>
      <w:proofErr w:type="gramStart"/>
      <w:r w:rsidRPr="00392036">
        <w:rPr>
          <w:rFonts w:ascii="Book Antiqua" w:hAnsi="Book Antiqua" w:cs="Times New Roman"/>
          <w:color w:val="000000" w:themeColor="text1"/>
          <w:sz w:val="24"/>
          <w:szCs w:val="24"/>
        </w:rPr>
        <w:t>%</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37]</w:t>
      </w:r>
      <w:r w:rsidR="00077B32" w:rsidRPr="00392036">
        <w:rPr>
          <w:rFonts w:ascii="Book Antiqua" w:hAnsi="Book Antiqua" w:cs="Times New Roman"/>
          <w:color w:val="000000" w:themeColor="text1"/>
          <w:sz w:val="24"/>
          <w:szCs w:val="24"/>
          <w:shd w:val="clear" w:color="auto" w:fill="FFFFFF" w:themeFill="background1"/>
        </w:rPr>
        <w:t xml:space="preserve">. </w:t>
      </w:r>
      <w:r w:rsidRPr="00392036">
        <w:rPr>
          <w:rFonts w:ascii="Book Antiqua" w:hAnsi="Book Antiqua" w:cs="Times New Roman"/>
          <w:color w:val="000000" w:themeColor="text1"/>
          <w:sz w:val="24"/>
          <w:szCs w:val="24"/>
        </w:rPr>
        <w:t>Several studies have reported that proctocolectomy was required after LT due to medically refractory disease or severe IBD flare-ups in 9% of patients on average (range, 0-21%</w:t>
      </w:r>
      <w:proofErr w:type="gramStart"/>
      <w:r w:rsidRPr="00392036">
        <w:rPr>
          <w:rFonts w:ascii="Book Antiqua" w:hAnsi="Book Antiqua" w:cs="Times New Roman"/>
          <w:color w:val="000000" w:themeColor="text1"/>
          <w:sz w:val="24"/>
          <w:szCs w:val="24"/>
        </w:rPr>
        <w:t>)</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63]</w:t>
      </w:r>
      <w:r w:rsidR="00077B32" w:rsidRPr="00392036">
        <w:rPr>
          <w:rFonts w:ascii="Book Antiqua" w:hAnsi="Book Antiqua" w:cs="Times New Roman"/>
          <w:color w:val="000000" w:themeColor="text1"/>
          <w:sz w:val="24"/>
          <w:szCs w:val="24"/>
        </w:rPr>
        <w:t xml:space="preserve">. Dvorchik </w:t>
      </w:r>
      <w:r w:rsidR="00077B32" w:rsidRPr="00392036">
        <w:rPr>
          <w:rFonts w:ascii="Book Antiqua" w:hAnsi="Book Antiqua" w:cs="Times New Roman"/>
          <w:i/>
          <w:color w:val="000000" w:themeColor="text1"/>
          <w:sz w:val="24"/>
          <w:szCs w:val="24"/>
        </w:rPr>
        <w:t xml:space="preserve">et </w:t>
      </w:r>
      <w:proofErr w:type="gramStart"/>
      <w:r w:rsidR="00077B32" w:rsidRPr="00392036">
        <w:rPr>
          <w:rFonts w:ascii="Book Antiqua" w:hAnsi="Book Antiqua" w:cs="Times New Roman"/>
          <w:i/>
          <w:color w:val="000000" w:themeColor="text1"/>
          <w:sz w:val="24"/>
          <w:szCs w:val="24"/>
        </w:rPr>
        <w:t>al</w:t>
      </w:r>
      <w:r w:rsidR="00B74FFE" w:rsidRPr="00392036">
        <w:rPr>
          <w:rFonts w:ascii="Book Antiqua" w:hAnsi="Book Antiqua"/>
          <w:color w:val="000000" w:themeColor="text1"/>
          <w:sz w:val="24"/>
          <w:szCs w:val="24"/>
          <w:vertAlign w:val="superscript"/>
        </w:rPr>
        <w:t>[</w:t>
      </w:r>
      <w:proofErr w:type="gramEnd"/>
      <w:r w:rsidR="00B74FFE" w:rsidRPr="00392036">
        <w:rPr>
          <w:rFonts w:ascii="Book Antiqua" w:hAnsi="Book Antiqua"/>
          <w:color w:val="000000" w:themeColor="text1"/>
          <w:sz w:val="24"/>
          <w:szCs w:val="24"/>
          <w:vertAlign w:val="superscript"/>
        </w:rPr>
        <w:t>35]</w:t>
      </w:r>
      <w:r w:rsidR="00077B32" w:rsidRPr="00392036">
        <w:rPr>
          <w:rFonts w:ascii="Book Antiqua" w:hAnsi="Book Antiqua" w:cs="Times New Roman"/>
          <w:color w:val="000000" w:themeColor="text1"/>
          <w:sz w:val="24"/>
          <w:szCs w:val="24"/>
        </w:rPr>
        <w:t xml:space="preserve"> </w:t>
      </w:r>
      <w:r w:rsidRPr="00392036">
        <w:rPr>
          <w:rFonts w:ascii="Book Antiqua" w:hAnsi="Book Antiqua" w:cs="Times New Roman"/>
          <w:color w:val="000000" w:themeColor="text1"/>
          <w:sz w:val="24"/>
          <w:szCs w:val="24"/>
        </w:rPr>
        <w:t>reported a 3.1-fold increased risk of proctocolectomy due to refractory disease in patients with PSC-IBD requiring LT compared with the overall IBD population</w:t>
      </w:r>
      <w:r w:rsidR="00077B32" w:rsidRPr="00392036">
        <w:rPr>
          <w:rFonts w:ascii="Book Antiqua" w:hAnsi="Book Antiqua" w:cs="Times New Roman"/>
          <w:color w:val="000000" w:themeColor="text1"/>
          <w:sz w:val="24"/>
          <w:szCs w:val="24"/>
        </w:rPr>
        <w:t xml:space="preserve">. </w:t>
      </w:r>
      <w:r w:rsidRPr="00392036">
        <w:rPr>
          <w:rFonts w:ascii="Book Antiqua" w:hAnsi="Book Antiqua" w:cs="Times New Roman"/>
          <w:color w:val="000000" w:themeColor="text1"/>
          <w:sz w:val="24"/>
          <w:szCs w:val="24"/>
        </w:rPr>
        <w:t>Cleveland’s study showed that proctocolectomy was performed in 76.5% of patients with PSC-IBD who did not require LT and in 34.9% of those requiring LT (HR</w:t>
      </w:r>
      <w:r w:rsidR="00B74FFE" w:rsidRPr="00392036">
        <w:rPr>
          <w:rFonts w:ascii="Book Antiqua" w:hAnsi="Book Antiqua" w:cs="Times New Roman"/>
          <w:color w:val="000000" w:themeColor="text1"/>
          <w:sz w:val="24"/>
          <w:szCs w:val="24"/>
          <w:lang w:eastAsia="zh-CN"/>
        </w:rPr>
        <w:t xml:space="preserve"> =</w:t>
      </w:r>
      <w:r w:rsidRPr="00392036">
        <w:rPr>
          <w:rFonts w:ascii="Book Antiqua" w:hAnsi="Book Antiqua" w:cs="Times New Roman"/>
          <w:color w:val="000000" w:themeColor="text1"/>
          <w:sz w:val="24"/>
          <w:szCs w:val="24"/>
        </w:rPr>
        <w:t xml:space="preserve"> 0.43</w:t>
      </w:r>
      <w:proofErr w:type="gramStart"/>
      <w:r w:rsidRPr="00392036">
        <w:rPr>
          <w:rFonts w:ascii="Book Antiqua" w:hAnsi="Book Antiqua" w:cs="Times New Roman"/>
          <w:color w:val="000000" w:themeColor="text1"/>
          <w:sz w:val="24"/>
          <w:szCs w:val="24"/>
        </w:rPr>
        <w:t>)</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17]</w:t>
      </w:r>
      <w:r w:rsidR="00D77F18" w:rsidRPr="00392036">
        <w:rPr>
          <w:rFonts w:ascii="Book Antiqua" w:hAnsi="Book Antiqua" w:cs="Times New Roman"/>
          <w:color w:val="000000" w:themeColor="text1"/>
          <w:sz w:val="24"/>
          <w:szCs w:val="24"/>
        </w:rPr>
        <w:t xml:space="preserve">. </w:t>
      </w:r>
      <w:r w:rsidRPr="00392036">
        <w:rPr>
          <w:rFonts w:ascii="Book Antiqua" w:hAnsi="Book Antiqua" w:cs="Times New Roman"/>
          <w:color w:val="000000" w:themeColor="text1"/>
          <w:sz w:val="24"/>
          <w:szCs w:val="24"/>
        </w:rPr>
        <w:t xml:space="preserve">IBD activity after LT was assessed through patient perception, clinical assessment, endoscopy, histological findings or some combination therein; these different methods might explain the considerable variability in the reported findings of patients requiring proctocolectomy </w:t>
      </w:r>
      <w:r w:rsidR="00D77F18" w:rsidRPr="00392036">
        <w:rPr>
          <w:rFonts w:ascii="Book Antiqua" w:hAnsi="Book Antiqua" w:cs="Times New Roman"/>
          <w:color w:val="000000" w:themeColor="text1"/>
          <w:sz w:val="24"/>
          <w:szCs w:val="24"/>
        </w:rPr>
        <w:t>(0-21%)</w:t>
      </w:r>
      <w:r w:rsidR="00077B32" w:rsidRPr="00392036">
        <w:rPr>
          <w:rFonts w:ascii="Book Antiqua" w:hAnsi="Book Antiqua" w:cs="Times New Roman"/>
          <w:color w:val="000000" w:themeColor="text1"/>
          <w:sz w:val="24"/>
          <w:szCs w:val="24"/>
        </w:rPr>
        <w:t>.</w:t>
      </w:r>
    </w:p>
    <w:p w:rsidR="00077B32" w:rsidRPr="00392036" w:rsidRDefault="002A1FCF" w:rsidP="00313A7D">
      <w:pPr>
        <w:autoSpaceDE w:val="0"/>
        <w:autoSpaceDN w:val="0"/>
        <w:adjustRightInd w:val="0"/>
        <w:spacing w:after="0" w:line="360" w:lineRule="auto"/>
        <w:ind w:firstLineChars="150" w:firstLine="360"/>
        <w:jc w:val="both"/>
        <w:rPr>
          <w:rFonts w:ascii="Book Antiqua" w:hAnsi="Book Antiqua" w:cs="Times New Roman"/>
          <w:color w:val="000000" w:themeColor="text1"/>
          <w:sz w:val="24"/>
          <w:szCs w:val="24"/>
        </w:rPr>
      </w:pPr>
      <w:r w:rsidRPr="00392036">
        <w:rPr>
          <w:rFonts w:ascii="Book Antiqua" w:hAnsi="Book Antiqua" w:cs="Times New Roman"/>
          <w:color w:val="000000" w:themeColor="text1"/>
          <w:sz w:val="24"/>
          <w:szCs w:val="24"/>
        </w:rPr>
        <w:t>The most common surgical option for patients with ulcerative colitis was proctocolectomy with ileal-pouch-anal anastomosis (</w:t>
      </w:r>
      <w:bookmarkStart w:id="19" w:name="OLE_LINK1"/>
      <w:bookmarkStart w:id="20" w:name="OLE_LINK2"/>
      <w:r w:rsidRPr="00392036">
        <w:rPr>
          <w:rFonts w:ascii="Book Antiqua" w:hAnsi="Book Antiqua" w:cs="Times New Roman"/>
          <w:color w:val="000000" w:themeColor="text1"/>
          <w:sz w:val="24"/>
          <w:szCs w:val="24"/>
        </w:rPr>
        <w:t>IPAA</w:t>
      </w:r>
      <w:bookmarkEnd w:id="19"/>
      <w:bookmarkEnd w:id="20"/>
      <w:r w:rsidRPr="00392036">
        <w:rPr>
          <w:rFonts w:ascii="Book Antiqua" w:hAnsi="Book Antiqua" w:cs="Times New Roman"/>
          <w:color w:val="000000" w:themeColor="text1"/>
          <w:sz w:val="24"/>
          <w:szCs w:val="24"/>
        </w:rPr>
        <w:t xml:space="preserve">). IPAA is relatively safe and effective for patients with IBD receiving </w:t>
      </w:r>
      <w:proofErr w:type="gramStart"/>
      <w:r w:rsidRPr="00392036">
        <w:rPr>
          <w:rFonts w:ascii="Book Antiqua" w:hAnsi="Book Antiqua" w:cs="Times New Roman"/>
          <w:color w:val="000000" w:themeColor="text1"/>
          <w:sz w:val="24"/>
          <w:szCs w:val="24"/>
        </w:rPr>
        <w:t>LT</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64]</w:t>
      </w:r>
      <w:r w:rsidR="00077B32" w:rsidRPr="00392036">
        <w:rPr>
          <w:rFonts w:ascii="Book Antiqua" w:hAnsi="Book Antiqua" w:cs="Times New Roman"/>
          <w:color w:val="000000" w:themeColor="text1"/>
          <w:sz w:val="24"/>
          <w:szCs w:val="24"/>
        </w:rPr>
        <w:t xml:space="preserve">. </w:t>
      </w:r>
      <w:r w:rsidRPr="00392036">
        <w:rPr>
          <w:rFonts w:ascii="Book Antiqua" w:hAnsi="Book Antiqua" w:cs="Times New Roman"/>
          <w:color w:val="000000" w:themeColor="text1"/>
          <w:sz w:val="24"/>
          <w:szCs w:val="24"/>
        </w:rPr>
        <w:t>Pouchitis is the most common complication in patients undergoing IPAA, which can develop in its acute form in up to 66% of patients (14</w:t>
      </w:r>
      <w:r w:rsidR="00B74FFE" w:rsidRPr="00392036">
        <w:rPr>
          <w:rFonts w:ascii="Book Antiqua" w:hAnsi="Book Antiqua" w:cs="Times New Roman"/>
          <w:color w:val="000000" w:themeColor="text1"/>
          <w:sz w:val="24"/>
          <w:szCs w:val="24"/>
          <w:lang w:eastAsia="zh-CN"/>
        </w:rPr>
        <w:t>%</w:t>
      </w:r>
      <w:r w:rsidRPr="00392036">
        <w:rPr>
          <w:rFonts w:ascii="Book Antiqua" w:hAnsi="Book Antiqua" w:cs="Times New Roman"/>
          <w:color w:val="000000" w:themeColor="text1"/>
          <w:sz w:val="24"/>
          <w:szCs w:val="24"/>
        </w:rPr>
        <w:t>-66%) and in its chronic form in up to 74% of patients (9</w:t>
      </w:r>
      <w:r w:rsidR="00B74FFE" w:rsidRPr="00392036">
        <w:rPr>
          <w:rFonts w:ascii="Book Antiqua" w:hAnsi="Book Antiqua" w:cs="Times New Roman"/>
          <w:color w:val="000000" w:themeColor="text1"/>
          <w:sz w:val="24"/>
          <w:szCs w:val="24"/>
          <w:lang w:eastAsia="zh-CN"/>
        </w:rPr>
        <w:t>%</w:t>
      </w:r>
      <w:r w:rsidRPr="00392036">
        <w:rPr>
          <w:rFonts w:ascii="Book Antiqua" w:hAnsi="Book Antiqua" w:cs="Times New Roman"/>
          <w:color w:val="000000" w:themeColor="text1"/>
          <w:sz w:val="24"/>
          <w:szCs w:val="24"/>
        </w:rPr>
        <w:t>-74%)</w:t>
      </w:r>
      <w:r w:rsidR="00D77F18" w:rsidRPr="00392036">
        <w:rPr>
          <w:rFonts w:ascii="Book Antiqua" w:hAnsi="Book Antiqua"/>
          <w:color w:val="000000" w:themeColor="text1"/>
          <w:sz w:val="24"/>
          <w:szCs w:val="24"/>
          <w:vertAlign w:val="superscript"/>
        </w:rPr>
        <w:t>[65,66]</w:t>
      </w:r>
      <w:r w:rsidR="006F4BF8" w:rsidRPr="00392036">
        <w:rPr>
          <w:rFonts w:ascii="Book Antiqua" w:hAnsi="Book Antiqua" w:cs="Times New Roman"/>
          <w:color w:val="000000" w:themeColor="text1"/>
          <w:sz w:val="24"/>
          <w:szCs w:val="24"/>
        </w:rPr>
        <w:t>.</w:t>
      </w:r>
      <w:r w:rsidR="00077B32" w:rsidRPr="00392036">
        <w:rPr>
          <w:rFonts w:ascii="Book Antiqua" w:hAnsi="Book Antiqua" w:cs="Times New Roman"/>
          <w:color w:val="000000" w:themeColor="text1"/>
          <w:sz w:val="24"/>
          <w:szCs w:val="24"/>
        </w:rPr>
        <w:t xml:space="preserve"> </w:t>
      </w:r>
      <w:r w:rsidRPr="00392036">
        <w:rPr>
          <w:rFonts w:ascii="Book Antiqua" w:hAnsi="Book Antiqua" w:cs="Times New Roman"/>
          <w:color w:val="000000" w:themeColor="text1"/>
          <w:sz w:val="24"/>
          <w:szCs w:val="24"/>
        </w:rPr>
        <w:t>PSC is related to an increased risk for developing pouchitis; it occurs in 60</w:t>
      </w:r>
      <w:r w:rsidR="00B74FFE" w:rsidRPr="00392036">
        <w:rPr>
          <w:rFonts w:ascii="Book Antiqua" w:hAnsi="Book Antiqua" w:cs="Times New Roman"/>
          <w:color w:val="000000" w:themeColor="text1"/>
          <w:sz w:val="24"/>
          <w:szCs w:val="24"/>
          <w:lang w:eastAsia="zh-CN"/>
        </w:rPr>
        <w:t>%</w:t>
      </w:r>
      <w:r w:rsidRPr="00392036">
        <w:rPr>
          <w:rFonts w:ascii="Book Antiqua" w:hAnsi="Book Antiqua" w:cs="Times New Roman"/>
          <w:color w:val="000000" w:themeColor="text1"/>
          <w:sz w:val="24"/>
          <w:szCs w:val="24"/>
        </w:rPr>
        <w:t xml:space="preserve">-90% of non-transplanted patients with PSC/IBD. The severity of PSC is not related to the risk of </w:t>
      </w:r>
      <w:proofErr w:type="gramStart"/>
      <w:r w:rsidRPr="00392036">
        <w:rPr>
          <w:rFonts w:ascii="Book Antiqua" w:hAnsi="Book Antiqua" w:cs="Times New Roman"/>
          <w:color w:val="000000" w:themeColor="text1"/>
          <w:sz w:val="24"/>
          <w:szCs w:val="24"/>
        </w:rPr>
        <w:t>pouchitis</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17]</w:t>
      </w:r>
      <w:r w:rsidR="00077B32" w:rsidRPr="00392036">
        <w:rPr>
          <w:rFonts w:ascii="Book Antiqua" w:hAnsi="Book Antiqua" w:cs="Times New Roman"/>
          <w:color w:val="000000" w:themeColor="text1"/>
          <w:sz w:val="24"/>
          <w:szCs w:val="24"/>
        </w:rPr>
        <w:t xml:space="preserve">. </w:t>
      </w:r>
      <w:r w:rsidRPr="00392036">
        <w:rPr>
          <w:rFonts w:ascii="Book Antiqua" w:hAnsi="Book Antiqua" w:cs="Times New Roman"/>
          <w:color w:val="000000" w:themeColor="text1"/>
          <w:sz w:val="24"/>
          <w:szCs w:val="24"/>
        </w:rPr>
        <w:t xml:space="preserve">Whether LT itself significantly modifies the risk of developing pouchitis has not been </w:t>
      </w:r>
      <w:proofErr w:type="gramStart"/>
      <w:r w:rsidRPr="00392036">
        <w:rPr>
          <w:rFonts w:ascii="Book Antiqua" w:hAnsi="Book Antiqua" w:cs="Times New Roman"/>
          <w:color w:val="000000" w:themeColor="text1"/>
          <w:sz w:val="24"/>
          <w:szCs w:val="24"/>
        </w:rPr>
        <w:t>explored</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17]</w:t>
      </w:r>
      <w:r w:rsidR="00077B32" w:rsidRPr="00392036">
        <w:rPr>
          <w:rFonts w:ascii="Book Antiqua" w:hAnsi="Book Antiqua" w:cs="Times New Roman"/>
          <w:color w:val="000000" w:themeColor="text1"/>
          <w:sz w:val="24"/>
          <w:szCs w:val="24"/>
        </w:rPr>
        <w:t xml:space="preserve">. </w:t>
      </w:r>
      <w:r w:rsidRPr="00392036">
        <w:rPr>
          <w:rFonts w:ascii="Book Antiqua" w:hAnsi="Book Antiqua" w:cs="Times New Roman"/>
          <w:color w:val="000000" w:themeColor="text1"/>
          <w:sz w:val="24"/>
          <w:szCs w:val="24"/>
        </w:rPr>
        <w:t xml:space="preserve">In most series, pouchitis is effectively treated using standard treatment options according to IBD </w:t>
      </w:r>
      <w:proofErr w:type="gramStart"/>
      <w:r w:rsidRPr="00392036">
        <w:rPr>
          <w:rFonts w:ascii="Book Antiqua" w:hAnsi="Book Antiqua" w:cs="Times New Roman"/>
          <w:color w:val="000000" w:themeColor="text1"/>
          <w:sz w:val="24"/>
          <w:szCs w:val="24"/>
        </w:rPr>
        <w:t>guidelines</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30]</w:t>
      </w:r>
      <w:r w:rsidR="00D77F18" w:rsidRPr="00392036">
        <w:rPr>
          <w:rFonts w:ascii="Book Antiqua" w:hAnsi="Book Antiqua" w:cs="Times New Roman"/>
          <w:color w:val="000000" w:themeColor="text1"/>
          <w:sz w:val="24"/>
          <w:szCs w:val="24"/>
        </w:rPr>
        <w:t>.</w:t>
      </w:r>
    </w:p>
    <w:p w:rsidR="00077B32" w:rsidRPr="00392036" w:rsidRDefault="002A1FCF" w:rsidP="00313A7D">
      <w:pPr>
        <w:pStyle w:val="NormalWeb"/>
        <w:spacing w:beforeLines="0" w:afterLines="0" w:after="0" w:line="360" w:lineRule="auto"/>
        <w:ind w:firstLineChars="150" w:firstLine="360"/>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lang w:val="en-GB"/>
        </w:rPr>
        <w:t>The o</w:t>
      </w:r>
      <w:r w:rsidR="00077B32" w:rsidRPr="00392036">
        <w:rPr>
          <w:rFonts w:ascii="Book Antiqua" w:hAnsi="Book Antiqua"/>
          <w:color w:val="000000" w:themeColor="text1"/>
          <w:sz w:val="24"/>
          <w:szCs w:val="24"/>
          <w:lang w:val="en-GB"/>
        </w:rPr>
        <w:t xml:space="preserve">ptimal timing for proctocolectomy (before, during or after LT) is not well defined. </w:t>
      </w:r>
      <w:r w:rsidR="00487B95" w:rsidRPr="00392036">
        <w:rPr>
          <w:rFonts w:ascii="Book Antiqua" w:hAnsi="Book Antiqua"/>
          <w:color w:val="000000" w:themeColor="text1"/>
          <w:sz w:val="24"/>
          <w:szCs w:val="24"/>
          <w:lang w:val="en-GB"/>
        </w:rPr>
        <w:t>Pre- and peri-transplant proctocolectomies are significantly protective against recurrent PSC compared with post-transplant proctocolectomy (</w:t>
      </w:r>
      <w:r w:rsidR="00C419E3" w:rsidRPr="00392036">
        <w:rPr>
          <w:rFonts w:ascii="Book Antiqua" w:hAnsi="Book Antiqua"/>
          <w:color w:val="000000" w:themeColor="text1"/>
          <w:sz w:val="24"/>
          <w:szCs w:val="24"/>
          <w:lang w:val="en-GB"/>
        </w:rPr>
        <w:t>HR</w:t>
      </w:r>
      <w:r w:rsidR="00B74FFE" w:rsidRPr="00392036">
        <w:rPr>
          <w:rFonts w:ascii="Book Antiqua" w:hAnsi="Book Antiqua"/>
          <w:color w:val="000000" w:themeColor="text1"/>
          <w:sz w:val="24"/>
          <w:szCs w:val="24"/>
          <w:lang w:val="en-GB" w:eastAsia="zh-CN"/>
        </w:rPr>
        <w:t xml:space="preserve"> = </w:t>
      </w:r>
      <w:r w:rsidR="00487B95" w:rsidRPr="00392036">
        <w:rPr>
          <w:rFonts w:ascii="Book Antiqua" w:hAnsi="Book Antiqua"/>
          <w:color w:val="000000" w:themeColor="text1"/>
          <w:sz w:val="24"/>
          <w:szCs w:val="24"/>
          <w:lang w:val="en-GB"/>
        </w:rPr>
        <w:t>0.08) or no proctocolectomy (</w:t>
      </w:r>
      <w:r w:rsidR="00C419E3" w:rsidRPr="00392036">
        <w:rPr>
          <w:rFonts w:ascii="Book Antiqua" w:hAnsi="Book Antiqua"/>
          <w:color w:val="000000" w:themeColor="text1"/>
          <w:sz w:val="24"/>
          <w:szCs w:val="24"/>
          <w:lang w:val="en-GB"/>
        </w:rPr>
        <w:t>HR</w:t>
      </w:r>
      <w:r w:rsidR="00B74FFE" w:rsidRPr="00392036">
        <w:rPr>
          <w:rFonts w:ascii="Book Antiqua" w:hAnsi="Book Antiqua"/>
          <w:color w:val="000000" w:themeColor="text1"/>
          <w:sz w:val="24"/>
          <w:szCs w:val="24"/>
          <w:lang w:val="en-GB" w:eastAsia="zh-CN"/>
        </w:rPr>
        <w:t xml:space="preserve"> =</w:t>
      </w:r>
      <w:r w:rsidR="00487B95" w:rsidRPr="00392036">
        <w:rPr>
          <w:rFonts w:ascii="Book Antiqua" w:hAnsi="Book Antiqua"/>
          <w:color w:val="000000" w:themeColor="text1"/>
          <w:sz w:val="24"/>
          <w:szCs w:val="24"/>
          <w:lang w:val="en-GB"/>
        </w:rPr>
        <w:t xml:space="preserve"> 0.11</w:t>
      </w:r>
      <w:proofErr w:type="gramStart"/>
      <w:r w:rsidR="00487B95" w:rsidRPr="00392036">
        <w:rPr>
          <w:rFonts w:ascii="Book Antiqua" w:hAnsi="Book Antiqua"/>
          <w:color w:val="000000" w:themeColor="text1"/>
          <w:sz w:val="24"/>
          <w:szCs w:val="24"/>
          <w:lang w:val="en-GB"/>
        </w:rPr>
        <w:t>)</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39,67]</w:t>
      </w:r>
      <w:r w:rsidR="006F4BF8" w:rsidRPr="00392036">
        <w:rPr>
          <w:rFonts w:ascii="Book Antiqua" w:hAnsi="Book Antiqua"/>
          <w:color w:val="000000" w:themeColor="text1"/>
          <w:sz w:val="24"/>
          <w:szCs w:val="24"/>
          <w:lang w:val="en-GB"/>
        </w:rPr>
        <w:t>.</w:t>
      </w:r>
      <w:r w:rsidR="00077B32" w:rsidRPr="00392036">
        <w:rPr>
          <w:rFonts w:ascii="Book Antiqua" w:hAnsi="Book Antiqua"/>
          <w:color w:val="000000" w:themeColor="text1"/>
          <w:sz w:val="24"/>
          <w:szCs w:val="24"/>
          <w:lang w:val="en-GB"/>
        </w:rPr>
        <w:t xml:space="preserve"> </w:t>
      </w:r>
      <w:r w:rsidR="00487B95" w:rsidRPr="00392036">
        <w:rPr>
          <w:rFonts w:ascii="Book Antiqua" w:hAnsi="Book Antiqua"/>
          <w:color w:val="000000" w:themeColor="text1"/>
          <w:sz w:val="24"/>
          <w:szCs w:val="24"/>
          <w:lang w:val="en-GB"/>
        </w:rPr>
        <w:t xml:space="preserve">Mortality rates up to 26% are reported in patients with cirrhosis who undergo any type of colorectal surgery, with the highest risk among those undergoing emergent </w:t>
      </w:r>
      <w:proofErr w:type="gramStart"/>
      <w:r w:rsidR="00487B95" w:rsidRPr="00392036">
        <w:rPr>
          <w:rFonts w:ascii="Book Antiqua" w:hAnsi="Book Antiqua"/>
          <w:color w:val="000000" w:themeColor="text1"/>
          <w:sz w:val="24"/>
          <w:szCs w:val="24"/>
          <w:lang w:val="en-GB"/>
        </w:rPr>
        <w:t>procedures</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68,69]</w:t>
      </w:r>
      <w:r w:rsidR="00077B32" w:rsidRPr="00392036">
        <w:rPr>
          <w:rFonts w:ascii="Book Antiqua" w:hAnsi="Book Antiqua"/>
          <w:color w:val="000000" w:themeColor="text1"/>
          <w:sz w:val="24"/>
          <w:szCs w:val="24"/>
          <w:lang w:val="en-GB"/>
        </w:rPr>
        <w:t xml:space="preserve">. </w:t>
      </w:r>
      <w:r w:rsidR="00487B95" w:rsidRPr="00392036">
        <w:rPr>
          <w:rFonts w:ascii="Book Antiqua" w:hAnsi="Book Antiqua"/>
          <w:color w:val="000000" w:themeColor="text1"/>
          <w:sz w:val="24"/>
          <w:szCs w:val="24"/>
          <w:lang w:val="en-GB"/>
        </w:rPr>
        <w:t xml:space="preserve">Abdominal colectomy with </w:t>
      </w:r>
      <w:r w:rsidR="00487B95" w:rsidRPr="00392036">
        <w:rPr>
          <w:rFonts w:ascii="Book Antiqua" w:hAnsi="Book Antiqua"/>
          <w:color w:val="000000" w:themeColor="text1"/>
          <w:sz w:val="24"/>
          <w:szCs w:val="24"/>
          <w:lang w:val="en-GB"/>
        </w:rPr>
        <w:lastRenderedPageBreak/>
        <w:t xml:space="preserve">IPAA is a technically complex procedure with a high complication rate (up to 52.3%), especially among patients with end-stage liver </w:t>
      </w:r>
      <w:proofErr w:type="gramStart"/>
      <w:r w:rsidR="00487B95" w:rsidRPr="00392036">
        <w:rPr>
          <w:rFonts w:ascii="Book Antiqua" w:hAnsi="Book Antiqua"/>
          <w:color w:val="000000" w:themeColor="text1"/>
          <w:sz w:val="24"/>
          <w:szCs w:val="24"/>
          <w:lang w:val="en-GB"/>
        </w:rPr>
        <w:t>disease</w:t>
      </w:r>
      <w:r w:rsidR="00D77F18" w:rsidRPr="00392036">
        <w:rPr>
          <w:rFonts w:ascii="Book Antiqua" w:hAnsi="Book Antiqua"/>
          <w:color w:val="000000" w:themeColor="text1"/>
          <w:sz w:val="24"/>
          <w:szCs w:val="24"/>
          <w:vertAlign w:val="superscript"/>
        </w:rPr>
        <w:t>[</w:t>
      </w:r>
      <w:proofErr w:type="gramEnd"/>
      <w:r w:rsidR="00D77F18" w:rsidRPr="00392036">
        <w:rPr>
          <w:rFonts w:ascii="Book Antiqua" w:hAnsi="Book Antiqua"/>
          <w:color w:val="000000" w:themeColor="text1"/>
          <w:sz w:val="24"/>
          <w:szCs w:val="24"/>
          <w:vertAlign w:val="superscript"/>
        </w:rPr>
        <w:t>70]</w:t>
      </w:r>
      <w:r w:rsidR="00077B32" w:rsidRPr="00392036">
        <w:rPr>
          <w:rFonts w:ascii="Book Antiqua" w:hAnsi="Book Antiqua"/>
          <w:color w:val="000000" w:themeColor="text1"/>
          <w:sz w:val="24"/>
          <w:szCs w:val="24"/>
          <w:lang w:val="en-GB"/>
        </w:rPr>
        <w:t xml:space="preserve">. </w:t>
      </w:r>
      <w:r w:rsidR="00487B95" w:rsidRPr="00392036">
        <w:rPr>
          <w:rFonts w:ascii="Book Antiqua" w:hAnsi="Book Antiqua"/>
          <w:color w:val="000000" w:themeColor="text1"/>
          <w:sz w:val="24"/>
          <w:szCs w:val="24"/>
          <w:lang w:val="en-GB"/>
        </w:rPr>
        <w:t>Decisions should be made on an individual basis by team of internists and surgeons with expertise in IBD and liver diseases, keeping in mind the severity of the liver disease, the previous response to therapy, comorbidities and risk of colonic malignant disease.</w:t>
      </w:r>
    </w:p>
    <w:p w:rsidR="00077B32" w:rsidRPr="00392036" w:rsidRDefault="00077B32" w:rsidP="00313A7D">
      <w:pPr>
        <w:autoSpaceDE w:val="0"/>
        <w:autoSpaceDN w:val="0"/>
        <w:adjustRightInd w:val="0"/>
        <w:spacing w:after="0" w:line="360" w:lineRule="auto"/>
        <w:jc w:val="both"/>
        <w:rPr>
          <w:rFonts w:ascii="Book Antiqua" w:hAnsi="Book Antiqua" w:cs="Times New Roman"/>
          <w:color w:val="000000" w:themeColor="text1"/>
          <w:sz w:val="24"/>
          <w:szCs w:val="24"/>
          <w:u w:val="single"/>
        </w:rPr>
      </w:pPr>
    </w:p>
    <w:p w:rsidR="003409A2" w:rsidRPr="00392036" w:rsidRDefault="00077B32" w:rsidP="00313A7D">
      <w:pPr>
        <w:autoSpaceDE w:val="0"/>
        <w:autoSpaceDN w:val="0"/>
        <w:adjustRightInd w:val="0"/>
        <w:spacing w:after="0" w:line="360" w:lineRule="auto"/>
        <w:jc w:val="both"/>
        <w:rPr>
          <w:rFonts w:ascii="Book Antiqua" w:hAnsi="Book Antiqua" w:cs="Times New Roman"/>
          <w:b/>
          <w:color w:val="000000" w:themeColor="text1"/>
          <w:sz w:val="24"/>
          <w:szCs w:val="24"/>
          <w:lang w:eastAsia="zh-CN"/>
        </w:rPr>
      </w:pPr>
      <w:r w:rsidRPr="00392036">
        <w:rPr>
          <w:rFonts w:ascii="Book Antiqua" w:hAnsi="Book Antiqua" w:cs="Times New Roman"/>
          <w:b/>
          <w:color w:val="000000" w:themeColor="text1"/>
          <w:sz w:val="24"/>
          <w:szCs w:val="24"/>
        </w:rPr>
        <w:t>COLORECTAL CARCINOMA</w:t>
      </w:r>
      <w:r w:rsidR="004C29DB" w:rsidRPr="00392036">
        <w:rPr>
          <w:rFonts w:ascii="Book Antiqua" w:hAnsi="Book Antiqua" w:cs="Times New Roman"/>
          <w:b/>
          <w:color w:val="000000" w:themeColor="text1"/>
          <w:sz w:val="24"/>
          <w:szCs w:val="24"/>
          <w:lang w:eastAsia="zh-CN"/>
        </w:rPr>
        <w:t xml:space="preserve"> </w:t>
      </w:r>
    </w:p>
    <w:p w:rsidR="00077B32" w:rsidRPr="00392036" w:rsidRDefault="00487B95" w:rsidP="00313A7D">
      <w:pPr>
        <w:pStyle w:val="NormalWeb"/>
        <w:spacing w:beforeLines="0" w:afterLines="0" w:after="0" w:line="360" w:lineRule="auto"/>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lang w:val="en-GB"/>
        </w:rPr>
        <w:t xml:space="preserve">The relative risk of </w:t>
      </w:r>
      <w:r w:rsidR="004C29DB" w:rsidRPr="00392036">
        <w:rPr>
          <w:rFonts w:ascii="Book Antiqua" w:hAnsi="Book Antiqua"/>
          <w:color w:val="000000" w:themeColor="text1"/>
          <w:sz w:val="24"/>
          <w:szCs w:val="24"/>
          <w:lang w:val="en-GB"/>
        </w:rPr>
        <w:t>colorectal carcinoma (CRC)</w:t>
      </w:r>
      <w:r w:rsidR="004C29DB" w:rsidRPr="00392036">
        <w:rPr>
          <w:rFonts w:ascii="Book Antiqua" w:hAnsi="Book Antiqua"/>
          <w:color w:val="000000" w:themeColor="text1"/>
          <w:sz w:val="24"/>
          <w:szCs w:val="24"/>
          <w:lang w:val="en-GB" w:eastAsia="zh-CN"/>
        </w:rPr>
        <w:t xml:space="preserve"> </w:t>
      </w:r>
      <w:r w:rsidRPr="00392036">
        <w:rPr>
          <w:rFonts w:ascii="Book Antiqua" w:hAnsi="Book Antiqua"/>
          <w:color w:val="000000" w:themeColor="text1"/>
          <w:sz w:val="24"/>
          <w:szCs w:val="24"/>
          <w:lang w:val="en-GB"/>
        </w:rPr>
        <w:t>for all patients undergoing LT compared with age- and sex-matched controls in the general population is 2.8 times higher</w:t>
      </w:r>
      <w:r w:rsidR="003409A2" w:rsidRPr="00392036">
        <w:rPr>
          <w:rFonts w:ascii="Book Antiqua" w:hAnsi="Book Antiqua"/>
          <w:color w:val="000000" w:themeColor="text1"/>
          <w:sz w:val="24"/>
          <w:szCs w:val="24"/>
          <w:vertAlign w:val="superscript"/>
        </w:rPr>
        <w:t>[71-73]</w:t>
      </w:r>
      <w:r w:rsidR="00077B32" w:rsidRPr="00392036">
        <w:rPr>
          <w:rFonts w:ascii="Book Antiqua" w:hAnsi="Book Antiqua"/>
          <w:color w:val="000000" w:themeColor="text1"/>
          <w:sz w:val="24"/>
          <w:szCs w:val="24"/>
          <w:lang w:val="en-GB"/>
        </w:rPr>
        <w:t>.</w:t>
      </w:r>
      <w:r w:rsidR="00077B32" w:rsidRPr="00392036">
        <w:rPr>
          <w:rFonts w:ascii="Book Antiqua" w:hAnsi="Book Antiqua"/>
          <w:color w:val="000000" w:themeColor="text1"/>
          <w:sz w:val="24"/>
          <w:szCs w:val="24"/>
          <w:lang w:val="en-GB" w:eastAsia="hr-HR"/>
        </w:rPr>
        <w:t xml:space="preserve"> </w:t>
      </w:r>
      <w:r w:rsidRPr="00392036">
        <w:rPr>
          <w:rFonts w:ascii="Book Antiqua" w:hAnsi="Book Antiqua"/>
          <w:color w:val="000000" w:themeColor="text1"/>
          <w:sz w:val="24"/>
          <w:szCs w:val="24"/>
          <w:lang w:val="en-GB" w:eastAsia="hr-HR"/>
        </w:rPr>
        <w:t>The rates of CRC in patients who undergo LT because of PSC varies from 0-31.5 per 1,000 person/year, whereas in patients receiving LT without PSC it is up to 30 times lower (1.3 per 1000 person/year)</w:t>
      </w:r>
      <w:r w:rsidR="004C29DB" w:rsidRPr="00392036">
        <w:rPr>
          <w:rFonts w:ascii="Book Antiqua" w:hAnsi="Book Antiqua"/>
          <w:color w:val="000000" w:themeColor="text1"/>
          <w:sz w:val="24"/>
          <w:szCs w:val="24"/>
          <w:vertAlign w:val="superscript"/>
        </w:rPr>
        <w:t>[33,</w:t>
      </w:r>
      <w:r w:rsidR="003409A2" w:rsidRPr="00392036">
        <w:rPr>
          <w:rFonts w:ascii="Book Antiqua" w:hAnsi="Book Antiqua"/>
          <w:color w:val="000000" w:themeColor="text1"/>
          <w:sz w:val="24"/>
          <w:szCs w:val="24"/>
          <w:vertAlign w:val="superscript"/>
        </w:rPr>
        <w:t>37,38,40,74-80]</w:t>
      </w:r>
      <w:r w:rsidR="003409A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P</w:t>
      </w:r>
      <w:r w:rsidRPr="00392036">
        <w:rPr>
          <w:rFonts w:ascii="Book Antiqua" w:hAnsi="Book Antiqua"/>
          <w:color w:val="000000" w:themeColor="text1"/>
          <w:sz w:val="24"/>
          <w:szCs w:val="24"/>
          <w:lang w:val="en-GB" w:eastAsia="hr-HR"/>
        </w:rPr>
        <w:t>atients with PSC</w:t>
      </w:r>
      <w:r w:rsidRPr="00392036">
        <w:rPr>
          <w:rFonts w:ascii="Book Antiqua" w:hAnsi="Book Antiqua"/>
          <w:color w:val="000000" w:themeColor="text1"/>
          <w:sz w:val="24"/>
          <w:szCs w:val="24"/>
          <w:lang w:val="en-GB"/>
        </w:rPr>
        <w:t>/</w:t>
      </w:r>
      <w:r w:rsidRPr="00392036">
        <w:rPr>
          <w:rFonts w:ascii="Book Antiqua" w:hAnsi="Book Antiqua"/>
          <w:color w:val="000000" w:themeColor="text1"/>
          <w:sz w:val="24"/>
          <w:szCs w:val="24"/>
          <w:lang w:val="en-GB" w:eastAsia="hr-HR"/>
        </w:rPr>
        <w:t xml:space="preserve">IBD whose colon is intact at the time of LT </w:t>
      </w:r>
      <w:r w:rsidRPr="00392036">
        <w:rPr>
          <w:rFonts w:ascii="Book Antiqua" w:hAnsi="Book Antiqua"/>
          <w:color w:val="000000" w:themeColor="text1"/>
          <w:sz w:val="24"/>
          <w:szCs w:val="24"/>
          <w:lang w:val="en-GB"/>
        </w:rPr>
        <w:t>experience</w:t>
      </w:r>
      <w:r w:rsidRPr="00392036">
        <w:rPr>
          <w:rFonts w:ascii="Book Antiqua" w:hAnsi="Book Antiqua"/>
          <w:color w:val="000000" w:themeColor="text1"/>
          <w:sz w:val="24"/>
          <w:szCs w:val="24"/>
          <w:lang w:val="en-GB" w:eastAsia="hr-HR"/>
        </w:rPr>
        <w:t xml:space="preserve"> the highe</w:t>
      </w:r>
      <w:r w:rsidRPr="00392036">
        <w:rPr>
          <w:rFonts w:ascii="Book Antiqua" w:hAnsi="Book Antiqua"/>
          <w:color w:val="000000" w:themeColor="text1"/>
          <w:sz w:val="24"/>
          <w:szCs w:val="24"/>
          <w:lang w:val="en-GB"/>
        </w:rPr>
        <w:t>st</w:t>
      </w:r>
      <w:r w:rsidR="004C29DB" w:rsidRPr="00392036">
        <w:rPr>
          <w:rFonts w:ascii="Book Antiqua" w:hAnsi="Book Antiqua"/>
          <w:color w:val="000000" w:themeColor="text1"/>
          <w:sz w:val="24"/>
          <w:szCs w:val="24"/>
          <w:lang w:val="en-GB" w:eastAsia="hr-HR"/>
        </w:rPr>
        <w:t xml:space="preserve"> rates of CRC (0-43.5 per 1</w:t>
      </w:r>
      <w:r w:rsidRPr="00392036">
        <w:rPr>
          <w:rFonts w:ascii="Book Antiqua" w:hAnsi="Book Antiqua"/>
          <w:color w:val="000000" w:themeColor="text1"/>
          <w:sz w:val="24"/>
          <w:szCs w:val="24"/>
          <w:lang w:val="en-GB" w:eastAsia="hr-HR"/>
        </w:rPr>
        <w:t>000 person/year).</w:t>
      </w:r>
      <w:r w:rsidR="00C419E3" w:rsidRPr="00392036">
        <w:rPr>
          <w:rFonts w:ascii="Book Antiqua" w:hAnsi="Book Antiqua"/>
          <w:color w:val="000000" w:themeColor="text1"/>
          <w:sz w:val="24"/>
          <w:szCs w:val="24"/>
          <w:lang w:val="en-GB" w:eastAsia="hr-HR"/>
        </w:rPr>
        <w:t xml:space="preserve"> </w:t>
      </w:r>
      <w:r w:rsidRPr="00392036">
        <w:rPr>
          <w:rFonts w:ascii="Book Antiqua" w:hAnsi="Book Antiqua"/>
          <w:color w:val="000000" w:themeColor="text1"/>
          <w:sz w:val="24"/>
          <w:szCs w:val="24"/>
          <w:lang w:val="en-GB"/>
        </w:rPr>
        <w:t>An analysis of the National Institute of Diabetes and Digestive and Kidney Diseases’ liver transplantation database</w:t>
      </w:r>
      <w:r w:rsidR="00077B32" w:rsidRPr="00392036">
        <w:rPr>
          <w:rFonts w:ascii="Book Antiqua" w:hAnsi="Book Antiqua"/>
          <w:color w:val="000000" w:themeColor="text1"/>
          <w:sz w:val="24"/>
          <w:szCs w:val="24"/>
          <w:lang w:val="en-GB"/>
        </w:rPr>
        <w:t xml:space="preserve"> </w:t>
      </w:r>
      <w:r w:rsidR="00C419E3" w:rsidRPr="00392036">
        <w:rPr>
          <w:rFonts w:ascii="Book Antiqua" w:hAnsi="Book Antiqua"/>
          <w:color w:val="000000" w:themeColor="text1"/>
          <w:sz w:val="24"/>
          <w:szCs w:val="24"/>
          <w:lang w:val="en-GB"/>
        </w:rPr>
        <w:t>which</w:t>
      </w:r>
      <w:r w:rsidR="00077B32" w:rsidRPr="00392036">
        <w:rPr>
          <w:rFonts w:ascii="Book Antiqua" w:hAnsi="Book Antiqua"/>
          <w:color w:val="000000" w:themeColor="text1"/>
          <w:sz w:val="24"/>
          <w:szCs w:val="24"/>
          <w:lang w:val="en-GB"/>
        </w:rPr>
        <w:t xml:space="preserve"> include</w:t>
      </w:r>
      <w:r w:rsidRPr="00392036">
        <w:rPr>
          <w:rFonts w:ascii="Book Antiqua" w:hAnsi="Book Antiqua"/>
          <w:color w:val="000000" w:themeColor="text1"/>
          <w:sz w:val="24"/>
          <w:szCs w:val="24"/>
          <w:lang w:val="en-GB"/>
        </w:rPr>
        <w:t>s</w:t>
      </w:r>
      <w:r w:rsidR="00077B32" w:rsidRPr="00392036">
        <w:rPr>
          <w:rFonts w:ascii="Book Antiqua" w:hAnsi="Book Antiqua"/>
          <w:color w:val="000000" w:themeColor="text1"/>
          <w:sz w:val="24"/>
          <w:szCs w:val="24"/>
          <w:lang w:val="en-GB"/>
        </w:rPr>
        <w:t xml:space="preserve"> 798 patients who underwent LT demonstrated cumulative incidence of CRC </w:t>
      </w:r>
      <w:r w:rsidR="002F5E3F" w:rsidRPr="00392036">
        <w:rPr>
          <w:rFonts w:ascii="Book Antiqua" w:hAnsi="Book Antiqua"/>
          <w:color w:val="000000" w:themeColor="text1"/>
          <w:sz w:val="24"/>
          <w:szCs w:val="24"/>
          <w:lang w:val="en-GB"/>
        </w:rPr>
        <w:t xml:space="preserve">at </w:t>
      </w:r>
      <w:r w:rsidR="00077B32" w:rsidRPr="00392036">
        <w:rPr>
          <w:rFonts w:ascii="Book Antiqua" w:hAnsi="Book Antiqua"/>
          <w:color w:val="000000" w:themeColor="text1"/>
          <w:sz w:val="24"/>
          <w:szCs w:val="24"/>
          <w:lang w:val="en-GB"/>
        </w:rPr>
        <w:t>10 years after LT</w:t>
      </w:r>
      <w:r w:rsidR="002F5E3F" w:rsidRPr="00392036">
        <w:rPr>
          <w:rFonts w:ascii="Book Antiqua" w:hAnsi="Book Antiqua"/>
          <w:color w:val="000000" w:themeColor="text1"/>
          <w:sz w:val="24"/>
          <w:szCs w:val="24"/>
          <w:lang w:val="en-GB"/>
        </w:rPr>
        <w:t>;</w:t>
      </w:r>
      <w:r w:rsidR="00C419E3" w:rsidRPr="00392036">
        <w:rPr>
          <w:rFonts w:ascii="Book Antiqua" w:hAnsi="Book Antiqua"/>
          <w:color w:val="000000" w:themeColor="text1"/>
          <w:sz w:val="24"/>
          <w:szCs w:val="24"/>
          <w:lang w:val="en-GB"/>
        </w:rPr>
        <w:t xml:space="preserve"> 11.8% for PSC/IBD, 2.</w:t>
      </w:r>
      <w:r w:rsidR="00077B32" w:rsidRPr="00392036">
        <w:rPr>
          <w:rFonts w:ascii="Book Antiqua" w:hAnsi="Book Antiqua"/>
          <w:color w:val="000000" w:themeColor="text1"/>
          <w:sz w:val="24"/>
          <w:szCs w:val="24"/>
          <w:lang w:val="en-GB"/>
        </w:rPr>
        <w:t xml:space="preserve">6% </w:t>
      </w:r>
      <w:r w:rsidR="003409A2" w:rsidRPr="00392036">
        <w:rPr>
          <w:rFonts w:ascii="Book Antiqua" w:hAnsi="Book Antiqua"/>
          <w:color w:val="000000" w:themeColor="text1"/>
          <w:sz w:val="24"/>
          <w:szCs w:val="24"/>
          <w:lang w:val="en-GB"/>
        </w:rPr>
        <w:t xml:space="preserve">for </w:t>
      </w:r>
      <w:r w:rsidR="00C419E3" w:rsidRPr="00392036">
        <w:rPr>
          <w:rFonts w:ascii="Book Antiqua" w:hAnsi="Book Antiqua"/>
          <w:color w:val="000000" w:themeColor="text1"/>
          <w:sz w:val="24"/>
          <w:szCs w:val="24"/>
          <w:lang w:val="en-GB"/>
        </w:rPr>
        <w:t>LT unrelated to PSC and 2.</w:t>
      </w:r>
      <w:r w:rsidR="00077B32" w:rsidRPr="00392036">
        <w:rPr>
          <w:rFonts w:ascii="Book Antiqua" w:hAnsi="Book Antiqua"/>
          <w:color w:val="000000" w:themeColor="text1"/>
          <w:sz w:val="24"/>
          <w:szCs w:val="24"/>
          <w:lang w:val="en-GB"/>
        </w:rPr>
        <w:t xml:space="preserve">8% </w:t>
      </w:r>
      <w:r w:rsidR="003409A2" w:rsidRPr="00392036">
        <w:rPr>
          <w:rFonts w:ascii="Book Antiqua" w:hAnsi="Book Antiqua"/>
          <w:color w:val="000000" w:themeColor="text1"/>
          <w:sz w:val="24"/>
          <w:szCs w:val="24"/>
          <w:lang w:val="en-GB"/>
        </w:rPr>
        <w:t>for LT in</w:t>
      </w:r>
      <w:r w:rsidR="00077B32" w:rsidRPr="00392036">
        <w:rPr>
          <w:rFonts w:ascii="Book Antiqua" w:hAnsi="Book Antiqua"/>
          <w:color w:val="000000" w:themeColor="text1"/>
          <w:sz w:val="24"/>
          <w:szCs w:val="24"/>
          <w:lang w:val="en-GB"/>
        </w:rPr>
        <w:t xml:space="preserve"> PSC without IBD</w:t>
      </w:r>
      <w:r w:rsidR="002F5E3F" w:rsidRPr="00392036">
        <w:rPr>
          <w:rFonts w:ascii="Book Antiqua" w:hAnsi="Book Antiqua"/>
          <w:color w:val="000000" w:themeColor="text1"/>
          <w:sz w:val="24"/>
          <w:szCs w:val="24"/>
          <w:lang w:val="en-GB"/>
        </w:rPr>
        <w:t>, respectively</w:t>
      </w:r>
      <w:r w:rsidR="003409A2" w:rsidRPr="00392036">
        <w:rPr>
          <w:rFonts w:ascii="Book Antiqua" w:hAnsi="Book Antiqua"/>
          <w:color w:val="000000" w:themeColor="text1"/>
          <w:sz w:val="24"/>
          <w:szCs w:val="24"/>
          <w:vertAlign w:val="superscript"/>
        </w:rPr>
        <w:t>[35,78]</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Singh </w:t>
      </w:r>
      <w:r w:rsidRPr="00392036">
        <w:rPr>
          <w:rFonts w:ascii="Book Antiqua" w:hAnsi="Book Antiqua"/>
          <w:i/>
          <w:color w:val="000000" w:themeColor="text1"/>
          <w:sz w:val="24"/>
          <w:szCs w:val="24"/>
          <w:lang w:val="en-GB"/>
        </w:rPr>
        <w:t xml:space="preserve">et </w:t>
      </w:r>
      <w:proofErr w:type="gramStart"/>
      <w:r w:rsidRPr="00392036">
        <w:rPr>
          <w:rFonts w:ascii="Book Antiqua" w:hAnsi="Book Antiqua"/>
          <w:i/>
          <w:color w:val="000000" w:themeColor="text1"/>
          <w:sz w:val="24"/>
          <w:szCs w:val="24"/>
          <w:lang w:val="en-GB"/>
        </w:rPr>
        <w:t>al</w:t>
      </w:r>
      <w:r w:rsidR="004C29DB" w:rsidRPr="00392036">
        <w:rPr>
          <w:rFonts w:ascii="Book Antiqua" w:hAnsi="Book Antiqua"/>
          <w:color w:val="000000" w:themeColor="text1"/>
          <w:sz w:val="24"/>
          <w:szCs w:val="24"/>
          <w:vertAlign w:val="superscript"/>
        </w:rPr>
        <w:t>[</w:t>
      </w:r>
      <w:proofErr w:type="gramEnd"/>
      <w:r w:rsidR="004C29DB" w:rsidRPr="00392036">
        <w:rPr>
          <w:rFonts w:ascii="Book Antiqua" w:hAnsi="Book Antiqua"/>
          <w:color w:val="000000" w:themeColor="text1"/>
          <w:sz w:val="24"/>
          <w:szCs w:val="24"/>
          <w:vertAlign w:val="superscript"/>
        </w:rPr>
        <w:t>81]</w:t>
      </w:r>
      <w:r w:rsidRPr="00392036">
        <w:rPr>
          <w:rFonts w:ascii="Book Antiqua" w:hAnsi="Book Antiqua"/>
          <w:color w:val="000000" w:themeColor="text1"/>
          <w:sz w:val="24"/>
          <w:szCs w:val="24"/>
          <w:lang w:val="en-GB"/>
        </w:rPr>
        <w:t xml:space="preserve"> meta-analysis of the pooled incidence rate of </w:t>
      </w:r>
      <w:r w:rsidR="00C806F3" w:rsidRPr="00392036">
        <w:rPr>
          <w:rFonts w:ascii="Book Antiqua" w:hAnsi="Book Antiqua"/>
          <w:color w:val="000000" w:themeColor="text1"/>
          <w:sz w:val="24"/>
          <w:szCs w:val="24"/>
          <w:lang w:val="en-GB" w:eastAsia="hr-HR"/>
        </w:rPr>
        <w:t>de novo</w:t>
      </w:r>
      <w:r w:rsidR="00C419E3" w:rsidRPr="00392036">
        <w:rPr>
          <w:rFonts w:ascii="Book Antiqua" w:hAnsi="Book Antiqua"/>
          <w:color w:val="000000" w:themeColor="text1"/>
          <w:sz w:val="24"/>
          <w:szCs w:val="24"/>
          <w:lang w:val="en-GB"/>
        </w:rPr>
        <w:t xml:space="preserve"> CRC after LT was 5.8 per 1.</w:t>
      </w:r>
      <w:r w:rsidRPr="00392036">
        <w:rPr>
          <w:rFonts w:ascii="Book Antiqua" w:hAnsi="Book Antiqua"/>
          <w:color w:val="000000" w:themeColor="text1"/>
          <w:sz w:val="24"/>
          <w:szCs w:val="24"/>
          <w:lang w:val="en-GB"/>
        </w:rPr>
        <w:t>000 pers</w:t>
      </w:r>
      <w:r w:rsidR="00C419E3" w:rsidRPr="00392036">
        <w:rPr>
          <w:rFonts w:ascii="Book Antiqua" w:hAnsi="Book Antiqua"/>
          <w:color w:val="000000" w:themeColor="text1"/>
          <w:sz w:val="24"/>
          <w:szCs w:val="24"/>
          <w:lang w:val="en-GB"/>
        </w:rPr>
        <w:t>on-years for PSC and 13.5 per 1.</w:t>
      </w:r>
      <w:r w:rsidRPr="00392036">
        <w:rPr>
          <w:rFonts w:ascii="Book Antiqua" w:hAnsi="Book Antiqua"/>
          <w:color w:val="000000" w:themeColor="text1"/>
          <w:sz w:val="24"/>
          <w:szCs w:val="24"/>
          <w:lang w:val="en-GB"/>
        </w:rPr>
        <w:t>000 person-years for patient</w:t>
      </w:r>
      <w:r w:rsidR="00C419E3" w:rsidRPr="00392036">
        <w:rPr>
          <w:rFonts w:ascii="Book Antiqua" w:hAnsi="Book Antiqua"/>
          <w:color w:val="000000" w:themeColor="text1"/>
          <w:sz w:val="24"/>
          <w:szCs w:val="24"/>
          <w:lang w:val="en-GB"/>
        </w:rPr>
        <w:t>s with PSC-IBD and intact colon</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Hence, the risk of CRC is approximately 4-fold higher for patients with PSC undergoing LT versus average patients undergoing LT and more than 10-fold higher than patients with PSC/IBD with an intact colon undergoing LT. Because the relative risk of </w:t>
      </w:r>
      <w:r w:rsidR="00C806F3" w:rsidRPr="00392036">
        <w:rPr>
          <w:rFonts w:ascii="Book Antiqua" w:hAnsi="Book Antiqua"/>
          <w:color w:val="000000" w:themeColor="text1"/>
          <w:sz w:val="24"/>
          <w:szCs w:val="24"/>
          <w:lang w:val="en-GB"/>
        </w:rPr>
        <w:t>de novo</w:t>
      </w:r>
      <w:r w:rsidRPr="00392036">
        <w:rPr>
          <w:rFonts w:ascii="Book Antiqua" w:hAnsi="Book Antiqua"/>
          <w:color w:val="000000" w:themeColor="text1"/>
          <w:sz w:val="24"/>
          <w:szCs w:val="24"/>
          <w:lang w:val="en-GB"/>
        </w:rPr>
        <w:t xml:space="preserve"> CRC after LT for non-PSC indications was estimated as 1.8 times higher than the risk for the general population, the risk of </w:t>
      </w:r>
      <w:r w:rsidR="00C806F3" w:rsidRPr="00392036">
        <w:rPr>
          <w:rFonts w:ascii="Book Antiqua" w:hAnsi="Book Antiqua"/>
          <w:color w:val="000000" w:themeColor="text1"/>
          <w:sz w:val="24"/>
          <w:szCs w:val="24"/>
          <w:lang w:val="en-GB"/>
        </w:rPr>
        <w:t>de novo</w:t>
      </w:r>
      <w:r w:rsidRPr="00392036">
        <w:rPr>
          <w:rFonts w:ascii="Book Antiqua" w:hAnsi="Book Antiqua"/>
          <w:color w:val="000000" w:themeColor="text1"/>
          <w:sz w:val="24"/>
          <w:szCs w:val="24"/>
          <w:lang w:val="en-GB"/>
        </w:rPr>
        <w:t xml:space="preserve"> CRC for a subset of patients with PSC-IBD and an intact colon can be extrapolated as up to 20-fold higher than the risk for the general population</w:t>
      </w:r>
      <w:r w:rsidR="003409A2" w:rsidRPr="00392036">
        <w:rPr>
          <w:rFonts w:ascii="Book Antiqua" w:hAnsi="Book Antiqua"/>
          <w:color w:val="000000" w:themeColor="text1"/>
          <w:sz w:val="24"/>
          <w:szCs w:val="24"/>
          <w:vertAlign w:val="superscript"/>
        </w:rPr>
        <w:t>[81]</w:t>
      </w:r>
      <w:r w:rsidR="00077B32" w:rsidRPr="00392036">
        <w:rPr>
          <w:rFonts w:ascii="Book Antiqua" w:hAnsi="Book Antiqua"/>
          <w:color w:val="000000" w:themeColor="text1"/>
          <w:sz w:val="24"/>
          <w:szCs w:val="24"/>
          <w:lang w:val="en-GB"/>
        </w:rPr>
        <w:t>.</w:t>
      </w:r>
    </w:p>
    <w:p w:rsidR="00077B32" w:rsidRPr="00392036" w:rsidRDefault="00487B95" w:rsidP="00313A7D">
      <w:pPr>
        <w:pStyle w:val="NormalWeb"/>
        <w:spacing w:beforeLines="0" w:afterLines="0" w:after="0" w:line="360" w:lineRule="auto"/>
        <w:ind w:firstLineChars="150" w:firstLine="360"/>
        <w:jc w:val="both"/>
        <w:rPr>
          <w:rFonts w:ascii="Book Antiqua" w:hAnsi="Book Antiqua"/>
          <w:b/>
          <w:color w:val="000000" w:themeColor="text1"/>
          <w:sz w:val="24"/>
          <w:szCs w:val="24"/>
          <w:lang w:val="en-GB"/>
        </w:rPr>
      </w:pPr>
      <w:r w:rsidRPr="00392036">
        <w:rPr>
          <w:rFonts w:ascii="Book Antiqua" w:hAnsi="Book Antiqua"/>
          <w:color w:val="000000" w:themeColor="text1"/>
          <w:sz w:val="24"/>
          <w:szCs w:val="24"/>
          <w:lang w:val="en-GB"/>
        </w:rPr>
        <w:t xml:space="preserve">The risk factors for CRC after LT for patients with PSC are complex, and it is unclear whether transplant-related immunosuppression modifies the risk of CRC after LT. As in the overall population, the risk factors of CRC for patients who undergo LT are the duration of IBD (&gt; 10 years), extension for colonic disease and (in </w:t>
      </w:r>
      <w:r w:rsidRPr="00392036">
        <w:rPr>
          <w:rFonts w:ascii="Book Antiqua" w:hAnsi="Book Antiqua"/>
          <w:color w:val="000000" w:themeColor="text1"/>
          <w:sz w:val="24"/>
          <w:szCs w:val="24"/>
          <w:lang w:val="en-GB"/>
        </w:rPr>
        <w:lastRenderedPageBreak/>
        <w:t xml:space="preserve">transplanted patients) a longer time period after </w:t>
      </w:r>
      <w:proofErr w:type="gramStart"/>
      <w:r w:rsidRPr="00392036">
        <w:rPr>
          <w:rFonts w:ascii="Book Antiqua" w:hAnsi="Book Antiqua"/>
          <w:color w:val="000000" w:themeColor="text1"/>
          <w:sz w:val="24"/>
          <w:szCs w:val="24"/>
          <w:lang w:val="en-GB"/>
        </w:rPr>
        <w:t>LT</w:t>
      </w:r>
      <w:r w:rsidR="003409A2" w:rsidRPr="00392036">
        <w:rPr>
          <w:rFonts w:ascii="Book Antiqua" w:hAnsi="Book Antiqua"/>
          <w:color w:val="000000" w:themeColor="text1"/>
          <w:sz w:val="24"/>
          <w:szCs w:val="24"/>
          <w:vertAlign w:val="superscript"/>
        </w:rPr>
        <w:t>[</w:t>
      </w:r>
      <w:proofErr w:type="gramEnd"/>
      <w:r w:rsidR="003409A2" w:rsidRPr="00392036">
        <w:rPr>
          <w:rFonts w:ascii="Book Antiqua" w:hAnsi="Book Antiqua"/>
          <w:color w:val="000000" w:themeColor="text1"/>
          <w:sz w:val="24"/>
          <w:szCs w:val="24"/>
          <w:vertAlign w:val="superscript"/>
        </w:rPr>
        <w:t>63,75,79,80]</w:t>
      </w:r>
      <w:r w:rsidR="003409A2" w:rsidRPr="00392036">
        <w:rPr>
          <w:rFonts w:ascii="Book Antiqua" w:hAnsi="Book Antiqua"/>
          <w:color w:val="000000" w:themeColor="text1"/>
          <w:sz w:val="24"/>
          <w:szCs w:val="24"/>
        </w:rPr>
        <w:t xml:space="preserve">. </w:t>
      </w:r>
      <w:r w:rsidRPr="00392036">
        <w:rPr>
          <w:rFonts w:ascii="Book Antiqua" w:hAnsi="Book Antiqua"/>
          <w:color w:val="000000" w:themeColor="text1"/>
          <w:sz w:val="24"/>
          <w:szCs w:val="24"/>
          <w:lang w:val="en-GB"/>
        </w:rPr>
        <w:t xml:space="preserve">Patient age at the time of IBD diagnosis or LT and IBD activity are not established CRC risk </w:t>
      </w:r>
      <w:proofErr w:type="gramStart"/>
      <w:r w:rsidRPr="00392036">
        <w:rPr>
          <w:rFonts w:ascii="Book Antiqua" w:hAnsi="Book Antiqua"/>
          <w:color w:val="000000" w:themeColor="text1"/>
          <w:sz w:val="24"/>
          <w:szCs w:val="24"/>
          <w:lang w:val="en-GB"/>
        </w:rPr>
        <w:t>factors</w:t>
      </w:r>
      <w:r w:rsidR="003409A2" w:rsidRPr="00392036">
        <w:rPr>
          <w:rFonts w:ascii="Book Antiqua" w:hAnsi="Book Antiqua"/>
          <w:color w:val="000000" w:themeColor="text1"/>
          <w:sz w:val="24"/>
          <w:szCs w:val="24"/>
          <w:vertAlign w:val="superscript"/>
        </w:rPr>
        <w:t>[</w:t>
      </w:r>
      <w:proofErr w:type="gramEnd"/>
      <w:r w:rsidR="003409A2" w:rsidRPr="00392036">
        <w:rPr>
          <w:rFonts w:ascii="Book Antiqua" w:hAnsi="Book Antiqua"/>
          <w:color w:val="000000" w:themeColor="text1"/>
          <w:sz w:val="24"/>
          <w:szCs w:val="24"/>
          <w:vertAlign w:val="superscript"/>
        </w:rPr>
        <w:t>35,75,80]</w:t>
      </w:r>
      <w:r w:rsidR="00077B32" w:rsidRPr="00392036">
        <w:rPr>
          <w:rFonts w:ascii="Book Antiqua" w:hAnsi="Book Antiqua"/>
          <w:color w:val="000000" w:themeColor="text1"/>
          <w:sz w:val="24"/>
          <w:szCs w:val="24"/>
          <w:shd w:val="clear" w:color="auto" w:fill="FFFFFF" w:themeFill="background1"/>
          <w:lang w:val="en-GB"/>
        </w:rPr>
        <w:t xml:space="preserve">. </w:t>
      </w:r>
      <w:r w:rsidRPr="00392036">
        <w:rPr>
          <w:rFonts w:ascii="Book Antiqua" w:hAnsi="Book Antiqua"/>
          <w:color w:val="000000" w:themeColor="text1"/>
          <w:sz w:val="24"/>
          <w:szCs w:val="24"/>
          <w:lang w:val="en-GB" w:eastAsia="hr-HR"/>
        </w:rPr>
        <w:t>In patients with PSC</w:t>
      </w:r>
      <w:r w:rsidRPr="00392036">
        <w:rPr>
          <w:rFonts w:ascii="Book Antiqua" w:hAnsi="Book Antiqua"/>
          <w:color w:val="000000" w:themeColor="text1"/>
          <w:sz w:val="24"/>
          <w:szCs w:val="24"/>
          <w:lang w:val="en-GB"/>
        </w:rPr>
        <w:t>/</w:t>
      </w:r>
      <w:r w:rsidRPr="00392036">
        <w:rPr>
          <w:rFonts w:ascii="Book Antiqua" w:hAnsi="Book Antiqua"/>
          <w:color w:val="000000" w:themeColor="text1"/>
          <w:sz w:val="24"/>
          <w:szCs w:val="24"/>
          <w:lang w:val="en-GB" w:eastAsia="hr-HR"/>
        </w:rPr>
        <w:t xml:space="preserve">IBD, CRC more frequently affects the right side of the colon before and after LT, and this disease is typically localised in the caecum and ascending </w:t>
      </w:r>
      <w:proofErr w:type="gramStart"/>
      <w:r w:rsidRPr="00392036">
        <w:rPr>
          <w:rFonts w:ascii="Book Antiqua" w:hAnsi="Book Antiqua"/>
          <w:color w:val="000000" w:themeColor="text1"/>
          <w:sz w:val="24"/>
          <w:szCs w:val="24"/>
          <w:lang w:val="en-GB" w:eastAsia="hr-HR"/>
        </w:rPr>
        <w:t>colon</w:t>
      </w:r>
      <w:r w:rsidR="003409A2" w:rsidRPr="00392036">
        <w:rPr>
          <w:rFonts w:ascii="Book Antiqua" w:hAnsi="Book Antiqua"/>
          <w:color w:val="000000" w:themeColor="text1"/>
          <w:sz w:val="24"/>
          <w:szCs w:val="24"/>
          <w:vertAlign w:val="superscript"/>
        </w:rPr>
        <w:t>[</w:t>
      </w:r>
      <w:proofErr w:type="gramEnd"/>
      <w:r w:rsidR="003409A2" w:rsidRPr="00392036">
        <w:rPr>
          <w:rFonts w:ascii="Book Antiqua" w:hAnsi="Book Antiqua"/>
          <w:color w:val="000000" w:themeColor="text1"/>
          <w:sz w:val="24"/>
          <w:szCs w:val="24"/>
          <w:vertAlign w:val="superscript"/>
        </w:rPr>
        <w:t>77]</w:t>
      </w:r>
      <w:r w:rsidR="00077B32" w:rsidRPr="00392036">
        <w:rPr>
          <w:rFonts w:ascii="Book Antiqua" w:hAnsi="Book Antiqua"/>
          <w:color w:val="000000" w:themeColor="text1"/>
          <w:sz w:val="24"/>
          <w:szCs w:val="24"/>
          <w:lang w:val="en-GB" w:eastAsia="hr-HR"/>
        </w:rPr>
        <w:t xml:space="preserve">. </w:t>
      </w:r>
      <w:r w:rsidRPr="00392036">
        <w:rPr>
          <w:rFonts w:ascii="Book Antiqua" w:hAnsi="Book Antiqua"/>
          <w:color w:val="000000" w:themeColor="text1"/>
          <w:sz w:val="24"/>
          <w:szCs w:val="24"/>
          <w:lang w:val="en-GB" w:eastAsia="hr-HR"/>
        </w:rPr>
        <w:t xml:space="preserve">The right colon might be more affected because of the hydrophobic and cytotoxic effects of biliary acid on the colonic </w:t>
      </w:r>
      <w:proofErr w:type="gramStart"/>
      <w:r w:rsidRPr="00392036">
        <w:rPr>
          <w:rFonts w:ascii="Book Antiqua" w:hAnsi="Book Antiqua"/>
          <w:color w:val="000000" w:themeColor="text1"/>
          <w:sz w:val="24"/>
          <w:szCs w:val="24"/>
          <w:lang w:val="en-GB" w:eastAsia="hr-HR"/>
        </w:rPr>
        <w:t>mucosa</w:t>
      </w:r>
      <w:r w:rsidR="003409A2" w:rsidRPr="00392036">
        <w:rPr>
          <w:rFonts w:ascii="Book Antiqua" w:hAnsi="Book Antiqua"/>
          <w:color w:val="000000" w:themeColor="text1"/>
          <w:sz w:val="24"/>
          <w:szCs w:val="24"/>
          <w:vertAlign w:val="superscript"/>
        </w:rPr>
        <w:t>[</w:t>
      </w:r>
      <w:proofErr w:type="gramEnd"/>
      <w:r w:rsidR="003409A2" w:rsidRPr="00392036">
        <w:rPr>
          <w:rFonts w:ascii="Book Antiqua" w:hAnsi="Book Antiqua"/>
          <w:color w:val="000000" w:themeColor="text1"/>
          <w:sz w:val="24"/>
          <w:szCs w:val="24"/>
          <w:vertAlign w:val="superscript"/>
        </w:rPr>
        <w:t>82]</w:t>
      </w:r>
      <w:r w:rsidR="00077B32" w:rsidRPr="00392036">
        <w:rPr>
          <w:rFonts w:ascii="Book Antiqua" w:hAnsi="Book Antiqua"/>
          <w:color w:val="000000" w:themeColor="text1"/>
          <w:sz w:val="24"/>
          <w:szCs w:val="24"/>
          <w:lang w:val="en-GB" w:eastAsia="hr-HR"/>
        </w:rPr>
        <w:t>.</w:t>
      </w:r>
    </w:p>
    <w:p w:rsidR="00077B32" w:rsidRPr="00392036" w:rsidRDefault="00077B32" w:rsidP="00313A7D">
      <w:pPr>
        <w:spacing w:after="0" w:line="360" w:lineRule="auto"/>
        <w:ind w:firstLineChars="100" w:firstLine="240"/>
        <w:jc w:val="both"/>
        <w:rPr>
          <w:rFonts w:ascii="Book Antiqua" w:hAnsi="Book Antiqua"/>
          <w:color w:val="000000" w:themeColor="text1"/>
          <w:sz w:val="24"/>
          <w:szCs w:val="24"/>
          <w:vertAlign w:val="superscript"/>
        </w:rPr>
      </w:pPr>
      <w:r w:rsidRPr="00392036">
        <w:rPr>
          <w:rFonts w:ascii="Book Antiqua" w:hAnsi="Book Antiqua" w:cs="Times New Roman"/>
          <w:color w:val="000000" w:themeColor="text1"/>
          <w:sz w:val="24"/>
          <w:szCs w:val="24"/>
        </w:rPr>
        <w:t xml:space="preserve">Endoscopic surveillance with </w:t>
      </w:r>
      <w:r w:rsidR="001347C3" w:rsidRPr="00392036">
        <w:rPr>
          <w:rFonts w:ascii="Book Antiqua" w:hAnsi="Book Antiqua" w:cs="Times New Roman"/>
          <w:color w:val="000000" w:themeColor="text1"/>
          <w:sz w:val="24"/>
          <w:szCs w:val="24"/>
        </w:rPr>
        <w:t>c</w:t>
      </w:r>
      <w:r w:rsidR="00487B95" w:rsidRPr="00392036">
        <w:rPr>
          <w:rFonts w:ascii="Book Antiqua" w:hAnsi="Book Antiqua" w:cs="Times New Roman"/>
          <w:color w:val="000000" w:themeColor="text1"/>
          <w:sz w:val="24"/>
          <w:szCs w:val="24"/>
        </w:rPr>
        <w:t>h</w:t>
      </w:r>
      <w:r w:rsidR="001347C3" w:rsidRPr="00392036">
        <w:rPr>
          <w:rFonts w:ascii="Book Antiqua" w:hAnsi="Book Antiqua" w:cs="Times New Roman"/>
          <w:color w:val="000000" w:themeColor="text1"/>
          <w:sz w:val="24"/>
          <w:szCs w:val="24"/>
        </w:rPr>
        <w:t>romendoscopy</w:t>
      </w:r>
      <w:r w:rsidRPr="00392036">
        <w:rPr>
          <w:rFonts w:ascii="Book Antiqua" w:hAnsi="Book Antiqua" w:cs="Times New Roman"/>
          <w:color w:val="000000" w:themeColor="text1"/>
          <w:sz w:val="24"/>
          <w:szCs w:val="24"/>
        </w:rPr>
        <w:t xml:space="preserve"> </w:t>
      </w:r>
      <w:r w:rsidR="00487B95" w:rsidRPr="00392036">
        <w:rPr>
          <w:rFonts w:ascii="Book Antiqua" w:hAnsi="Book Antiqua" w:cs="Times New Roman"/>
          <w:color w:val="000000" w:themeColor="text1"/>
          <w:sz w:val="24"/>
          <w:szCs w:val="24"/>
        </w:rPr>
        <w:t xml:space="preserve">and serial biopsies of any suspected lesion </w:t>
      </w:r>
      <w:r w:rsidRPr="00392036">
        <w:rPr>
          <w:rFonts w:ascii="Book Antiqua" w:hAnsi="Book Antiqua" w:cs="Times New Roman"/>
          <w:color w:val="000000" w:themeColor="text1"/>
          <w:sz w:val="24"/>
          <w:szCs w:val="24"/>
        </w:rPr>
        <w:t>is recommended for all patie</w:t>
      </w:r>
      <w:r w:rsidR="00487B95" w:rsidRPr="00392036">
        <w:rPr>
          <w:rFonts w:ascii="Book Antiqua" w:hAnsi="Book Antiqua" w:cs="Times New Roman"/>
          <w:color w:val="000000" w:themeColor="text1"/>
          <w:sz w:val="24"/>
          <w:szCs w:val="24"/>
        </w:rPr>
        <w:t>nts with IBD/PSC after LT. C</w:t>
      </w:r>
      <w:r w:rsidRPr="00392036">
        <w:rPr>
          <w:rFonts w:ascii="Book Antiqua" w:hAnsi="Book Antiqua" w:cs="Times New Roman"/>
          <w:color w:val="000000" w:themeColor="text1"/>
          <w:sz w:val="24"/>
          <w:szCs w:val="24"/>
        </w:rPr>
        <w:t xml:space="preserve">olonoscopy should be performed </w:t>
      </w:r>
      <w:proofErr w:type="gramStart"/>
      <w:r w:rsidR="00487B95" w:rsidRPr="00392036">
        <w:rPr>
          <w:rFonts w:ascii="Book Antiqua" w:hAnsi="Book Antiqua" w:cs="Times New Roman"/>
          <w:color w:val="000000" w:themeColor="text1"/>
          <w:sz w:val="24"/>
          <w:szCs w:val="24"/>
        </w:rPr>
        <w:t>annually</w:t>
      </w:r>
      <w:r w:rsidR="003409A2" w:rsidRPr="00392036">
        <w:rPr>
          <w:rFonts w:ascii="Book Antiqua" w:hAnsi="Book Antiqua"/>
          <w:color w:val="000000" w:themeColor="text1"/>
          <w:sz w:val="24"/>
          <w:szCs w:val="24"/>
          <w:vertAlign w:val="superscript"/>
        </w:rPr>
        <w:t>[</w:t>
      </w:r>
      <w:proofErr w:type="gramEnd"/>
      <w:r w:rsidR="003409A2" w:rsidRPr="00392036">
        <w:rPr>
          <w:rFonts w:ascii="Book Antiqua" w:hAnsi="Book Antiqua"/>
          <w:color w:val="000000" w:themeColor="text1"/>
          <w:sz w:val="24"/>
          <w:szCs w:val="24"/>
          <w:vertAlign w:val="superscript"/>
        </w:rPr>
        <w:t>23]</w:t>
      </w:r>
      <w:r w:rsidR="003409A2" w:rsidRPr="00392036">
        <w:rPr>
          <w:rFonts w:ascii="Book Antiqua" w:hAnsi="Book Antiqua"/>
          <w:color w:val="000000" w:themeColor="text1"/>
          <w:sz w:val="24"/>
          <w:szCs w:val="24"/>
        </w:rPr>
        <w:t>.</w:t>
      </w:r>
      <w:r w:rsidR="003409A2" w:rsidRPr="00392036">
        <w:rPr>
          <w:rFonts w:ascii="Book Antiqua" w:hAnsi="Book Antiqua"/>
          <w:color w:val="000000" w:themeColor="text1"/>
          <w:sz w:val="24"/>
          <w:szCs w:val="24"/>
          <w:vertAlign w:val="superscript"/>
        </w:rPr>
        <w:t xml:space="preserve"> </w:t>
      </w:r>
      <w:r w:rsidRPr="00392036">
        <w:rPr>
          <w:rFonts w:ascii="Book Antiqua" w:hAnsi="Book Antiqua" w:cs="Times New Roman"/>
          <w:color w:val="000000" w:themeColor="text1"/>
          <w:sz w:val="24"/>
          <w:szCs w:val="24"/>
        </w:rPr>
        <w:t>Proctocolectomy is recommended in case of neoplasia of colonic mucosa.</w:t>
      </w:r>
    </w:p>
    <w:p w:rsidR="00077B32" w:rsidRPr="00392036" w:rsidRDefault="00077B32" w:rsidP="00313A7D">
      <w:pPr>
        <w:autoSpaceDE w:val="0"/>
        <w:autoSpaceDN w:val="0"/>
        <w:adjustRightInd w:val="0"/>
        <w:spacing w:after="0" w:line="360" w:lineRule="auto"/>
        <w:jc w:val="both"/>
        <w:rPr>
          <w:rFonts w:ascii="Book Antiqua" w:hAnsi="Book Antiqua"/>
          <w:b/>
          <w:color w:val="000000" w:themeColor="text1"/>
          <w:sz w:val="24"/>
          <w:szCs w:val="24"/>
        </w:rPr>
      </w:pPr>
    </w:p>
    <w:p w:rsidR="002F5E3F" w:rsidRPr="00392036" w:rsidRDefault="00077B32" w:rsidP="00313A7D">
      <w:pPr>
        <w:autoSpaceDE w:val="0"/>
        <w:autoSpaceDN w:val="0"/>
        <w:adjustRightInd w:val="0"/>
        <w:spacing w:after="0" w:line="360" w:lineRule="auto"/>
        <w:jc w:val="both"/>
        <w:rPr>
          <w:rFonts w:ascii="Book Antiqua" w:hAnsi="Book Antiqua"/>
          <w:b/>
          <w:color w:val="000000" w:themeColor="text1"/>
          <w:sz w:val="24"/>
          <w:szCs w:val="24"/>
        </w:rPr>
      </w:pPr>
      <w:r w:rsidRPr="00392036">
        <w:rPr>
          <w:rFonts w:ascii="Book Antiqua" w:hAnsi="Book Antiqua"/>
          <w:b/>
          <w:color w:val="000000" w:themeColor="text1"/>
          <w:sz w:val="24"/>
          <w:szCs w:val="24"/>
        </w:rPr>
        <w:t>PSC AFTER LIVER TRANSPLANTATION</w:t>
      </w:r>
    </w:p>
    <w:p w:rsidR="00077B32" w:rsidRPr="00392036" w:rsidRDefault="00487B95" w:rsidP="00313A7D">
      <w:pPr>
        <w:pStyle w:val="NormalWeb"/>
        <w:spacing w:beforeLines="0" w:afterLines="0" w:after="0" w:line="360" w:lineRule="auto"/>
        <w:jc w:val="both"/>
        <w:rPr>
          <w:rFonts w:ascii="Book Antiqua" w:hAnsi="Book Antiqua" w:cs="Verdana"/>
          <w:color w:val="000000" w:themeColor="text1"/>
          <w:sz w:val="24"/>
          <w:szCs w:val="24"/>
          <w:lang w:val="en-GB"/>
        </w:rPr>
      </w:pPr>
      <w:r w:rsidRPr="00392036">
        <w:rPr>
          <w:rFonts w:ascii="Book Antiqua" w:hAnsi="Book Antiqua" w:cs="Verdana"/>
          <w:color w:val="000000" w:themeColor="text1"/>
          <w:sz w:val="24"/>
          <w:szCs w:val="24"/>
          <w:lang w:val="en-GB"/>
        </w:rPr>
        <w:t>The overall patient and graft 5-year survival rates in P</w:t>
      </w:r>
      <w:r w:rsidR="00C419E3" w:rsidRPr="00392036">
        <w:rPr>
          <w:rFonts w:ascii="Book Antiqua" w:hAnsi="Book Antiqua" w:cs="Verdana"/>
          <w:color w:val="000000" w:themeColor="text1"/>
          <w:sz w:val="24"/>
          <w:szCs w:val="24"/>
          <w:lang w:val="en-GB"/>
        </w:rPr>
        <w:t>SC recipients are excellent: 95.4% and 89.</w:t>
      </w:r>
      <w:r w:rsidRPr="00392036">
        <w:rPr>
          <w:rFonts w:ascii="Book Antiqua" w:hAnsi="Book Antiqua" w:cs="Verdana"/>
          <w:color w:val="000000" w:themeColor="text1"/>
          <w:sz w:val="24"/>
          <w:szCs w:val="24"/>
          <w:lang w:val="en-GB"/>
        </w:rPr>
        <w:t xml:space="preserve">6%, </w:t>
      </w:r>
      <w:proofErr w:type="gramStart"/>
      <w:r w:rsidRPr="00392036">
        <w:rPr>
          <w:rFonts w:ascii="Book Antiqua" w:hAnsi="Book Antiqua" w:cs="Verdana"/>
          <w:color w:val="000000" w:themeColor="text1"/>
          <w:sz w:val="24"/>
          <w:szCs w:val="24"/>
          <w:lang w:val="en-GB"/>
        </w:rPr>
        <w:t>respectively</w:t>
      </w:r>
      <w:r w:rsidR="00B04FEB" w:rsidRPr="00392036">
        <w:rPr>
          <w:rFonts w:ascii="Book Antiqua" w:hAnsi="Book Antiqua"/>
          <w:color w:val="000000" w:themeColor="text1"/>
          <w:sz w:val="24"/>
          <w:szCs w:val="24"/>
          <w:vertAlign w:val="superscript"/>
        </w:rPr>
        <w:t>[</w:t>
      </w:r>
      <w:proofErr w:type="gramEnd"/>
      <w:r w:rsidR="00B04FEB" w:rsidRPr="00392036">
        <w:rPr>
          <w:rFonts w:ascii="Book Antiqua" w:hAnsi="Book Antiqua"/>
          <w:color w:val="000000" w:themeColor="text1"/>
          <w:sz w:val="24"/>
          <w:szCs w:val="24"/>
          <w:vertAlign w:val="superscript"/>
        </w:rPr>
        <w:t>83]</w:t>
      </w:r>
      <w:r w:rsidR="00B04FEB" w:rsidRPr="00392036">
        <w:rPr>
          <w:rFonts w:ascii="Book Antiqua" w:hAnsi="Book Antiqua"/>
          <w:color w:val="000000" w:themeColor="text1"/>
          <w:sz w:val="24"/>
          <w:szCs w:val="24"/>
        </w:rPr>
        <w:t>.</w:t>
      </w:r>
      <w:r w:rsidR="00B04FEB" w:rsidRPr="00392036">
        <w:rPr>
          <w:rFonts w:ascii="Book Antiqua" w:hAnsi="Book Antiqua"/>
          <w:color w:val="000000" w:themeColor="text1"/>
          <w:sz w:val="24"/>
          <w:szCs w:val="24"/>
          <w:vertAlign w:val="superscript"/>
        </w:rPr>
        <w:t xml:space="preserve"> </w:t>
      </w:r>
      <w:r w:rsidR="0087713B" w:rsidRPr="00392036">
        <w:rPr>
          <w:rFonts w:ascii="Book Antiqua" w:hAnsi="Book Antiqua" w:cs="Verdana"/>
          <w:color w:val="000000" w:themeColor="text1"/>
          <w:sz w:val="24"/>
          <w:szCs w:val="24"/>
          <w:lang w:val="en-GB"/>
        </w:rPr>
        <w:t xml:space="preserve">Patients receiving transplants for PSC have disease-specific complications (excluding the usual post-transplant complications) that might lead to increased morbidity and mortality rates. </w:t>
      </w:r>
      <w:r w:rsidR="00B70311" w:rsidRPr="00392036">
        <w:rPr>
          <w:rFonts w:ascii="Book Antiqua" w:hAnsi="Book Antiqua" w:cs="Verdana"/>
          <w:color w:val="000000" w:themeColor="text1"/>
          <w:sz w:val="24"/>
          <w:szCs w:val="24"/>
          <w:lang w:val="en-GB"/>
        </w:rPr>
        <w:t xml:space="preserve">The most common cause of death remains infection (rates up to 26%). </w:t>
      </w:r>
      <w:r w:rsidR="0087713B" w:rsidRPr="00392036">
        <w:rPr>
          <w:rFonts w:ascii="Book Antiqua" w:hAnsi="Book Antiqua" w:cs="Verdana"/>
          <w:color w:val="000000" w:themeColor="text1"/>
          <w:sz w:val="24"/>
          <w:szCs w:val="24"/>
          <w:lang w:val="en-GB"/>
        </w:rPr>
        <w:t xml:space="preserve">The incidence of acute cellular rejection is higher for patients with PSC and comorbid IBD, increasing the </w:t>
      </w:r>
      <w:proofErr w:type="gramStart"/>
      <w:r w:rsidR="0087713B" w:rsidRPr="00392036">
        <w:rPr>
          <w:rFonts w:ascii="Book Antiqua" w:hAnsi="Book Antiqua" w:cs="Verdana"/>
          <w:color w:val="000000" w:themeColor="text1"/>
          <w:sz w:val="24"/>
          <w:szCs w:val="24"/>
          <w:lang w:val="en-GB"/>
        </w:rPr>
        <w:t>risk</w:t>
      </w:r>
      <w:r w:rsidR="00B04FEB" w:rsidRPr="00392036">
        <w:rPr>
          <w:rFonts w:ascii="Book Antiqua" w:hAnsi="Book Antiqua"/>
          <w:color w:val="000000" w:themeColor="text1"/>
          <w:sz w:val="24"/>
          <w:szCs w:val="24"/>
          <w:vertAlign w:val="superscript"/>
        </w:rPr>
        <w:t>[</w:t>
      </w:r>
      <w:proofErr w:type="gramEnd"/>
      <w:r w:rsidR="00B04FEB" w:rsidRPr="00392036">
        <w:rPr>
          <w:rFonts w:ascii="Book Antiqua" w:hAnsi="Book Antiqua"/>
          <w:color w:val="000000" w:themeColor="text1"/>
          <w:sz w:val="24"/>
          <w:szCs w:val="24"/>
          <w:vertAlign w:val="superscript"/>
        </w:rPr>
        <w:t>84]</w:t>
      </w:r>
      <w:r w:rsidR="00B04FEB" w:rsidRPr="00392036">
        <w:rPr>
          <w:rFonts w:ascii="Book Antiqua" w:hAnsi="Book Antiqua"/>
          <w:color w:val="000000" w:themeColor="text1"/>
          <w:sz w:val="24"/>
          <w:szCs w:val="24"/>
        </w:rPr>
        <w:t>.</w:t>
      </w:r>
      <w:r w:rsidR="00B04FEB" w:rsidRPr="00392036">
        <w:rPr>
          <w:rFonts w:ascii="Book Antiqua" w:hAnsi="Book Antiqua"/>
          <w:color w:val="000000" w:themeColor="text1"/>
          <w:sz w:val="24"/>
          <w:szCs w:val="24"/>
          <w:vertAlign w:val="superscript"/>
        </w:rPr>
        <w:t xml:space="preserve"> </w:t>
      </w:r>
      <w:r w:rsidR="00077B32" w:rsidRPr="00392036">
        <w:rPr>
          <w:rFonts w:ascii="Book Antiqua" w:hAnsi="Book Antiqua" w:cs="Verdana"/>
          <w:color w:val="000000" w:themeColor="text1"/>
          <w:sz w:val="24"/>
          <w:szCs w:val="24"/>
          <w:lang w:val="en-GB"/>
        </w:rPr>
        <w:t>PSC recurrence occurs in 20</w:t>
      </w:r>
      <w:r w:rsidR="004C29DB" w:rsidRPr="00392036">
        <w:rPr>
          <w:rFonts w:ascii="Book Antiqua" w:hAnsi="Book Antiqua" w:cs="Verdana"/>
          <w:color w:val="000000" w:themeColor="text1"/>
          <w:sz w:val="24"/>
          <w:szCs w:val="24"/>
          <w:lang w:val="en-GB" w:eastAsia="zh-CN"/>
        </w:rPr>
        <w:t>%</w:t>
      </w:r>
      <w:r w:rsidR="00077B32" w:rsidRPr="00392036">
        <w:rPr>
          <w:rFonts w:ascii="Book Antiqua" w:hAnsi="Book Antiqua" w:cs="Verdana"/>
          <w:color w:val="000000" w:themeColor="text1"/>
          <w:sz w:val="24"/>
          <w:szCs w:val="24"/>
          <w:lang w:val="en-GB"/>
        </w:rPr>
        <w:t xml:space="preserve">-50% </w:t>
      </w:r>
      <w:r w:rsidR="0087713B" w:rsidRPr="00392036">
        <w:rPr>
          <w:rFonts w:ascii="Book Antiqua" w:hAnsi="Book Antiqua" w:cs="Verdana"/>
          <w:color w:val="000000" w:themeColor="text1"/>
          <w:sz w:val="24"/>
          <w:szCs w:val="24"/>
          <w:lang w:val="en-GB"/>
        </w:rPr>
        <w:t xml:space="preserve">of </w:t>
      </w:r>
      <w:r w:rsidR="00077B32" w:rsidRPr="00392036">
        <w:rPr>
          <w:rFonts w:ascii="Book Antiqua" w:hAnsi="Book Antiqua" w:cs="Verdana"/>
          <w:color w:val="000000" w:themeColor="text1"/>
          <w:sz w:val="24"/>
          <w:szCs w:val="24"/>
          <w:lang w:val="en-GB"/>
        </w:rPr>
        <w:t xml:space="preserve">liver recipients 5-10 years after LT, </w:t>
      </w:r>
      <w:r w:rsidR="00077B32" w:rsidRPr="00392036">
        <w:rPr>
          <w:rFonts w:ascii="Book Antiqua" w:hAnsi="Book Antiqua"/>
          <w:color w:val="000000" w:themeColor="text1"/>
          <w:sz w:val="24"/>
          <w:szCs w:val="24"/>
          <w:lang w:val="en-GB"/>
        </w:rPr>
        <w:t xml:space="preserve">and </w:t>
      </w:r>
      <w:r w:rsidR="0087713B" w:rsidRPr="00392036">
        <w:rPr>
          <w:rFonts w:ascii="Book Antiqua" w:hAnsi="Book Antiqua"/>
          <w:color w:val="000000" w:themeColor="text1"/>
          <w:sz w:val="24"/>
          <w:szCs w:val="24"/>
          <w:lang w:val="en-GB"/>
        </w:rPr>
        <w:t>can effect</w:t>
      </w:r>
      <w:r w:rsidR="00077B32" w:rsidRPr="00392036">
        <w:rPr>
          <w:rFonts w:ascii="Book Antiqua" w:hAnsi="Book Antiqua"/>
          <w:color w:val="000000" w:themeColor="text1"/>
          <w:sz w:val="24"/>
          <w:szCs w:val="24"/>
          <w:lang w:val="en-GB"/>
        </w:rPr>
        <w:t xml:space="preserve"> graft and patient </w:t>
      </w:r>
      <w:proofErr w:type="gramStart"/>
      <w:r w:rsidR="00077B32" w:rsidRPr="00392036">
        <w:rPr>
          <w:rFonts w:ascii="Book Antiqua" w:hAnsi="Book Antiqua"/>
          <w:color w:val="000000" w:themeColor="text1"/>
          <w:sz w:val="24"/>
          <w:szCs w:val="24"/>
          <w:lang w:val="en-GB"/>
        </w:rPr>
        <w:t>survival</w:t>
      </w:r>
      <w:r w:rsidR="00B04FEB" w:rsidRPr="00392036">
        <w:rPr>
          <w:rFonts w:ascii="Book Antiqua" w:hAnsi="Book Antiqua"/>
          <w:color w:val="000000" w:themeColor="text1"/>
          <w:sz w:val="24"/>
          <w:szCs w:val="24"/>
          <w:vertAlign w:val="superscript"/>
        </w:rPr>
        <w:t>[</w:t>
      </w:r>
      <w:proofErr w:type="gramEnd"/>
      <w:r w:rsidR="00B04FEB" w:rsidRPr="00392036">
        <w:rPr>
          <w:rFonts w:ascii="Book Antiqua" w:hAnsi="Book Antiqua"/>
          <w:color w:val="000000" w:themeColor="text1"/>
          <w:sz w:val="24"/>
          <w:szCs w:val="24"/>
          <w:vertAlign w:val="superscript"/>
        </w:rPr>
        <w:t>85]</w:t>
      </w:r>
      <w:r w:rsidR="00077B32" w:rsidRPr="00392036">
        <w:rPr>
          <w:rFonts w:ascii="Book Antiqua" w:hAnsi="Book Antiqua"/>
          <w:color w:val="000000" w:themeColor="text1"/>
          <w:sz w:val="24"/>
          <w:szCs w:val="24"/>
          <w:lang w:val="en-GB"/>
        </w:rPr>
        <w:t>.</w:t>
      </w:r>
      <w:r w:rsidR="00077B32" w:rsidRPr="00392036">
        <w:rPr>
          <w:rFonts w:ascii="Book Antiqua" w:hAnsi="Book Antiqua" w:cs="Verdana"/>
          <w:color w:val="000000" w:themeColor="text1"/>
          <w:sz w:val="24"/>
          <w:szCs w:val="24"/>
          <w:lang w:val="en-GB"/>
        </w:rPr>
        <w:t xml:space="preserve"> Only approximately one-third of patients with recurrence develop progressive disease leading </w:t>
      </w:r>
      <w:r w:rsidR="0087713B" w:rsidRPr="00392036">
        <w:rPr>
          <w:rFonts w:ascii="Book Antiqua" w:hAnsi="Book Antiqua" w:cs="Verdana"/>
          <w:color w:val="000000" w:themeColor="text1"/>
          <w:sz w:val="24"/>
          <w:szCs w:val="24"/>
          <w:lang w:val="en-GB"/>
        </w:rPr>
        <w:t>to retransplantation or death. The r</w:t>
      </w:r>
      <w:r w:rsidR="00077B32" w:rsidRPr="00392036">
        <w:rPr>
          <w:rFonts w:ascii="Book Antiqua" w:hAnsi="Book Antiqua" w:cs="Verdana"/>
          <w:color w:val="000000" w:themeColor="text1"/>
          <w:sz w:val="24"/>
          <w:szCs w:val="24"/>
          <w:lang w:val="en-GB"/>
        </w:rPr>
        <w:t xml:space="preserve">isk factors for recurrence, particularly the influence of the immunosuppressive regimen, remain incompletely understood, </w:t>
      </w:r>
      <w:r w:rsidR="0087713B" w:rsidRPr="00392036">
        <w:rPr>
          <w:rFonts w:ascii="Book Antiqua" w:hAnsi="Book Antiqua" w:cs="Verdana"/>
          <w:color w:val="000000" w:themeColor="text1"/>
          <w:sz w:val="24"/>
          <w:szCs w:val="24"/>
          <w:lang w:val="en-GB"/>
        </w:rPr>
        <w:t>however</w:t>
      </w:r>
      <w:r w:rsidR="00077B32" w:rsidRPr="00392036">
        <w:rPr>
          <w:rFonts w:ascii="Book Antiqua" w:hAnsi="Book Antiqua" w:cs="Verdana"/>
          <w:color w:val="000000" w:themeColor="text1"/>
          <w:sz w:val="24"/>
          <w:szCs w:val="24"/>
          <w:lang w:val="en-GB"/>
        </w:rPr>
        <w:t xml:space="preserve"> a variety of risk factors have been reported in various series including age, sex mismatch, male sex, coexistent IBD, </w:t>
      </w:r>
      <w:r w:rsidR="0087713B" w:rsidRPr="00392036">
        <w:rPr>
          <w:rFonts w:ascii="Book Antiqua" w:hAnsi="Book Antiqua" w:cs="Verdana"/>
          <w:color w:val="000000" w:themeColor="text1"/>
          <w:sz w:val="24"/>
          <w:szCs w:val="24"/>
          <w:lang w:val="en-GB"/>
        </w:rPr>
        <w:t xml:space="preserve">the </w:t>
      </w:r>
      <w:r w:rsidR="00077B32" w:rsidRPr="00392036">
        <w:rPr>
          <w:rFonts w:ascii="Book Antiqua" w:hAnsi="Book Antiqua" w:cs="Verdana"/>
          <w:color w:val="000000" w:themeColor="text1"/>
          <w:sz w:val="24"/>
          <w:szCs w:val="24"/>
          <w:lang w:val="en-GB"/>
        </w:rPr>
        <w:t xml:space="preserve">presence of an intact colon after transplantation, cytomegalovirus (CMV) infection, recurrent acute cellular rejection, steroid-resistant cellular rejection, </w:t>
      </w:r>
      <w:r w:rsidR="0087713B" w:rsidRPr="00392036">
        <w:rPr>
          <w:rFonts w:ascii="Book Antiqua" w:hAnsi="Book Antiqua" w:cs="Verdana"/>
          <w:color w:val="000000" w:themeColor="text1"/>
          <w:sz w:val="24"/>
          <w:szCs w:val="24"/>
          <w:lang w:val="en-GB"/>
        </w:rPr>
        <w:t xml:space="preserve">the </w:t>
      </w:r>
      <w:r w:rsidR="00077B32" w:rsidRPr="00392036">
        <w:rPr>
          <w:rFonts w:ascii="Book Antiqua" w:hAnsi="Book Antiqua" w:cs="Verdana"/>
          <w:color w:val="000000" w:themeColor="text1"/>
          <w:sz w:val="24"/>
          <w:szCs w:val="24"/>
          <w:lang w:val="en-GB"/>
        </w:rPr>
        <w:t xml:space="preserve">use of OKT3, </w:t>
      </w:r>
      <w:r w:rsidR="0087713B" w:rsidRPr="00392036">
        <w:rPr>
          <w:rFonts w:ascii="Book Antiqua" w:hAnsi="Book Antiqua" w:cs="Verdana"/>
          <w:color w:val="000000" w:themeColor="text1"/>
          <w:sz w:val="24"/>
          <w:szCs w:val="24"/>
          <w:lang w:val="en-GB"/>
        </w:rPr>
        <w:t xml:space="preserve">the </w:t>
      </w:r>
      <w:r w:rsidR="00077B32" w:rsidRPr="00392036">
        <w:rPr>
          <w:rFonts w:ascii="Book Antiqua" w:hAnsi="Book Antiqua" w:cs="Verdana"/>
          <w:color w:val="000000" w:themeColor="text1"/>
          <w:sz w:val="24"/>
          <w:szCs w:val="24"/>
          <w:lang w:val="en-GB"/>
        </w:rPr>
        <w:t xml:space="preserve">presence of cholangiocarcinoma before transplantation, </w:t>
      </w:r>
      <w:r w:rsidR="0087713B" w:rsidRPr="00392036">
        <w:rPr>
          <w:rFonts w:ascii="Book Antiqua" w:hAnsi="Book Antiqua" w:cs="Verdana"/>
          <w:color w:val="000000" w:themeColor="text1"/>
          <w:sz w:val="24"/>
          <w:szCs w:val="24"/>
          <w:lang w:val="en-GB"/>
        </w:rPr>
        <w:t xml:space="preserve">the </w:t>
      </w:r>
      <w:r w:rsidR="00077B32" w:rsidRPr="00392036">
        <w:rPr>
          <w:rFonts w:ascii="Book Antiqua" w:hAnsi="Book Antiqua" w:cs="Verdana"/>
          <w:color w:val="000000" w:themeColor="text1"/>
          <w:sz w:val="24"/>
          <w:szCs w:val="24"/>
          <w:lang w:val="en-GB"/>
        </w:rPr>
        <w:t xml:space="preserve">use of extended donor criteria, and </w:t>
      </w:r>
      <w:r w:rsidR="0087713B" w:rsidRPr="00392036">
        <w:rPr>
          <w:rFonts w:ascii="Book Antiqua" w:hAnsi="Book Antiqua" w:cs="Verdana"/>
          <w:color w:val="000000" w:themeColor="text1"/>
          <w:sz w:val="24"/>
          <w:szCs w:val="24"/>
          <w:lang w:val="en-GB"/>
        </w:rPr>
        <w:t xml:space="preserve">the </w:t>
      </w:r>
      <w:r w:rsidR="00077B32" w:rsidRPr="00392036">
        <w:rPr>
          <w:rFonts w:ascii="Book Antiqua" w:hAnsi="Book Antiqua" w:cs="Verdana"/>
          <w:color w:val="000000" w:themeColor="text1"/>
          <w:sz w:val="24"/>
          <w:szCs w:val="24"/>
          <w:lang w:val="en-GB"/>
        </w:rPr>
        <w:t>prolonged use of glucocorticoids</w:t>
      </w:r>
      <w:r w:rsidR="00B04FEB" w:rsidRPr="00392036">
        <w:rPr>
          <w:rFonts w:ascii="Book Antiqua" w:hAnsi="Book Antiqua"/>
          <w:color w:val="000000" w:themeColor="text1"/>
          <w:sz w:val="24"/>
          <w:szCs w:val="24"/>
          <w:vertAlign w:val="superscript"/>
        </w:rPr>
        <w:t xml:space="preserve">[31,67,86,87] </w:t>
      </w:r>
      <w:r w:rsidR="00077B32" w:rsidRPr="00392036">
        <w:rPr>
          <w:rFonts w:ascii="Book Antiqua" w:hAnsi="Book Antiqua" w:cs="Verdana"/>
          <w:color w:val="000000" w:themeColor="text1"/>
          <w:sz w:val="24"/>
          <w:szCs w:val="24"/>
          <w:lang w:val="en-GB"/>
        </w:rPr>
        <w:t xml:space="preserve">. </w:t>
      </w:r>
      <w:r w:rsidR="0087713B" w:rsidRPr="00392036">
        <w:rPr>
          <w:rFonts w:ascii="Book Antiqua" w:hAnsi="Book Antiqua"/>
          <w:bCs/>
          <w:color w:val="000000" w:themeColor="text1"/>
          <w:sz w:val="24"/>
          <w:szCs w:val="24"/>
          <w:lang w:val="en-GB"/>
        </w:rPr>
        <w:t xml:space="preserve">However, IBD alone does not adversely affect patient survival after LT, and the risk of recurrent PSC in the allograft might be higher among patients with IBD and an intact colon at LT. </w:t>
      </w:r>
    </w:p>
    <w:p w:rsidR="00D25396" w:rsidRPr="00392036" w:rsidRDefault="0087713B" w:rsidP="00313A7D">
      <w:pPr>
        <w:pStyle w:val="NormalWeb"/>
        <w:spacing w:beforeLines="0" w:afterLines="0" w:after="0" w:line="360" w:lineRule="auto"/>
        <w:ind w:firstLineChars="150" w:firstLine="360"/>
        <w:jc w:val="both"/>
        <w:rPr>
          <w:rFonts w:ascii="Book Antiqua" w:hAnsi="Book Antiqua"/>
          <w:color w:val="000000" w:themeColor="text1"/>
          <w:sz w:val="24"/>
          <w:szCs w:val="24"/>
          <w:lang w:val="en-GB"/>
        </w:rPr>
      </w:pPr>
      <w:r w:rsidRPr="00392036">
        <w:rPr>
          <w:rFonts w:ascii="Book Antiqua" w:hAnsi="Book Antiqua" w:cs="Verdana"/>
          <w:color w:val="000000" w:themeColor="text1"/>
          <w:sz w:val="24"/>
          <w:szCs w:val="24"/>
          <w:lang w:val="en-GB"/>
        </w:rPr>
        <w:lastRenderedPageBreak/>
        <w:t xml:space="preserve">The diagnosis of recurrent PSC after LT is difficult to establish because of the similar effects of compromised hepatic arterial blood flow, chronic/ductopenic rejection, donor/recipient ABO incompatibility, preservation-reperfusion injury, Roux-en-Y-related cholangitis and anastomotic stricture(s) on laboratory, morphological and histological findings. However, IBD is observed more frequently in patients with recurrent disease. Overall short- and medium-term graft and patient survival rates appear to be comparable among patients with PSC/IBD and PSC </w:t>
      </w:r>
      <w:proofErr w:type="gramStart"/>
      <w:r w:rsidRPr="00392036">
        <w:rPr>
          <w:rFonts w:ascii="Book Antiqua" w:hAnsi="Book Antiqua" w:cs="Verdana"/>
          <w:color w:val="000000" w:themeColor="text1"/>
          <w:sz w:val="24"/>
          <w:szCs w:val="24"/>
          <w:lang w:val="en-GB"/>
        </w:rPr>
        <w:t>alone</w:t>
      </w:r>
      <w:r w:rsidR="00B04FEB" w:rsidRPr="00392036">
        <w:rPr>
          <w:rFonts w:ascii="Book Antiqua" w:hAnsi="Book Antiqua"/>
          <w:color w:val="000000" w:themeColor="text1"/>
          <w:sz w:val="24"/>
          <w:szCs w:val="24"/>
          <w:vertAlign w:val="superscript"/>
        </w:rPr>
        <w:t>[</w:t>
      </w:r>
      <w:proofErr w:type="gramEnd"/>
      <w:r w:rsidR="00B04FEB" w:rsidRPr="00392036">
        <w:rPr>
          <w:rFonts w:ascii="Book Antiqua" w:hAnsi="Book Antiqua"/>
          <w:color w:val="000000" w:themeColor="text1"/>
          <w:sz w:val="24"/>
          <w:szCs w:val="24"/>
          <w:vertAlign w:val="superscript"/>
        </w:rPr>
        <w:t>38]</w:t>
      </w:r>
      <w:r w:rsidR="00077B32" w:rsidRPr="00392036">
        <w:rPr>
          <w:rFonts w:ascii="Book Antiqua" w:hAnsi="Book Antiqua"/>
          <w:color w:val="000000" w:themeColor="text1"/>
          <w:sz w:val="24"/>
          <w:szCs w:val="24"/>
          <w:lang w:val="en-GB"/>
        </w:rPr>
        <w:t xml:space="preserve">. </w:t>
      </w:r>
      <w:r w:rsidRPr="00392036">
        <w:rPr>
          <w:rFonts w:ascii="Book Antiqua" w:hAnsi="Book Antiqua"/>
          <w:color w:val="000000" w:themeColor="text1"/>
          <w:sz w:val="24"/>
          <w:szCs w:val="24"/>
          <w:lang w:val="en-GB"/>
        </w:rPr>
        <w:t xml:space="preserve">The incidence of hepatic artery thrombosis might be higher in patients with PSC/IBD, especially those with active </w:t>
      </w:r>
      <w:proofErr w:type="gramStart"/>
      <w:r w:rsidRPr="00392036">
        <w:rPr>
          <w:rFonts w:ascii="Book Antiqua" w:hAnsi="Book Antiqua"/>
          <w:color w:val="000000" w:themeColor="text1"/>
          <w:sz w:val="24"/>
          <w:szCs w:val="24"/>
          <w:lang w:val="en-GB"/>
        </w:rPr>
        <w:t>IBD</w:t>
      </w:r>
      <w:r w:rsidR="00B04FEB" w:rsidRPr="00392036">
        <w:rPr>
          <w:rFonts w:ascii="Book Antiqua" w:hAnsi="Book Antiqua"/>
          <w:color w:val="000000" w:themeColor="text1"/>
          <w:sz w:val="24"/>
          <w:szCs w:val="24"/>
          <w:vertAlign w:val="superscript"/>
        </w:rPr>
        <w:t>[</w:t>
      </w:r>
      <w:proofErr w:type="gramEnd"/>
      <w:r w:rsidR="00B04FEB" w:rsidRPr="00392036">
        <w:rPr>
          <w:rFonts w:ascii="Book Antiqua" w:hAnsi="Book Antiqua"/>
          <w:color w:val="000000" w:themeColor="text1"/>
          <w:sz w:val="24"/>
          <w:szCs w:val="24"/>
          <w:vertAlign w:val="superscript"/>
        </w:rPr>
        <w:t>38]</w:t>
      </w:r>
      <w:r w:rsidR="00077B32" w:rsidRPr="00392036">
        <w:rPr>
          <w:rFonts w:ascii="Book Antiqua" w:hAnsi="Book Antiqua"/>
          <w:color w:val="000000" w:themeColor="text1"/>
          <w:sz w:val="24"/>
          <w:szCs w:val="24"/>
          <w:lang w:val="en-GB"/>
        </w:rPr>
        <w:t xml:space="preserve">. Concomitant IBD has also been associated with a higher rate of acute cellular and chronic ductopenic rejection, higher risk of graft failure and the need for retransplantation, thereby making early accurate diagnosis and </w:t>
      </w:r>
      <w:r w:rsidRPr="00392036">
        <w:rPr>
          <w:rFonts w:ascii="Book Antiqua" w:hAnsi="Book Antiqua"/>
          <w:color w:val="000000" w:themeColor="text1"/>
          <w:sz w:val="24"/>
          <w:szCs w:val="24"/>
          <w:lang w:val="en-GB"/>
        </w:rPr>
        <w:t xml:space="preserve">the </w:t>
      </w:r>
      <w:r w:rsidR="00077B32" w:rsidRPr="00392036">
        <w:rPr>
          <w:rFonts w:ascii="Book Antiqua" w:hAnsi="Book Antiqua"/>
          <w:color w:val="000000" w:themeColor="text1"/>
          <w:sz w:val="24"/>
          <w:szCs w:val="24"/>
          <w:lang w:val="en-GB"/>
        </w:rPr>
        <w:t>close monitoring of this disease entity important</w:t>
      </w:r>
      <w:r w:rsidR="00B04FEB" w:rsidRPr="00392036">
        <w:rPr>
          <w:rFonts w:ascii="Book Antiqua" w:hAnsi="Book Antiqua"/>
          <w:color w:val="000000" w:themeColor="text1"/>
          <w:sz w:val="24"/>
          <w:szCs w:val="24"/>
          <w:vertAlign w:val="superscript"/>
        </w:rPr>
        <w:t>[84,88]</w:t>
      </w:r>
      <w:r w:rsidR="00077B32" w:rsidRPr="00392036">
        <w:rPr>
          <w:rFonts w:ascii="Book Antiqua" w:hAnsi="Book Antiqua"/>
          <w:color w:val="000000" w:themeColor="text1"/>
          <w:sz w:val="24"/>
          <w:szCs w:val="24"/>
          <w:lang w:val="en-GB"/>
        </w:rPr>
        <w:t>.</w:t>
      </w:r>
      <w:r w:rsidR="004C29DB" w:rsidRPr="00392036">
        <w:rPr>
          <w:rFonts w:ascii="Book Antiqua" w:hAnsi="Book Antiqua"/>
          <w:color w:val="000000" w:themeColor="text1"/>
          <w:sz w:val="24"/>
          <w:szCs w:val="24"/>
          <w:lang w:val="en-GB" w:eastAsia="zh-CN"/>
        </w:rPr>
        <w:t xml:space="preserve"> </w:t>
      </w:r>
      <w:r w:rsidRPr="00392036">
        <w:rPr>
          <w:rFonts w:ascii="Book Antiqua" w:hAnsi="Book Antiqua" w:cs="Verdana"/>
          <w:color w:val="000000" w:themeColor="text1"/>
          <w:sz w:val="24"/>
          <w:szCs w:val="24"/>
          <w:lang w:val="en-GB"/>
        </w:rPr>
        <w:t>The natural history of recurrent disease varies, and no specific tr</w:t>
      </w:r>
      <w:r w:rsidR="004C29DB" w:rsidRPr="00392036">
        <w:rPr>
          <w:rFonts w:ascii="Book Antiqua" w:hAnsi="Book Antiqua" w:cs="Verdana"/>
          <w:color w:val="000000" w:themeColor="text1"/>
          <w:sz w:val="24"/>
          <w:szCs w:val="24"/>
          <w:lang w:val="en-GB"/>
        </w:rPr>
        <w:t xml:space="preserve">eatment options are </w:t>
      </w:r>
      <w:proofErr w:type="gramStart"/>
      <w:r w:rsidR="004C29DB" w:rsidRPr="00392036">
        <w:rPr>
          <w:rFonts w:ascii="Book Antiqua" w:hAnsi="Book Antiqua" w:cs="Verdana"/>
          <w:color w:val="000000" w:themeColor="text1"/>
          <w:sz w:val="24"/>
          <w:szCs w:val="24"/>
          <w:lang w:val="en-GB"/>
        </w:rPr>
        <w:t>recommended</w:t>
      </w:r>
      <w:r w:rsidR="00B70311" w:rsidRPr="00392036">
        <w:rPr>
          <w:rFonts w:ascii="Book Antiqua" w:hAnsi="Book Antiqua"/>
          <w:color w:val="000000" w:themeColor="text1"/>
          <w:sz w:val="24"/>
          <w:szCs w:val="24"/>
          <w:vertAlign w:val="superscript"/>
        </w:rPr>
        <w:t>[</w:t>
      </w:r>
      <w:proofErr w:type="gramEnd"/>
      <w:r w:rsidR="00B70311" w:rsidRPr="00392036">
        <w:rPr>
          <w:rFonts w:ascii="Book Antiqua" w:hAnsi="Book Antiqua"/>
          <w:color w:val="000000" w:themeColor="text1"/>
          <w:sz w:val="24"/>
          <w:szCs w:val="24"/>
          <w:vertAlign w:val="superscript"/>
        </w:rPr>
        <w:t>50,89</w:t>
      </w:r>
      <w:r w:rsidR="00B04FEB" w:rsidRPr="00392036">
        <w:rPr>
          <w:rFonts w:ascii="Book Antiqua" w:hAnsi="Book Antiqua"/>
          <w:color w:val="000000" w:themeColor="text1"/>
          <w:sz w:val="24"/>
          <w:szCs w:val="24"/>
          <w:vertAlign w:val="superscript"/>
        </w:rPr>
        <w:t>]</w:t>
      </w:r>
      <w:r w:rsidR="00077B32" w:rsidRPr="00392036">
        <w:rPr>
          <w:rFonts w:ascii="Book Antiqua" w:hAnsi="Book Antiqua" w:cs="Verdana"/>
          <w:color w:val="000000" w:themeColor="text1"/>
          <w:sz w:val="24"/>
          <w:szCs w:val="24"/>
          <w:lang w:val="en-GB"/>
        </w:rPr>
        <w:t xml:space="preserve">. </w:t>
      </w:r>
    </w:p>
    <w:p w:rsidR="00D25396" w:rsidRPr="00392036" w:rsidRDefault="00D25396" w:rsidP="00313A7D">
      <w:pPr>
        <w:pStyle w:val="NormalWeb"/>
        <w:spacing w:beforeLines="0" w:afterLines="0" w:after="0" w:line="360" w:lineRule="auto"/>
        <w:jc w:val="both"/>
        <w:rPr>
          <w:rFonts w:ascii="Book Antiqua" w:hAnsi="Book Antiqua" w:cs="Verdana"/>
          <w:b/>
          <w:color w:val="000000" w:themeColor="text1"/>
          <w:sz w:val="24"/>
          <w:szCs w:val="24"/>
          <w:lang w:val="en-GB"/>
        </w:rPr>
      </w:pPr>
    </w:p>
    <w:p w:rsidR="00D25396" w:rsidRPr="00392036" w:rsidRDefault="00D25396" w:rsidP="00313A7D">
      <w:pPr>
        <w:pStyle w:val="NormalWeb"/>
        <w:spacing w:beforeLines="0" w:afterLines="0" w:after="0" w:line="360" w:lineRule="auto"/>
        <w:jc w:val="both"/>
        <w:rPr>
          <w:rFonts w:ascii="Book Antiqua" w:hAnsi="Book Antiqua" w:cs="Verdana"/>
          <w:b/>
          <w:color w:val="000000" w:themeColor="text1"/>
          <w:sz w:val="24"/>
          <w:szCs w:val="24"/>
          <w:lang w:val="en-GB" w:eastAsia="zh-CN"/>
        </w:rPr>
      </w:pPr>
      <w:r w:rsidRPr="00392036">
        <w:rPr>
          <w:rFonts w:ascii="Book Antiqua" w:hAnsi="Book Antiqua" w:cs="Verdana"/>
          <w:b/>
          <w:color w:val="000000" w:themeColor="text1"/>
          <w:sz w:val="24"/>
          <w:szCs w:val="24"/>
          <w:lang w:val="en-GB"/>
        </w:rPr>
        <w:t>MANAGEMENT OF GRAFT REJECTION AFTER LIVER TRASPLANTATION</w:t>
      </w:r>
    </w:p>
    <w:p w:rsidR="00077B32" w:rsidRPr="00392036" w:rsidRDefault="0087713B" w:rsidP="00313A7D">
      <w:pPr>
        <w:pStyle w:val="NormalWeb"/>
        <w:spacing w:beforeLines="0" w:afterLines="0" w:after="0" w:line="360" w:lineRule="auto"/>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lang w:val="en-GB"/>
        </w:rPr>
        <w:t xml:space="preserve">Because a higher rate of rejection complications occur among patients with PSC receiving LT, it is important to reconsider immunosuppressive therapies based on the most potent anti-rejection drugs. In the LT setting, tacrolimus-based anti-rejection therapy has been superior to cyclosporine-based strategies to significantly reduce the risk of acute rejection, steroid-resistant rejection and the risk of graft loss. For every 100 patients receiving LT treated with tacrolimus instead of cyclosporine, rejection and graft loss can be avoided in 9 and 5 patients, </w:t>
      </w:r>
      <w:proofErr w:type="gramStart"/>
      <w:r w:rsidRPr="00392036">
        <w:rPr>
          <w:rFonts w:ascii="Book Antiqua" w:hAnsi="Book Antiqua"/>
          <w:color w:val="000000" w:themeColor="text1"/>
          <w:sz w:val="24"/>
          <w:szCs w:val="24"/>
          <w:lang w:val="en-GB"/>
        </w:rPr>
        <w:t>respectively</w:t>
      </w:r>
      <w:r w:rsidR="00B70311" w:rsidRPr="00392036">
        <w:rPr>
          <w:rFonts w:ascii="Book Antiqua" w:hAnsi="Book Antiqua"/>
          <w:color w:val="000000" w:themeColor="text1"/>
          <w:sz w:val="24"/>
          <w:szCs w:val="24"/>
          <w:vertAlign w:val="superscript"/>
        </w:rPr>
        <w:t>[</w:t>
      </w:r>
      <w:proofErr w:type="gramEnd"/>
      <w:r w:rsidR="00B70311" w:rsidRPr="00392036">
        <w:rPr>
          <w:rFonts w:ascii="Book Antiqua" w:hAnsi="Book Antiqua"/>
          <w:color w:val="000000" w:themeColor="text1"/>
          <w:sz w:val="24"/>
          <w:szCs w:val="24"/>
          <w:vertAlign w:val="superscript"/>
        </w:rPr>
        <w:t>90]</w:t>
      </w:r>
      <w:r w:rsidR="00077B32" w:rsidRPr="00392036">
        <w:rPr>
          <w:rFonts w:ascii="Book Antiqua" w:hAnsi="Book Antiqua"/>
          <w:color w:val="000000" w:themeColor="text1"/>
          <w:sz w:val="24"/>
          <w:szCs w:val="24"/>
          <w:lang w:val="en-GB"/>
        </w:rPr>
        <w:t>.</w:t>
      </w:r>
      <w:r w:rsidR="00077B32" w:rsidRPr="00392036">
        <w:rPr>
          <w:rFonts w:ascii="Book Antiqua" w:hAnsi="Book Antiqua"/>
          <w:i/>
          <w:color w:val="000000" w:themeColor="text1"/>
          <w:sz w:val="24"/>
          <w:szCs w:val="24"/>
          <w:lang w:val="en-GB"/>
        </w:rPr>
        <w:t xml:space="preserve"> </w:t>
      </w:r>
      <w:r w:rsidRPr="00392036">
        <w:rPr>
          <w:rFonts w:ascii="Book Antiqua" w:hAnsi="Book Antiqua"/>
          <w:color w:val="000000" w:themeColor="text1"/>
          <w:sz w:val="24"/>
          <w:szCs w:val="24"/>
          <w:lang w:val="en-GB"/>
        </w:rPr>
        <w:t>Taking the lower risk of acute rejection and steroid-resistant rejection as well as the lower risk of graft loss in patients with tacrolimus treatment into account, a switch to cyclosporine among patients with IBD receiving LT cannot be universally recommended and should be based on individual risk assessments for rejection and t</w:t>
      </w:r>
      <w:r w:rsidR="004C29DB" w:rsidRPr="00392036">
        <w:rPr>
          <w:rFonts w:ascii="Book Antiqua" w:hAnsi="Book Antiqua"/>
          <w:color w:val="000000" w:themeColor="text1"/>
          <w:sz w:val="24"/>
          <w:szCs w:val="24"/>
          <w:lang w:val="en-GB"/>
        </w:rPr>
        <w:t>he effects on the course of IBD</w:t>
      </w:r>
      <w:r w:rsidR="00B70311" w:rsidRPr="00392036">
        <w:rPr>
          <w:rFonts w:ascii="Book Antiqua" w:hAnsi="Book Antiqua"/>
          <w:color w:val="000000" w:themeColor="text1"/>
          <w:sz w:val="24"/>
          <w:szCs w:val="24"/>
          <w:vertAlign w:val="superscript"/>
        </w:rPr>
        <w:t>[47]</w:t>
      </w:r>
      <w:r w:rsidR="00077B32" w:rsidRPr="00392036">
        <w:rPr>
          <w:rFonts w:ascii="Book Antiqua" w:hAnsi="Book Antiqua"/>
          <w:color w:val="000000" w:themeColor="text1"/>
          <w:sz w:val="24"/>
          <w:szCs w:val="24"/>
          <w:lang w:val="en-GB"/>
        </w:rPr>
        <w:t>.</w:t>
      </w:r>
      <w:r w:rsidR="00D25396" w:rsidRPr="00392036">
        <w:rPr>
          <w:rFonts w:ascii="Book Antiqua" w:hAnsi="Book Antiqua"/>
          <w:color w:val="000000" w:themeColor="text1"/>
          <w:sz w:val="24"/>
          <w:szCs w:val="24"/>
          <w:lang w:val="en-GB"/>
        </w:rPr>
        <w:t xml:space="preserve"> As in all other transplanted patients, established acute cellular rejection is treated </w:t>
      </w:r>
      <w:r w:rsidR="001347C3" w:rsidRPr="00392036">
        <w:rPr>
          <w:rFonts w:ascii="Book Antiqua" w:hAnsi="Book Antiqua"/>
          <w:color w:val="000000" w:themeColor="text1"/>
          <w:sz w:val="24"/>
          <w:szCs w:val="24"/>
          <w:lang w:val="en-GB"/>
        </w:rPr>
        <w:t xml:space="preserve">with boluses of </w:t>
      </w:r>
      <w:proofErr w:type="gramStart"/>
      <w:r w:rsidR="001347C3" w:rsidRPr="00392036">
        <w:rPr>
          <w:rFonts w:ascii="Book Antiqua" w:hAnsi="Book Antiqua"/>
          <w:color w:val="000000" w:themeColor="text1"/>
          <w:sz w:val="24"/>
          <w:szCs w:val="24"/>
          <w:lang w:val="en-GB"/>
        </w:rPr>
        <w:t>corticosteroids</w:t>
      </w:r>
      <w:r w:rsidR="001347C3" w:rsidRPr="00392036">
        <w:rPr>
          <w:rFonts w:ascii="Book Antiqua" w:hAnsi="Book Antiqua"/>
          <w:color w:val="000000" w:themeColor="text1"/>
          <w:sz w:val="24"/>
          <w:szCs w:val="24"/>
          <w:vertAlign w:val="superscript"/>
        </w:rPr>
        <w:t>[</w:t>
      </w:r>
      <w:proofErr w:type="gramEnd"/>
      <w:r w:rsidR="001347C3" w:rsidRPr="00392036">
        <w:rPr>
          <w:rFonts w:ascii="Book Antiqua" w:hAnsi="Book Antiqua"/>
          <w:color w:val="000000" w:themeColor="text1"/>
          <w:sz w:val="24"/>
          <w:szCs w:val="24"/>
          <w:vertAlign w:val="superscript"/>
        </w:rPr>
        <w:t>45]</w:t>
      </w:r>
      <w:r w:rsidR="001347C3" w:rsidRPr="00392036">
        <w:rPr>
          <w:rFonts w:ascii="Book Antiqua" w:hAnsi="Book Antiqua"/>
          <w:color w:val="000000" w:themeColor="text1"/>
          <w:sz w:val="24"/>
          <w:szCs w:val="24"/>
          <w:lang w:val="en-GB"/>
        </w:rPr>
        <w:t xml:space="preserve">. </w:t>
      </w:r>
    </w:p>
    <w:p w:rsidR="00077B32" w:rsidRPr="00392036" w:rsidRDefault="00077B32" w:rsidP="00313A7D">
      <w:pPr>
        <w:autoSpaceDE w:val="0"/>
        <w:autoSpaceDN w:val="0"/>
        <w:adjustRightInd w:val="0"/>
        <w:spacing w:after="0" w:line="360" w:lineRule="auto"/>
        <w:jc w:val="both"/>
        <w:rPr>
          <w:rFonts w:ascii="Book Antiqua" w:hAnsi="Book Antiqua"/>
          <w:b/>
          <w:color w:val="000000" w:themeColor="text1"/>
          <w:sz w:val="24"/>
          <w:szCs w:val="24"/>
        </w:rPr>
      </w:pPr>
    </w:p>
    <w:p w:rsidR="00B70311" w:rsidRPr="00392036" w:rsidRDefault="004C29DB" w:rsidP="00313A7D">
      <w:pPr>
        <w:autoSpaceDE w:val="0"/>
        <w:autoSpaceDN w:val="0"/>
        <w:adjustRightInd w:val="0"/>
        <w:spacing w:after="0" w:line="360" w:lineRule="auto"/>
        <w:jc w:val="both"/>
        <w:rPr>
          <w:rFonts w:ascii="Book Antiqua" w:hAnsi="Book Antiqua"/>
          <w:b/>
          <w:color w:val="000000" w:themeColor="text1"/>
          <w:sz w:val="24"/>
          <w:szCs w:val="24"/>
          <w:lang w:eastAsia="zh-CN"/>
        </w:rPr>
      </w:pPr>
      <w:r w:rsidRPr="00392036">
        <w:rPr>
          <w:rFonts w:ascii="Book Antiqua" w:hAnsi="Book Antiqua"/>
          <w:b/>
          <w:color w:val="000000" w:themeColor="text1"/>
          <w:sz w:val="24"/>
          <w:szCs w:val="24"/>
        </w:rPr>
        <w:t>CONCLUSION</w:t>
      </w:r>
    </w:p>
    <w:p w:rsidR="0087713B" w:rsidRPr="00392036" w:rsidRDefault="0087713B" w:rsidP="00313A7D">
      <w:pPr>
        <w:pStyle w:val="NormalWeb"/>
        <w:spacing w:beforeLines="0" w:afterLines="0" w:after="0" w:line="360" w:lineRule="auto"/>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lang w:val="en-GB"/>
        </w:rPr>
        <w:lastRenderedPageBreak/>
        <w:t>Despite considerable cumulative experience regarding LT for cases of PSC, controversy concerning the course of IBD after LT among these patients is fuelled by the complexity of the IBD/PSC syndrome and small sample size of patient cohorts available for analysis. General guidelines are lacking, and most of the recommended procedures derive from published experiences of uncontrolled studies (Table 2).</w:t>
      </w:r>
    </w:p>
    <w:p w:rsidR="0087713B" w:rsidRPr="00392036" w:rsidRDefault="0087713B" w:rsidP="00313A7D">
      <w:pPr>
        <w:pStyle w:val="NormalWeb"/>
        <w:spacing w:beforeLines="0" w:afterLines="0" w:after="0" w:line="360" w:lineRule="auto"/>
        <w:ind w:firstLineChars="100" w:firstLine="240"/>
        <w:jc w:val="both"/>
        <w:rPr>
          <w:rFonts w:ascii="Book Antiqua" w:hAnsi="Book Antiqua"/>
          <w:color w:val="000000" w:themeColor="text1"/>
          <w:sz w:val="24"/>
          <w:szCs w:val="24"/>
          <w:lang w:val="en-GB"/>
        </w:rPr>
      </w:pPr>
      <w:r w:rsidRPr="00392036">
        <w:rPr>
          <w:rFonts w:ascii="Book Antiqua" w:hAnsi="Book Antiqua"/>
          <w:color w:val="000000" w:themeColor="text1"/>
          <w:sz w:val="24"/>
          <w:szCs w:val="24"/>
          <w:lang w:val="en-GB"/>
        </w:rPr>
        <w:t xml:space="preserve">PSC is comorbid with IBD in approximately 70% of patients, with UC being the most common type of IBD identified. </w:t>
      </w:r>
      <w:r w:rsidRPr="00392036">
        <w:rPr>
          <w:rFonts w:ascii="Book Antiqua" w:hAnsi="Book Antiqua" w:cs="Verdana"/>
          <w:color w:val="000000" w:themeColor="text1"/>
          <w:sz w:val="24"/>
          <w:szCs w:val="24"/>
          <w:lang w:val="en-GB"/>
        </w:rPr>
        <w:t xml:space="preserve">The number of LT recipients with PSC and AIH is constantly increasing because of the increased number of newly diagnosed patients, inadequate treatment options for prevention of end stage liver disease and the increased availability of organ donors. Excluding cases of on-going IBD, </w:t>
      </w:r>
      <w:r w:rsidR="00C806F3" w:rsidRPr="00392036">
        <w:rPr>
          <w:rFonts w:ascii="Book Antiqua" w:hAnsi="Book Antiqua"/>
          <w:i/>
          <w:iCs/>
          <w:color w:val="000000" w:themeColor="text1"/>
          <w:sz w:val="24"/>
          <w:szCs w:val="24"/>
          <w:lang w:val="en-GB"/>
        </w:rPr>
        <w:t>de novo</w:t>
      </w:r>
      <w:r w:rsidRPr="00392036">
        <w:rPr>
          <w:rFonts w:ascii="Book Antiqua" w:hAnsi="Book Antiqua"/>
          <w:i/>
          <w:iCs/>
          <w:color w:val="000000" w:themeColor="text1"/>
          <w:sz w:val="24"/>
          <w:szCs w:val="24"/>
          <w:lang w:val="en-GB"/>
        </w:rPr>
        <w:t xml:space="preserve"> </w:t>
      </w:r>
      <w:r w:rsidRPr="00392036">
        <w:rPr>
          <w:rFonts w:ascii="Book Antiqua" w:hAnsi="Book Antiqua"/>
          <w:color w:val="000000" w:themeColor="text1"/>
          <w:sz w:val="24"/>
          <w:szCs w:val="24"/>
          <w:lang w:val="en-GB"/>
        </w:rPr>
        <w:t>IBD has been reported after solid organ transplantation, with an estimated incidence that is ten times higher than the expected incidence of IBD in the general population.</w:t>
      </w:r>
    </w:p>
    <w:p w:rsidR="00077B32" w:rsidRPr="00392036" w:rsidRDefault="0087713B" w:rsidP="00313A7D">
      <w:pPr>
        <w:spacing w:after="0" w:line="360" w:lineRule="auto"/>
        <w:ind w:firstLineChars="100" w:firstLine="240"/>
        <w:jc w:val="both"/>
        <w:rPr>
          <w:rFonts w:ascii="Book Antiqua" w:hAnsi="Book Antiqua"/>
          <w:color w:val="000000" w:themeColor="text1"/>
          <w:sz w:val="24"/>
          <w:szCs w:val="24"/>
        </w:rPr>
      </w:pPr>
      <w:r w:rsidRPr="00392036">
        <w:rPr>
          <w:rFonts w:ascii="Book Antiqua" w:hAnsi="Book Antiqua"/>
          <w:color w:val="000000" w:themeColor="text1"/>
          <w:sz w:val="24"/>
          <w:szCs w:val="24"/>
        </w:rPr>
        <w:t xml:space="preserve">Active IBD at LT is commonly associated with a higher risk of unfavourable IBD disease progression and the onset of other complications (mainly infections, colorectal cancer, acute and chronic graft rejection, hepatic artery thrombosis and PSC recurrence). </w:t>
      </w:r>
      <w:r w:rsidRPr="00392036">
        <w:rPr>
          <w:rFonts w:ascii="Book Antiqua" w:hAnsi="Book Antiqua" w:cs="Verdana"/>
          <w:color w:val="000000" w:themeColor="text1"/>
          <w:sz w:val="24"/>
          <w:szCs w:val="24"/>
        </w:rPr>
        <w:t xml:space="preserve">Currently, no specific guidelines exist for the medical management of patients with PSC/IBD and active IBD before LT. </w:t>
      </w:r>
      <w:r w:rsidR="00724415" w:rsidRPr="00392036">
        <w:rPr>
          <w:rFonts w:ascii="Book Antiqua" w:hAnsi="Book Antiqua"/>
          <w:color w:val="000000" w:themeColor="text1"/>
          <w:sz w:val="24"/>
          <w:szCs w:val="24"/>
        </w:rPr>
        <w:t xml:space="preserve">Further studies are suggested in order to improve management of patients with IBD undergoing LT, with emphasis on achieving remission of IBD before the procedure, as well as adequate CRC surveillance and timely proctocolectomy in selected patients </w:t>
      </w:r>
      <w:r w:rsidR="00077B32" w:rsidRPr="00392036">
        <w:rPr>
          <w:rFonts w:ascii="Book Antiqua" w:hAnsi="Book Antiqua"/>
          <w:color w:val="000000" w:themeColor="text1"/>
          <w:sz w:val="24"/>
          <w:szCs w:val="24"/>
        </w:rPr>
        <w:t xml:space="preserve">with medically refractory IBD or high risk of CRC. </w:t>
      </w:r>
      <w:r w:rsidR="00302285" w:rsidRPr="00392036">
        <w:rPr>
          <w:rFonts w:ascii="Book Antiqua" w:hAnsi="Book Antiqua" w:cs="Verdana"/>
          <w:color w:val="000000" w:themeColor="text1"/>
          <w:sz w:val="24"/>
          <w:szCs w:val="24"/>
        </w:rPr>
        <w:t xml:space="preserve">PSC/IBD transplant candidates should be treated similar to other patients with IBD according to general guidelines with special attention placed on the higher risk of immunomodulatory therapy side effects in cases of advanced liver disease and proximate re-evaluation before the patient reaches the top of the transplant list. The introduction of any immunomodulatory therapies in cases of PSC/IBD should be weighed against risk of liver or infectious disease deterioration. Attempts to minimise immunomodulatory therapy in stable patients at the top of the transplant list to reduce the chance of an opportunistic infection should be individually and carefully weighed against the potential for disease flare. </w:t>
      </w:r>
      <w:r w:rsidR="00302285" w:rsidRPr="00392036">
        <w:rPr>
          <w:rFonts w:ascii="Book Antiqua" w:hAnsi="Book Antiqua"/>
          <w:color w:val="000000" w:themeColor="text1"/>
          <w:sz w:val="24"/>
          <w:szCs w:val="24"/>
        </w:rPr>
        <w:t xml:space="preserve">The preoperative discontinuation of 5-ASA, smoking and CMV infection also negatively affect post-transplant manifestations of IBD. This result </w:t>
      </w:r>
      <w:r w:rsidR="00302285" w:rsidRPr="00392036">
        <w:rPr>
          <w:rFonts w:ascii="Book Antiqua" w:hAnsi="Book Antiqua"/>
          <w:color w:val="000000" w:themeColor="text1"/>
          <w:sz w:val="24"/>
          <w:szCs w:val="24"/>
        </w:rPr>
        <w:lastRenderedPageBreak/>
        <w:t>emphasises the importance of proper IBD treatment before transplantation, the early recognition and intervention of infections (</w:t>
      </w:r>
      <w:r w:rsidR="00302285" w:rsidRPr="00392036">
        <w:rPr>
          <w:rFonts w:ascii="Book Antiqua" w:hAnsi="Book Antiqua"/>
          <w:i/>
          <w:color w:val="000000" w:themeColor="text1"/>
          <w:sz w:val="24"/>
          <w:szCs w:val="24"/>
        </w:rPr>
        <w:t>e.g.,</w:t>
      </w:r>
      <w:r w:rsidR="00302285" w:rsidRPr="00392036">
        <w:rPr>
          <w:rFonts w:ascii="Book Antiqua" w:hAnsi="Book Antiqua"/>
          <w:color w:val="000000" w:themeColor="text1"/>
          <w:sz w:val="24"/>
          <w:szCs w:val="24"/>
        </w:rPr>
        <w:t xml:space="preserve"> CMV and </w:t>
      </w:r>
      <w:r w:rsidR="00302285" w:rsidRPr="00392036">
        <w:rPr>
          <w:rFonts w:ascii="Book Antiqua" w:hAnsi="Book Antiqua"/>
          <w:i/>
          <w:color w:val="000000" w:themeColor="text1"/>
          <w:sz w:val="24"/>
          <w:szCs w:val="24"/>
        </w:rPr>
        <w:t>Clostridium difficile</w:t>
      </w:r>
      <w:r w:rsidR="00302285" w:rsidRPr="00392036">
        <w:rPr>
          <w:rFonts w:ascii="Book Antiqua" w:hAnsi="Book Antiqua"/>
          <w:color w:val="000000" w:themeColor="text1"/>
          <w:sz w:val="24"/>
          <w:szCs w:val="24"/>
        </w:rPr>
        <w:t>), and the continuation of 5-ASA during the peri- and post-operative periods.</w:t>
      </w:r>
    </w:p>
    <w:p w:rsidR="00077B32" w:rsidRPr="00392036" w:rsidRDefault="00302285" w:rsidP="00313A7D">
      <w:pPr>
        <w:spacing w:after="0" w:line="360" w:lineRule="auto"/>
        <w:ind w:firstLineChars="100" w:firstLine="240"/>
        <w:jc w:val="both"/>
        <w:rPr>
          <w:rFonts w:ascii="Book Antiqua" w:hAnsi="Book Antiqua"/>
          <w:color w:val="000000" w:themeColor="text1"/>
          <w:sz w:val="24"/>
          <w:szCs w:val="24"/>
        </w:rPr>
      </w:pPr>
      <w:r w:rsidRPr="00392036">
        <w:rPr>
          <w:rFonts w:ascii="Book Antiqua" w:hAnsi="Book Antiqua"/>
          <w:color w:val="000000" w:themeColor="text1"/>
          <w:sz w:val="24"/>
          <w:szCs w:val="24"/>
        </w:rPr>
        <w:t xml:space="preserve">The course of IBD in an LT setting is highly variable. Previous studies have shown a deterioration of IBD course in up to 50% of patients, with 30% of patients experiencing repetitive flare-ups and 35% of cases leading to proctocolectomy. </w:t>
      </w:r>
      <w:r w:rsidR="00724415" w:rsidRPr="00392036">
        <w:rPr>
          <w:rFonts w:ascii="Book Antiqua" w:hAnsi="Book Antiqua"/>
          <w:color w:val="000000" w:themeColor="text1"/>
          <w:sz w:val="24"/>
          <w:szCs w:val="24"/>
        </w:rPr>
        <w:t>Comparing to IBD patients without LT, need for surgery in acute IBD refractory to medical therapy is 3 times more common (nearly 9%).</w:t>
      </w:r>
    </w:p>
    <w:p w:rsidR="00077B32" w:rsidRPr="00392036" w:rsidRDefault="00302285" w:rsidP="00313A7D">
      <w:pPr>
        <w:spacing w:after="0" w:line="360" w:lineRule="auto"/>
        <w:ind w:firstLineChars="100" w:firstLine="240"/>
        <w:jc w:val="both"/>
        <w:rPr>
          <w:rFonts w:ascii="Book Antiqua" w:hAnsi="Book Antiqua"/>
          <w:color w:val="000000" w:themeColor="text1"/>
          <w:sz w:val="24"/>
          <w:szCs w:val="24"/>
        </w:rPr>
      </w:pPr>
      <w:r w:rsidRPr="00392036">
        <w:rPr>
          <w:rFonts w:ascii="Book Antiqua" w:hAnsi="Book Antiqua"/>
          <w:color w:val="000000" w:themeColor="text1"/>
          <w:sz w:val="24"/>
          <w:szCs w:val="24"/>
        </w:rPr>
        <w:t>IBD management among LT recipients represents a therapeutic challenge because of intermittent flare-ups and IBD remissions as well as other possible comorbidities in the LT population (especially infections) and contradictory effects regarding the two strategies applied for imunomodulatory therapy aimed at anti-rejection and IBD flare-up prevention. Patients should be carefully evaluated and treated for other IBD flare-up risk factors (</w:t>
      </w:r>
      <w:r w:rsidRPr="00392036">
        <w:rPr>
          <w:rFonts w:ascii="Book Antiqua" w:hAnsi="Book Antiqua"/>
          <w:i/>
          <w:color w:val="000000" w:themeColor="text1"/>
          <w:sz w:val="24"/>
          <w:szCs w:val="24"/>
        </w:rPr>
        <w:t>e.g.,</w:t>
      </w:r>
      <w:r w:rsidRPr="00392036">
        <w:rPr>
          <w:rFonts w:ascii="Book Antiqua" w:hAnsi="Book Antiqua"/>
          <w:color w:val="000000" w:themeColor="text1"/>
          <w:sz w:val="24"/>
          <w:szCs w:val="24"/>
        </w:rPr>
        <w:t xml:space="preserve"> </w:t>
      </w:r>
      <w:r w:rsidRPr="00392036">
        <w:rPr>
          <w:rFonts w:ascii="Book Antiqua" w:hAnsi="Book Antiqua"/>
          <w:i/>
          <w:color w:val="000000" w:themeColor="text1"/>
          <w:sz w:val="24"/>
          <w:szCs w:val="24"/>
        </w:rPr>
        <w:t>Clostridium difficile</w:t>
      </w:r>
      <w:r w:rsidRPr="00392036">
        <w:rPr>
          <w:rFonts w:ascii="Book Antiqua" w:hAnsi="Book Antiqua"/>
          <w:color w:val="000000" w:themeColor="text1"/>
          <w:sz w:val="24"/>
          <w:szCs w:val="24"/>
        </w:rPr>
        <w:t xml:space="preserve">, CMV and enteropathogenic infection). The screening and treatment of CMV disease is important not only for preventing </w:t>
      </w:r>
      <w:r w:rsidR="00C806F3" w:rsidRPr="00392036">
        <w:rPr>
          <w:rFonts w:ascii="Book Antiqua" w:hAnsi="Book Antiqua"/>
          <w:color w:val="000000" w:themeColor="text1"/>
          <w:sz w:val="24"/>
          <w:szCs w:val="24"/>
        </w:rPr>
        <w:t>de novo</w:t>
      </w:r>
      <w:r w:rsidRPr="00392036">
        <w:rPr>
          <w:rFonts w:ascii="Book Antiqua" w:hAnsi="Book Antiqua"/>
          <w:color w:val="000000" w:themeColor="text1"/>
          <w:sz w:val="24"/>
          <w:szCs w:val="24"/>
        </w:rPr>
        <w:t xml:space="preserve"> IBD after LT but also given the risk of PSC recurrence. Because of the overall scarce amount of data, no guideline-based recommendations exist concerning the specific treatment of patients with PSC/IBD during the post-transplant period. </w:t>
      </w:r>
      <w:r w:rsidRPr="00392036">
        <w:rPr>
          <w:rFonts w:ascii="Book Antiqua" w:hAnsi="Book Antiqua" w:cs="Verdana"/>
          <w:color w:val="000000" w:themeColor="text1"/>
          <w:sz w:val="24"/>
          <w:szCs w:val="24"/>
        </w:rPr>
        <w:t xml:space="preserve">IBD treatment strategies seeking to achieve and maintain remission in patients receiving LT are the same for overall IBD population. </w:t>
      </w:r>
      <w:r w:rsidRPr="00392036">
        <w:rPr>
          <w:rFonts w:ascii="Book Antiqua" w:hAnsi="Book Antiqua"/>
          <w:color w:val="000000" w:themeColor="text1"/>
          <w:sz w:val="24"/>
          <w:szCs w:val="24"/>
        </w:rPr>
        <w:t>These strategies include 5-ASA, corticosteroids, azathioprine, and biological therapy.</w:t>
      </w:r>
      <w:r w:rsidR="0042361D" w:rsidRPr="00392036">
        <w:rPr>
          <w:rFonts w:ascii="Book Antiqua" w:hAnsi="Book Antiqua"/>
          <w:color w:val="000000" w:themeColor="text1"/>
          <w:sz w:val="24"/>
          <w:szCs w:val="24"/>
        </w:rPr>
        <w:t xml:space="preserve"> </w:t>
      </w:r>
      <w:r w:rsidRPr="00392036">
        <w:rPr>
          <w:rFonts w:ascii="Book Antiqua" w:hAnsi="Book Antiqua" w:cs="Times New Roman"/>
          <w:color w:val="000000" w:themeColor="text1"/>
          <w:sz w:val="24"/>
          <w:szCs w:val="24"/>
        </w:rPr>
        <w:t xml:space="preserve">Several facts must be considered when choosing an optimal treatment approach, including drug potency and safety profiles (especially interactions with other immunosuppressants), previous response to therapy in cases of IBD relapse and comorbidities (especially infections and neoplasia). </w:t>
      </w:r>
      <w:r w:rsidRPr="00392036">
        <w:rPr>
          <w:rFonts w:ascii="Book Antiqua" w:hAnsi="Book Antiqua" w:cs="Verdana"/>
          <w:color w:val="000000" w:themeColor="text1"/>
          <w:sz w:val="24"/>
          <w:szCs w:val="24"/>
        </w:rPr>
        <w:t>Although</w:t>
      </w:r>
      <w:r w:rsidRPr="00392036">
        <w:rPr>
          <w:rFonts w:ascii="Book Antiqua" w:hAnsi="Book Antiqua"/>
          <w:color w:val="000000" w:themeColor="text1"/>
          <w:sz w:val="24"/>
          <w:szCs w:val="24"/>
        </w:rPr>
        <w:t xml:space="preserve"> the evidence for anti-TNF-alpha application is limited, it </w:t>
      </w:r>
      <w:r w:rsidRPr="00392036">
        <w:rPr>
          <w:rFonts w:ascii="Book Antiqua" w:hAnsi="Book Antiqua" w:cs="Verdana"/>
          <w:color w:val="000000" w:themeColor="text1"/>
          <w:sz w:val="24"/>
          <w:szCs w:val="24"/>
        </w:rPr>
        <w:t xml:space="preserve">might be a safe and effective option for active disease resistance to immunomodulator therapy. </w:t>
      </w:r>
      <w:r w:rsidRPr="00392036">
        <w:rPr>
          <w:rFonts w:ascii="Book Antiqua" w:hAnsi="Book Antiqua"/>
          <w:color w:val="000000" w:themeColor="text1"/>
          <w:sz w:val="24"/>
          <w:szCs w:val="24"/>
        </w:rPr>
        <w:t xml:space="preserve">However, it is important to implement more careful surveillance regarding the risk of infectious, autoimmune diseases, and neoplasms with regard to concomitant anti-rejection therapy. Because the principal immunosuppressive agent in LT, tacrolimus, is associated with a four-fold higher risk of post-transplant IBD relapse and MMF as well as GI side effects such as </w:t>
      </w:r>
      <w:r w:rsidRPr="00392036">
        <w:rPr>
          <w:rFonts w:ascii="Book Antiqua" w:hAnsi="Book Antiqua"/>
          <w:color w:val="000000" w:themeColor="text1"/>
          <w:sz w:val="24"/>
          <w:szCs w:val="24"/>
        </w:rPr>
        <w:lastRenderedPageBreak/>
        <w:t xml:space="preserve">diarrhoea, the substitution of this agents with cyclosporine and azathioprine, drugs with known positive effects on IBD and rejection in solid organ transplantation, is worth considering. </w:t>
      </w:r>
      <w:r w:rsidR="00F020AD" w:rsidRPr="00392036">
        <w:rPr>
          <w:rFonts w:ascii="Book Antiqua" w:hAnsi="Book Antiqua"/>
          <w:color w:val="000000" w:themeColor="text1"/>
          <w:sz w:val="24"/>
          <w:szCs w:val="24"/>
        </w:rPr>
        <w:t xml:space="preserve">Decisions regarding optimal immunosuppressive drugs should be performed on an individual basis because patients with PSC are at a higher risk of acute and chronic graft rejection. When deciding treatments for individual patients with PSC/IBD, it is important to consider the risk of active treatment-resistant IBD occurrence (which is related to an increased risk of colon neoplasia, PSC recurrence, hepatic artery thrombosis, </w:t>
      </w:r>
      <w:r w:rsidR="00F020AD" w:rsidRPr="00BD5504">
        <w:rPr>
          <w:rFonts w:ascii="Book Antiqua" w:hAnsi="Book Antiqua"/>
          <w:i/>
          <w:color w:val="000000" w:themeColor="text1"/>
          <w:sz w:val="24"/>
          <w:szCs w:val="24"/>
        </w:rPr>
        <w:t>etc.</w:t>
      </w:r>
      <w:r w:rsidR="00F020AD" w:rsidRPr="00392036">
        <w:rPr>
          <w:rFonts w:ascii="Book Antiqua" w:hAnsi="Book Antiqua"/>
          <w:color w:val="000000" w:themeColor="text1"/>
          <w:sz w:val="24"/>
          <w:szCs w:val="24"/>
        </w:rPr>
        <w:t xml:space="preserve">) in addition to the potentially increased risk of graft rejection for non-tacrolimus based regimens. </w:t>
      </w:r>
    </w:p>
    <w:p w:rsidR="00F020AD" w:rsidRPr="00392036" w:rsidRDefault="00F020AD" w:rsidP="00313A7D">
      <w:pPr>
        <w:spacing w:after="0" w:line="360" w:lineRule="auto"/>
        <w:ind w:firstLineChars="100" w:firstLine="240"/>
        <w:jc w:val="both"/>
        <w:rPr>
          <w:rFonts w:ascii="Book Antiqua" w:hAnsi="Book Antiqua" w:cs="Verdana"/>
          <w:color w:val="000000" w:themeColor="text1"/>
          <w:sz w:val="24"/>
          <w:szCs w:val="24"/>
        </w:rPr>
      </w:pPr>
      <w:r w:rsidRPr="00392036">
        <w:rPr>
          <w:rFonts w:ascii="Book Antiqua" w:hAnsi="Book Antiqua"/>
          <w:color w:val="000000" w:themeColor="text1"/>
          <w:sz w:val="24"/>
          <w:szCs w:val="24"/>
        </w:rPr>
        <w:t xml:space="preserve">In patients with active IBD and those with intact colons at the time of LT and PSC recurrence, it is important to perform surveillance for graft rejection vascular thrombosis. The risk of CRC is approximately 4-fold higher for patients with PSC who undergo LT versus the average LT recipient and more than 10-fold higher for patients with PSC/IBD with an intact colon. </w:t>
      </w:r>
      <w:r w:rsidRPr="00392036">
        <w:rPr>
          <w:rFonts w:ascii="Book Antiqua" w:hAnsi="Book Antiqua" w:cs="Verdana"/>
          <w:color w:val="000000" w:themeColor="text1"/>
          <w:sz w:val="24"/>
          <w:szCs w:val="24"/>
        </w:rPr>
        <w:t xml:space="preserve">In patients with PSC without known UC screening colonoscopy, multiple rectal biopsies should be performed at the time of diagnosis. If negative, then these biopsies should be repeated every 5 years thereafter because many of these patients are asymptomatic. Patients with PSC and known UC should have colonoscopies during their initial evaluations and every 1-2 years thereafter (before and after LT) because of the increased risk of neoplasia. </w:t>
      </w:r>
    </w:p>
    <w:p w:rsidR="00F020AD" w:rsidRPr="00392036" w:rsidRDefault="00077B32" w:rsidP="00313A7D">
      <w:pPr>
        <w:spacing w:after="0" w:line="360" w:lineRule="auto"/>
        <w:ind w:firstLineChars="100" w:firstLine="240"/>
        <w:jc w:val="both"/>
        <w:rPr>
          <w:rFonts w:ascii="Book Antiqua" w:hAnsi="Book Antiqua"/>
          <w:color w:val="000000" w:themeColor="text1"/>
          <w:sz w:val="24"/>
          <w:szCs w:val="24"/>
        </w:rPr>
      </w:pPr>
      <w:r w:rsidRPr="00392036">
        <w:rPr>
          <w:rFonts w:ascii="Book Antiqua" w:hAnsi="Book Antiqua"/>
          <w:color w:val="000000" w:themeColor="text1"/>
          <w:sz w:val="24"/>
          <w:szCs w:val="24"/>
        </w:rPr>
        <w:t xml:space="preserve">Proctocolectomy should be considered in cases of acute severe, medically refractory colitis and dysplasia or colorectal carcinoma. Proctocolectomy with IPAA is feasible and safe </w:t>
      </w:r>
      <w:r w:rsidR="00F020AD" w:rsidRPr="00392036">
        <w:rPr>
          <w:rFonts w:ascii="Book Antiqua" w:hAnsi="Book Antiqua"/>
          <w:color w:val="000000" w:themeColor="text1"/>
          <w:sz w:val="24"/>
          <w:szCs w:val="24"/>
        </w:rPr>
        <w:t>at</w:t>
      </w:r>
      <w:r w:rsidRPr="00392036">
        <w:rPr>
          <w:rFonts w:ascii="Book Antiqua" w:hAnsi="Book Antiqua"/>
          <w:color w:val="000000" w:themeColor="text1"/>
          <w:sz w:val="24"/>
          <w:szCs w:val="24"/>
        </w:rPr>
        <w:t xml:space="preserve"> dedicated surgical centres. </w:t>
      </w:r>
      <w:r w:rsidR="00F020AD" w:rsidRPr="00392036">
        <w:rPr>
          <w:rFonts w:ascii="Book Antiqua" w:hAnsi="Book Antiqua"/>
          <w:color w:val="000000" w:themeColor="text1"/>
          <w:sz w:val="24"/>
          <w:szCs w:val="24"/>
        </w:rPr>
        <w:t xml:space="preserve">The optimal timings of pre-, peri-, and post-transplant are not well defined. In selected patients with IBD/PSC and CRC, the risk factors associated with pre-transplant proctocolectomy might represent a successful management strategy in the prevention of CRC and PSC recurrence. </w:t>
      </w:r>
    </w:p>
    <w:p w:rsidR="00077B32" w:rsidRPr="00392036" w:rsidRDefault="00E41C17" w:rsidP="00313A7D">
      <w:pPr>
        <w:spacing w:after="0" w:line="360" w:lineRule="auto"/>
        <w:ind w:firstLineChars="100" w:firstLine="240"/>
        <w:jc w:val="both"/>
        <w:rPr>
          <w:rFonts w:ascii="Book Antiqua" w:hAnsi="Book Antiqua"/>
          <w:color w:val="000000" w:themeColor="text1"/>
          <w:sz w:val="24"/>
          <w:szCs w:val="24"/>
        </w:rPr>
      </w:pPr>
      <w:r w:rsidRPr="00392036">
        <w:rPr>
          <w:rFonts w:ascii="Book Antiqua" w:hAnsi="Book Antiqua"/>
          <w:color w:val="000000" w:themeColor="text1"/>
          <w:sz w:val="24"/>
          <w:szCs w:val="24"/>
        </w:rPr>
        <w:t>Since</w:t>
      </w:r>
      <w:r w:rsidR="00782BF7" w:rsidRPr="00392036">
        <w:rPr>
          <w:rFonts w:ascii="Book Antiqua" w:hAnsi="Book Antiqua"/>
          <w:color w:val="000000" w:themeColor="text1"/>
          <w:sz w:val="24"/>
          <w:szCs w:val="24"/>
        </w:rPr>
        <w:t xml:space="preserve"> most quality data form controlled</w:t>
      </w:r>
      <w:r w:rsidRPr="00392036">
        <w:rPr>
          <w:rFonts w:ascii="Book Antiqua" w:hAnsi="Book Antiqua"/>
          <w:color w:val="000000" w:themeColor="text1"/>
          <w:sz w:val="24"/>
          <w:szCs w:val="24"/>
        </w:rPr>
        <w:t xml:space="preserve"> studies is missing, in order to make</w:t>
      </w:r>
      <w:r w:rsidR="00782BF7" w:rsidRPr="00392036">
        <w:rPr>
          <w:rFonts w:ascii="Book Antiqua" w:hAnsi="Book Antiqua"/>
          <w:color w:val="000000" w:themeColor="text1"/>
          <w:sz w:val="24"/>
          <w:szCs w:val="24"/>
        </w:rPr>
        <w:t xml:space="preserve"> final conclusion</w:t>
      </w:r>
      <w:r w:rsidR="00934F7B" w:rsidRPr="00392036">
        <w:rPr>
          <w:rFonts w:ascii="Book Antiqua" w:hAnsi="Book Antiqua"/>
          <w:color w:val="000000" w:themeColor="text1"/>
          <w:sz w:val="24"/>
          <w:szCs w:val="24"/>
        </w:rPr>
        <w:t>s and specific guidelines for PSC/IBD transplanted patients</w:t>
      </w:r>
      <w:r w:rsidRPr="00392036">
        <w:rPr>
          <w:rFonts w:ascii="Book Antiqua" w:hAnsi="Book Antiqua"/>
          <w:color w:val="000000" w:themeColor="text1"/>
          <w:sz w:val="24"/>
          <w:szCs w:val="24"/>
        </w:rPr>
        <w:t>,</w:t>
      </w:r>
      <w:r w:rsidR="00782BF7" w:rsidRPr="00392036">
        <w:rPr>
          <w:rFonts w:ascii="Book Antiqua" w:hAnsi="Book Antiqua"/>
          <w:color w:val="000000" w:themeColor="text1"/>
          <w:sz w:val="24"/>
          <w:szCs w:val="24"/>
        </w:rPr>
        <w:t xml:space="preserve"> </w:t>
      </w:r>
      <w:r w:rsidRPr="00392036">
        <w:rPr>
          <w:rFonts w:ascii="Book Antiqua" w:hAnsi="Book Antiqua"/>
          <w:color w:val="000000" w:themeColor="text1"/>
          <w:sz w:val="24"/>
          <w:szCs w:val="24"/>
        </w:rPr>
        <w:t>we need prospective studies on higher number of patients (stratified for risk factors, type and severity of IBD, PSC and rejection) randomised to treatment with different immunosupressive protocols.</w:t>
      </w:r>
    </w:p>
    <w:p w:rsidR="00392036" w:rsidRDefault="00392036" w:rsidP="00313A7D">
      <w:pPr>
        <w:spacing w:after="0"/>
        <w:rPr>
          <w:rFonts w:ascii="Book Antiqua" w:hAnsi="Book Antiqua"/>
          <w:color w:val="000000" w:themeColor="text1"/>
          <w:sz w:val="24"/>
          <w:szCs w:val="24"/>
        </w:rPr>
      </w:pPr>
      <w:r>
        <w:rPr>
          <w:rFonts w:ascii="Book Antiqua" w:hAnsi="Book Antiqua"/>
          <w:color w:val="000000" w:themeColor="text1"/>
          <w:sz w:val="24"/>
          <w:szCs w:val="24"/>
        </w:rPr>
        <w:br w:type="page"/>
      </w:r>
    </w:p>
    <w:p w:rsidR="00392036" w:rsidRDefault="00392036" w:rsidP="00313A7D">
      <w:pPr>
        <w:spacing w:after="0" w:line="360" w:lineRule="auto"/>
        <w:jc w:val="both"/>
        <w:rPr>
          <w:rFonts w:ascii="Book Antiqua" w:hAnsi="Book Antiqua"/>
          <w:b/>
          <w:color w:val="000000" w:themeColor="text1"/>
          <w:sz w:val="24"/>
          <w:szCs w:val="24"/>
          <w:lang w:eastAsia="zh-CN"/>
        </w:rPr>
      </w:pPr>
      <w:r w:rsidRPr="00392036">
        <w:rPr>
          <w:rFonts w:ascii="Book Antiqua" w:hAnsi="Book Antiqua" w:cs="BookAntiqua"/>
          <w:b/>
          <w:color w:val="000000" w:themeColor="text1"/>
          <w:sz w:val="24"/>
          <w:szCs w:val="24"/>
        </w:rPr>
        <w:lastRenderedPageBreak/>
        <w:t>REFERENCES</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1</w:t>
      </w:r>
      <w:r>
        <w:rPr>
          <w:rFonts w:ascii="Book Antiqua" w:eastAsia="SimSun" w:hAnsi="Book Antiqua" w:cs="SimSun" w:hint="eastAsia"/>
          <w:sz w:val="24"/>
          <w:szCs w:val="24"/>
        </w:rPr>
        <w:t xml:space="preserve"> </w:t>
      </w:r>
      <w:r w:rsidRPr="00723B55">
        <w:rPr>
          <w:rFonts w:ascii="Book Antiqua" w:eastAsia="SimSun" w:hAnsi="Book Antiqua" w:cs="SimSun"/>
          <w:b/>
          <w:sz w:val="24"/>
          <w:szCs w:val="24"/>
        </w:rPr>
        <w:t>Podolsky DK.</w:t>
      </w:r>
      <w:r w:rsidRPr="00723B55">
        <w:rPr>
          <w:rFonts w:ascii="Book Antiqua" w:eastAsia="SimSun" w:hAnsi="Book Antiqua" w:cs="SimSun"/>
          <w:sz w:val="24"/>
          <w:szCs w:val="24"/>
        </w:rPr>
        <w:t xml:space="preserve"> </w:t>
      </w:r>
      <w:bookmarkStart w:id="21" w:name="OLE_LINK245"/>
      <w:bookmarkStart w:id="22" w:name="OLE_LINK246"/>
      <w:r w:rsidRPr="00723B55">
        <w:rPr>
          <w:rFonts w:ascii="Book Antiqua" w:eastAsia="SimSun" w:hAnsi="Book Antiqua" w:cs="SimSun"/>
          <w:sz w:val="24"/>
          <w:szCs w:val="24"/>
        </w:rPr>
        <w:t xml:space="preserve">Inflammatory bowel disease. </w:t>
      </w:r>
      <w:r w:rsidRPr="00723B55">
        <w:rPr>
          <w:rFonts w:ascii="Book Antiqua" w:eastAsia="SimSun" w:hAnsi="Book Antiqua" w:cs="SimSun"/>
          <w:i/>
          <w:sz w:val="24"/>
          <w:szCs w:val="24"/>
        </w:rPr>
        <w:t xml:space="preserve">N Eng J Med </w:t>
      </w:r>
      <w:r w:rsidRPr="00723B55">
        <w:rPr>
          <w:rFonts w:ascii="Book Antiqua" w:eastAsia="SimSun" w:hAnsi="Book Antiqua" w:cs="SimSun"/>
          <w:sz w:val="24"/>
          <w:szCs w:val="24"/>
        </w:rPr>
        <w:t xml:space="preserve">2002; </w:t>
      </w:r>
      <w:r w:rsidRPr="00723B55">
        <w:rPr>
          <w:rFonts w:ascii="Book Antiqua" w:eastAsia="SimSun" w:hAnsi="Book Antiqua" w:cs="SimSun"/>
          <w:b/>
          <w:sz w:val="24"/>
          <w:szCs w:val="24"/>
        </w:rPr>
        <w:t>347</w:t>
      </w:r>
      <w:r w:rsidRPr="00723B55">
        <w:rPr>
          <w:rFonts w:ascii="Book Antiqua" w:eastAsia="SimSun" w:hAnsi="Book Antiqua" w:cs="SimSun"/>
          <w:sz w:val="24"/>
          <w:szCs w:val="24"/>
        </w:rPr>
        <w:t xml:space="preserve">: 417-429 </w:t>
      </w:r>
      <w:bookmarkEnd w:id="21"/>
      <w:bookmarkEnd w:id="22"/>
      <w:r w:rsidRPr="00723B55">
        <w:rPr>
          <w:rFonts w:ascii="Book Antiqua" w:eastAsia="SimSun" w:hAnsi="Book Antiqua" w:cs="SimSun"/>
          <w:sz w:val="24"/>
          <w:szCs w:val="24"/>
        </w:rPr>
        <w:t>[DOI: 10.1056/NEJMra020831]</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2 </w:t>
      </w:r>
      <w:r w:rsidRPr="00723B55">
        <w:rPr>
          <w:rFonts w:ascii="Book Antiqua" w:eastAsia="SimSun" w:hAnsi="Book Antiqua" w:cs="SimSun"/>
          <w:b/>
          <w:bCs/>
          <w:sz w:val="24"/>
          <w:szCs w:val="24"/>
        </w:rPr>
        <w:t>Chapman RW</w:t>
      </w:r>
      <w:r w:rsidRPr="00723B55">
        <w:rPr>
          <w:rFonts w:ascii="Book Antiqua" w:eastAsia="SimSun" w:hAnsi="Book Antiqua" w:cs="SimSun"/>
          <w:sz w:val="24"/>
          <w:szCs w:val="24"/>
        </w:rPr>
        <w:t>, Arborgh BA, Rhodes JM, Summerfield JA, Dick R, Scheuer PJ, Sherlock S. Primary sclerosing cholangitis: a review of its clinical features, cholangiography, and hepatic histology. </w:t>
      </w:r>
      <w:r w:rsidRPr="00723B55">
        <w:rPr>
          <w:rFonts w:ascii="Book Antiqua" w:eastAsia="SimSun" w:hAnsi="Book Antiqua" w:cs="SimSun"/>
          <w:i/>
          <w:iCs/>
          <w:sz w:val="24"/>
          <w:szCs w:val="24"/>
        </w:rPr>
        <w:t>Gut</w:t>
      </w:r>
      <w:r w:rsidRPr="00723B55">
        <w:rPr>
          <w:rFonts w:ascii="Book Antiqua" w:eastAsia="SimSun" w:hAnsi="Book Antiqua" w:cs="SimSun"/>
          <w:sz w:val="24"/>
          <w:szCs w:val="24"/>
        </w:rPr>
        <w:t> 1980; </w:t>
      </w:r>
      <w:r w:rsidRPr="00723B55">
        <w:rPr>
          <w:rFonts w:ascii="Book Antiqua" w:eastAsia="SimSun" w:hAnsi="Book Antiqua" w:cs="SimSun"/>
          <w:b/>
          <w:bCs/>
          <w:sz w:val="24"/>
          <w:szCs w:val="24"/>
        </w:rPr>
        <w:t>21</w:t>
      </w:r>
      <w:r w:rsidRPr="00723B55">
        <w:rPr>
          <w:rFonts w:ascii="Book Antiqua" w:eastAsia="SimSun" w:hAnsi="Book Antiqua" w:cs="SimSun"/>
          <w:sz w:val="24"/>
          <w:szCs w:val="24"/>
        </w:rPr>
        <w:t>: 870-877 [PMID: 7439807 DOI: 10.1136/gut.21.10.870]</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3 </w:t>
      </w:r>
      <w:r w:rsidRPr="00723B55">
        <w:rPr>
          <w:rFonts w:ascii="Book Antiqua" w:eastAsia="SimSun" w:hAnsi="Book Antiqua" w:cs="SimSun"/>
          <w:b/>
          <w:bCs/>
          <w:sz w:val="24"/>
          <w:szCs w:val="24"/>
        </w:rPr>
        <w:t>Eaton JE</w:t>
      </w:r>
      <w:r w:rsidRPr="00723B55">
        <w:rPr>
          <w:rFonts w:ascii="Book Antiqua" w:eastAsia="SimSun" w:hAnsi="Book Antiqua" w:cs="SimSun"/>
          <w:sz w:val="24"/>
          <w:szCs w:val="24"/>
        </w:rPr>
        <w:t>, Talwalkar JA, Lazaridis KN, Gores GJ, Lindor KD. Pathogenesis of primary sclerosing cholangitis and advances in diagnosis and management. </w:t>
      </w:r>
      <w:r w:rsidRPr="00723B55">
        <w:rPr>
          <w:rFonts w:ascii="Book Antiqua" w:eastAsia="SimSun" w:hAnsi="Book Antiqua" w:cs="SimSun"/>
          <w:i/>
          <w:iCs/>
          <w:sz w:val="24"/>
          <w:szCs w:val="24"/>
        </w:rPr>
        <w:t>Gastroenterology</w:t>
      </w:r>
      <w:r w:rsidRPr="00723B55">
        <w:rPr>
          <w:rFonts w:ascii="Book Antiqua" w:eastAsia="SimSun" w:hAnsi="Book Antiqua" w:cs="SimSun"/>
          <w:sz w:val="24"/>
          <w:szCs w:val="24"/>
        </w:rPr>
        <w:t> 2013; </w:t>
      </w:r>
      <w:r w:rsidRPr="00723B55">
        <w:rPr>
          <w:rFonts w:ascii="Book Antiqua" w:eastAsia="SimSun" w:hAnsi="Book Antiqua" w:cs="SimSun"/>
          <w:b/>
          <w:bCs/>
          <w:sz w:val="24"/>
          <w:szCs w:val="24"/>
        </w:rPr>
        <w:t>145</w:t>
      </w:r>
      <w:r w:rsidRPr="00723B55">
        <w:rPr>
          <w:rFonts w:ascii="Book Antiqua" w:eastAsia="SimSun" w:hAnsi="Book Antiqua" w:cs="SimSun"/>
          <w:sz w:val="24"/>
          <w:szCs w:val="24"/>
        </w:rPr>
        <w:t>: 521-536 [PMID: 23827861 DOI: 10.1053/j.gastro.2013.06.052]</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4 </w:t>
      </w:r>
      <w:r w:rsidRPr="00723B55">
        <w:rPr>
          <w:rFonts w:ascii="Book Antiqua" w:eastAsia="SimSun" w:hAnsi="Book Antiqua" w:cs="SimSun"/>
          <w:b/>
          <w:bCs/>
          <w:sz w:val="24"/>
          <w:szCs w:val="24"/>
        </w:rPr>
        <w:t>Fausa O</w:t>
      </w:r>
      <w:r w:rsidRPr="00723B55">
        <w:rPr>
          <w:rFonts w:ascii="Book Antiqua" w:eastAsia="SimSun" w:hAnsi="Book Antiqua" w:cs="SimSun"/>
          <w:sz w:val="24"/>
          <w:szCs w:val="24"/>
        </w:rPr>
        <w:t>, Schrumpf E, Elgjo K. Relationship of inflammatory bowel disease and primary sclerosing cholangitis. </w:t>
      </w:r>
      <w:r w:rsidRPr="00723B55">
        <w:rPr>
          <w:rFonts w:ascii="Book Antiqua" w:eastAsia="SimSun" w:hAnsi="Book Antiqua" w:cs="SimSun"/>
          <w:i/>
          <w:iCs/>
          <w:sz w:val="24"/>
          <w:szCs w:val="24"/>
        </w:rPr>
        <w:t>Semin Liver Dis</w:t>
      </w:r>
      <w:r w:rsidRPr="00723B55">
        <w:rPr>
          <w:rFonts w:ascii="Book Antiqua" w:eastAsia="SimSun" w:hAnsi="Book Antiqua" w:cs="SimSun"/>
          <w:sz w:val="24"/>
          <w:szCs w:val="24"/>
        </w:rPr>
        <w:t> 1991; </w:t>
      </w:r>
      <w:r w:rsidRPr="00723B55">
        <w:rPr>
          <w:rFonts w:ascii="Book Antiqua" w:eastAsia="SimSun" w:hAnsi="Book Antiqua" w:cs="SimSun"/>
          <w:b/>
          <w:bCs/>
          <w:sz w:val="24"/>
          <w:szCs w:val="24"/>
        </w:rPr>
        <w:t>11</w:t>
      </w:r>
      <w:r w:rsidRPr="00723B55">
        <w:rPr>
          <w:rFonts w:ascii="Book Antiqua" w:eastAsia="SimSun" w:hAnsi="Book Antiqua" w:cs="SimSun"/>
          <w:sz w:val="24"/>
          <w:szCs w:val="24"/>
        </w:rPr>
        <w:t>: 31-39 [PMID: 2047887 DOI: 10.1055/s-2008-1040420]</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5 </w:t>
      </w:r>
      <w:r w:rsidRPr="00723B55">
        <w:rPr>
          <w:rFonts w:ascii="Book Antiqua" w:eastAsia="SimSun" w:hAnsi="Book Antiqua" w:cs="SimSun"/>
          <w:b/>
          <w:bCs/>
          <w:sz w:val="24"/>
          <w:szCs w:val="24"/>
        </w:rPr>
        <w:t>Chapman R</w:t>
      </w:r>
      <w:r w:rsidRPr="00723B55">
        <w:rPr>
          <w:rFonts w:ascii="Book Antiqua" w:eastAsia="SimSun" w:hAnsi="Book Antiqua" w:cs="SimSun"/>
          <w:sz w:val="24"/>
          <w:szCs w:val="24"/>
        </w:rPr>
        <w:t>, Fevery J, Kalloo A, Nagorney DM, Boberg KM, Shneider B, Gores GJ. Diagnosis and management of primary sclerosing cholangitis. </w:t>
      </w:r>
      <w:r w:rsidRPr="00723B55">
        <w:rPr>
          <w:rFonts w:ascii="Book Antiqua" w:eastAsia="SimSun" w:hAnsi="Book Antiqua" w:cs="SimSun"/>
          <w:i/>
          <w:iCs/>
          <w:sz w:val="24"/>
          <w:szCs w:val="24"/>
        </w:rPr>
        <w:t>Hepatology</w:t>
      </w:r>
      <w:r w:rsidRPr="00723B55">
        <w:rPr>
          <w:rFonts w:ascii="Book Antiqua" w:eastAsia="SimSun" w:hAnsi="Book Antiqua" w:cs="SimSun"/>
          <w:sz w:val="24"/>
          <w:szCs w:val="24"/>
        </w:rPr>
        <w:t> 2010; </w:t>
      </w:r>
      <w:r w:rsidRPr="00723B55">
        <w:rPr>
          <w:rFonts w:ascii="Book Antiqua" w:eastAsia="SimSun" w:hAnsi="Book Antiqua" w:cs="SimSun"/>
          <w:b/>
          <w:bCs/>
          <w:sz w:val="24"/>
          <w:szCs w:val="24"/>
        </w:rPr>
        <w:t>51</w:t>
      </w:r>
      <w:r w:rsidRPr="00723B55">
        <w:rPr>
          <w:rFonts w:ascii="Book Antiqua" w:eastAsia="SimSun" w:hAnsi="Book Antiqua" w:cs="SimSun"/>
          <w:sz w:val="24"/>
          <w:szCs w:val="24"/>
        </w:rPr>
        <w:t>: 660-678 [PMID: 20101749 DOI: 10.1002/hep.23294]</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6 </w:t>
      </w:r>
      <w:r w:rsidRPr="00723B55">
        <w:rPr>
          <w:rFonts w:ascii="Book Antiqua" w:eastAsia="SimSun" w:hAnsi="Book Antiqua" w:cs="SimSun"/>
          <w:b/>
          <w:bCs/>
          <w:sz w:val="24"/>
          <w:szCs w:val="24"/>
        </w:rPr>
        <w:t>Karlsen TH</w:t>
      </w:r>
      <w:r w:rsidRPr="00723B55">
        <w:rPr>
          <w:rFonts w:ascii="Book Antiqua" w:eastAsia="SimSun" w:hAnsi="Book Antiqua" w:cs="SimSun"/>
          <w:sz w:val="24"/>
          <w:szCs w:val="24"/>
        </w:rPr>
        <w:t>, Schrumpf E, Boberg KM. Update on primary sclerosing cholangitis. </w:t>
      </w:r>
      <w:r w:rsidRPr="00723B55">
        <w:rPr>
          <w:rFonts w:ascii="Book Antiqua" w:eastAsia="SimSun" w:hAnsi="Book Antiqua" w:cs="SimSun"/>
          <w:i/>
          <w:iCs/>
          <w:sz w:val="24"/>
          <w:szCs w:val="24"/>
        </w:rPr>
        <w:t>Dig Liver Dis</w:t>
      </w:r>
      <w:r w:rsidRPr="00723B55">
        <w:rPr>
          <w:rFonts w:ascii="Book Antiqua" w:eastAsia="SimSun" w:hAnsi="Book Antiqua" w:cs="SimSun"/>
          <w:sz w:val="24"/>
          <w:szCs w:val="24"/>
        </w:rPr>
        <w:t> 2010; </w:t>
      </w:r>
      <w:r w:rsidRPr="00723B55">
        <w:rPr>
          <w:rFonts w:ascii="Book Antiqua" w:eastAsia="SimSun" w:hAnsi="Book Antiqua" w:cs="SimSun"/>
          <w:b/>
          <w:bCs/>
          <w:sz w:val="24"/>
          <w:szCs w:val="24"/>
        </w:rPr>
        <w:t>42</w:t>
      </w:r>
      <w:r w:rsidRPr="00723B55">
        <w:rPr>
          <w:rFonts w:ascii="Book Antiqua" w:eastAsia="SimSun" w:hAnsi="Book Antiqua" w:cs="SimSun"/>
          <w:sz w:val="24"/>
          <w:szCs w:val="24"/>
        </w:rPr>
        <w:t>: 390-400 [PMID: 20172772 DOI: 10.1016/j.dld.2010.01.011]</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7 </w:t>
      </w:r>
      <w:r w:rsidRPr="00723B55">
        <w:rPr>
          <w:rFonts w:ascii="Book Antiqua" w:eastAsia="SimSun" w:hAnsi="Book Antiqua" w:cs="SimSun"/>
          <w:b/>
          <w:bCs/>
          <w:sz w:val="24"/>
          <w:szCs w:val="24"/>
        </w:rPr>
        <w:t>Thiele DL</w:t>
      </w:r>
      <w:r w:rsidRPr="00723B55">
        <w:rPr>
          <w:rFonts w:ascii="Book Antiqua" w:eastAsia="SimSun" w:hAnsi="Book Antiqua" w:cs="SimSun"/>
          <w:sz w:val="24"/>
          <w:szCs w:val="24"/>
        </w:rPr>
        <w:t>. Autoimmune hepatitis. </w:t>
      </w:r>
      <w:r w:rsidRPr="00723B55">
        <w:rPr>
          <w:rFonts w:ascii="Book Antiqua" w:eastAsia="SimSun" w:hAnsi="Book Antiqua" w:cs="SimSun"/>
          <w:i/>
          <w:iCs/>
          <w:sz w:val="24"/>
          <w:szCs w:val="24"/>
        </w:rPr>
        <w:t>Clin Liver Dis</w:t>
      </w:r>
      <w:r w:rsidRPr="00723B55">
        <w:rPr>
          <w:rFonts w:ascii="Book Antiqua" w:eastAsia="SimSun" w:hAnsi="Book Antiqua" w:cs="SimSun"/>
          <w:sz w:val="24"/>
          <w:szCs w:val="24"/>
        </w:rPr>
        <w:t> 2005; </w:t>
      </w:r>
      <w:r w:rsidRPr="00723B55">
        <w:rPr>
          <w:rFonts w:ascii="Book Antiqua" w:eastAsia="SimSun" w:hAnsi="Book Antiqua" w:cs="SimSun"/>
          <w:b/>
          <w:bCs/>
          <w:sz w:val="24"/>
          <w:szCs w:val="24"/>
        </w:rPr>
        <w:t>9</w:t>
      </w:r>
      <w:r w:rsidRPr="00723B55">
        <w:rPr>
          <w:rFonts w:ascii="Book Antiqua" w:eastAsia="SimSun" w:hAnsi="Book Antiqua" w:cs="SimSun"/>
          <w:sz w:val="24"/>
          <w:szCs w:val="24"/>
        </w:rPr>
        <w:t>: 635-</w:t>
      </w:r>
      <w:r w:rsidR="00643D4E">
        <w:rPr>
          <w:rFonts w:ascii="Book Antiqua" w:eastAsia="SimSun" w:hAnsi="Book Antiqua" w:cs="SimSun" w:hint="eastAsia"/>
          <w:sz w:val="24"/>
          <w:szCs w:val="24"/>
          <w:lang w:eastAsia="zh-CN"/>
        </w:rPr>
        <w:t>6</w:t>
      </w:r>
      <w:r w:rsidRPr="00723B55">
        <w:rPr>
          <w:rFonts w:ascii="Book Antiqua" w:eastAsia="SimSun" w:hAnsi="Book Antiqua" w:cs="SimSun"/>
          <w:sz w:val="24"/>
          <w:szCs w:val="24"/>
        </w:rPr>
        <w:t>46</w:t>
      </w:r>
      <w:r w:rsidR="00643D4E">
        <w:rPr>
          <w:rFonts w:ascii="Book Antiqua" w:eastAsia="SimSun" w:hAnsi="Book Antiqua" w:cs="SimSun" w:hint="eastAsia"/>
          <w:sz w:val="24"/>
          <w:szCs w:val="24"/>
          <w:lang w:eastAsia="zh-CN"/>
        </w:rPr>
        <w:t xml:space="preserve"> </w:t>
      </w:r>
      <w:r w:rsidRPr="00723B55">
        <w:rPr>
          <w:rFonts w:ascii="Book Antiqua" w:eastAsia="SimSun" w:hAnsi="Book Antiqua" w:cs="SimSun"/>
          <w:sz w:val="24"/>
          <w:szCs w:val="24"/>
        </w:rPr>
        <w:t>[PMID: 16207568 DOI: 10.1016/j.cld.2005.07.004]</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8 </w:t>
      </w:r>
      <w:r w:rsidRPr="00723B55">
        <w:rPr>
          <w:rFonts w:ascii="Book Antiqua" w:eastAsia="SimSun" w:hAnsi="Book Antiqua" w:cs="SimSun"/>
          <w:b/>
          <w:bCs/>
          <w:sz w:val="24"/>
          <w:szCs w:val="24"/>
        </w:rPr>
        <w:t>Perdigoto R</w:t>
      </w:r>
      <w:r w:rsidRPr="00723B55">
        <w:rPr>
          <w:rFonts w:ascii="Book Antiqua" w:eastAsia="SimSun" w:hAnsi="Book Antiqua" w:cs="SimSun"/>
          <w:sz w:val="24"/>
          <w:szCs w:val="24"/>
        </w:rPr>
        <w:t>, Carpenter HA, Czaja AJ. Frequency and significance of chronic ulcerative colitis in severe corticosteroid-treated autoimmune hepatitis. </w:t>
      </w:r>
      <w:r w:rsidRPr="00723B55">
        <w:rPr>
          <w:rFonts w:ascii="Book Antiqua" w:eastAsia="SimSun" w:hAnsi="Book Antiqua" w:cs="SimSun"/>
          <w:i/>
          <w:iCs/>
          <w:sz w:val="24"/>
          <w:szCs w:val="24"/>
        </w:rPr>
        <w:t>J Hepatol</w:t>
      </w:r>
      <w:r w:rsidRPr="00723B55">
        <w:rPr>
          <w:rFonts w:ascii="Book Antiqua" w:eastAsia="SimSun" w:hAnsi="Book Antiqua" w:cs="SimSun"/>
          <w:sz w:val="24"/>
          <w:szCs w:val="24"/>
        </w:rPr>
        <w:t> 1992; </w:t>
      </w:r>
      <w:r w:rsidRPr="00723B55">
        <w:rPr>
          <w:rFonts w:ascii="Book Antiqua" w:eastAsia="SimSun" w:hAnsi="Book Antiqua" w:cs="SimSun"/>
          <w:b/>
          <w:bCs/>
          <w:sz w:val="24"/>
          <w:szCs w:val="24"/>
        </w:rPr>
        <w:t>14</w:t>
      </w:r>
      <w:r w:rsidRPr="00723B55">
        <w:rPr>
          <w:rFonts w:ascii="Book Antiqua" w:eastAsia="SimSun" w:hAnsi="Book Antiqua" w:cs="SimSun"/>
          <w:sz w:val="24"/>
          <w:szCs w:val="24"/>
        </w:rPr>
        <w:t>: 325-331 [PMID: 1500696]</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9 </w:t>
      </w:r>
      <w:r w:rsidRPr="00723B55">
        <w:rPr>
          <w:rFonts w:ascii="Book Antiqua" w:eastAsia="SimSun" w:hAnsi="Book Antiqua" w:cs="SimSun"/>
          <w:b/>
          <w:bCs/>
          <w:sz w:val="24"/>
          <w:szCs w:val="24"/>
        </w:rPr>
        <w:t>Czaja AJ</w:t>
      </w:r>
      <w:r w:rsidRPr="00723B55">
        <w:rPr>
          <w:rFonts w:ascii="Book Antiqua" w:eastAsia="SimSun" w:hAnsi="Book Antiqua" w:cs="SimSun"/>
          <w:sz w:val="24"/>
          <w:szCs w:val="24"/>
        </w:rPr>
        <w:t>. Autoimmune liver disease. </w:t>
      </w:r>
      <w:r w:rsidRPr="00723B55">
        <w:rPr>
          <w:rFonts w:ascii="Book Antiqua" w:eastAsia="SimSun" w:hAnsi="Book Antiqua" w:cs="SimSun"/>
          <w:i/>
          <w:iCs/>
          <w:sz w:val="24"/>
          <w:szCs w:val="24"/>
        </w:rPr>
        <w:t>Curr Opin Gastroenterol</w:t>
      </w:r>
      <w:r w:rsidRPr="00723B55">
        <w:rPr>
          <w:rFonts w:ascii="Book Antiqua" w:eastAsia="SimSun" w:hAnsi="Book Antiqua" w:cs="SimSun"/>
          <w:sz w:val="24"/>
          <w:szCs w:val="24"/>
        </w:rPr>
        <w:t> 2009; </w:t>
      </w:r>
      <w:r w:rsidRPr="00723B55">
        <w:rPr>
          <w:rFonts w:ascii="Book Antiqua" w:eastAsia="SimSun" w:hAnsi="Book Antiqua" w:cs="SimSun"/>
          <w:b/>
          <w:bCs/>
          <w:sz w:val="24"/>
          <w:szCs w:val="24"/>
        </w:rPr>
        <w:t>25</w:t>
      </w:r>
      <w:r w:rsidRPr="00723B55">
        <w:rPr>
          <w:rFonts w:ascii="Book Antiqua" w:eastAsia="SimSun" w:hAnsi="Book Antiqua" w:cs="SimSun"/>
          <w:sz w:val="24"/>
          <w:szCs w:val="24"/>
        </w:rPr>
        <w:t>: 215-222 [PMID: 19387256 DOI: 10.1097/MOG.0b013e328324ed06]</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10 </w:t>
      </w:r>
      <w:r w:rsidRPr="00723B55">
        <w:rPr>
          <w:rFonts w:ascii="Book Antiqua" w:eastAsia="SimSun" w:hAnsi="Book Antiqua" w:cs="SimSun"/>
          <w:b/>
          <w:bCs/>
          <w:sz w:val="24"/>
          <w:szCs w:val="24"/>
        </w:rPr>
        <w:t>Riley TR</w:t>
      </w:r>
      <w:r w:rsidRPr="00723B55">
        <w:rPr>
          <w:rFonts w:ascii="Book Antiqua" w:eastAsia="SimSun" w:hAnsi="Book Antiqua" w:cs="SimSun"/>
          <w:sz w:val="24"/>
          <w:szCs w:val="24"/>
        </w:rPr>
        <w:t>, Schoen RE, Lee RG, Rakela J. A case series of transplant recipients who despite immunosuppression developed inflammatory bowel disease. </w:t>
      </w:r>
      <w:r w:rsidRPr="00723B55">
        <w:rPr>
          <w:rFonts w:ascii="Book Antiqua" w:eastAsia="SimSun" w:hAnsi="Book Antiqua" w:cs="SimSun"/>
          <w:i/>
          <w:iCs/>
          <w:sz w:val="24"/>
          <w:szCs w:val="24"/>
        </w:rPr>
        <w:t>Am J Gastroenterol</w:t>
      </w:r>
      <w:r w:rsidRPr="00723B55">
        <w:rPr>
          <w:rFonts w:ascii="Book Antiqua" w:eastAsia="SimSun" w:hAnsi="Book Antiqua" w:cs="SimSun"/>
          <w:sz w:val="24"/>
          <w:szCs w:val="24"/>
        </w:rPr>
        <w:t> 1997; </w:t>
      </w:r>
      <w:r w:rsidRPr="00723B55">
        <w:rPr>
          <w:rFonts w:ascii="Book Antiqua" w:eastAsia="SimSun" w:hAnsi="Book Antiqua" w:cs="SimSun"/>
          <w:b/>
          <w:bCs/>
          <w:sz w:val="24"/>
          <w:szCs w:val="24"/>
        </w:rPr>
        <w:t>92</w:t>
      </w:r>
      <w:r w:rsidRPr="00723B55">
        <w:rPr>
          <w:rFonts w:ascii="Book Antiqua" w:eastAsia="SimSun" w:hAnsi="Book Antiqua" w:cs="SimSun"/>
          <w:sz w:val="24"/>
          <w:szCs w:val="24"/>
        </w:rPr>
        <w:t>: 279-282 [PMID: 9040206]</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lastRenderedPageBreak/>
        <w:t>11 </w:t>
      </w:r>
      <w:r w:rsidRPr="00723B55">
        <w:rPr>
          <w:rFonts w:ascii="Book Antiqua" w:eastAsia="SimSun" w:hAnsi="Book Antiqua" w:cs="SimSun"/>
          <w:b/>
          <w:bCs/>
          <w:sz w:val="24"/>
          <w:szCs w:val="24"/>
        </w:rPr>
        <w:t>Angulo P</w:t>
      </w:r>
      <w:r w:rsidRPr="00723B55">
        <w:rPr>
          <w:rFonts w:ascii="Book Antiqua" w:eastAsia="SimSun" w:hAnsi="Book Antiqua" w:cs="SimSun"/>
          <w:sz w:val="24"/>
          <w:szCs w:val="24"/>
        </w:rPr>
        <w:t>, Maor-Kendler Y, Lindor KD. Small-duct primary sclerosing cholangitis: a long-term follow-up study. </w:t>
      </w:r>
      <w:r w:rsidRPr="00723B55">
        <w:rPr>
          <w:rFonts w:ascii="Book Antiqua" w:eastAsia="SimSun" w:hAnsi="Book Antiqua" w:cs="SimSun"/>
          <w:i/>
          <w:iCs/>
          <w:sz w:val="24"/>
          <w:szCs w:val="24"/>
        </w:rPr>
        <w:t>Hepatology</w:t>
      </w:r>
      <w:r w:rsidRPr="00723B55">
        <w:rPr>
          <w:rFonts w:ascii="Book Antiqua" w:eastAsia="SimSun" w:hAnsi="Book Antiqua" w:cs="SimSun"/>
          <w:sz w:val="24"/>
          <w:szCs w:val="24"/>
        </w:rPr>
        <w:t> 2002; </w:t>
      </w:r>
      <w:r w:rsidRPr="00723B55">
        <w:rPr>
          <w:rFonts w:ascii="Book Antiqua" w:eastAsia="SimSun" w:hAnsi="Book Antiqua" w:cs="SimSun"/>
          <w:b/>
          <w:bCs/>
          <w:sz w:val="24"/>
          <w:szCs w:val="24"/>
        </w:rPr>
        <w:t>35</w:t>
      </w:r>
      <w:r w:rsidRPr="00723B55">
        <w:rPr>
          <w:rFonts w:ascii="Book Antiqua" w:eastAsia="SimSun" w:hAnsi="Book Antiqua" w:cs="SimSun"/>
          <w:sz w:val="24"/>
          <w:szCs w:val="24"/>
        </w:rPr>
        <w:t>: 1494-1500 [PMID: 12029635 DOI: 10.1053/jhep.2002.33202]</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12 </w:t>
      </w:r>
      <w:r w:rsidRPr="00723B55">
        <w:rPr>
          <w:rFonts w:ascii="Book Antiqua" w:eastAsia="SimSun" w:hAnsi="Book Antiqua" w:cs="SimSun"/>
          <w:b/>
          <w:bCs/>
          <w:sz w:val="24"/>
          <w:szCs w:val="24"/>
        </w:rPr>
        <w:t>Rabinovitz M</w:t>
      </w:r>
      <w:r w:rsidRPr="00723B55">
        <w:rPr>
          <w:rFonts w:ascii="Book Antiqua" w:eastAsia="SimSun" w:hAnsi="Book Antiqua" w:cs="SimSun"/>
          <w:sz w:val="24"/>
          <w:szCs w:val="24"/>
        </w:rPr>
        <w:t>, Gavaler JS, Schade RR, Dindzans VJ, Chien MC, Van Thiel DH. Does primary sclerosing cholangitis occurring in association with inflammatory bowel disease differ from that occurring in the absence of inflammatory bowel disease? A study of sixty-six subjects. </w:t>
      </w:r>
      <w:r w:rsidRPr="00723B55">
        <w:rPr>
          <w:rFonts w:ascii="Book Antiqua" w:eastAsia="SimSun" w:hAnsi="Book Antiqua" w:cs="SimSun"/>
          <w:i/>
          <w:iCs/>
          <w:sz w:val="24"/>
          <w:szCs w:val="24"/>
        </w:rPr>
        <w:t>Hepatology</w:t>
      </w:r>
      <w:r w:rsidRPr="00723B55">
        <w:rPr>
          <w:rFonts w:ascii="Book Antiqua" w:eastAsia="SimSun" w:hAnsi="Book Antiqua" w:cs="SimSun"/>
          <w:sz w:val="24"/>
          <w:szCs w:val="24"/>
        </w:rPr>
        <w:t> 1990; </w:t>
      </w:r>
      <w:r w:rsidRPr="00723B55">
        <w:rPr>
          <w:rFonts w:ascii="Book Antiqua" w:eastAsia="SimSun" w:hAnsi="Book Antiqua" w:cs="SimSun"/>
          <w:b/>
          <w:bCs/>
          <w:sz w:val="24"/>
          <w:szCs w:val="24"/>
        </w:rPr>
        <w:t>11</w:t>
      </w:r>
      <w:r w:rsidRPr="00723B55">
        <w:rPr>
          <w:rFonts w:ascii="Book Antiqua" w:eastAsia="SimSun" w:hAnsi="Book Antiqua" w:cs="SimSun"/>
          <w:sz w:val="24"/>
          <w:szCs w:val="24"/>
        </w:rPr>
        <w:t>: 7-11 [PMID: 2295474]</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13 </w:t>
      </w:r>
      <w:proofErr w:type="gramStart"/>
      <w:r w:rsidRPr="00723B55">
        <w:rPr>
          <w:rFonts w:ascii="Book Antiqua" w:eastAsia="SimSun" w:hAnsi="Book Antiqua" w:cs="SimSun"/>
          <w:b/>
          <w:bCs/>
          <w:sz w:val="24"/>
          <w:szCs w:val="24"/>
        </w:rPr>
        <w:t>Ngu</w:t>
      </w:r>
      <w:proofErr w:type="gramEnd"/>
      <w:r w:rsidRPr="00723B55">
        <w:rPr>
          <w:rFonts w:ascii="Book Antiqua" w:eastAsia="SimSun" w:hAnsi="Book Antiqua" w:cs="SimSun"/>
          <w:b/>
          <w:bCs/>
          <w:sz w:val="24"/>
          <w:szCs w:val="24"/>
        </w:rPr>
        <w:t xml:space="preserve"> JH</w:t>
      </w:r>
      <w:r w:rsidRPr="00723B55">
        <w:rPr>
          <w:rFonts w:ascii="Book Antiqua" w:eastAsia="SimSun" w:hAnsi="Book Antiqua" w:cs="SimSun"/>
          <w:sz w:val="24"/>
          <w:szCs w:val="24"/>
        </w:rPr>
        <w:t>, Gearry RB, Wright AJ, Stedman CA. Inflammatory bowel disease is associated with poor outcomes of patients with primary sclerosing cholangitis. </w:t>
      </w:r>
      <w:r w:rsidRPr="00723B55">
        <w:rPr>
          <w:rFonts w:ascii="Book Antiqua" w:eastAsia="SimSun" w:hAnsi="Book Antiqua" w:cs="SimSun"/>
          <w:i/>
          <w:iCs/>
          <w:sz w:val="24"/>
          <w:szCs w:val="24"/>
        </w:rPr>
        <w:t>Clin Gastroenterol Hepatol</w:t>
      </w:r>
      <w:r w:rsidRPr="00723B55">
        <w:rPr>
          <w:rFonts w:ascii="Book Antiqua" w:eastAsia="SimSun" w:hAnsi="Book Antiqua" w:cs="SimSun"/>
          <w:sz w:val="24"/>
          <w:szCs w:val="24"/>
        </w:rPr>
        <w:t> 2011; </w:t>
      </w:r>
      <w:r w:rsidRPr="00723B55">
        <w:rPr>
          <w:rFonts w:ascii="Book Antiqua" w:eastAsia="SimSun" w:hAnsi="Book Antiqua" w:cs="SimSun"/>
          <w:b/>
          <w:bCs/>
          <w:sz w:val="24"/>
          <w:szCs w:val="24"/>
        </w:rPr>
        <w:t>9</w:t>
      </w:r>
      <w:r w:rsidRPr="00723B55">
        <w:rPr>
          <w:rFonts w:ascii="Book Antiqua" w:eastAsia="SimSun" w:hAnsi="Book Antiqua" w:cs="SimSun"/>
          <w:sz w:val="24"/>
          <w:szCs w:val="24"/>
        </w:rPr>
        <w:t>: 1092-</w:t>
      </w:r>
      <w:r w:rsidR="00643D4E">
        <w:rPr>
          <w:rFonts w:ascii="Book Antiqua" w:eastAsia="SimSun" w:hAnsi="Book Antiqua" w:cs="SimSun" w:hint="eastAsia"/>
          <w:sz w:val="24"/>
          <w:szCs w:val="24"/>
          <w:lang w:eastAsia="zh-CN"/>
        </w:rPr>
        <w:t>1</w:t>
      </w:r>
      <w:r w:rsidRPr="00723B55">
        <w:rPr>
          <w:rFonts w:ascii="Book Antiqua" w:eastAsia="SimSun" w:hAnsi="Book Antiqua" w:cs="SimSun"/>
          <w:sz w:val="24"/>
          <w:szCs w:val="24"/>
        </w:rPr>
        <w:t>107; quiz e135 [PMID: 21893134 DOI: 10.1016/j.cgh.2011.08.027]</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14 </w:t>
      </w:r>
      <w:r w:rsidRPr="00723B55">
        <w:rPr>
          <w:rFonts w:ascii="Book Antiqua" w:eastAsia="SimSun" w:hAnsi="Book Antiqua" w:cs="SimSun"/>
          <w:b/>
          <w:bCs/>
          <w:sz w:val="24"/>
          <w:szCs w:val="24"/>
        </w:rPr>
        <w:t>Halliday JS</w:t>
      </w:r>
      <w:r w:rsidRPr="00723B55">
        <w:rPr>
          <w:rFonts w:ascii="Book Antiqua" w:eastAsia="SimSun" w:hAnsi="Book Antiqua" w:cs="SimSun"/>
          <w:sz w:val="24"/>
          <w:szCs w:val="24"/>
        </w:rPr>
        <w:t>, Djordjevic J, Lust M, Culver EL, Braden B, Travis SP, Chapman RW. A unique clinical phenotype of primary sclerosing cholangitis associated with Crohn's disease. </w:t>
      </w:r>
      <w:r w:rsidRPr="00723B55">
        <w:rPr>
          <w:rFonts w:ascii="Book Antiqua" w:eastAsia="SimSun" w:hAnsi="Book Antiqua" w:cs="SimSun"/>
          <w:i/>
          <w:iCs/>
          <w:sz w:val="24"/>
          <w:szCs w:val="24"/>
        </w:rPr>
        <w:t>J Crohns Colitis</w:t>
      </w:r>
      <w:r w:rsidRPr="00723B55">
        <w:rPr>
          <w:rFonts w:ascii="Book Antiqua" w:eastAsia="SimSun" w:hAnsi="Book Antiqua" w:cs="SimSun"/>
          <w:sz w:val="24"/>
          <w:szCs w:val="24"/>
        </w:rPr>
        <w:t> 2012; </w:t>
      </w:r>
      <w:r w:rsidRPr="00723B55">
        <w:rPr>
          <w:rFonts w:ascii="Book Antiqua" w:eastAsia="SimSun" w:hAnsi="Book Antiqua" w:cs="SimSun"/>
          <w:b/>
          <w:bCs/>
          <w:sz w:val="24"/>
          <w:szCs w:val="24"/>
        </w:rPr>
        <w:t>6</w:t>
      </w:r>
      <w:r w:rsidRPr="00723B55">
        <w:rPr>
          <w:rFonts w:ascii="Book Antiqua" w:eastAsia="SimSun" w:hAnsi="Book Antiqua" w:cs="SimSun"/>
          <w:sz w:val="24"/>
          <w:szCs w:val="24"/>
        </w:rPr>
        <w:t>: 174-181 [PMID: 22325171 DOI: 10.1016/j.crohns.2011.07.015]</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15 </w:t>
      </w:r>
      <w:r w:rsidRPr="00723B55">
        <w:rPr>
          <w:rFonts w:ascii="Book Antiqua" w:eastAsia="SimSun" w:hAnsi="Book Antiqua" w:cs="SimSun"/>
          <w:b/>
          <w:bCs/>
          <w:sz w:val="24"/>
          <w:szCs w:val="24"/>
        </w:rPr>
        <w:t>Loftus EV</w:t>
      </w:r>
      <w:r w:rsidRPr="00723B55">
        <w:rPr>
          <w:rFonts w:ascii="Book Antiqua" w:eastAsia="SimSun" w:hAnsi="Book Antiqua" w:cs="SimSun"/>
          <w:sz w:val="24"/>
          <w:szCs w:val="24"/>
        </w:rPr>
        <w:t>, Harewood GC, Loftus CG, Tremaine WJ, Harmsen WS, Zinsmeister AR, Jewell DA, Sandborn WJ. PSC-IBD: a unique form of inflammatory bowel disease associated with primary sclerosing cholangitis. </w:t>
      </w:r>
      <w:r w:rsidRPr="00723B55">
        <w:rPr>
          <w:rFonts w:ascii="Book Antiqua" w:eastAsia="SimSun" w:hAnsi="Book Antiqua" w:cs="SimSun"/>
          <w:i/>
          <w:iCs/>
          <w:sz w:val="24"/>
          <w:szCs w:val="24"/>
        </w:rPr>
        <w:t>Gut</w:t>
      </w:r>
      <w:r w:rsidRPr="00723B55">
        <w:rPr>
          <w:rFonts w:ascii="Book Antiqua" w:eastAsia="SimSun" w:hAnsi="Book Antiqua" w:cs="SimSun"/>
          <w:sz w:val="24"/>
          <w:szCs w:val="24"/>
        </w:rPr>
        <w:t> 2005; </w:t>
      </w:r>
      <w:r w:rsidRPr="00723B55">
        <w:rPr>
          <w:rFonts w:ascii="Book Antiqua" w:eastAsia="SimSun" w:hAnsi="Book Antiqua" w:cs="SimSun"/>
          <w:b/>
          <w:bCs/>
          <w:sz w:val="24"/>
          <w:szCs w:val="24"/>
        </w:rPr>
        <w:t>54</w:t>
      </w:r>
      <w:r w:rsidRPr="00723B55">
        <w:rPr>
          <w:rFonts w:ascii="Book Antiqua" w:eastAsia="SimSun" w:hAnsi="Book Antiqua" w:cs="SimSun"/>
          <w:sz w:val="24"/>
          <w:szCs w:val="24"/>
        </w:rPr>
        <w:t>: 91-96 [PMID: 15591511 DOI: 10.1136/gut.2004.046615]</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16 </w:t>
      </w:r>
      <w:r w:rsidRPr="00723B55">
        <w:rPr>
          <w:rFonts w:ascii="Book Antiqua" w:eastAsia="SimSun" w:hAnsi="Book Antiqua" w:cs="SimSun"/>
          <w:b/>
          <w:bCs/>
          <w:sz w:val="24"/>
          <w:szCs w:val="24"/>
        </w:rPr>
        <w:t>Navaneethan U</w:t>
      </w:r>
      <w:r w:rsidRPr="00723B55">
        <w:rPr>
          <w:rFonts w:ascii="Book Antiqua" w:eastAsia="SimSun" w:hAnsi="Book Antiqua" w:cs="SimSun"/>
          <w:sz w:val="24"/>
          <w:szCs w:val="24"/>
        </w:rPr>
        <w:t>, Venkatesh PG, Jegadeesan R, Lourdusamy V, Hammel JP, Kiran RP, Shen B. Comparison of outcomes for patients with primary sclerosing cholangitis associated with ulcerative colitis and Crohn's disease. </w:t>
      </w:r>
      <w:r w:rsidRPr="00723B55">
        <w:rPr>
          <w:rFonts w:ascii="Book Antiqua" w:eastAsia="SimSun" w:hAnsi="Book Antiqua" w:cs="SimSun"/>
          <w:i/>
          <w:iCs/>
          <w:sz w:val="24"/>
          <w:szCs w:val="24"/>
        </w:rPr>
        <w:t>Gastroenterol Rep</w:t>
      </w:r>
      <w:r w:rsidRPr="00723B55">
        <w:rPr>
          <w:rFonts w:ascii="Book Antiqua" w:eastAsia="SimSun" w:hAnsi="Book Antiqua" w:cs="SimSun"/>
          <w:iCs/>
          <w:sz w:val="24"/>
          <w:szCs w:val="24"/>
        </w:rPr>
        <w:t xml:space="preserve"> (Oxf)</w:t>
      </w:r>
      <w:r w:rsidRPr="00723B55">
        <w:rPr>
          <w:rFonts w:ascii="Book Antiqua" w:eastAsia="SimSun" w:hAnsi="Book Antiqua" w:cs="SimSun"/>
          <w:sz w:val="24"/>
          <w:szCs w:val="24"/>
        </w:rPr>
        <w:t> 2016; </w:t>
      </w:r>
      <w:r w:rsidRPr="00723B55">
        <w:rPr>
          <w:rFonts w:ascii="Book Antiqua" w:eastAsia="SimSun" w:hAnsi="Book Antiqua" w:cs="SimSun"/>
          <w:b/>
          <w:bCs/>
          <w:sz w:val="24"/>
          <w:szCs w:val="24"/>
        </w:rPr>
        <w:t>4</w:t>
      </w:r>
      <w:r w:rsidRPr="00723B55">
        <w:rPr>
          <w:rFonts w:ascii="Book Antiqua" w:eastAsia="SimSun" w:hAnsi="Book Antiqua" w:cs="SimSun"/>
          <w:sz w:val="24"/>
          <w:szCs w:val="24"/>
        </w:rPr>
        <w:t>: 43-49 [PMID: 25355801 DOI: 10.1093/gastro/gou074]</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17 </w:t>
      </w:r>
      <w:r w:rsidRPr="00723B55">
        <w:rPr>
          <w:rFonts w:ascii="Book Antiqua" w:eastAsia="SimSun" w:hAnsi="Book Antiqua" w:cs="SimSun"/>
          <w:b/>
          <w:bCs/>
          <w:sz w:val="24"/>
          <w:szCs w:val="24"/>
        </w:rPr>
        <w:t>Fevery J</w:t>
      </w:r>
      <w:r w:rsidRPr="00723B55">
        <w:rPr>
          <w:rFonts w:ascii="Book Antiqua" w:eastAsia="SimSun" w:hAnsi="Book Antiqua" w:cs="SimSun"/>
          <w:sz w:val="24"/>
          <w:szCs w:val="24"/>
        </w:rPr>
        <w:t>, Van Steenbergen W, Van Pelt J, Laleman W, Hoffman I, Geboes K, Vermeire S, Nevens F. Patients with large-duct primary sclerosing cholangitis and Crohn's disease have a better outcome than those with ulcerative colitis, or without IBD. </w:t>
      </w:r>
      <w:r w:rsidRPr="00723B55">
        <w:rPr>
          <w:rFonts w:ascii="Book Antiqua" w:eastAsia="SimSun" w:hAnsi="Book Antiqua" w:cs="SimSun"/>
          <w:i/>
          <w:iCs/>
          <w:sz w:val="24"/>
          <w:szCs w:val="24"/>
        </w:rPr>
        <w:t>Aliment Pharmacol Ther</w:t>
      </w:r>
      <w:r w:rsidRPr="00723B55">
        <w:rPr>
          <w:rFonts w:ascii="Book Antiqua" w:eastAsia="SimSun" w:hAnsi="Book Antiqua" w:cs="SimSun"/>
          <w:sz w:val="24"/>
          <w:szCs w:val="24"/>
        </w:rPr>
        <w:t> 2016; </w:t>
      </w:r>
      <w:r w:rsidRPr="00723B55">
        <w:rPr>
          <w:rFonts w:ascii="Book Antiqua" w:eastAsia="SimSun" w:hAnsi="Book Antiqua" w:cs="SimSun"/>
          <w:b/>
          <w:bCs/>
          <w:sz w:val="24"/>
          <w:szCs w:val="24"/>
        </w:rPr>
        <w:t>43</w:t>
      </w:r>
      <w:r w:rsidRPr="00723B55">
        <w:rPr>
          <w:rFonts w:ascii="Book Antiqua" w:eastAsia="SimSun" w:hAnsi="Book Antiqua" w:cs="SimSun"/>
          <w:sz w:val="24"/>
          <w:szCs w:val="24"/>
        </w:rPr>
        <w:t>: 612-620 [PMID: 26748470 DOI: 10.1111/apt.13516]</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18 </w:t>
      </w:r>
      <w:r w:rsidRPr="00723B55">
        <w:rPr>
          <w:rFonts w:ascii="Book Antiqua" w:eastAsia="SimSun" w:hAnsi="Book Antiqua" w:cs="SimSun"/>
          <w:b/>
          <w:bCs/>
          <w:sz w:val="24"/>
          <w:szCs w:val="24"/>
        </w:rPr>
        <w:t>Navaneethan U</w:t>
      </w:r>
      <w:r w:rsidRPr="00723B55">
        <w:rPr>
          <w:rFonts w:ascii="Book Antiqua" w:eastAsia="SimSun" w:hAnsi="Book Antiqua" w:cs="SimSun"/>
          <w:sz w:val="24"/>
          <w:szCs w:val="24"/>
        </w:rPr>
        <w:t xml:space="preserve">, Venkatesh PG, Mukewar S, Lashner BA, Remzi FH, McCullough AJ, Kiran RP, Shen B, Fung JJ. Progressive primary sclerosing cholangitis requiring liver transplantation is associated with reduced need for colectomy in patients with </w:t>
      </w:r>
      <w:r w:rsidRPr="00723B55">
        <w:rPr>
          <w:rFonts w:ascii="Book Antiqua" w:eastAsia="SimSun" w:hAnsi="Book Antiqua" w:cs="SimSun"/>
          <w:sz w:val="24"/>
          <w:szCs w:val="24"/>
        </w:rPr>
        <w:lastRenderedPageBreak/>
        <w:t>ulcerative colitis. </w:t>
      </w:r>
      <w:r w:rsidRPr="00723B55">
        <w:rPr>
          <w:rFonts w:ascii="Book Antiqua" w:eastAsia="SimSun" w:hAnsi="Book Antiqua" w:cs="SimSun"/>
          <w:i/>
          <w:iCs/>
          <w:sz w:val="24"/>
          <w:szCs w:val="24"/>
        </w:rPr>
        <w:t>Clin Gastroenterol Hepatol</w:t>
      </w:r>
      <w:r w:rsidRPr="00723B55">
        <w:rPr>
          <w:rFonts w:ascii="Book Antiqua" w:eastAsia="SimSun" w:hAnsi="Book Antiqua" w:cs="SimSun"/>
          <w:sz w:val="24"/>
          <w:szCs w:val="24"/>
        </w:rPr>
        <w:t> 2012; </w:t>
      </w:r>
      <w:r w:rsidRPr="00723B55">
        <w:rPr>
          <w:rFonts w:ascii="Book Antiqua" w:eastAsia="SimSun" w:hAnsi="Book Antiqua" w:cs="SimSun"/>
          <w:b/>
          <w:bCs/>
          <w:sz w:val="24"/>
          <w:szCs w:val="24"/>
        </w:rPr>
        <w:t>10</w:t>
      </w:r>
      <w:r w:rsidRPr="00723B55">
        <w:rPr>
          <w:rFonts w:ascii="Book Antiqua" w:eastAsia="SimSun" w:hAnsi="Book Antiqua" w:cs="SimSun"/>
          <w:sz w:val="24"/>
          <w:szCs w:val="24"/>
        </w:rPr>
        <w:t>: 540-546 [PMID: 22245961 DOI: 10.1016/j.cgh.2012.01.006]</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19 </w:t>
      </w:r>
      <w:r w:rsidRPr="00723B55">
        <w:rPr>
          <w:rFonts w:ascii="Book Antiqua" w:eastAsia="SimSun" w:hAnsi="Book Antiqua" w:cs="SimSun"/>
          <w:b/>
          <w:bCs/>
          <w:sz w:val="24"/>
          <w:szCs w:val="24"/>
        </w:rPr>
        <w:t>Marelli L</w:t>
      </w:r>
      <w:r w:rsidRPr="00723B55">
        <w:rPr>
          <w:rFonts w:ascii="Book Antiqua" w:eastAsia="SimSun" w:hAnsi="Book Antiqua" w:cs="SimSun"/>
          <w:sz w:val="24"/>
          <w:szCs w:val="24"/>
        </w:rPr>
        <w:t>, Xirouchakis E, Kalambokis G, Cholongitas E, Hamilton MI, Burroughs AK. Does the severity of primary sclerosing cholangitis influence the clinical course of associated ulcerative colitis? </w:t>
      </w:r>
      <w:r w:rsidRPr="00723B55">
        <w:rPr>
          <w:rFonts w:ascii="Book Antiqua" w:eastAsia="SimSun" w:hAnsi="Book Antiqua" w:cs="SimSun"/>
          <w:i/>
          <w:iCs/>
          <w:sz w:val="24"/>
          <w:szCs w:val="24"/>
        </w:rPr>
        <w:t>Gut</w:t>
      </w:r>
      <w:r w:rsidRPr="00723B55">
        <w:rPr>
          <w:rFonts w:ascii="Book Antiqua" w:eastAsia="SimSun" w:hAnsi="Book Antiqua" w:cs="SimSun"/>
          <w:sz w:val="24"/>
          <w:szCs w:val="24"/>
        </w:rPr>
        <w:t> 2011; </w:t>
      </w:r>
      <w:r w:rsidRPr="00723B55">
        <w:rPr>
          <w:rFonts w:ascii="Book Antiqua" w:eastAsia="SimSun" w:hAnsi="Book Antiqua" w:cs="SimSun"/>
          <w:b/>
          <w:bCs/>
          <w:sz w:val="24"/>
          <w:szCs w:val="24"/>
        </w:rPr>
        <w:t>60</w:t>
      </w:r>
      <w:r w:rsidRPr="00723B55">
        <w:rPr>
          <w:rFonts w:ascii="Book Antiqua" w:eastAsia="SimSun" w:hAnsi="Book Antiqua" w:cs="SimSun"/>
          <w:sz w:val="24"/>
          <w:szCs w:val="24"/>
        </w:rPr>
        <w:t>: 1224-1228 [PMID: 21402617 DOI: 10.1136/gut.2010.235408]</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20 </w:t>
      </w:r>
      <w:r w:rsidRPr="00723B55">
        <w:rPr>
          <w:rFonts w:ascii="Book Antiqua" w:eastAsia="SimSun" w:hAnsi="Book Antiqua" w:cs="SimSun"/>
          <w:b/>
          <w:bCs/>
          <w:sz w:val="24"/>
          <w:szCs w:val="24"/>
        </w:rPr>
        <w:t>Soetikno RM</w:t>
      </w:r>
      <w:r w:rsidRPr="00723B55">
        <w:rPr>
          <w:rFonts w:ascii="Book Antiqua" w:eastAsia="SimSun" w:hAnsi="Book Antiqua" w:cs="SimSun"/>
          <w:sz w:val="24"/>
          <w:szCs w:val="24"/>
        </w:rPr>
        <w:t>, Lin OS, Heidenreich PA, Young HS, Blackstone MO. Increased risk of colorectal neoplasia in patients with primary sclerosing cholangitis and ulcerative colitis: a meta-analysis. </w:t>
      </w:r>
      <w:r w:rsidRPr="00723B55">
        <w:rPr>
          <w:rFonts w:ascii="Book Antiqua" w:eastAsia="SimSun" w:hAnsi="Book Antiqua" w:cs="SimSun"/>
          <w:i/>
          <w:iCs/>
          <w:sz w:val="24"/>
          <w:szCs w:val="24"/>
        </w:rPr>
        <w:t>Gastrointest Endosc</w:t>
      </w:r>
      <w:r w:rsidRPr="00723B55">
        <w:rPr>
          <w:rFonts w:ascii="Book Antiqua" w:eastAsia="SimSun" w:hAnsi="Book Antiqua" w:cs="SimSun"/>
          <w:sz w:val="24"/>
          <w:szCs w:val="24"/>
        </w:rPr>
        <w:t> 2002; </w:t>
      </w:r>
      <w:r w:rsidRPr="00723B55">
        <w:rPr>
          <w:rFonts w:ascii="Book Antiqua" w:eastAsia="SimSun" w:hAnsi="Book Antiqua" w:cs="SimSun"/>
          <w:b/>
          <w:bCs/>
          <w:sz w:val="24"/>
          <w:szCs w:val="24"/>
        </w:rPr>
        <w:t>56</w:t>
      </w:r>
      <w:r w:rsidRPr="00723B55">
        <w:rPr>
          <w:rFonts w:ascii="Book Antiqua" w:eastAsia="SimSun" w:hAnsi="Book Antiqua" w:cs="SimSun"/>
          <w:sz w:val="24"/>
          <w:szCs w:val="24"/>
        </w:rPr>
        <w:t>: 48-54 [PMID: 12085034]</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21 </w:t>
      </w:r>
      <w:r w:rsidRPr="00723B55">
        <w:rPr>
          <w:rFonts w:ascii="Book Antiqua" w:eastAsia="SimSun" w:hAnsi="Book Antiqua" w:cs="SimSun"/>
          <w:b/>
          <w:bCs/>
          <w:sz w:val="24"/>
          <w:szCs w:val="24"/>
        </w:rPr>
        <w:t>Broomé U</w:t>
      </w:r>
      <w:r w:rsidRPr="00723B55">
        <w:rPr>
          <w:rFonts w:ascii="Book Antiqua" w:eastAsia="SimSun" w:hAnsi="Book Antiqua" w:cs="SimSun"/>
          <w:sz w:val="24"/>
          <w:szCs w:val="24"/>
        </w:rPr>
        <w:t>, Löfberg R, Veress B, Eriksson LS. Primary sclerosing cholangitis and ulcerative colitis: evidence for increased neoplastic potential. </w:t>
      </w:r>
      <w:r w:rsidRPr="00723B55">
        <w:rPr>
          <w:rFonts w:ascii="Book Antiqua" w:eastAsia="SimSun" w:hAnsi="Book Antiqua" w:cs="SimSun"/>
          <w:i/>
          <w:iCs/>
          <w:sz w:val="24"/>
          <w:szCs w:val="24"/>
        </w:rPr>
        <w:t>Hepatology</w:t>
      </w:r>
      <w:r w:rsidRPr="00723B55">
        <w:rPr>
          <w:rFonts w:ascii="Book Antiqua" w:eastAsia="SimSun" w:hAnsi="Book Antiqua" w:cs="SimSun"/>
          <w:sz w:val="24"/>
          <w:szCs w:val="24"/>
        </w:rPr>
        <w:t> 1995; </w:t>
      </w:r>
      <w:r w:rsidRPr="00723B55">
        <w:rPr>
          <w:rFonts w:ascii="Book Antiqua" w:eastAsia="SimSun" w:hAnsi="Book Antiqua" w:cs="SimSun"/>
          <w:b/>
          <w:bCs/>
          <w:sz w:val="24"/>
          <w:szCs w:val="24"/>
        </w:rPr>
        <w:t>22</w:t>
      </w:r>
      <w:r w:rsidRPr="00723B55">
        <w:rPr>
          <w:rFonts w:ascii="Book Antiqua" w:eastAsia="SimSun" w:hAnsi="Book Antiqua" w:cs="SimSun"/>
          <w:sz w:val="24"/>
          <w:szCs w:val="24"/>
        </w:rPr>
        <w:t>: 1404-1408 [PMID: 7590655]</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22 </w:t>
      </w:r>
      <w:r w:rsidRPr="00723B55">
        <w:rPr>
          <w:rFonts w:ascii="Book Antiqua" w:eastAsia="SimSun" w:hAnsi="Book Antiqua" w:cs="SimSun"/>
          <w:b/>
          <w:bCs/>
          <w:sz w:val="24"/>
          <w:szCs w:val="24"/>
        </w:rPr>
        <w:t>Zheng HH</w:t>
      </w:r>
      <w:r w:rsidRPr="00723B55">
        <w:rPr>
          <w:rFonts w:ascii="Book Antiqua" w:eastAsia="SimSun" w:hAnsi="Book Antiqua" w:cs="SimSun"/>
          <w:sz w:val="24"/>
          <w:szCs w:val="24"/>
        </w:rPr>
        <w:t>, Jiang XL. Increased risk of colorectal neoplasia in patients with primary sclerosing cholangitis and inflammatory bowel disease: a meta-analysis of 16 observational studies. </w:t>
      </w:r>
      <w:r w:rsidRPr="00723B55">
        <w:rPr>
          <w:rFonts w:ascii="Book Antiqua" w:eastAsia="SimSun" w:hAnsi="Book Antiqua" w:cs="SimSun"/>
          <w:i/>
          <w:iCs/>
          <w:sz w:val="24"/>
          <w:szCs w:val="24"/>
        </w:rPr>
        <w:t>Eur J Gastroenterol Hepatol</w:t>
      </w:r>
      <w:r w:rsidRPr="00723B55">
        <w:rPr>
          <w:rFonts w:ascii="Book Antiqua" w:eastAsia="SimSun" w:hAnsi="Book Antiqua" w:cs="SimSun"/>
          <w:sz w:val="24"/>
          <w:szCs w:val="24"/>
        </w:rPr>
        <w:t> 2016; </w:t>
      </w:r>
      <w:r w:rsidRPr="00723B55">
        <w:rPr>
          <w:rFonts w:ascii="Book Antiqua" w:eastAsia="SimSun" w:hAnsi="Book Antiqua" w:cs="SimSun"/>
          <w:b/>
          <w:bCs/>
          <w:sz w:val="24"/>
          <w:szCs w:val="24"/>
        </w:rPr>
        <w:t>28</w:t>
      </w:r>
      <w:r w:rsidRPr="00723B55">
        <w:rPr>
          <w:rFonts w:ascii="Book Antiqua" w:eastAsia="SimSun" w:hAnsi="Book Antiqua" w:cs="SimSun"/>
          <w:sz w:val="24"/>
          <w:szCs w:val="24"/>
        </w:rPr>
        <w:t>: 383-390 [PMID: 26938805 DOI: 10.1097/MEG.0000000000000576]</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23</w:t>
      </w:r>
      <w:r>
        <w:rPr>
          <w:rFonts w:ascii="Book Antiqua" w:eastAsia="SimSun" w:hAnsi="Book Antiqua" w:cs="SimSun" w:hint="eastAsia"/>
          <w:sz w:val="24"/>
          <w:szCs w:val="24"/>
        </w:rPr>
        <w:t xml:space="preserve"> </w:t>
      </w:r>
      <w:r w:rsidRPr="00723B55">
        <w:rPr>
          <w:rFonts w:ascii="Book Antiqua" w:eastAsia="SimSun" w:hAnsi="Book Antiqua" w:cs="SimSun"/>
          <w:b/>
          <w:sz w:val="24"/>
          <w:szCs w:val="24"/>
        </w:rPr>
        <w:t>European Association for the Study of the Liver.</w:t>
      </w:r>
      <w:r>
        <w:rPr>
          <w:rFonts w:ascii="Book Antiqua" w:eastAsia="SimSun" w:hAnsi="Book Antiqua" w:cs="SimSun" w:hint="eastAsia"/>
          <w:sz w:val="24"/>
          <w:szCs w:val="24"/>
        </w:rPr>
        <w:t xml:space="preserve"> </w:t>
      </w:r>
      <w:r w:rsidRPr="00723B55">
        <w:rPr>
          <w:rFonts w:ascii="Book Antiqua" w:eastAsia="SimSun" w:hAnsi="Book Antiqua" w:cs="SimSun"/>
          <w:sz w:val="24"/>
          <w:szCs w:val="24"/>
        </w:rPr>
        <w:t>EASL Clinical Practice Guidelines: management of cholestatic liver diseases. </w:t>
      </w:r>
      <w:r w:rsidRPr="00723B55">
        <w:rPr>
          <w:rFonts w:ascii="Book Antiqua" w:eastAsia="SimSun" w:hAnsi="Book Antiqua" w:cs="SimSun"/>
          <w:i/>
          <w:iCs/>
          <w:sz w:val="24"/>
          <w:szCs w:val="24"/>
        </w:rPr>
        <w:t>J Hepatol</w:t>
      </w:r>
      <w:r w:rsidRPr="00723B55">
        <w:rPr>
          <w:rFonts w:ascii="Book Antiqua" w:eastAsia="SimSun" w:hAnsi="Book Antiqua" w:cs="SimSun"/>
          <w:sz w:val="24"/>
          <w:szCs w:val="24"/>
        </w:rPr>
        <w:t> 2009; </w:t>
      </w:r>
      <w:r w:rsidRPr="00723B55">
        <w:rPr>
          <w:rFonts w:ascii="Book Antiqua" w:eastAsia="SimSun" w:hAnsi="Book Antiqua" w:cs="SimSun"/>
          <w:b/>
          <w:bCs/>
          <w:sz w:val="24"/>
          <w:szCs w:val="24"/>
        </w:rPr>
        <w:t>51</w:t>
      </w:r>
      <w:r w:rsidRPr="00723B55">
        <w:rPr>
          <w:rFonts w:ascii="Book Antiqua" w:eastAsia="SimSun" w:hAnsi="Book Antiqua" w:cs="SimSun"/>
          <w:sz w:val="24"/>
          <w:szCs w:val="24"/>
        </w:rPr>
        <w:t xml:space="preserve">: 237-267 [PMID: </w:t>
      </w:r>
      <w:bookmarkStart w:id="23" w:name="OLE_LINK247"/>
      <w:bookmarkStart w:id="24" w:name="OLE_LINK248"/>
      <w:r w:rsidRPr="00723B55">
        <w:rPr>
          <w:rFonts w:ascii="Book Antiqua" w:eastAsia="SimSun" w:hAnsi="Book Antiqua" w:cs="SimSun"/>
          <w:sz w:val="24"/>
          <w:szCs w:val="24"/>
        </w:rPr>
        <w:t xml:space="preserve">19501929 </w:t>
      </w:r>
      <w:bookmarkEnd w:id="23"/>
      <w:bookmarkEnd w:id="24"/>
      <w:r w:rsidRPr="00723B55">
        <w:rPr>
          <w:rFonts w:ascii="Book Antiqua" w:eastAsia="SimSun" w:hAnsi="Book Antiqua" w:cs="SimSun"/>
          <w:sz w:val="24"/>
          <w:szCs w:val="24"/>
        </w:rPr>
        <w:t>DOI: 10.1016/j.jhep.2009.04.009]</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24 </w:t>
      </w:r>
      <w:r w:rsidRPr="00723B55">
        <w:rPr>
          <w:rFonts w:ascii="Book Antiqua" w:eastAsia="SimSun" w:hAnsi="Book Antiqua" w:cs="SimSun"/>
          <w:b/>
          <w:bCs/>
          <w:sz w:val="24"/>
          <w:szCs w:val="24"/>
        </w:rPr>
        <w:t>Rutter MD</w:t>
      </w:r>
      <w:r w:rsidRPr="00723B55">
        <w:rPr>
          <w:rFonts w:ascii="Book Antiqua" w:eastAsia="SimSun" w:hAnsi="Book Antiqua" w:cs="SimSun"/>
          <w:sz w:val="24"/>
          <w:szCs w:val="24"/>
        </w:rPr>
        <w:t>, Saunders BP, Schofield G, Forbes A, Price AB, Talbot IC. Pancolonic indigo carmine dye spraying for the detection of dysplasia in ulcerative colitis. </w:t>
      </w:r>
      <w:r w:rsidRPr="00723B55">
        <w:rPr>
          <w:rFonts w:ascii="Book Antiqua" w:eastAsia="SimSun" w:hAnsi="Book Antiqua" w:cs="SimSun"/>
          <w:i/>
          <w:iCs/>
          <w:sz w:val="24"/>
          <w:szCs w:val="24"/>
        </w:rPr>
        <w:t>Gut</w:t>
      </w:r>
      <w:r w:rsidRPr="00723B55">
        <w:rPr>
          <w:rFonts w:ascii="Book Antiqua" w:eastAsia="SimSun" w:hAnsi="Book Antiqua" w:cs="SimSun"/>
          <w:sz w:val="24"/>
          <w:szCs w:val="24"/>
        </w:rPr>
        <w:t> 2004; </w:t>
      </w:r>
      <w:r w:rsidRPr="00723B55">
        <w:rPr>
          <w:rFonts w:ascii="Book Antiqua" w:eastAsia="SimSun" w:hAnsi="Book Antiqua" w:cs="SimSun"/>
          <w:b/>
          <w:bCs/>
          <w:sz w:val="24"/>
          <w:szCs w:val="24"/>
        </w:rPr>
        <w:t>53</w:t>
      </w:r>
      <w:r w:rsidRPr="00723B55">
        <w:rPr>
          <w:rFonts w:ascii="Book Antiqua" w:eastAsia="SimSun" w:hAnsi="Book Antiqua" w:cs="SimSun"/>
          <w:sz w:val="24"/>
          <w:szCs w:val="24"/>
        </w:rPr>
        <w:t>: 256-260 [PMID: 14724160]</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25 </w:t>
      </w:r>
      <w:r w:rsidRPr="00723B55">
        <w:rPr>
          <w:rFonts w:ascii="Book Antiqua" w:eastAsia="SimSun" w:hAnsi="Book Antiqua" w:cs="SimSun"/>
          <w:b/>
          <w:bCs/>
          <w:sz w:val="24"/>
          <w:szCs w:val="24"/>
        </w:rPr>
        <w:t>Wu L</w:t>
      </w:r>
      <w:r w:rsidRPr="00723B55">
        <w:rPr>
          <w:rFonts w:ascii="Book Antiqua" w:eastAsia="SimSun" w:hAnsi="Book Antiqua" w:cs="SimSun"/>
          <w:sz w:val="24"/>
          <w:szCs w:val="24"/>
        </w:rPr>
        <w:t xml:space="preserve">, Li P, Wu J, Cao Y, </w:t>
      </w:r>
      <w:proofErr w:type="gramStart"/>
      <w:r w:rsidRPr="00723B55">
        <w:rPr>
          <w:rFonts w:ascii="Book Antiqua" w:eastAsia="SimSun" w:hAnsi="Book Antiqua" w:cs="SimSun"/>
          <w:sz w:val="24"/>
          <w:szCs w:val="24"/>
        </w:rPr>
        <w:t>Gao</w:t>
      </w:r>
      <w:proofErr w:type="gramEnd"/>
      <w:r w:rsidRPr="00723B55">
        <w:rPr>
          <w:rFonts w:ascii="Book Antiqua" w:eastAsia="SimSun" w:hAnsi="Book Antiqua" w:cs="SimSun"/>
          <w:sz w:val="24"/>
          <w:szCs w:val="24"/>
        </w:rPr>
        <w:t xml:space="preserve"> F. The diagnostic accuracy of chromoendoscopy for dysplasia in ulcerative colitis: meta-analysis of six randomized controlled trials. </w:t>
      </w:r>
      <w:r w:rsidRPr="00723B55">
        <w:rPr>
          <w:rFonts w:ascii="Book Antiqua" w:eastAsia="SimSun" w:hAnsi="Book Antiqua" w:cs="SimSun"/>
          <w:i/>
          <w:iCs/>
          <w:sz w:val="24"/>
          <w:szCs w:val="24"/>
        </w:rPr>
        <w:t>Colorectal Dis</w:t>
      </w:r>
      <w:r w:rsidRPr="00723B55">
        <w:rPr>
          <w:rFonts w:ascii="Book Antiqua" w:eastAsia="SimSun" w:hAnsi="Book Antiqua" w:cs="SimSun"/>
          <w:sz w:val="24"/>
          <w:szCs w:val="24"/>
        </w:rPr>
        <w:t> 2012; </w:t>
      </w:r>
      <w:r w:rsidRPr="00723B55">
        <w:rPr>
          <w:rFonts w:ascii="Book Antiqua" w:eastAsia="SimSun" w:hAnsi="Book Antiqua" w:cs="SimSun"/>
          <w:b/>
          <w:bCs/>
          <w:sz w:val="24"/>
          <w:szCs w:val="24"/>
        </w:rPr>
        <w:t>14</w:t>
      </w:r>
      <w:r w:rsidRPr="00723B55">
        <w:rPr>
          <w:rFonts w:ascii="Book Antiqua" w:eastAsia="SimSun" w:hAnsi="Book Antiqua" w:cs="SimSun"/>
          <w:sz w:val="24"/>
          <w:szCs w:val="24"/>
        </w:rPr>
        <w:t>: 416-420 [PMID: 21073646 DOI: 10.1111/j.1463-1318.2010.02505.x]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26 </w:t>
      </w:r>
      <w:r w:rsidRPr="00723B55">
        <w:rPr>
          <w:rFonts w:ascii="Book Antiqua" w:eastAsia="SimSun" w:hAnsi="Book Antiqua" w:cs="SimSun"/>
          <w:b/>
          <w:bCs/>
          <w:sz w:val="24"/>
          <w:szCs w:val="24"/>
        </w:rPr>
        <w:t>Rubin CE</w:t>
      </w:r>
      <w:r w:rsidRPr="00723B55">
        <w:rPr>
          <w:rFonts w:ascii="Book Antiqua" w:eastAsia="SimSun" w:hAnsi="Book Antiqua" w:cs="SimSun"/>
          <w:sz w:val="24"/>
          <w:szCs w:val="24"/>
        </w:rPr>
        <w:t>, Haggitt RC, Burmer GC, Brentnall TA, Stevens AC, Levine DS, Dean PJ, Kimmey M, Perera DR, Rabinovitch PS. DNA aneuploidy in colonic biopsies predicts future development of dysplasia in ulcerative colitis. </w:t>
      </w:r>
      <w:r w:rsidRPr="00723B55">
        <w:rPr>
          <w:rFonts w:ascii="Book Antiqua" w:eastAsia="SimSun" w:hAnsi="Book Antiqua" w:cs="SimSun"/>
          <w:i/>
          <w:iCs/>
          <w:sz w:val="24"/>
          <w:szCs w:val="24"/>
        </w:rPr>
        <w:t>Gastroenterology</w:t>
      </w:r>
      <w:r w:rsidRPr="00723B55">
        <w:rPr>
          <w:rFonts w:ascii="Book Antiqua" w:eastAsia="SimSun" w:hAnsi="Book Antiqua" w:cs="SimSun"/>
          <w:sz w:val="24"/>
          <w:szCs w:val="24"/>
        </w:rPr>
        <w:t> 1992; </w:t>
      </w:r>
      <w:r w:rsidRPr="00723B55">
        <w:rPr>
          <w:rFonts w:ascii="Book Antiqua" w:eastAsia="SimSun" w:hAnsi="Book Antiqua" w:cs="SimSun"/>
          <w:b/>
          <w:bCs/>
          <w:sz w:val="24"/>
          <w:szCs w:val="24"/>
        </w:rPr>
        <w:t>103</w:t>
      </w:r>
      <w:r w:rsidRPr="00723B55">
        <w:rPr>
          <w:rFonts w:ascii="Book Antiqua" w:eastAsia="SimSun" w:hAnsi="Book Antiqua" w:cs="SimSun"/>
          <w:sz w:val="24"/>
          <w:szCs w:val="24"/>
        </w:rPr>
        <w:t>: 1611-1620 [PMID: 1426881]</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lastRenderedPageBreak/>
        <w:t>27 </w:t>
      </w:r>
      <w:r w:rsidRPr="00723B55">
        <w:rPr>
          <w:rFonts w:ascii="Book Antiqua" w:eastAsia="SimSun" w:hAnsi="Book Antiqua" w:cs="SimSun"/>
          <w:b/>
          <w:bCs/>
          <w:sz w:val="24"/>
          <w:szCs w:val="24"/>
        </w:rPr>
        <w:t>Matsumoto T</w:t>
      </w:r>
      <w:r w:rsidRPr="00723B55">
        <w:rPr>
          <w:rFonts w:ascii="Book Antiqua" w:eastAsia="SimSun" w:hAnsi="Book Antiqua" w:cs="SimSun"/>
          <w:sz w:val="24"/>
          <w:szCs w:val="24"/>
        </w:rPr>
        <w:t>, Nakamura S, Jo Y, Yao T, Iida M. Chromoscopy might improve diagnostic accuracy in cancer surveillance for ulcerative colitis. </w:t>
      </w:r>
      <w:r w:rsidRPr="00723B55">
        <w:rPr>
          <w:rFonts w:ascii="Book Antiqua" w:eastAsia="SimSun" w:hAnsi="Book Antiqua" w:cs="SimSun"/>
          <w:i/>
          <w:iCs/>
          <w:sz w:val="24"/>
          <w:szCs w:val="24"/>
        </w:rPr>
        <w:t>Am J Gastroenterol</w:t>
      </w:r>
      <w:r w:rsidRPr="00723B55">
        <w:rPr>
          <w:rFonts w:ascii="Book Antiqua" w:eastAsia="SimSun" w:hAnsi="Book Antiqua" w:cs="SimSun"/>
          <w:sz w:val="24"/>
          <w:szCs w:val="24"/>
        </w:rPr>
        <w:t> 2003; </w:t>
      </w:r>
      <w:r w:rsidRPr="00723B55">
        <w:rPr>
          <w:rFonts w:ascii="Book Antiqua" w:eastAsia="SimSun" w:hAnsi="Book Antiqua" w:cs="SimSun"/>
          <w:b/>
          <w:bCs/>
          <w:sz w:val="24"/>
          <w:szCs w:val="24"/>
        </w:rPr>
        <w:t>98</w:t>
      </w:r>
      <w:r w:rsidRPr="00723B55">
        <w:rPr>
          <w:rFonts w:ascii="Book Antiqua" w:eastAsia="SimSun" w:hAnsi="Book Antiqua" w:cs="SimSun"/>
          <w:sz w:val="24"/>
          <w:szCs w:val="24"/>
        </w:rPr>
        <w:t>: 1827-1833 [PMID: 12907339 DOI: 10.1111/j.1572-0241.2003.07580.x]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28 </w:t>
      </w:r>
      <w:r w:rsidRPr="00723B55">
        <w:rPr>
          <w:rFonts w:ascii="Book Antiqua" w:eastAsia="SimSun" w:hAnsi="Book Antiqua" w:cs="SimSun"/>
          <w:b/>
          <w:bCs/>
          <w:sz w:val="24"/>
          <w:szCs w:val="24"/>
        </w:rPr>
        <w:t>Subramanian V</w:t>
      </w:r>
      <w:r w:rsidRPr="00723B55">
        <w:rPr>
          <w:rFonts w:ascii="Book Antiqua" w:eastAsia="SimSun" w:hAnsi="Book Antiqua" w:cs="SimSun"/>
          <w:sz w:val="24"/>
          <w:szCs w:val="24"/>
        </w:rPr>
        <w:t>, Mannath J, Ragunath K, Hawkey CJ. Meta-analysis: the diagnostic yield of chromoendoscopy for detecting dysplasia in patients with colonic inflammatory bowel disease. </w:t>
      </w:r>
      <w:r w:rsidRPr="00723B55">
        <w:rPr>
          <w:rFonts w:ascii="Book Antiqua" w:eastAsia="SimSun" w:hAnsi="Book Antiqua" w:cs="SimSun"/>
          <w:i/>
          <w:iCs/>
          <w:sz w:val="24"/>
          <w:szCs w:val="24"/>
        </w:rPr>
        <w:t>Aliment Pharmacol Ther</w:t>
      </w:r>
      <w:r w:rsidRPr="00723B55">
        <w:rPr>
          <w:rFonts w:ascii="Book Antiqua" w:eastAsia="SimSun" w:hAnsi="Book Antiqua" w:cs="SimSun"/>
          <w:sz w:val="24"/>
          <w:szCs w:val="24"/>
        </w:rPr>
        <w:t> 2011; </w:t>
      </w:r>
      <w:r w:rsidRPr="00723B55">
        <w:rPr>
          <w:rFonts w:ascii="Book Antiqua" w:eastAsia="SimSun" w:hAnsi="Book Antiqua" w:cs="SimSun"/>
          <w:b/>
          <w:bCs/>
          <w:sz w:val="24"/>
          <w:szCs w:val="24"/>
        </w:rPr>
        <w:t>33</w:t>
      </w:r>
      <w:r w:rsidRPr="00723B55">
        <w:rPr>
          <w:rFonts w:ascii="Book Antiqua" w:eastAsia="SimSun" w:hAnsi="Book Antiqua" w:cs="SimSun"/>
          <w:sz w:val="24"/>
          <w:szCs w:val="24"/>
        </w:rPr>
        <w:t>: 304-312 [PMID: 21128987 DOI: 10.1111/j.1365-2036.2010.04525.x]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29 </w:t>
      </w:r>
      <w:r w:rsidRPr="00723B55">
        <w:rPr>
          <w:rFonts w:ascii="Book Antiqua" w:eastAsia="SimSun" w:hAnsi="Book Antiqua" w:cs="SimSun"/>
          <w:b/>
          <w:bCs/>
          <w:sz w:val="24"/>
          <w:szCs w:val="24"/>
        </w:rPr>
        <w:t>Gomollón F</w:t>
      </w:r>
      <w:r w:rsidRPr="00723B55">
        <w:rPr>
          <w:rFonts w:ascii="Book Antiqua" w:eastAsia="SimSun" w:hAnsi="Book Antiqua" w:cs="SimSun"/>
          <w:sz w:val="24"/>
          <w:szCs w:val="24"/>
        </w:rPr>
        <w:t>, Dignass A, Annese V, Tilg H, Van Assche G, Lindsay JO, Peyrin-Biroulet L, Cullen GJ, Daperno M, Kucharzik T, Rieder F, Almer S, Armuzzi A, Harbord M, Langhorst J, Sans M, Chowers Y, Fiorino G, Juillerat P, Mantzaris GJ, Rizzello F, Vavricka S, Gionchetti P. 3rd European Evidence-based Consensus on the Diagnosis and Management of Crohn's Disease 2016: Part 1: Diagnosis and Medical Management. </w:t>
      </w:r>
      <w:r w:rsidRPr="00723B55">
        <w:rPr>
          <w:rFonts w:ascii="Book Antiqua" w:eastAsia="SimSun" w:hAnsi="Book Antiqua" w:cs="SimSun"/>
          <w:i/>
          <w:iCs/>
          <w:sz w:val="24"/>
          <w:szCs w:val="24"/>
        </w:rPr>
        <w:t>J Crohns Colitis</w:t>
      </w:r>
      <w:r w:rsidRPr="00723B55">
        <w:rPr>
          <w:rFonts w:ascii="Book Antiqua" w:eastAsia="SimSun" w:hAnsi="Book Antiqua" w:cs="SimSun"/>
          <w:sz w:val="24"/>
          <w:szCs w:val="24"/>
        </w:rPr>
        <w:t> 2017; </w:t>
      </w:r>
      <w:r w:rsidRPr="00723B55">
        <w:rPr>
          <w:rFonts w:ascii="Book Antiqua" w:eastAsia="SimSun" w:hAnsi="Book Antiqua" w:cs="SimSun"/>
          <w:b/>
          <w:bCs/>
          <w:sz w:val="24"/>
          <w:szCs w:val="24"/>
        </w:rPr>
        <w:t>11</w:t>
      </w:r>
      <w:r w:rsidRPr="00723B55">
        <w:rPr>
          <w:rFonts w:ascii="Book Antiqua" w:eastAsia="SimSun" w:hAnsi="Book Antiqua" w:cs="SimSun"/>
          <w:sz w:val="24"/>
          <w:szCs w:val="24"/>
        </w:rPr>
        <w:t>: 3-25 [PMID: 27660341 DOI: 10.1093/ecco-jcc/jjw168]</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30 </w:t>
      </w:r>
      <w:r w:rsidRPr="00723B55">
        <w:rPr>
          <w:rFonts w:ascii="Book Antiqua" w:eastAsia="SimSun" w:hAnsi="Book Antiqua" w:cs="SimSun"/>
          <w:b/>
          <w:bCs/>
          <w:sz w:val="24"/>
          <w:szCs w:val="24"/>
        </w:rPr>
        <w:t>Van Assche G</w:t>
      </w:r>
      <w:r w:rsidRPr="00723B55">
        <w:rPr>
          <w:rFonts w:ascii="Book Antiqua" w:eastAsia="SimSun" w:hAnsi="Book Antiqua" w:cs="SimSun"/>
          <w:sz w:val="24"/>
          <w:szCs w:val="24"/>
        </w:rPr>
        <w:t>, Dignass A, Bokemeyer B, Danese S, Gionchetti P, Moser G, Beaugerie L, Gomollón F, Häuser W, Herrlinger K, Oldenburg B, Panes J, Portela F, Rogler G, Stein J, Tilg H, Travis S, Lindsay JO. Second European evidence-based consensus on the diagnosis and management of ulcerative colitis part 3: special situations. </w:t>
      </w:r>
      <w:r w:rsidRPr="00723B55">
        <w:rPr>
          <w:rFonts w:ascii="Book Antiqua" w:eastAsia="SimSun" w:hAnsi="Book Antiqua" w:cs="SimSun"/>
          <w:i/>
          <w:iCs/>
          <w:sz w:val="24"/>
          <w:szCs w:val="24"/>
        </w:rPr>
        <w:t>J Crohns Colitis</w:t>
      </w:r>
      <w:r w:rsidRPr="00723B55">
        <w:rPr>
          <w:rFonts w:ascii="Book Antiqua" w:eastAsia="SimSun" w:hAnsi="Book Antiqua" w:cs="SimSun"/>
          <w:sz w:val="24"/>
          <w:szCs w:val="24"/>
        </w:rPr>
        <w:t> 2013; </w:t>
      </w:r>
      <w:r w:rsidRPr="00723B55">
        <w:rPr>
          <w:rFonts w:ascii="Book Antiqua" w:eastAsia="SimSun" w:hAnsi="Book Antiqua" w:cs="SimSun"/>
          <w:b/>
          <w:bCs/>
          <w:sz w:val="24"/>
          <w:szCs w:val="24"/>
        </w:rPr>
        <w:t>7</w:t>
      </w:r>
      <w:r w:rsidRPr="00723B55">
        <w:rPr>
          <w:rFonts w:ascii="Book Antiqua" w:eastAsia="SimSun" w:hAnsi="Book Antiqua" w:cs="SimSun"/>
          <w:sz w:val="24"/>
          <w:szCs w:val="24"/>
        </w:rPr>
        <w:t>: 1-33 [PMID: 23040453 DOI: 10.1016/j.crohns.2012.09.005]</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31 </w:t>
      </w:r>
      <w:r w:rsidRPr="00723B55">
        <w:rPr>
          <w:rFonts w:ascii="Book Antiqua" w:eastAsia="SimSun" w:hAnsi="Book Antiqua" w:cs="SimSun"/>
          <w:b/>
          <w:bCs/>
          <w:sz w:val="24"/>
          <w:szCs w:val="24"/>
        </w:rPr>
        <w:t>Gavaler JS</w:t>
      </w:r>
      <w:r w:rsidRPr="00723B55">
        <w:rPr>
          <w:rFonts w:ascii="Book Antiqua" w:eastAsia="SimSun" w:hAnsi="Book Antiqua" w:cs="SimSun"/>
          <w:sz w:val="24"/>
          <w:szCs w:val="24"/>
        </w:rPr>
        <w:t>, Delemos B, Belle SH, Heyl AE, Tarter RE, Starzl TE, Gavaler C, van Thiel DH. Ulcerative colitis disease activity as subjectively assessed by patient-completed questionnaires following orthotopic liver transplantation for sclerosing cholangitis. </w:t>
      </w:r>
      <w:r w:rsidRPr="00723B55">
        <w:rPr>
          <w:rFonts w:ascii="Book Antiqua" w:eastAsia="SimSun" w:hAnsi="Book Antiqua" w:cs="SimSun"/>
          <w:i/>
          <w:iCs/>
          <w:sz w:val="24"/>
          <w:szCs w:val="24"/>
        </w:rPr>
        <w:t>Dig Dis Sci</w:t>
      </w:r>
      <w:r w:rsidRPr="00723B55">
        <w:rPr>
          <w:rFonts w:ascii="Book Antiqua" w:eastAsia="SimSun" w:hAnsi="Book Antiqua" w:cs="SimSun"/>
          <w:sz w:val="24"/>
          <w:szCs w:val="24"/>
        </w:rPr>
        <w:t> 1991; </w:t>
      </w:r>
      <w:r w:rsidRPr="00723B55">
        <w:rPr>
          <w:rFonts w:ascii="Book Antiqua" w:eastAsia="SimSun" w:hAnsi="Book Antiqua" w:cs="SimSun"/>
          <w:b/>
          <w:bCs/>
          <w:sz w:val="24"/>
          <w:szCs w:val="24"/>
        </w:rPr>
        <w:t>36</w:t>
      </w:r>
      <w:r w:rsidRPr="00723B55">
        <w:rPr>
          <w:rFonts w:ascii="Book Antiqua" w:eastAsia="SimSun" w:hAnsi="Book Antiqua" w:cs="SimSun"/>
          <w:sz w:val="24"/>
          <w:szCs w:val="24"/>
        </w:rPr>
        <w:t>: 321-328 [PMID: 1995269]</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32 </w:t>
      </w:r>
      <w:r w:rsidRPr="00723B55">
        <w:rPr>
          <w:rFonts w:ascii="Book Antiqua" w:eastAsia="SimSun" w:hAnsi="Book Antiqua" w:cs="SimSun"/>
          <w:b/>
          <w:bCs/>
          <w:sz w:val="24"/>
          <w:szCs w:val="24"/>
        </w:rPr>
        <w:t>Saldeen K</w:t>
      </w:r>
      <w:r w:rsidRPr="00723B55">
        <w:rPr>
          <w:rFonts w:ascii="Book Antiqua" w:eastAsia="SimSun" w:hAnsi="Book Antiqua" w:cs="SimSun"/>
          <w:sz w:val="24"/>
          <w:szCs w:val="24"/>
        </w:rPr>
        <w:t>, Friman S, Olausson M, Olsson R. Follow-up after liver transplantation for primary sclerosing cholangitis: effects on survival, quality of life, and colitis. </w:t>
      </w:r>
      <w:r w:rsidRPr="00723B55">
        <w:rPr>
          <w:rFonts w:ascii="Book Antiqua" w:eastAsia="SimSun" w:hAnsi="Book Antiqua" w:cs="SimSun"/>
          <w:i/>
          <w:iCs/>
          <w:sz w:val="24"/>
          <w:szCs w:val="24"/>
        </w:rPr>
        <w:t>Scand J Gastroenterol</w:t>
      </w:r>
      <w:r w:rsidRPr="00723B55">
        <w:rPr>
          <w:rFonts w:ascii="Book Antiqua" w:eastAsia="SimSun" w:hAnsi="Book Antiqua" w:cs="SimSun"/>
          <w:sz w:val="24"/>
          <w:szCs w:val="24"/>
        </w:rPr>
        <w:t> 1999; </w:t>
      </w:r>
      <w:r w:rsidRPr="00723B55">
        <w:rPr>
          <w:rFonts w:ascii="Book Antiqua" w:eastAsia="SimSun" w:hAnsi="Book Antiqua" w:cs="SimSun"/>
          <w:b/>
          <w:bCs/>
          <w:sz w:val="24"/>
          <w:szCs w:val="24"/>
        </w:rPr>
        <w:t>34</w:t>
      </w:r>
      <w:r w:rsidRPr="00723B55">
        <w:rPr>
          <w:rFonts w:ascii="Book Antiqua" w:eastAsia="SimSun" w:hAnsi="Book Antiqua" w:cs="SimSun"/>
          <w:sz w:val="24"/>
          <w:szCs w:val="24"/>
        </w:rPr>
        <w:t>: 535-540 [PMID: 10423073]</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33 </w:t>
      </w:r>
      <w:r w:rsidRPr="00723B55">
        <w:rPr>
          <w:rFonts w:ascii="Book Antiqua" w:eastAsia="SimSun" w:hAnsi="Book Antiqua" w:cs="SimSun"/>
          <w:b/>
          <w:bCs/>
          <w:sz w:val="24"/>
          <w:szCs w:val="24"/>
        </w:rPr>
        <w:t>Ho GT</w:t>
      </w:r>
      <w:r w:rsidRPr="00723B55">
        <w:rPr>
          <w:rFonts w:ascii="Book Antiqua" w:eastAsia="SimSun" w:hAnsi="Book Antiqua" w:cs="SimSun"/>
          <w:sz w:val="24"/>
          <w:szCs w:val="24"/>
        </w:rPr>
        <w:t xml:space="preserve">, Seddon AJ, Therapondos G, Satsangi J, Hayes PC. The clinical course of ulcerative colitis after orthotopic liver transplantation for primary sclerosing </w:t>
      </w:r>
      <w:r w:rsidRPr="00723B55">
        <w:rPr>
          <w:rFonts w:ascii="Book Antiqua" w:eastAsia="SimSun" w:hAnsi="Book Antiqua" w:cs="SimSun"/>
          <w:sz w:val="24"/>
          <w:szCs w:val="24"/>
        </w:rPr>
        <w:lastRenderedPageBreak/>
        <w:t>cholangitis: further appraisal of immunosuppression post transplantation. </w:t>
      </w:r>
      <w:r w:rsidRPr="00723B55">
        <w:rPr>
          <w:rFonts w:ascii="Book Antiqua" w:eastAsia="SimSun" w:hAnsi="Book Antiqua" w:cs="SimSun"/>
          <w:i/>
          <w:iCs/>
          <w:sz w:val="24"/>
          <w:szCs w:val="24"/>
        </w:rPr>
        <w:t>Eur J Gastroenterol Hepatol</w:t>
      </w:r>
      <w:r w:rsidRPr="00723B55">
        <w:rPr>
          <w:rFonts w:ascii="Book Antiqua" w:eastAsia="SimSun" w:hAnsi="Book Antiqua" w:cs="SimSun"/>
          <w:sz w:val="24"/>
          <w:szCs w:val="24"/>
        </w:rPr>
        <w:t> 2005; </w:t>
      </w:r>
      <w:r w:rsidRPr="00723B55">
        <w:rPr>
          <w:rFonts w:ascii="Book Antiqua" w:eastAsia="SimSun" w:hAnsi="Book Antiqua" w:cs="SimSun"/>
          <w:b/>
          <w:bCs/>
          <w:sz w:val="24"/>
          <w:szCs w:val="24"/>
        </w:rPr>
        <w:t>17</w:t>
      </w:r>
      <w:r w:rsidRPr="00723B55">
        <w:rPr>
          <w:rFonts w:ascii="Book Antiqua" w:eastAsia="SimSun" w:hAnsi="Book Antiqua" w:cs="SimSun"/>
          <w:sz w:val="24"/>
          <w:szCs w:val="24"/>
        </w:rPr>
        <w:t>: 1379-1385 [PMID: 16292093]</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34 </w:t>
      </w:r>
      <w:r w:rsidRPr="00723B55">
        <w:rPr>
          <w:rFonts w:ascii="Book Antiqua" w:eastAsia="SimSun" w:hAnsi="Book Antiqua" w:cs="SimSun"/>
          <w:b/>
          <w:bCs/>
          <w:sz w:val="24"/>
          <w:szCs w:val="24"/>
        </w:rPr>
        <w:t>Papatheodoridis GV</w:t>
      </w:r>
      <w:r w:rsidRPr="00723B55">
        <w:rPr>
          <w:rFonts w:ascii="Book Antiqua" w:eastAsia="SimSun" w:hAnsi="Book Antiqua" w:cs="SimSun"/>
          <w:sz w:val="24"/>
          <w:szCs w:val="24"/>
        </w:rPr>
        <w:t>, Hamilton M, Mistry PK, Davidson B, Rolles K, Burroughs AK. Ulcerative colitis has an aggressive course after orthotopic liver transplantation for primary sclerosing cholangitis. </w:t>
      </w:r>
      <w:r w:rsidRPr="00723B55">
        <w:rPr>
          <w:rFonts w:ascii="Book Antiqua" w:eastAsia="SimSun" w:hAnsi="Book Antiqua" w:cs="SimSun"/>
          <w:i/>
          <w:iCs/>
          <w:sz w:val="24"/>
          <w:szCs w:val="24"/>
        </w:rPr>
        <w:t>Gut</w:t>
      </w:r>
      <w:r w:rsidRPr="00723B55">
        <w:rPr>
          <w:rFonts w:ascii="Book Antiqua" w:eastAsia="SimSun" w:hAnsi="Book Antiqua" w:cs="SimSun"/>
          <w:sz w:val="24"/>
          <w:szCs w:val="24"/>
        </w:rPr>
        <w:t> 1998; </w:t>
      </w:r>
      <w:r w:rsidRPr="00723B55">
        <w:rPr>
          <w:rFonts w:ascii="Book Antiqua" w:eastAsia="SimSun" w:hAnsi="Book Antiqua" w:cs="SimSun"/>
          <w:b/>
          <w:bCs/>
          <w:sz w:val="24"/>
          <w:szCs w:val="24"/>
        </w:rPr>
        <w:t>43</w:t>
      </w:r>
      <w:r w:rsidRPr="00723B55">
        <w:rPr>
          <w:rFonts w:ascii="Book Antiqua" w:eastAsia="SimSun" w:hAnsi="Book Antiqua" w:cs="SimSun"/>
          <w:sz w:val="24"/>
          <w:szCs w:val="24"/>
        </w:rPr>
        <w:t>: 639-644 [PMID: 9824344]</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35 </w:t>
      </w:r>
      <w:r w:rsidRPr="00723B55">
        <w:rPr>
          <w:rFonts w:ascii="Book Antiqua" w:eastAsia="SimSun" w:hAnsi="Book Antiqua" w:cs="SimSun"/>
          <w:b/>
          <w:bCs/>
          <w:sz w:val="24"/>
          <w:szCs w:val="24"/>
        </w:rPr>
        <w:t>Dvorchik I</w:t>
      </w:r>
      <w:r w:rsidRPr="00723B55">
        <w:rPr>
          <w:rFonts w:ascii="Book Antiqua" w:eastAsia="SimSun" w:hAnsi="Book Antiqua" w:cs="SimSun"/>
          <w:sz w:val="24"/>
          <w:szCs w:val="24"/>
        </w:rPr>
        <w:t>, Subotin M, Demetris AJ, Fung JJ, Starzl TE, Wieand S, Abu-Elmagd KM. Effect of liver transplantation on inflammatory bowel disease in patients with primary sclerosing cholangitis. </w:t>
      </w:r>
      <w:r w:rsidRPr="00723B55">
        <w:rPr>
          <w:rFonts w:ascii="Book Antiqua" w:eastAsia="SimSun" w:hAnsi="Book Antiqua" w:cs="SimSun"/>
          <w:i/>
          <w:iCs/>
          <w:sz w:val="24"/>
          <w:szCs w:val="24"/>
        </w:rPr>
        <w:t>Hepatology</w:t>
      </w:r>
      <w:r w:rsidRPr="00723B55">
        <w:rPr>
          <w:rFonts w:ascii="Book Antiqua" w:eastAsia="SimSun" w:hAnsi="Book Antiqua" w:cs="SimSun"/>
          <w:sz w:val="24"/>
          <w:szCs w:val="24"/>
        </w:rPr>
        <w:t> 2002; </w:t>
      </w:r>
      <w:r w:rsidRPr="00723B55">
        <w:rPr>
          <w:rFonts w:ascii="Book Antiqua" w:eastAsia="SimSun" w:hAnsi="Book Antiqua" w:cs="SimSun"/>
          <w:b/>
          <w:bCs/>
          <w:sz w:val="24"/>
          <w:szCs w:val="24"/>
        </w:rPr>
        <w:t>35</w:t>
      </w:r>
      <w:r w:rsidRPr="00723B55">
        <w:rPr>
          <w:rFonts w:ascii="Book Antiqua" w:eastAsia="SimSun" w:hAnsi="Book Antiqua" w:cs="SimSun"/>
          <w:sz w:val="24"/>
          <w:szCs w:val="24"/>
        </w:rPr>
        <w:t>: 380-384 [PMID: 11826412 DOI: 10.1053/jhep.2002.30695]</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36 </w:t>
      </w:r>
      <w:r w:rsidRPr="00723B55">
        <w:rPr>
          <w:rFonts w:ascii="Book Antiqua" w:eastAsia="SimSun" w:hAnsi="Book Antiqua" w:cs="SimSun"/>
          <w:b/>
          <w:bCs/>
          <w:sz w:val="24"/>
          <w:szCs w:val="24"/>
        </w:rPr>
        <w:t>Jørgensen KK</w:t>
      </w:r>
      <w:r w:rsidRPr="00723B55">
        <w:rPr>
          <w:rFonts w:ascii="Book Antiqua" w:eastAsia="SimSun" w:hAnsi="Book Antiqua" w:cs="SimSun"/>
          <w:sz w:val="24"/>
          <w:szCs w:val="24"/>
        </w:rPr>
        <w:t>, Lindström L, Cvancarova M, Karlsen TH, Castedal M, Friman S, Schrumpf E, Foss A, Isoniemi H, Nordin A, Holte K, Rasmussen A, Bergquist A, Vatn MH, Boberg KM. Immunosuppression after liver transplantation for primary sclerosing cholangitis influences activity of inflammatory bowel disease. </w:t>
      </w:r>
      <w:r w:rsidRPr="00723B55">
        <w:rPr>
          <w:rFonts w:ascii="Book Antiqua" w:eastAsia="SimSun" w:hAnsi="Book Antiqua" w:cs="SimSun"/>
          <w:i/>
          <w:iCs/>
          <w:sz w:val="24"/>
          <w:szCs w:val="24"/>
        </w:rPr>
        <w:t>Clin Gastroenterol Hepatol</w:t>
      </w:r>
      <w:r w:rsidRPr="00723B55">
        <w:rPr>
          <w:rFonts w:ascii="Book Antiqua" w:eastAsia="SimSun" w:hAnsi="Book Antiqua" w:cs="SimSun"/>
          <w:sz w:val="24"/>
          <w:szCs w:val="24"/>
        </w:rPr>
        <w:t> 2013; </w:t>
      </w:r>
      <w:r w:rsidRPr="00723B55">
        <w:rPr>
          <w:rFonts w:ascii="Book Antiqua" w:eastAsia="SimSun" w:hAnsi="Book Antiqua" w:cs="SimSun"/>
          <w:b/>
          <w:bCs/>
          <w:sz w:val="24"/>
          <w:szCs w:val="24"/>
        </w:rPr>
        <w:t>11</w:t>
      </w:r>
      <w:r w:rsidRPr="00723B55">
        <w:rPr>
          <w:rFonts w:ascii="Book Antiqua" w:eastAsia="SimSun" w:hAnsi="Book Antiqua" w:cs="SimSun"/>
          <w:sz w:val="24"/>
          <w:szCs w:val="24"/>
        </w:rPr>
        <w:t>: 517-523 [PMID: 23333218 DOI: 10.1016/j.cgh.2012.12.027]</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37 </w:t>
      </w:r>
      <w:r w:rsidRPr="00723B55">
        <w:rPr>
          <w:rFonts w:ascii="Book Antiqua" w:eastAsia="SimSun" w:hAnsi="Book Antiqua" w:cs="SimSun"/>
          <w:b/>
          <w:bCs/>
          <w:sz w:val="24"/>
          <w:szCs w:val="24"/>
        </w:rPr>
        <w:t>Singh S</w:t>
      </w:r>
      <w:r w:rsidRPr="00723B55">
        <w:rPr>
          <w:rFonts w:ascii="Book Antiqua" w:eastAsia="SimSun" w:hAnsi="Book Antiqua" w:cs="SimSun"/>
          <w:sz w:val="24"/>
          <w:szCs w:val="24"/>
        </w:rPr>
        <w:t>, Loftus EV, Talwalkar JA. Inflammatory bowel disease after liver transplantation for primary sclerosing cholangitis. </w:t>
      </w:r>
      <w:r w:rsidRPr="00723B55">
        <w:rPr>
          <w:rFonts w:ascii="Book Antiqua" w:eastAsia="SimSun" w:hAnsi="Book Antiqua" w:cs="SimSun"/>
          <w:i/>
          <w:iCs/>
          <w:sz w:val="24"/>
          <w:szCs w:val="24"/>
        </w:rPr>
        <w:t>Am J Gastroenterol</w:t>
      </w:r>
      <w:r w:rsidRPr="00723B55">
        <w:rPr>
          <w:rFonts w:ascii="Book Antiqua" w:eastAsia="SimSun" w:hAnsi="Book Antiqua" w:cs="SimSun"/>
          <w:sz w:val="24"/>
          <w:szCs w:val="24"/>
        </w:rPr>
        <w:t> 2013; </w:t>
      </w:r>
      <w:r w:rsidRPr="00723B55">
        <w:rPr>
          <w:rFonts w:ascii="Book Antiqua" w:eastAsia="SimSun" w:hAnsi="Book Antiqua" w:cs="SimSun"/>
          <w:b/>
          <w:bCs/>
          <w:sz w:val="24"/>
          <w:szCs w:val="24"/>
        </w:rPr>
        <w:t>108</w:t>
      </w:r>
      <w:r w:rsidRPr="00723B55">
        <w:rPr>
          <w:rFonts w:ascii="Book Antiqua" w:eastAsia="SimSun" w:hAnsi="Book Antiqua" w:cs="SimSun"/>
          <w:sz w:val="24"/>
          <w:szCs w:val="24"/>
        </w:rPr>
        <w:t>: 1417-1425 [PMID: 23896954 DOI: 10.1038/ajg.2013.163]</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38 </w:t>
      </w:r>
      <w:r w:rsidRPr="00723B55">
        <w:rPr>
          <w:rFonts w:ascii="Book Antiqua" w:eastAsia="SimSun" w:hAnsi="Book Antiqua" w:cs="SimSun"/>
          <w:b/>
          <w:bCs/>
          <w:sz w:val="24"/>
          <w:szCs w:val="24"/>
        </w:rPr>
        <w:t>Joshi D</w:t>
      </w:r>
      <w:r w:rsidRPr="00723B55">
        <w:rPr>
          <w:rFonts w:ascii="Book Antiqua" w:eastAsia="SimSun" w:hAnsi="Book Antiqua" w:cs="SimSun"/>
          <w:sz w:val="24"/>
          <w:szCs w:val="24"/>
        </w:rPr>
        <w:t>, Bjarnason I, Belgaumkar A, O'Grady J, Suddle A, Heneghan MA, Aluvihare V, Rela M, Heaton N, Agarwal K. The impact of inflammatory bowel disease post-liver transplantation for primary sclerosing cholangitis. </w:t>
      </w:r>
      <w:r w:rsidRPr="00723B55">
        <w:rPr>
          <w:rFonts w:ascii="Book Antiqua" w:eastAsia="SimSun" w:hAnsi="Book Antiqua" w:cs="SimSun"/>
          <w:i/>
          <w:iCs/>
          <w:sz w:val="24"/>
          <w:szCs w:val="24"/>
        </w:rPr>
        <w:t>Liver Int</w:t>
      </w:r>
      <w:r w:rsidRPr="00723B55">
        <w:rPr>
          <w:rFonts w:ascii="Book Antiqua" w:eastAsia="SimSun" w:hAnsi="Book Antiqua" w:cs="SimSun"/>
          <w:sz w:val="24"/>
          <w:szCs w:val="24"/>
        </w:rPr>
        <w:t> 2013; </w:t>
      </w:r>
      <w:r w:rsidRPr="00723B55">
        <w:rPr>
          <w:rFonts w:ascii="Book Antiqua" w:eastAsia="SimSun" w:hAnsi="Book Antiqua" w:cs="SimSun"/>
          <w:b/>
          <w:bCs/>
          <w:sz w:val="24"/>
          <w:szCs w:val="24"/>
        </w:rPr>
        <w:t>33</w:t>
      </w:r>
      <w:r w:rsidRPr="00723B55">
        <w:rPr>
          <w:rFonts w:ascii="Book Antiqua" w:eastAsia="SimSun" w:hAnsi="Book Antiqua" w:cs="SimSun"/>
          <w:sz w:val="24"/>
          <w:szCs w:val="24"/>
        </w:rPr>
        <w:t>: 53-61 [PMID: 22103794 DOI: 10.1111/j.1478-3231.2011.02677.x]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39 </w:t>
      </w:r>
      <w:r w:rsidRPr="00723B55">
        <w:rPr>
          <w:rFonts w:ascii="Book Antiqua" w:eastAsia="SimSun" w:hAnsi="Book Antiqua" w:cs="SimSun"/>
          <w:b/>
          <w:bCs/>
          <w:sz w:val="24"/>
          <w:szCs w:val="24"/>
        </w:rPr>
        <w:t>Cholongitas E</w:t>
      </w:r>
      <w:r w:rsidRPr="00723B55">
        <w:rPr>
          <w:rFonts w:ascii="Book Antiqua" w:eastAsia="SimSun" w:hAnsi="Book Antiqua" w:cs="SimSun"/>
          <w:sz w:val="24"/>
          <w:szCs w:val="24"/>
        </w:rPr>
        <w:t>, Papatheodoridis GV, Zappoli P, Giannakopoulos A, Patch D, Marelli L, Shusang V, Kalambokis G, Shirling G, Rolando N, Burroughs AK. Combined HLA-DR and -DQ disparity is associated with a stable course of ulcerative colitis after liver transplantation for primary sclerosing cholangitis. </w:t>
      </w:r>
      <w:r w:rsidRPr="00723B55">
        <w:rPr>
          <w:rFonts w:ascii="Book Antiqua" w:eastAsia="SimSun" w:hAnsi="Book Antiqua" w:cs="SimSun"/>
          <w:i/>
          <w:iCs/>
          <w:sz w:val="24"/>
          <w:szCs w:val="24"/>
        </w:rPr>
        <w:t>Liver Transpl</w:t>
      </w:r>
      <w:r w:rsidRPr="00723B55">
        <w:rPr>
          <w:rFonts w:ascii="Book Antiqua" w:eastAsia="SimSun" w:hAnsi="Book Antiqua" w:cs="SimSun"/>
          <w:sz w:val="24"/>
          <w:szCs w:val="24"/>
        </w:rPr>
        <w:t> 2007; </w:t>
      </w:r>
      <w:r w:rsidRPr="00723B55">
        <w:rPr>
          <w:rFonts w:ascii="Book Antiqua" w:eastAsia="SimSun" w:hAnsi="Book Antiqua" w:cs="SimSun"/>
          <w:b/>
          <w:bCs/>
          <w:sz w:val="24"/>
          <w:szCs w:val="24"/>
        </w:rPr>
        <w:t>13</w:t>
      </w:r>
      <w:r w:rsidRPr="00723B55">
        <w:rPr>
          <w:rFonts w:ascii="Book Antiqua" w:eastAsia="SimSun" w:hAnsi="Book Antiqua" w:cs="SimSun"/>
          <w:sz w:val="24"/>
          <w:szCs w:val="24"/>
        </w:rPr>
        <w:t>: 552-557 [PMID: 17394153 DOI: 10.1002/lt.21077]</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40 </w:t>
      </w:r>
      <w:r w:rsidRPr="00723B55">
        <w:rPr>
          <w:rFonts w:ascii="Book Antiqua" w:eastAsia="SimSun" w:hAnsi="Book Antiqua" w:cs="SimSun"/>
          <w:b/>
          <w:bCs/>
          <w:sz w:val="24"/>
          <w:szCs w:val="24"/>
        </w:rPr>
        <w:t>Moncrief KJ</w:t>
      </w:r>
      <w:r w:rsidRPr="00723B55">
        <w:rPr>
          <w:rFonts w:ascii="Book Antiqua" w:eastAsia="SimSun" w:hAnsi="Book Antiqua" w:cs="SimSun"/>
          <w:sz w:val="24"/>
          <w:szCs w:val="24"/>
        </w:rPr>
        <w:t>, Savu A, Ma MM, Bain VG, Wong WW, Tandon P. The natural history of inflammatory bowel disease and primary sclerosing cholangitis after liver transplantation--a single-centre experience. </w:t>
      </w:r>
      <w:r w:rsidRPr="00723B55">
        <w:rPr>
          <w:rFonts w:ascii="Book Antiqua" w:eastAsia="SimSun" w:hAnsi="Book Antiqua" w:cs="SimSun"/>
          <w:i/>
          <w:iCs/>
          <w:sz w:val="24"/>
          <w:szCs w:val="24"/>
        </w:rPr>
        <w:t>Can J Gastroenterol</w:t>
      </w:r>
      <w:r w:rsidRPr="00723B55">
        <w:rPr>
          <w:rFonts w:ascii="Book Antiqua" w:eastAsia="SimSun" w:hAnsi="Book Antiqua" w:cs="SimSun"/>
          <w:sz w:val="24"/>
          <w:szCs w:val="24"/>
        </w:rPr>
        <w:t> 2010; </w:t>
      </w:r>
      <w:r w:rsidRPr="00723B55">
        <w:rPr>
          <w:rFonts w:ascii="Book Antiqua" w:eastAsia="SimSun" w:hAnsi="Book Antiqua" w:cs="SimSun"/>
          <w:b/>
          <w:bCs/>
          <w:sz w:val="24"/>
          <w:szCs w:val="24"/>
        </w:rPr>
        <w:t>24</w:t>
      </w:r>
      <w:r w:rsidRPr="00723B55">
        <w:rPr>
          <w:rFonts w:ascii="Book Antiqua" w:eastAsia="SimSun" w:hAnsi="Book Antiqua" w:cs="SimSun"/>
          <w:sz w:val="24"/>
          <w:szCs w:val="24"/>
        </w:rPr>
        <w:t>: 40-46 [PMID: 20186355]</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lastRenderedPageBreak/>
        <w:t>41 </w:t>
      </w:r>
      <w:r w:rsidRPr="00723B55">
        <w:rPr>
          <w:rFonts w:ascii="Book Antiqua" w:eastAsia="SimSun" w:hAnsi="Book Antiqua" w:cs="SimSun"/>
          <w:b/>
          <w:bCs/>
          <w:sz w:val="24"/>
          <w:szCs w:val="24"/>
        </w:rPr>
        <w:t>Verdonk RC</w:t>
      </w:r>
      <w:r w:rsidRPr="00723B55">
        <w:rPr>
          <w:rFonts w:ascii="Book Antiqua" w:eastAsia="SimSun" w:hAnsi="Book Antiqua" w:cs="SimSun"/>
          <w:sz w:val="24"/>
          <w:szCs w:val="24"/>
        </w:rPr>
        <w:t>, Dijkstra G, Haagsma EB, Shostrom VK, Van den Berg AP, Kleibeuker JH, Langnas AN, Sudan DL. Inflammatory bowel disease after liver transplantation: risk factors for recurrence and de novo disease. </w:t>
      </w:r>
      <w:r w:rsidRPr="00723B55">
        <w:rPr>
          <w:rFonts w:ascii="Book Antiqua" w:eastAsia="SimSun" w:hAnsi="Book Antiqua" w:cs="SimSun"/>
          <w:i/>
          <w:iCs/>
          <w:sz w:val="24"/>
          <w:szCs w:val="24"/>
        </w:rPr>
        <w:t>Am J Transplant</w:t>
      </w:r>
      <w:r w:rsidRPr="00723B55">
        <w:rPr>
          <w:rFonts w:ascii="Book Antiqua" w:eastAsia="SimSun" w:hAnsi="Book Antiqua" w:cs="SimSun"/>
          <w:sz w:val="24"/>
          <w:szCs w:val="24"/>
        </w:rPr>
        <w:t> 2006; </w:t>
      </w:r>
      <w:r w:rsidRPr="00723B55">
        <w:rPr>
          <w:rFonts w:ascii="Book Antiqua" w:eastAsia="SimSun" w:hAnsi="Book Antiqua" w:cs="SimSun"/>
          <w:b/>
          <w:bCs/>
          <w:sz w:val="24"/>
          <w:szCs w:val="24"/>
        </w:rPr>
        <w:t>6</w:t>
      </w:r>
      <w:r w:rsidRPr="00723B55">
        <w:rPr>
          <w:rFonts w:ascii="Book Antiqua" w:eastAsia="SimSun" w:hAnsi="Book Antiqua" w:cs="SimSun"/>
          <w:sz w:val="24"/>
          <w:szCs w:val="24"/>
        </w:rPr>
        <w:t>: 1422-1429 [PMID: 16686766 DOI: 10.1111/j.1600-6143.2006.01333.x]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42 </w:t>
      </w:r>
      <w:r w:rsidRPr="00723B55">
        <w:rPr>
          <w:rFonts w:ascii="Book Antiqua" w:eastAsia="SimSun" w:hAnsi="Book Antiqua" w:cs="SimSun"/>
          <w:b/>
          <w:bCs/>
          <w:sz w:val="24"/>
          <w:szCs w:val="24"/>
        </w:rPr>
        <w:t>Befeler AS</w:t>
      </w:r>
      <w:r w:rsidRPr="00723B55">
        <w:rPr>
          <w:rFonts w:ascii="Book Antiqua" w:eastAsia="SimSun" w:hAnsi="Book Antiqua" w:cs="SimSun"/>
          <w:sz w:val="24"/>
          <w:szCs w:val="24"/>
        </w:rPr>
        <w:t>, Lissoos TW, Schiano TD, Conjeevaram H, Dasgupta KA, Millis JM, Newell KA, Thistlethwaite JR, Baker AL. Clinical course and management of inflammatory bowel disease after liver transplantation. </w:t>
      </w:r>
      <w:r w:rsidRPr="00723B55">
        <w:rPr>
          <w:rFonts w:ascii="Book Antiqua" w:eastAsia="SimSun" w:hAnsi="Book Antiqua" w:cs="SimSun"/>
          <w:i/>
          <w:iCs/>
          <w:sz w:val="24"/>
          <w:szCs w:val="24"/>
        </w:rPr>
        <w:t>Transplantation</w:t>
      </w:r>
      <w:r w:rsidRPr="00723B55">
        <w:rPr>
          <w:rFonts w:ascii="Book Antiqua" w:eastAsia="SimSun" w:hAnsi="Book Antiqua" w:cs="SimSun"/>
          <w:sz w:val="24"/>
          <w:szCs w:val="24"/>
        </w:rPr>
        <w:t> 1998; </w:t>
      </w:r>
      <w:r w:rsidRPr="00723B55">
        <w:rPr>
          <w:rFonts w:ascii="Book Antiqua" w:eastAsia="SimSun" w:hAnsi="Book Antiqua" w:cs="SimSun"/>
          <w:b/>
          <w:bCs/>
          <w:sz w:val="24"/>
          <w:szCs w:val="24"/>
        </w:rPr>
        <w:t>65</w:t>
      </w:r>
      <w:r w:rsidRPr="00723B55">
        <w:rPr>
          <w:rFonts w:ascii="Book Antiqua" w:eastAsia="SimSun" w:hAnsi="Book Antiqua" w:cs="SimSun"/>
          <w:sz w:val="24"/>
          <w:szCs w:val="24"/>
        </w:rPr>
        <w:t>: 393-396 [PMID: 9484758]</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43 </w:t>
      </w:r>
      <w:r w:rsidRPr="00723B55">
        <w:rPr>
          <w:rFonts w:ascii="Book Antiqua" w:eastAsia="SimSun" w:hAnsi="Book Antiqua" w:cs="SimSun"/>
          <w:b/>
          <w:bCs/>
          <w:sz w:val="24"/>
          <w:szCs w:val="24"/>
        </w:rPr>
        <w:t>Haagsma EB</w:t>
      </w:r>
      <w:r w:rsidRPr="00723B55">
        <w:rPr>
          <w:rFonts w:ascii="Book Antiqua" w:eastAsia="SimSun" w:hAnsi="Book Antiqua" w:cs="SimSun"/>
          <w:sz w:val="24"/>
          <w:szCs w:val="24"/>
        </w:rPr>
        <w:t>, Van Den Berg AP, Kleibeuker JH, Slooff MJ, Dijkstra G. Inflammatory bowel disease after liver transplantation: the effect of different immunosuppressive regimens. </w:t>
      </w:r>
      <w:r w:rsidRPr="00723B55">
        <w:rPr>
          <w:rFonts w:ascii="Book Antiqua" w:eastAsia="SimSun" w:hAnsi="Book Antiqua" w:cs="SimSun"/>
          <w:i/>
          <w:iCs/>
          <w:sz w:val="24"/>
          <w:szCs w:val="24"/>
        </w:rPr>
        <w:t>Aliment Pharmacol Ther</w:t>
      </w:r>
      <w:r w:rsidRPr="00723B55">
        <w:rPr>
          <w:rFonts w:ascii="Book Antiqua" w:eastAsia="SimSun" w:hAnsi="Book Antiqua" w:cs="SimSun"/>
          <w:sz w:val="24"/>
          <w:szCs w:val="24"/>
        </w:rPr>
        <w:t> 2003; </w:t>
      </w:r>
      <w:r w:rsidRPr="00723B55">
        <w:rPr>
          <w:rFonts w:ascii="Book Antiqua" w:eastAsia="SimSun" w:hAnsi="Book Antiqua" w:cs="SimSun"/>
          <w:b/>
          <w:bCs/>
          <w:sz w:val="24"/>
          <w:szCs w:val="24"/>
        </w:rPr>
        <w:t>18</w:t>
      </w:r>
      <w:r w:rsidRPr="00723B55">
        <w:rPr>
          <w:rFonts w:ascii="Book Antiqua" w:eastAsia="SimSun" w:hAnsi="Book Antiqua" w:cs="SimSun"/>
          <w:sz w:val="24"/>
          <w:szCs w:val="24"/>
        </w:rPr>
        <w:t>: 33-44 [PMID: 12848624 DOI: 10.1046/j.1365-2036.2003.01613.x]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44 </w:t>
      </w:r>
      <w:r w:rsidRPr="00723B55">
        <w:rPr>
          <w:rFonts w:ascii="Book Antiqua" w:eastAsia="SimSun" w:hAnsi="Book Antiqua" w:cs="SimSun"/>
          <w:b/>
          <w:bCs/>
          <w:sz w:val="24"/>
          <w:szCs w:val="24"/>
        </w:rPr>
        <w:t>Verdonk RC</w:t>
      </w:r>
      <w:r w:rsidRPr="00723B55">
        <w:rPr>
          <w:rFonts w:ascii="Book Antiqua" w:eastAsia="SimSun" w:hAnsi="Book Antiqua" w:cs="SimSun"/>
          <w:sz w:val="24"/>
          <w:szCs w:val="24"/>
        </w:rPr>
        <w:t>, Haagsma EB, Van Den Berg AP, Karrenbeld A, Slooff MJ, Kleibeuker JH, Dijkstra G. Inflammatory bowel disease after liver transplantation: a role for cytomegalovirus infection. </w:t>
      </w:r>
      <w:r w:rsidRPr="00723B55">
        <w:rPr>
          <w:rFonts w:ascii="Book Antiqua" w:eastAsia="SimSun" w:hAnsi="Book Antiqua" w:cs="SimSun"/>
          <w:i/>
          <w:iCs/>
          <w:sz w:val="24"/>
          <w:szCs w:val="24"/>
        </w:rPr>
        <w:t>Scand J Gastroenterol</w:t>
      </w:r>
      <w:r w:rsidRPr="00723B55">
        <w:rPr>
          <w:rFonts w:ascii="Book Antiqua" w:eastAsia="SimSun" w:hAnsi="Book Antiqua" w:cs="SimSun"/>
          <w:sz w:val="24"/>
          <w:szCs w:val="24"/>
        </w:rPr>
        <w:t> 2006; </w:t>
      </w:r>
      <w:r w:rsidRPr="00723B55">
        <w:rPr>
          <w:rFonts w:ascii="Book Antiqua" w:eastAsia="SimSun" w:hAnsi="Book Antiqua" w:cs="SimSun"/>
          <w:b/>
          <w:bCs/>
          <w:sz w:val="24"/>
          <w:szCs w:val="24"/>
        </w:rPr>
        <w:t>41</w:t>
      </w:r>
      <w:r w:rsidRPr="00723B55">
        <w:rPr>
          <w:rFonts w:ascii="Book Antiqua" w:eastAsia="SimSun" w:hAnsi="Book Antiqua" w:cs="SimSun"/>
          <w:sz w:val="24"/>
          <w:szCs w:val="24"/>
        </w:rPr>
        <w:t>: 205-211 [PMID: 16484126 DOI: 10.1080/00365520500206293]</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45</w:t>
      </w:r>
      <w:r>
        <w:rPr>
          <w:rFonts w:ascii="Book Antiqua" w:eastAsia="SimSun" w:hAnsi="Book Antiqua" w:cs="SimSun" w:hint="eastAsia"/>
          <w:sz w:val="24"/>
          <w:szCs w:val="24"/>
        </w:rPr>
        <w:t xml:space="preserve"> </w:t>
      </w:r>
      <w:r w:rsidRPr="00723B55">
        <w:rPr>
          <w:rFonts w:ascii="Book Antiqua" w:eastAsia="SimSun" w:hAnsi="Book Antiqua" w:cs="SimSun"/>
          <w:b/>
          <w:sz w:val="24"/>
          <w:szCs w:val="24"/>
        </w:rPr>
        <w:t xml:space="preserve">European Association for the Study of the Liver. </w:t>
      </w:r>
      <w:r>
        <w:rPr>
          <w:rFonts w:ascii="Book Antiqua" w:eastAsia="SimSun" w:hAnsi="Book Antiqua" w:cs="SimSun" w:hint="eastAsia"/>
          <w:sz w:val="24"/>
          <w:szCs w:val="24"/>
        </w:rPr>
        <w:t xml:space="preserve"> </w:t>
      </w:r>
      <w:r w:rsidRPr="00723B55">
        <w:rPr>
          <w:rFonts w:ascii="Book Antiqua" w:eastAsia="SimSun" w:hAnsi="Book Antiqua" w:cs="SimSun"/>
          <w:sz w:val="24"/>
          <w:szCs w:val="24"/>
        </w:rPr>
        <w:t>EASL Clinical Practice Guidelines: Liver transplantation. </w:t>
      </w:r>
      <w:r w:rsidRPr="00723B55">
        <w:rPr>
          <w:rFonts w:ascii="Book Antiqua" w:eastAsia="SimSun" w:hAnsi="Book Antiqua" w:cs="SimSun"/>
          <w:i/>
          <w:iCs/>
          <w:sz w:val="24"/>
          <w:szCs w:val="24"/>
        </w:rPr>
        <w:t>J Hepatol</w:t>
      </w:r>
      <w:r w:rsidRPr="00723B55">
        <w:rPr>
          <w:rFonts w:ascii="Book Antiqua" w:eastAsia="SimSun" w:hAnsi="Book Antiqua" w:cs="SimSun"/>
          <w:sz w:val="24"/>
          <w:szCs w:val="24"/>
        </w:rPr>
        <w:t> 2016; </w:t>
      </w:r>
      <w:r w:rsidRPr="00723B55">
        <w:rPr>
          <w:rFonts w:ascii="Book Antiqua" w:eastAsia="SimSun" w:hAnsi="Book Antiqua" w:cs="SimSun"/>
          <w:b/>
          <w:bCs/>
          <w:sz w:val="24"/>
          <w:szCs w:val="24"/>
        </w:rPr>
        <w:t>64</w:t>
      </w:r>
      <w:r w:rsidRPr="00723B55">
        <w:rPr>
          <w:rFonts w:ascii="Book Antiqua" w:eastAsia="SimSun" w:hAnsi="Book Antiqua" w:cs="SimSun"/>
          <w:sz w:val="24"/>
          <w:szCs w:val="24"/>
        </w:rPr>
        <w:t xml:space="preserve">: 433-485 [PMID: </w:t>
      </w:r>
      <w:bookmarkStart w:id="25" w:name="OLE_LINK249"/>
      <w:bookmarkStart w:id="26" w:name="OLE_LINK250"/>
      <w:r w:rsidRPr="00723B55">
        <w:rPr>
          <w:rFonts w:ascii="Book Antiqua" w:eastAsia="SimSun" w:hAnsi="Book Antiqua" w:cs="SimSun"/>
          <w:sz w:val="24"/>
          <w:szCs w:val="24"/>
        </w:rPr>
        <w:t xml:space="preserve">26597456 </w:t>
      </w:r>
      <w:bookmarkEnd w:id="25"/>
      <w:bookmarkEnd w:id="26"/>
      <w:r w:rsidRPr="00723B55">
        <w:rPr>
          <w:rFonts w:ascii="Book Antiqua" w:eastAsia="SimSun" w:hAnsi="Book Antiqua" w:cs="SimSun"/>
          <w:sz w:val="24"/>
          <w:szCs w:val="24"/>
        </w:rPr>
        <w:t>DOI: 10.1016/j.jhep.2015.10.006]</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46 </w:t>
      </w:r>
      <w:r w:rsidRPr="00723B55">
        <w:rPr>
          <w:rFonts w:ascii="Book Antiqua" w:eastAsia="SimSun" w:hAnsi="Book Antiqua" w:cs="SimSun"/>
          <w:b/>
          <w:bCs/>
          <w:sz w:val="24"/>
          <w:szCs w:val="24"/>
        </w:rPr>
        <w:t>Gabe SM</w:t>
      </w:r>
      <w:r w:rsidRPr="00723B55">
        <w:rPr>
          <w:rFonts w:ascii="Book Antiqua" w:eastAsia="SimSun" w:hAnsi="Book Antiqua" w:cs="SimSun"/>
          <w:sz w:val="24"/>
          <w:szCs w:val="24"/>
        </w:rPr>
        <w:t>, Bjarnason I, Tolou-Ghamari Z, Tredger JM, Johnson PG, Barclay GR, Williams R, Silk DB. The effect of tacrolimus (FK506) on intestinal barrier function and cellular energy production in humans. </w:t>
      </w:r>
      <w:r w:rsidRPr="00723B55">
        <w:rPr>
          <w:rFonts w:ascii="Book Antiqua" w:eastAsia="SimSun" w:hAnsi="Book Antiqua" w:cs="SimSun"/>
          <w:i/>
          <w:iCs/>
          <w:sz w:val="24"/>
          <w:szCs w:val="24"/>
        </w:rPr>
        <w:t>Gastroenterology</w:t>
      </w:r>
      <w:r w:rsidRPr="00723B55">
        <w:rPr>
          <w:rFonts w:ascii="Book Antiqua" w:eastAsia="SimSun" w:hAnsi="Book Antiqua" w:cs="SimSun"/>
          <w:sz w:val="24"/>
          <w:szCs w:val="24"/>
        </w:rPr>
        <w:t> 1998; </w:t>
      </w:r>
      <w:r w:rsidRPr="00723B55">
        <w:rPr>
          <w:rFonts w:ascii="Book Antiqua" w:eastAsia="SimSun" w:hAnsi="Book Antiqua" w:cs="SimSun"/>
          <w:b/>
          <w:bCs/>
          <w:sz w:val="24"/>
          <w:szCs w:val="24"/>
        </w:rPr>
        <w:t>115</w:t>
      </w:r>
      <w:r w:rsidRPr="00723B55">
        <w:rPr>
          <w:rFonts w:ascii="Book Antiqua" w:eastAsia="SimSun" w:hAnsi="Book Antiqua" w:cs="SimSun"/>
          <w:sz w:val="24"/>
          <w:szCs w:val="24"/>
        </w:rPr>
        <w:t>: 67-74 [PMID: 9649460]</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47 </w:t>
      </w:r>
      <w:r w:rsidRPr="00723B55">
        <w:rPr>
          <w:rFonts w:ascii="Book Antiqua" w:eastAsia="SimSun" w:hAnsi="Book Antiqua" w:cs="SimSun"/>
          <w:b/>
          <w:bCs/>
          <w:sz w:val="24"/>
          <w:szCs w:val="24"/>
        </w:rPr>
        <w:t>Schnitzler F</w:t>
      </w:r>
      <w:r w:rsidRPr="00723B55">
        <w:rPr>
          <w:rFonts w:ascii="Book Antiqua" w:eastAsia="SimSun" w:hAnsi="Book Antiqua" w:cs="SimSun"/>
          <w:sz w:val="24"/>
          <w:szCs w:val="24"/>
        </w:rPr>
        <w:t>, Friedrich M, Stallhofer J, Schönermarck U, Fischereder M, Habicht A, Karbalai N, Wolf C, Angelberger M, Olszak T, Beigel F, Tillack C, Göke B, Zachoval R, Denk G, Guba M, Rust C, Grüner N, Brand S. Solid Organ Transplantation in Patients with Inflammatory Bowel Diseases (IBD): Analysis of Transplantation Outcome and IBD Activity in a Large Single Center Cohort. </w:t>
      </w:r>
      <w:r w:rsidRPr="00723B55">
        <w:rPr>
          <w:rFonts w:ascii="Book Antiqua" w:eastAsia="SimSun" w:hAnsi="Book Antiqua" w:cs="SimSun"/>
          <w:i/>
          <w:iCs/>
          <w:sz w:val="24"/>
          <w:szCs w:val="24"/>
        </w:rPr>
        <w:t>PLoS One</w:t>
      </w:r>
      <w:r w:rsidRPr="00723B55">
        <w:rPr>
          <w:rFonts w:ascii="Book Antiqua" w:eastAsia="SimSun" w:hAnsi="Book Antiqua" w:cs="SimSun"/>
          <w:sz w:val="24"/>
          <w:szCs w:val="24"/>
        </w:rPr>
        <w:t> 2015; </w:t>
      </w:r>
      <w:r w:rsidRPr="00723B55">
        <w:rPr>
          <w:rFonts w:ascii="Book Antiqua" w:eastAsia="SimSun" w:hAnsi="Book Antiqua" w:cs="SimSun"/>
          <w:b/>
          <w:bCs/>
          <w:sz w:val="24"/>
          <w:szCs w:val="24"/>
        </w:rPr>
        <w:t>10</w:t>
      </w:r>
      <w:r w:rsidRPr="00723B55">
        <w:rPr>
          <w:rFonts w:ascii="Book Antiqua" w:eastAsia="SimSun" w:hAnsi="Book Antiqua" w:cs="SimSun"/>
          <w:sz w:val="24"/>
          <w:szCs w:val="24"/>
        </w:rPr>
        <w:t>: e0135807 [PMID: 26288187 DOI: 10.1371/journal.pone.0135807]</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48 </w:t>
      </w:r>
      <w:r w:rsidRPr="00723B55">
        <w:rPr>
          <w:rFonts w:ascii="Book Antiqua" w:eastAsia="SimSun" w:hAnsi="Book Antiqua" w:cs="SimSun"/>
          <w:b/>
          <w:bCs/>
          <w:sz w:val="24"/>
          <w:szCs w:val="24"/>
        </w:rPr>
        <w:t>Navaneethan U</w:t>
      </w:r>
      <w:r w:rsidRPr="00723B55">
        <w:rPr>
          <w:rFonts w:ascii="Book Antiqua" w:eastAsia="SimSun" w:hAnsi="Book Antiqua" w:cs="SimSun"/>
          <w:sz w:val="24"/>
          <w:szCs w:val="24"/>
        </w:rPr>
        <w:t xml:space="preserve">, Choudhary M, Venkatesh PG, Lashner BA, Remzi FH, Shen B, Kiran RP. The effects of liver transplantation on the clinical course of colitis in </w:t>
      </w:r>
      <w:r w:rsidRPr="00723B55">
        <w:rPr>
          <w:rFonts w:ascii="Book Antiqua" w:eastAsia="SimSun" w:hAnsi="Book Antiqua" w:cs="SimSun"/>
          <w:sz w:val="24"/>
          <w:szCs w:val="24"/>
        </w:rPr>
        <w:lastRenderedPageBreak/>
        <w:t>ulcerative colitis patients with primary sclerosing cholangitis. </w:t>
      </w:r>
      <w:r w:rsidRPr="00723B55">
        <w:rPr>
          <w:rFonts w:ascii="Book Antiqua" w:eastAsia="SimSun" w:hAnsi="Book Antiqua" w:cs="SimSun"/>
          <w:i/>
          <w:iCs/>
          <w:sz w:val="24"/>
          <w:szCs w:val="24"/>
        </w:rPr>
        <w:t>Aliment Pharmacol Ther</w:t>
      </w:r>
      <w:r w:rsidRPr="00723B55">
        <w:rPr>
          <w:rFonts w:ascii="Book Antiqua" w:eastAsia="SimSun" w:hAnsi="Book Antiqua" w:cs="SimSun"/>
          <w:sz w:val="24"/>
          <w:szCs w:val="24"/>
        </w:rPr>
        <w:t> 2012; </w:t>
      </w:r>
      <w:r w:rsidRPr="00723B55">
        <w:rPr>
          <w:rFonts w:ascii="Book Antiqua" w:eastAsia="SimSun" w:hAnsi="Book Antiqua" w:cs="SimSun"/>
          <w:b/>
          <w:bCs/>
          <w:sz w:val="24"/>
          <w:szCs w:val="24"/>
        </w:rPr>
        <w:t>35</w:t>
      </w:r>
      <w:r w:rsidRPr="00723B55">
        <w:rPr>
          <w:rFonts w:ascii="Book Antiqua" w:eastAsia="SimSun" w:hAnsi="Book Antiqua" w:cs="SimSun"/>
          <w:sz w:val="24"/>
          <w:szCs w:val="24"/>
        </w:rPr>
        <w:t>: 1054-1063 [PMID: 22428731 DOI: 10.1111/j.1365-2036.2012.05067.x]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49 </w:t>
      </w:r>
      <w:r w:rsidRPr="00723B55">
        <w:rPr>
          <w:rFonts w:ascii="Book Antiqua" w:eastAsia="SimSun" w:hAnsi="Book Antiqua" w:cs="SimSun"/>
          <w:b/>
          <w:bCs/>
          <w:sz w:val="24"/>
          <w:szCs w:val="24"/>
        </w:rPr>
        <w:t>Dignass A</w:t>
      </w:r>
      <w:r w:rsidRPr="00723B55">
        <w:rPr>
          <w:rFonts w:ascii="Book Antiqua" w:eastAsia="SimSun" w:hAnsi="Book Antiqua" w:cs="SimSun"/>
          <w:sz w:val="24"/>
          <w:szCs w:val="24"/>
        </w:rPr>
        <w:t>, Lindsay JO, Sturm A, Windsor A, Colombel JF, Allez M, D'Haens G, D'Hoore A, Mantzaris G, Novacek G, Oresland T, Reinisch W, Sans M, Stange E, Vermeire S, Travis S, Van Assche G. Second European evidence-based consensus on the diagnosis and management of ulcerative colitis part 2: current management. </w:t>
      </w:r>
      <w:r w:rsidRPr="00723B55">
        <w:rPr>
          <w:rFonts w:ascii="Book Antiqua" w:eastAsia="SimSun" w:hAnsi="Book Antiqua" w:cs="SimSun"/>
          <w:i/>
          <w:iCs/>
          <w:sz w:val="24"/>
          <w:szCs w:val="24"/>
        </w:rPr>
        <w:t>J Crohns Colitis</w:t>
      </w:r>
      <w:r w:rsidRPr="00723B55">
        <w:rPr>
          <w:rFonts w:ascii="Book Antiqua" w:eastAsia="SimSun" w:hAnsi="Book Antiqua" w:cs="SimSun"/>
          <w:sz w:val="24"/>
          <w:szCs w:val="24"/>
        </w:rPr>
        <w:t> 2012; </w:t>
      </w:r>
      <w:r w:rsidRPr="00723B55">
        <w:rPr>
          <w:rFonts w:ascii="Book Antiqua" w:eastAsia="SimSun" w:hAnsi="Book Antiqua" w:cs="SimSun"/>
          <w:b/>
          <w:bCs/>
          <w:sz w:val="24"/>
          <w:szCs w:val="24"/>
        </w:rPr>
        <w:t>6</w:t>
      </w:r>
      <w:r w:rsidRPr="00723B55">
        <w:rPr>
          <w:rFonts w:ascii="Book Antiqua" w:eastAsia="SimSun" w:hAnsi="Book Antiqua" w:cs="SimSun"/>
          <w:sz w:val="24"/>
          <w:szCs w:val="24"/>
        </w:rPr>
        <w:t>: 991-1030 [PMID: 23040451 DOI: 10.1016/j.crohns.2012.09.002]</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50 </w:t>
      </w:r>
      <w:r w:rsidRPr="00723B55">
        <w:rPr>
          <w:rFonts w:ascii="Book Antiqua" w:eastAsia="SimSun" w:hAnsi="Book Antiqua" w:cs="SimSun"/>
          <w:b/>
          <w:bCs/>
          <w:sz w:val="24"/>
          <w:szCs w:val="24"/>
        </w:rPr>
        <w:t>Cholongitas E</w:t>
      </w:r>
      <w:r w:rsidRPr="00723B55">
        <w:rPr>
          <w:rFonts w:ascii="Book Antiqua" w:eastAsia="SimSun" w:hAnsi="Book Antiqua" w:cs="SimSun"/>
          <w:sz w:val="24"/>
          <w:szCs w:val="24"/>
        </w:rPr>
        <w:t>, Shusang V, Papatheodoridis GV, Marelli L, Manousou P, Rolando N, Patch D, Rolles K, Davidson B, Burroughs AK. Risk factors for recurrence of primary sclerosing cholangitis after liver transplantation. </w:t>
      </w:r>
      <w:r w:rsidRPr="00723B55">
        <w:rPr>
          <w:rFonts w:ascii="Book Antiqua" w:eastAsia="SimSun" w:hAnsi="Book Antiqua" w:cs="SimSun"/>
          <w:i/>
          <w:iCs/>
          <w:sz w:val="24"/>
          <w:szCs w:val="24"/>
        </w:rPr>
        <w:t>Liver Transpl</w:t>
      </w:r>
      <w:r w:rsidRPr="00723B55">
        <w:rPr>
          <w:rFonts w:ascii="Book Antiqua" w:eastAsia="SimSun" w:hAnsi="Book Antiqua" w:cs="SimSun"/>
          <w:sz w:val="24"/>
          <w:szCs w:val="24"/>
        </w:rPr>
        <w:t> 2008; </w:t>
      </w:r>
      <w:r w:rsidRPr="00723B55">
        <w:rPr>
          <w:rFonts w:ascii="Book Antiqua" w:eastAsia="SimSun" w:hAnsi="Book Antiqua" w:cs="SimSun"/>
          <w:b/>
          <w:bCs/>
          <w:sz w:val="24"/>
          <w:szCs w:val="24"/>
        </w:rPr>
        <w:t>14</w:t>
      </w:r>
      <w:r w:rsidRPr="00723B55">
        <w:rPr>
          <w:rFonts w:ascii="Book Antiqua" w:eastAsia="SimSun" w:hAnsi="Book Antiqua" w:cs="SimSun"/>
          <w:sz w:val="24"/>
          <w:szCs w:val="24"/>
        </w:rPr>
        <w:t>: 138-143 [PMID: 18236447 DOI: 10.1002/lt.21260]</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51 </w:t>
      </w:r>
      <w:r w:rsidRPr="00723B55">
        <w:rPr>
          <w:rFonts w:ascii="Book Antiqua" w:eastAsia="SimSun" w:hAnsi="Book Antiqua" w:cs="SimSun"/>
          <w:b/>
          <w:bCs/>
          <w:sz w:val="24"/>
          <w:szCs w:val="24"/>
        </w:rPr>
        <w:t>Fellermann K</w:t>
      </w:r>
      <w:r w:rsidRPr="00723B55">
        <w:rPr>
          <w:rFonts w:ascii="Book Antiqua" w:eastAsia="SimSun" w:hAnsi="Book Antiqua" w:cs="SimSun"/>
          <w:sz w:val="24"/>
          <w:szCs w:val="24"/>
        </w:rPr>
        <w:t>, Steffen M, Stein J, Raedler A, Hämling J, Ludwig D, Loeschke K, Stange EF. Mycophenolate mofetil: lack of efficacy in chronic active inflammatory bowel disease. </w:t>
      </w:r>
      <w:r w:rsidRPr="00723B55">
        <w:rPr>
          <w:rFonts w:ascii="Book Antiqua" w:eastAsia="SimSun" w:hAnsi="Book Antiqua" w:cs="SimSun"/>
          <w:i/>
          <w:iCs/>
          <w:sz w:val="24"/>
          <w:szCs w:val="24"/>
        </w:rPr>
        <w:t>Aliment Pharmacol Ther</w:t>
      </w:r>
      <w:r w:rsidRPr="00723B55">
        <w:rPr>
          <w:rFonts w:ascii="Book Antiqua" w:eastAsia="SimSun" w:hAnsi="Book Antiqua" w:cs="SimSun"/>
          <w:sz w:val="24"/>
          <w:szCs w:val="24"/>
        </w:rPr>
        <w:t> 2000; </w:t>
      </w:r>
      <w:r w:rsidRPr="00723B55">
        <w:rPr>
          <w:rFonts w:ascii="Book Antiqua" w:eastAsia="SimSun" w:hAnsi="Book Antiqua" w:cs="SimSun"/>
          <w:b/>
          <w:bCs/>
          <w:sz w:val="24"/>
          <w:szCs w:val="24"/>
        </w:rPr>
        <w:t>14</w:t>
      </w:r>
      <w:r w:rsidRPr="00723B55">
        <w:rPr>
          <w:rFonts w:ascii="Book Antiqua" w:eastAsia="SimSun" w:hAnsi="Book Antiqua" w:cs="SimSun"/>
          <w:sz w:val="24"/>
          <w:szCs w:val="24"/>
        </w:rPr>
        <w:t>: 171-176 [PMID: 10651657 DOI: 10.1046/j.1365-2036.2000.00695.x]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52 </w:t>
      </w:r>
      <w:r w:rsidRPr="00723B55">
        <w:rPr>
          <w:rFonts w:ascii="Book Antiqua" w:eastAsia="SimSun" w:hAnsi="Book Antiqua" w:cs="SimSun"/>
          <w:b/>
          <w:bCs/>
          <w:sz w:val="24"/>
          <w:szCs w:val="24"/>
        </w:rPr>
        <w:t>Wiesner R</w:t>
      </w:r>
      <w:r w:rsidRPr="00723B55">
        <w:rPr>
          <w:rFonts w:ascii="Book Antiqua" w:eastAsia="SimSun" w:hAnsi="Book Antiqua" w:cs="SimSun"/>
          <w:sz w:val="24"/>
          <w:szCs w:val="24"/>
        </w:rPr>
        <w:t>, Rabkin J, Klintmalm G, McDiarmid S, Langnas A, Punch J, McMaster P, Kalayoglu M, Levy G, Freeman R, Bismuth H, Neuhaus P, Mamelok R, Wang W. A randomized double-blind comparative study of mycophenolate mofetil and azathioprine in combination with cyclosporine and corticosteroids in primary liver transplant recipients. </w:t>
      </w:r>
      <w:r w:rsidRPr="00723B55">
        <w:rPr>
          <w:rFonts w:ascii="Book Antiqua" w:eastAsia="SimSun" w:hAnsi="Book Antiqua" w:cs="SimSun"/>
          <w:i/>
          <w:iCs/>
          <w:sz w:val="24"/>
          <w:szCs w:val="24"/>
        </w:rPr>
        <w:t>Liver Transpl</w:t>
      </w:r>
      <w:r w:rsidRPr="00723B55">
        <w:rPr>
          <w:rFonts w:ascii="Book Antiqua" w:eastAsia="SimSun" w:hAnsi="Book Antiqua" w:cs="SimSun"/>
          <w:sz w:val="24"/>
          <w:szCs w:val="24"/>
        </w:rPr>
        <w:t> 2001; </w:t>
      </w:r>
      <w:r w:rsidRPr="00723B55">
        <w:rPr>
          <w:rFonts w:ascii="Book Antiqua" w:eastAsia="SimSun" w:hAnsi="Book Antiqua" w:cs="SimSun"/>
          <w:b/>
          <w:bCs/>
          <w:sz w:val="24"/>
          <w:szCs w:val="24"/>
        </w:rPr>
        <w:t>7</w:t>
      </w:r>
      <w:r w:rsidRPr="00723B55">
        <w:rPr>
          <w:rFonts w:ascii="Book Antiqua" w:eastAsia="SimSun" w:hAnsi="Book Antiqua" w:cs="SimSun"/>
          <w:sz w:val="24"/>
          <w:szCs w:val="24"/>
        </w:rPr>
        <w:t>: 442-450 [PMID: 11349266 DOI: 10.1053/jlts.2001.23356]</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53 </w:t>
      </w:r>
      <w:r w:rsidRPr="00723B55">
        <w:rPr>
          <w:rFonts w:ascii="Book Antiqua" w:eastAsia="SimSun" w:hAnsi="Book Antiqua" w:cs="SimSun"/>
          <w:b/>
          <w:bCs/>
          <w:sz w:val="24"/>
          <w:szCs w:val="24"/>
        </w:rPr>
        <w:t>Sterneck M</w:t>
      </w:r>
      <w:r w:rsidRPr="00723B55">
        <w:rPr>
          <w:rFonts w:ascii="Book Antiqua" w:eastAsia="SimSun" w:hAnsi="Book Antiqua" w:cs="SimSun"/>
          <w:sz w:val="24"/>
          <w:szCs w:val="24"/>
        </w:rPr>
        <w:t>, Fischer L, Gahlemann C, Gundlach M, Rogiers X, Broelsch C. Mycophenolate mofetil for prevention of liver allograft rejection: initial results of a controlled clinical trial. </w:t>
      </w:r>
      <w:r w:rsidRPr="00723B55">
        <w:rPr>
          <w:rFonts w:ascii="Book Antiqua" w:eastAsia="SimSun" w:hAnsi="Book Antiqua" w:cs="SimSun"/>
          <w:i/>
          <w:iCs/>
          <w:sz w:val="24"/>
          <w:szCs w:val="24"/>
        </w:rPr>
        <w:t>Ann Transplant</w:t>
      </w:r>
      <w:r w:rsidRPr="00723B55">
        <w:rPr>
          <w:rFonts w:ascii="Book Antiqua" w:eastAsia="SimSun" w:hAnsi="Book Antiqua" w:cs="SimSun"/>
          <w:sz w:val="24"/>
          <w:szCs w:val="24"/>
        </w:rPr>
        <w:t> 2000; </w:t>
      </w:r>
      <w:r w:rsidRPr="00723B55">
        <w:rPr>
          <w:rFonts w:ascii="Book Antiqua" w:eastAsia="SimSun" w:hAnsi="Book Antiqua" w:cs="SimSun"/>
          <w:b/>
          <w:bCs/>
          <w:sz w:val="24"/>
          <w:szCs w:val="24"/>
        </w:rPr>
        <w:t>5</w:t>
      </w:r>
      <w:r w:rsidRPr="00723B55">
        <w:rPr>
          <w:rFonts w:ascii="Book Antiqua" w:eastAsia="SimSun" w:hAnsi="Book Antiqua" w:cs="SimSun"/>
          <w:sz w:val="24"/>
          <w:szCs w:val="24"/>
        </w:rPr>
        <w:t>: 43-46 [PMID: 10850611]</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54 </w:t>
      </w:r>
      <w:r w:rsidRPr="00723B55">
        <w:rPr>
          <w:rFonts w:ascii="Book Antiqua" w:eastAsia="SimSun" w:hAnsi="Book Antiqua" w:cs="SimSun"/>
          <w:b/>
          <w:bCs/>
          <w:sz w:val="24"/>
          <w:szCs w:val="24"/>
        </w:rPr>
        <w:t>Fischer L</w:t>
      </w:r>
      <w:r w:rsidRPr="00723B55">
        <w:rPr>
          <w:rFonts w:ascii="Book Antiqua" w:eastAsia="SimSun" w:hAnsi="Book Antiqua" w:cs="SimSun"/>
          <w:sz w:val="24"/>
          <w:szCs w:val="24"/>
        </w:rPr>
        <w:t>, Sterneck M, Gahlemann CG, Malago M, Rogiers X, Broelsch CE. A prospective study comparing safety and efficacy of mycophenolate mofetil versus azathioprine in primary liver transplant recipients. </w:t>
      </w:r>
      <w:r w:rsidRPr="00723B55">
        <w:rPr>
          <w:rFonts w:ascii="Book Antiqua" w:eastAsia="SimSun" w:hAnsi="Book Antiqua" w:cs="SimSun"/>
          <w:i/>
          <w:iCs/>
          <w:sz w:val="24"/>
          <w:szCs w:val="24"/>
        </w:rPr>
        <w:t>Transplant Proc</w:t>
      </w:r>
      <w:r w:rsidRPr="00723B55">
        <w:rPr>
          <w:rFonts w:ascii="Book Antiqua" w:eastAsia="SimSun" w:hAnsi="Book Antiqua" w:cs="SimSun"/>
          <w:sz w:val="24"/>
          <w:szCs w:val="24"/>
        </w:rPr>
        <w:t> 2000; </w:t>
      </w:r>
      <w:r w:rsidRPr="00723B55">
        <w:rPr>
          <w:rFonts w:ascii="Book Antiqua" w:eastAsia="SimSun" w:hAnsi="Book Antiqua" w:cs="SimSun"/>
          <w:b/>
          <w:bCs/>
          <w:sz w:val="24"/>
          <w:szCs w:val="24"/>
        </w:rPr>
        <w:t>32</w:t>
      </w:r>
      <w:r w:rsidRPr="00723B55">
        <w:rPr>
          <w:rFonts w:ascii="Book Antiqua" w:eastAsia="SimSun" w:hAnsi="Book Antiqua" w:cs="SimSun"/>
          <w:sz w:val="24"/>
          <w:szCs w:val="24"/>
        </w:rPr>
        <w:t>: 2125-2127 [PMID: 11120098]</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55 </w:t>
      </w:r>
      <w:r w:rsidRPr="00723B55">
        <w:rPr>
          <w:rFonts w:ascii="Book Antiqua" w:eastAsia="SimSun" w:hAnsi="Book Antiqua" w:cs="SimSun"/>
          <w:b/>
          <w:bCs/>
          <w:sz w:val="24"/>
          <w:szCs w:val="24"/>
        </w:rPr>
        <w:t>Reinisch W</w:t>
      </w:r>
      <w:r w:rsidRPr="00723B55">
        <w:rPr>
          <w:rFonts w:ascii="Book Antiqua" w:eastAsia="SimSun" w:hAnsi="Book Antiqua" w:cs="SimSun"/>
          <w:sz w:val="24"/>
          <w:szCs w:val="24"/>
        </w:rPr>
        <w:t xml:space="preserve">, Panés J, Lémann M, Schreiber S, Feagan B, Schmidt S, Sturniolo GC, Mikhailova T, Alexeeva O, Sanna L, Haas T, Korom S, Mayer H. A multicenter, randomized, double-blind trial of everolimus versus azathioprine and placebo to </w:t>
      </w:r>
      <w:r w:rsidRPr="00723B55">
        <w:rPr>
          <w:rFonts w:ascii="Book Antiqua" w:eastAsia="SimSun" w:hAnsi="Book Antiqua" w:cs="SimSun"/>
          <w:sz w:val="24"/>
          <w:szCs w:val="24"/>
        </w:rPr>
        <w:lastRenderedPageBreak/>
        <w:t>maintain steroid-induced remission in patients with moderate-to-severe active Crohn's disease. </w:t>
      </w:r>
      <w:r w:rsidRPr="00723B55">
        <w:rPr>
          <w:rFonts w:ascii="Book Antiqua" w:eastAsia="SimSun" w:hAnsi="Book Antiqua" w:cs="SimSun"/>
          <w:i/>
          <w:iCs/>
          <w:sz w:val="24"/>
          <w:szCs w:val="24"/>
        </w:rPr>
        <w:t>Am J Gastroenterol</w:t>
      </w:r>
      <w:r w:rsidRPr="00723B55">
        <w:rPr>
          <w:rFonts w:ascii="Book Antiqua" w:eastAsia="SimSun" w:hAnsi="Book Antiqua" w:cs="SimSun"/>
          <w:sz w:val="24"/>
          <w:szCs w:val="24"/>
        </w:rPr>
        <w:t> 2008; </w:t>
      </w:r>
      <w:r w:rsidRPr="00723B55">
        <w:rPr>
          <w:rFonts w:ascii="Book Antiqua" w:eastAsia="SimSun" w:hAnsi="Book Antiqua" w:cs="SimSun"/>
          <w:b/>
          <w:bCs/>
          <w:sz w:val="24"/>
          <w:szCs w:val="24"/>
        </w:rPr>
        <w:t>103</w:t>
      </w:r>
      <w:r w:rsidRPr="00723B55">
        <w:rPr>
          <w:rFonts w:ascii="Book Antiqua" w:eastAsia="SimSun" w:hAnsi="Book Antiqua" w:cs="SimSun"/>
          <w:sz w:val="24"/>
          <w:szCs w:val="24"/>
        </w:rPr>
        <w:t>: 2284-2292 [PMID: 18671816 DOI: 10.1111/j.1572-0241.2008.02024.x]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56 </w:t>
      </w:r>
      <w:r w:rsidRPr="00723B55">
        <w:rPr>
          <w:rFonts w:ascii="Book Antiqua" w:eastAsia="SimSun" w:hAnsi="Book Antiqua" w:cs="SimSun"/>
          <w:b/>
          <w:bCs/>
          <w:sz w:val="24"/>
          <w:szCs w:val="24"/>
        </w:rPr>
        <w:t>Ginsburg PM</w:t>
      </w:r>
      <w:r w:rsidRPr="00723B55">
        <w:rPr>
          <w:rFonts w:ascii="Book Antiqua" w:eastAsia="SimSun" w:hAnsi="Book Antiqua" w:cs="SimSun"/>
          <w:sz w:val="24"/>
          <w:szCs w:val="24"/>
        </w:rPr>
        <w:t>, Thuluvath PJ. Diarrhea in liver transplant recipients: etiology and management. </w:t>
      </w:r>
      <w:r w:rsidRPr="00723B55">
        <w:rPr>
          <w:rFonts w:ascii="Book Antiqua" w:eastAsia="SimSun" w:hAnsi="Book Antiqua" w:cs="SimSun"/>
          <w:i/>
          <w:iCs/>
          <w:sz w:val="24"/>
          <w:szCs w:val="24"/>
        </w:rPr>
        <w:t>Liver Transpl</w:t>
      </w:r>
      <w:r w:rsidRPr="00723B55">
        <w:rPr>
          <w:rFonts w:ascii="Book Antiqua" w:eastAsia="SimSun" w:hAnsi="Book Antiqua" w:cs="SimSun"/>
          <w:sz w:val="24"/>
          <w:szCs w:val="24"/>
        </w:rPr>
        <w:t> 2005; </w:t>
      </w:r>
      <w:r w:rsidRPr="00723B55">
        <w:rPr>
          <w:rFonts w:ascii="Book Antiqua" w:eastAsia="SimSun" w:hAnsi="Book Antiqua" w:cs="SimSun"/>
          <w:b/>
          <w:bCs/>
          <w:sz w:val="24"/>
          <w:szCs w:val="24"/>
        </w:rPr>
        <w:t>11</w:t>
      </w:r>
      <w:r w:rsidRPr="00723B55">
        <w:rPr>
          <w:rFonts w:ascii="Book Antiqua" w:eastAsia="SimSun" w:hAnsi="Book Antiqua" w:cs="SimSun"/>
          <w:sz w:val="24"/>
          <w:szCs w:val="24"/>
        </w:rPr>
        <w:t>: 881-890 [PMID: 16035068 DOI: 10.1002/lt.20500]</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57 </w:t>
      </w:r>
      <w:r w:rsidRPr="00723B55">
        <w:rPr>
          <w:rFonts w:ascii="Book Antiqua" w:eastAsia="SimSun" w:hAnsi="Book Antiqua" w:cs="SimSun"/>
          <w:b/>
          <w:bCs/>
          <w:sz w:val="24"/>
          <w:szCs w:val="24"/>
        </w:rPr>
        <w:t>Arslan H</w:t>
      </w:r>
      <w:r w:rsidRPr="00723B55">
        <w:rPr>
          <w:rFonts w:ascii="Book Antiqua" w:eastAsia="SimSun" w:hAnsi="Book Antiqua" w:cs="SimSun"/>
          <w:sz w:val="24"/>
          <w:szCs w:val="24"/>
        </w:rPr>
        <w:t>, Inci EK, Azap OK, Karakayali H, Torgay A, Haberal M. Etiologic agents of diarrhea in solid organ recipients. </w:t>
      </w:r>
      <w:r w:rsidRPr="00723B55">
        <w:rPr>
          <w:rFonts w:ascii="Book Antiqua" w:eastAsia="SimSun" w:hAnsi="Book Antiqua" w:cs="SimSun"/>
          <w:i/>
          <w:iCs/>
          <w:sz w:val="24"/>
          <w:szCs w:val="24"/>
        </w:rPr>
        <w:t>Transpl Infect Dis</w:t>
      </w:r>
      <w:r w:rsidRPr="00723B55">
        <w:rPr>
          <w:rFonts w:ascii="Book Antiqua" w:eastAsia="SimSun" w:hAnsi="Book Antiqua" w:cs="SimSun"/>
          <w:sz w:val="24"/>
          <w:szCs w:val="24"/>
        </w:rPr>
        <w:t> 2007; </w:t>
      </w:r>
      <w:r w:rsidRPr="00723B55">
        <w:rPr>
          <w:rFonts w:ascii="Book Antiqua" w:eastAsia="SimSun" w:hAnsi="Book Antiqua" w:cs="SimSun"/>
          <w:b/>
          <w:bCs/>
          <w:sz w:val="24"/>
          <w:szCs w:val="24"/>
        </w:rPr>
        <w:t>9</w:t>
      </w:r>
      <w:r w:rsidRPr="00723B55">
        <w:rPr>
          <w:rFonts w:ascii="Book Antiqua" w:eastAsia="SimSun" w:hAnsi="Book Antiqua" w:cs="SimSun"/>
          <w:sz w:val="24"/>
          <w:szCs w:val="24"/>
        </w:rPr>
        <w:t>: 270-275 [PMID: 17511817 DOI: 10.1111/j.1399-3062.2007.00237.x]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58 </w:t>
      </w:r>
      <w:r w:rsidRPr="00723B55">
        <w:rPr>
          <w:rFonts w:ascii="Book Antiqua" w:eastAsia="SimSun" w:hAnsi="Book Antiqua" w:cs="SimSun"/>
          <w:b/>
          <w:bCs/>
          <w:sz w:val="24"/>
          <w:szCs w:val="24"/>
        </w:rPr>
        <w:t>Reddy SS</w:t>
      </w:r>
      <w:r w:rsidRPr="00723B55">
        <w:rPr>
          <w:rFonts w:ascii="Book Antiqua" w:eastAsia="SimSun" w:hAnsi="Book Antiqua" w:cs="SimSun"/>
          <w:sz w:val="24"/>
          <w:szCs w:val="24"/>
        </w:rPr>
        <w:t>, Brandt LJ. Clostridium difficile infection and inflammatory bowel disease. </w:t>
      </w:r>
      <w:r w:rsidRPr="00723B55">
        <w:rPr>
          <w:rFonts w:ascii="Book Antiqua" w:eastAsia="SimSun" w:hAnsi="Book Antiqua" w:cs="SimSun"/>
          <w:i/>
          <w:iCs/>
          <w:sz w:val="24"/>
          <w:szCs w:val="24"/>
        </w:rPr>
        <w:t>J Clin Gastroenterol</w:t>
      </w:r>
      <w:r w:rsidRPr="00723B55">
        <w:rPr>
          <w:rFonts w:ascii="Book Antiqua" w:eastAsia="SimSun" w:hAnsi="Book Antiqua" w:cs="SimSun"/>
          <w:sz w:val="24"/>
          <w:szCs w:val="24"/>
        </w:rPr>
        <w:t> 2013; </w:t>
      </w:r>
      <w:r w:rsidRPr="00723B55">
        <w:rPr>
          <w:rFonts w:ascii="Book Antiqua" w:eastAsia="SimSun" w:hAnsi="Book Antiqua" w:cs="SimSun"/>
          <w:b/>
          <w:bCs/>
          <w:sz w:val="24"/>
          <w:szCs w:val="24"/>
        </w:rPr>
        <w:t>47</w:t>
      </w:r>
      <w:r w:rsidRPr="00723B55">
        <w:rPr>
          <w:rFonts w:ascii="Book Antiqua" w:eastAsia="SimSun" w:hAnsi="Book Antiqua" w:cs="SimSun"/>
          <w:sz w:val="24"/>
          <w:szCs w:val="24"/>
        </w:rPr>
        <w:t>: 666-671 [PMID: 23507767 DOI: 10.1097/MCG.0b013e31828b288a]</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59 </w:t>
      </w:r>
      <w:r w:rsidRPr="00723B55">
        <w:rPr>
          <w:rFonts w:ascii="Book Antiqua" w:eastAsia="SimSun" w:hAnsi="Book Antiqua" w:cs="SimSun"/>
          <w:b/>
          <w:bCs/>
          <w:sz w:val="24"/>
          <w:szCs w:val="24"/>
        </w:rPr>
        <w:t>Hampton DD</w:t>
      </w:r>
      <w:r w:rsidRPr="00723B55">
        <w:rPr>
          <w:rFonts w:ascii="Book Antiqua" w:eastAsia="SimSun" w:hAnsi="Book Antiqua" w:cs="SimSun"/>
          <w:sz w:val="24"/>
          <w:szCs w:val="24"/>
        </w:rPr>
        <w:t>, Poleski MH, Onken JE. Inflammatory bowel disease following solid organ transplantation. </w:t>
      </w:r>
      <w:r w:rsidRPr="00723B55">
        <w:rPr>
          <w:rFonts w:ascii="Book Antiqua" w:eastAsia="SimSun" w:hAnsi="Book Antiqua" w:cs="SimSun"/>
          <w:i/>
          <w:iCs/>
          <w:sz w:val="24"/>
          <w:szCs w:val="24"/>
        </w:rPr>
        <w:t>Clin Immunol</w:t>
      </w:r>
      <w:r w:rsidRPr="00723B55">
        <w:rPr>
          <w:rFonts w:ascii="Book Antiqua" w:eastAsia="SimSun" w:hAnsi="Book Antiqua" w:cs="SimSun"/>
          <w:sz w:val="24"/>
          <w:szCs w:val="24"/>
        </w:rPr>
        <w:t> 2008; </w:t>
      </w:r>
      <w:r w:rsidRPr="00723B55">
        <w:rPr>
          <w:rFonts w:ascii="Book Antiqua" w:eastAsia="SimSun" w:hAnsi="Book Antiqua" w:cs="SimSun"/>
          <w:b/>
          <w:bCs/>
          <w:sz w:val="24"/>
          <w:szCs w:val="24"/>
        </w:rPr>
        <w:t>128</w:t>
      </w:r>
      <w:r w:rsidRPr="00723B55">
        <w:rPr>
          <w:rFonts w:ascii="Book Antiqua" w:eastAsia="SimSun" w:hAnsi="Book Antiqua" w:cs="SimSun"/>
          <w:sz w:val="24"/>
          <w:szCs w:val="24"/>
        </w:rPr>
        <w:t>: 287-293 [PMID: 18708022 DOI: 10.1016/j.clim.2008.06.011]</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60 </w:t>
      </w:r>
      <w:r w:rsidRPr="00723B55">
        <w:rPr>
          <w:rFonts w:ascii="Book Antiqua" w:eastAsia="SimSun" w:hAnsi="Book Antiqua" w:cs="SimSun"/>
          <w:b/>
          <w:bCs/>
          <w:sz w:val="24"/>
          <w:szCs w:val="24"/>
        </w:rPr>
        <w:t>Jain A</w:t>
      </w:r>
      <w:r w:rsidRPr="00723B55">
        <w:rPr>
          <w:rFonts w:ascii="Book Antiqua" w:eastAsia="SimSun" w:hAnsi="Book Antiqua" w:cs="SimSun"/>
          <w:sz w:val="24"/>
          <w:szCs w:val="24"/>
        </w:rPr>
        <w:t>, Demetris AJ, Kashyap R, Blakomer K, Ruppert K, Khan A, Rohal S, Starzl TE, Fung JJ. Does tacrolimus offer virtual freedom from chronic rejection after primary liver transplantation? Risk and prognostic factors in 1,048 liver transplantations with a mean follow-up of 6 years. </w:t>
      </w:r>
      <w:r w:rsidRPr="00723B55">
        <w:rPr>
          <w:rFonts w:ascii="Book Antiqua" w:eastAsia="SimSun" w:hAnsi="Book Antiqua" w:cs="SimSun"/>
          <w:i/>
          <w:iCs/>
          <w:sz w:val="24"/>
          <w:szCs w:val="24"/>
        </w:rPr>
        <w:t>Liver Transpl</w:t>
      </w:r>
      <w:r w:rsidRPr="00723B55">
        <w:rPr>
          <w:rFonts w:ascii="Book Antiqua" w:eastAsia="SimSun" w:hAnsi="Book Antiqua" w:cs="SimSun"/>
          <w:sz w:val="24"/>
          <w:szCs w:val="24"/>
        </w:rPr>
        <w:t> 2001; </w:t>
      </w:r>
      <w:r w:rsidRPr="00723B55">
        <w:rPr>
          <w:rFonts w:ascii="Book Antiqua" w:eastAsia="SimSun" w:hAnsi="Book Antiqua" w:cs="SimSun"/>
          <w:b/>
          <w:bCs/>
          <w:sz w:val="24"/>
          <w:szCs w:val="24"/>
        </w:rPr>
        <w:t>7</w:t>
      </w:r>
      <w:r w:rsidRPr="00723B55">
        <w:rPr>
          <w:rFonts w:ascii="Book Antiqua" w:eastAsia="SimSun" w:hAnsi="Book Antiqua" w:cs="SimSun"/>
          <w:sz w:val="24"/>
          <w:szCs w:val="24"/>
        </w:rPr>
        <w:t>: 623-630 [PMID: 11460230 DOI: 01.1053/jlts.2001.25364]</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61 </w:t>
      </w:r>
      <w:r w:rsidRPr="00723B55">
        <w:rPr>
          <w:rFonts w:ascii="Book Antiqua" w:eastAsia="SimSun" w:hAnsi="Book Antiqua" w:cs="SimSun"/>
          <w:b/>
          <w:bCs/>
          <w:sz w:val="24"/>
          <w:szCs w:val="24"/>
        </w:rPr>
        <w:t>Lowry PW</w:t>
      </w:r>
      <w:r w:rsidRPr="00723B55">
        <w:rPr>
          <w:rFonts w:ascii="Book Antiqua" w:eastAsia="SimSun" w:hAnsi="Book Antiqua" w:cs="SimSun"/>
          <w:sz w:val="24"/>
          <w:szCs w:val="24"/>
        </w:rPr>
        <w:t>, Franklin CL, Weaver AL, Szumlanski CL, Mays DC, Loftus EV, Tremaine WJ, Lipsky JJ, Weinshilboum RM, Sandborn WJ. Leucopenia resulting from a drug interaction between azathioprine or 6-mercaptopurine and mesalamine, sulphasalazine, or balsalazide. </w:t>
      </w:r>
      <w:r w:rsidRPr="00723B55">
        <w:rPr>
          <w:rFonts w:ascii="Book Antiqua" w:eastAsia="SimSun" w:hAnsi="Book Antiqua" w:cs="SimSun"/>
          <w:i/>
          <w:iCs/>
          <w:sz w:val="24"/>
          <w:szCs w:val="24"/>
        </w:rPr>
        <w:t>Gut</w:t>
      </w:r>
      <w:r w:rsidRPr="00723B55">
        <w:rPr>
          <w:rFonts w:ascii="Book Antiqua" w:eastAsia="SimSun" w:hAnsi="Book Antiqua" w:cs="SimSun"/>
          <w:sz w:val="24"/>
          <w:szCs w:val="24"/>
        </w:rPr>
        <w:t> 2001; </w:t>
      </w:r>
      <w:r w:rsidRPr="00723B55">
        <w:rPr>
          <w:rFonts w:ascii="Book Antiqua" w:eastAsia="SimSun" w:hAnsi="Book Antiqua" w:cs="SimSun"/>
          <w:b/>
          <w:bCs/>
          <w:sz w:val="24"/>
          <w:szCs w:val="24"/>
        </w:rPr>
        <w:t>49</w:t>
      </w:r>
      <w:r w:rsidRPr="00723B55">
        <w:rPr>
          <w:rFonts w:ascii="Book Antiqua" w:eastAsia="SimSun" w:hAnsi="Book Antiqua" w:cs="SimSun"/>
          <w:sz w:val="24"/>
          <w:szCs w:val="24"/>
        </w:rPr>
        <w:t>: 656-664 [PMID: 11600468]</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62 </w:t>
      </w:r>
      <w:r w:rsidRPr="00723B55">
        <w:rPr>
          <w:rFonts w:ascii="Book Antiqua" w:eastAsia="SimSun" w:hAnsi="Book Antiqua" w:cs="SimSun"/>
          <w:b/>
          <w:bCs/>
          <w:sz w:val="24"/>
          <w:szCs w:val="24"/>
        </w:rPr>
        <w:t>Barritt AS</w:t>
      </w:r>
      <w:r w:rsidRPr="00723B55">
        <w:rPr>
          <w:rFonts w:ascii="Book Antiqua" w:eastAsia="SimSun" w:hAnsi="Book Antiqua" w:cs="SimSun"/>
          <w:sz w:val="24"/>
          <w:szCs w:val="24"/>
        </w:rPr>
        <w:t>, Zacks SL, Rubinas TC, Herfarth HH. Oral budesonide for the therapy of post-liver transplant de novo inflammatory bowel disease: a case series and systematic review of the literature. </w:t>
      </w:r>
      <w:r w:rsidRPr="00723B55">
        <w:rPr>
          <w:rFonts w:ascii="Book Antiqua" w:eastAsia="SimSun" w:hAnsi="Book Antiqua" w:cs="SimSun"/>
          <w:i/>
          <w:iCs/>
          <w:sz w:val="24"/>
          <w:szCs w:val="24"/>
        </w:rPr>
        <w:t>Inflamm Bowel Dis</w:t>
      </w:r>
      <w:r w:rsidRPr="00723B55">
        <w:rPr>
          <w:rFonts w:ascii="Book Antiqua" w:eastAsia="SimSun" w:hAnsi="Book Antiqua" w:cs="SimSun"/>
          <w:sz w:val="24"/>
          <w:szCs w:val="24"/>
        </w:rPr>
        <w:t> 2008; </w:t>
      </w:r>
      <w:r w:rsidRPr="00723B55">
        <w:rPr>
          <w:rFonts w:ascii="Book Antiqua" w:eastAsia="SimSun" w:hAnsi="Book Antiqua" w:cs="SimSun"/>
          <w:b/>
          <w:bCs/>
          <w:sz w:val="24"/>
          <w:szCs w:val="24"/>
        </w:rPr>
        <w:t>14</w:t>
      </w:r>
      <w:r w:rsidRPr="00723B55">
        <w:rPr>
          <w:rFonts w:ascii="Book Antiqua" w:eastAsia="SimSun" w:hAnsi="Book Antiqua" w:cs="SimSun"/>
          <w:sz w:val="24"/>
          <w:szCs w:val="24"/>
        </w:rPr>
        <w:t>: 1695-1700 [PMID: 18618676 DOI: 10.1002/ibd.20528]</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63 </w:t>
      </w:r>
      <w:r w:rsidRPr="00723B55">
        <w:rPr>
          <w:rFonts w:ascii="Book Antiqua" w:eastAsia="SimSun" w:hAnsi="Book Antiqua" w:cs="SimSun"/>
          <w:b/>
          <w:bCs/>
          <w:sz w:val="24"/>
          <w:szCs w:val="24"/>
        </w:rPr>
        <w:t>Indriolo A</w:t>
      </w:r>
      <w:r w:rsidRPr="00723B55">
        <w:rPr>
          <w:rFonts w:ascii="Book Antiqua" w:eastAsia="SimSun" w:hAnsi="Book Antiqua" w:cs="SimSun"/>
          <w:sz w:val="24"/>
          <w:szCs w:val="24"/>
        </w:rPr>
        <w:t>, Ravelli P. Clinical management of inflammatory bowel disease in the organ recipient. </w:t>
      </w:r>
      <w:r w:rsidRPr="00723B55">
        <w:rPr>
          <w:rFonts w:ascii="Book Antiqua" w:eastAsia="SimSun" w:hAnsi="Book Antiqua" w:cs="SimSun"/>
          <w:i/>
          <w:iCs/>
          <w:sz w:val="24"/>
          <w:szCs w:val="24"/>
        </w:rPr>
        <w:t>World J Gastroenterol</w:t>
      </w:r>
      <w:r w:rsidRPr="00723B55">
        <w:rPr>
          <w:rFonts w:ascii="Book Antiqua" w:eastAsia="SimSun" w:hAnsi="Book Antiqua" w:cs="SimSun"/>
          <w:sz w:val="24"/>
          <w:szCs w:val="24"/>
        </w:rPr>
        <w:t> 2014; </w:t>
      </w:r>
      <w:r w:rsidRPr="00723B55">
        <w:rPr>
          <w:rFonts w:ascii="Book Antiqua" w:eastAsia="SimSun" w:hAnsi="Book Antiqua" w:cs="SimSun"/>
          <w:b/>
          <w:bCs/>
          <w:sz w:val="24"/>
          <w:szCs w:val="24"/>
        </w:rPr>
        <w:t>20</w:t>
      </w:r>
      <w:r w:rsidRPr="00723B55">
        <w:rPr>
          <w:rFonts w:ascii="Book Antiqua" w:eastAsia="SimSun" w:hAnsi="Book Antiqua" w:cs="SimSun"/>
          <w:sz w:val="24"/>
          <w:szCs w:val="24"/>
        </w:rPr>
        <w:t>: 3525-3533 [PMID: 24707135 DOI: 10.3748/wjg.v20.i13.3525]</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lastRenderedPageBreak/>
        <w:t>64 </w:t>
      </w:r>
      <w:r w:rsidRPr="00723B55">
        <w:rPr>
          <w:rFonts w:ascii="Book Antiqua" w:eastAsia="SimSun" w:hAnsi="Book Antiqua" w:cs="SimSun"/>
          <w:b/>
          <w:bCs/>
          <w:sz w:val="24"/>
          <w:szCs w:val="24"/>
        </w:rPr>
        <w:t>Khosa K</w:t>
      </w:r>
      <w:r w:rsidRPr="00723B55">
        <w:rPr>
          <w:rFonts w:ascii="Book Antiqua" w:eastAsia="SimSun" w:hAnsi="Book Antiqua" w:cs="SimSun"/>
          <w:sz w:val="24"/>
          <w:szCs w:val="24"/>
        </w:rPr>
        <w:t>, Clarke K. Management of ulcerative colitis pre- and post-liver transplant for primary sclerosing cholangitis: two case reports and review of literature. </w:t>
      </w:r>
      <w:r w:rsidRPr="00723B55">
        <w:rPr>
          <w:rFonts w:ascii="Book Antiqua" w:eastAsia="SimSun" w:hAnsi="Book Antiqua" w:cs="SimSun"/>
          <w:i/>
          <w:iCs/>
          <w:sz w:val="24"/>
          <w:szCs w:val="24"/>
        </w:rPr>
        <w:t>Int J Colorectal Dis</w:t>
      </w:r>
      <w:r w:rsidRPr="00723B55">
        <w:rPr>
          <w:rFonts w:ascii="Book Antiqua" w:eastAsia="SimSun" w:hAnsi="Book Antiqua" w:cs="SimSun"/>
          <w:sz w:val="24"/>
          <w:szCs w:val="24"/>
        </w:rPr>
        <w:t> 2014; </w:t>
      </w:r>
      <w:r w:rsidRPr="00723B55">
        <w:rPr>
          <w:rFonts w:ascii="Book Antiqua" w:eastAsia="SimSun" w:hAnsi="Book Antiqua" w:cs="SimSun"/>
          <w:b/>
          <w:bCs/>
          <w:sz w:val="24"/>
          <w:szCs w:val="24"/>
        </w:rPr>
        <w:t>29</w:t>
      </w:r>
      <w:r w:rsidRPr="00723B55">
        <w:rPr>
          <w:rFonts w:ascii="Book Antiqua" w:eastAsia="SimSun" w:hAnsi="Book Antiqua" w:cs="SimSun"/>
          <w:sz w:val="24"/>
          <w:szCs w:val="24"/>
        </w:rPr>
        <w:t>: 1313-1320 [PMID: 24990353 DOI: 10.1007/s00384-014-1945-4]</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65 </w:t>
      </w:r>
      <w:r w:rsidRPr="00723B55">
        <w:rPr>
          <w:rFonts w:ascii="Book Antiqua" w:eastAsia="SimSun" w:hAnsi="Book Antiqua" w:cs="SimSun"/>
          <w:b/>
          <w:bCs/>
          <w:sz w:val="24"/>
          <w:szCs w:val="24"/>
        </w:rPr>
        <w:t>Zins BJ</w:t>
      </w:r>
      <w:r w:rsidRPr="00723B55">
        <w:rPr>
          <w:rFonts w:ascii="Book Antiqua" w:eastAsia="SimSun" w:hAnsi="Book Antiqua" w:cs="SimSun"/>
          <w:sz w:val="24"/>
          <w:szCs w:val="24"/>
        </w:rPr>
        <w:t>, Sandborn WJ, Penna CR, Landers CJ, Targan SR, Tremaine WJ, Wiesner RH, Dozois RR. Pouchitis disease course after orthotopic liver transplantation in patients with primary sclerosing cholangitis and an ileal pouch-anal anastomosis. </w:t>
      </w:r>
      <w:r w:rsidRPr="00723B55">
        <w:rPr>
          <w:rFonts w:ascii="Book Antiqua" w:eastAsia="SimSun" w:hAnsi="Book Antiqua" w:cs="SimSun"/>
          <w:i/>
          <w:iCs/>
          <w:sz w:val="24"/>
          <w:szCs w:val="24"/>
        </w:rPr>
        <w:t>Am J Gastroenterol</w:t>
      </w:r>
      <w:r w:rsidRPr="00723B55">
        <w:rPr>
          <w:rFonts w:ascii="Book Antiqua" w:eastAsia="SimSun" w:hAnsi="Book Antiqua" w:cs="SimSun"/>
          <w:sz w:val="24"/>
          <w:szCs w:val="24"/>
        </w:rPr>
        <w:t> 1995; </w:t>
      </w:r>
      <w:r w:rsidRPr="00723B55">
        <w:rPr>
          <w:rFonts w:ascii="Book Antiqua" w:eastAsia="SimSun" w:hAnsi="Book Antiqua" w:cs="SimSun"/>
          <w:b/>
          <w:bCs/>
          <w:sz w:val="24"/>
          <w:szCs w:val="24"/>
        </w:rPr>
        <w:t>90</w:t>
      </w:r>
      <w:r w:rsidRPr="00723B55">
        <w:rPr>
          <w:rFonts w:ascii="Book Antiqua" w:eastAsia="SimSun" w:hAnsi="Book Antiqua" w:cs="SimSun"/>
          <w:sz w:val="24"/>
          <w:szCs w:val="24"/>
        </w:rPr>
        <w:t>: 2177-2181 [PMID: 8540511]</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66 </w:t>
      </w:r>
      <w:r w:rsidRPr="00723B55">
        <w:rPr>
          <w:rFonts w:ascii="Book Antiqua" w:eastAsia="SimSun" w:hAnsi="Book Antiqua" w:cs="SimSun"/>
          <w:b/>
          <w:bCs/>
          <w:sz w:val="24"/>
          <w:szCs w:val="24"/>
        </w:rPr>
        <w:t>Freeman K</w:t>
      </w:r>
      <w:r w:rsidRPr="00723B55">
        <w:rPr>
          <w:rFonts w:ascii="Book Antiqua" w:eastAsia="SimSun" w:hAnsi="Book Antiqua" w:cs="SimSun"/>
          <w:sz w:val="24"/>
          <w:szCs w:val="24"/>
        </w:rPr>
        <w:t>, Shao Z, Remzi FH, Lopez R, Fazio VW, Shen B. Impact of orthotopic liver transplant for primary sclerosing cholangitis on chronic antibiotic refractory pouchitis. </w:t>
      </w:r>
      <w:r w:rsidRPr="00723B55">
        <w:rPr>
          <w:rFonts w:ascii="Book Antiqua" w:eastAsia="SimSun" w:hAnsi="Book Antiqua" w:cs="SimSun"/>
          <w:i/>
          <w:iCs/>
          <w:sz w:val="24"/>
          <w:szCs w:val="24"/>
        </w:rPr>
        <w:t>Clin Gastroenterol Hepatol</w:t>
      </w:r>
      <w:r w:rsidRPr="00723B55">
        <w:rPr>
          <w:rFonts w:ascii="Book Antiqua" w:eastAsia="SimSun" w:hAnsi="Book Antiqua" w:cs="SimSun"/>
          <w:sz w:val="24"/>
          <w:szCs w:val="24"/>
        </w:rPr>
        <w:t> 2008; </w:t>
      </w:r>
      <w:r w:rsidRPr="00723B55">
        <w:rPr>
          <w:rFonts w:ascii="Book Antiqua" w:eastAsia="SimSun" w:hAnsi="Book Antiqua" w:cs="SimSun"/>
          <w:b/>
          <w:bCs/>
          <w:sz w:val="24"/>
          <w:szCs w:val="24"/>
        </w:rPr>
        <w:t>6</w:t>
      </w:r>
      <w:r w:rsidRPr="00723B55">
        <w:rPr>
          <w:rFonts w:ascii="Book Antiqua" w:eastAsia="SimSun" w:hAnsi="Book Antiqua" w:cs="SimSun"/>
          <w:sz w:val="24"/>
          <w:szCs w:val="24"/>
        </w:rPr>
        <w:t>: 62-68 [PMID: 18065274 DOI: 10.1016/j.cgh.2007.09.018]</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67 </w:t>
      </w:r>
      <w:r w:rsidRPr="00723B55">
        <w:rPr>
          <w:rFonts w:ascii="Book Antiqua" w:eastAsia="SimSun" w:hAnsi="Book Antiqua" w:cs="SimSun"/>
          <w:b/>
          <w:bCs/>
          <w:sz w:val="24"/>
          <w:szCs w:val="24"/>
        </w:rPr>
        <w:t>Alabraba E</w:t>
      </w:r>
      <w:r w:rsidRPr="00723B55">
        <w:rPr>
          <w:rFonts w:ascii="Book Antiqua" w:eastAsia="SimSun" w:hAnsi="Book Antiqua" w:cs="SimSun"/>
          <w:sz w:val="24"/>
          <w:szCs w:val="24"/>
        </w:rPr>
        <w:t>, Nightingale P, Gunson B, Hubscher S, Olliff S, Mirza D, Neuberger J. A re-evaluation of the risk factors for the recurrence of primary sclerosing cholangitis in liver allografts. </w:t>
      </w:r>
      <w:r w:rsidRPr="00723B55">
        <w:rPr>
          <w:rFonts w:ascii="Book Antiqua" w:eastAsia="SimSun" w:hAnsi="Book Antiqua" w:cs="SimSun"/>
          <w:i/>
          <w:iCs/>
          <w:sz w:val="24"/>
          <w:szCs w:val="24"/>
        </w:rPr>
        <w:t>Liver Transpl</w:t>
      </w:r>
      <w:r w:rsidRPr="00723B55">
        <w:rPr>
          <w:rFonts w:ascii="Book Antiqua" w:eastAsia="SimSun" w:hAnsi="Book Antiqua" w:cs="SimSun"/>
          <w:sz w:val="24"/>
          <w:szCs w:val="24"/>
        </w:rPr>
        <w:t> 2009; </w:t>
      </w:r>
      <w:r w:rsidRPr="00723B55">
        <w:rPr>
          <w:rFonts w:ascii="Book Antiqua" w:eastAsia="SimSun" w:hAnsi="Book Antiqua" w:cs="SimSun"/>
          <w:b/>
          <w:bCs/>
          <w:sz w:val="24"/>
          <w:szCs w:val="24"/>
        </w:rPr>
        <w:t>15</w:t>
      </w:r>
      <w:r w:rsidRPr="00723B55">
        <w:rPr>
          <w:rFonts w:ascii="Book Antiqua" w:eastAsia="SimSun" w:hAnsi="Book Antiqua" w:cs="SimSun"/>
          <w:sz w:val="24"/>
          <w:szCs w:val="24"/>
        </w:rPr>
        <w:t>: 330-340 [PMID: 19243003 DOI: 10.1002/lt.21679]</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68 </w:t>
      </w:r>
      <w:r w:rsidRPr="00723B55">
        <w:rPr>
          <w:rFonts w:ascii="Book Antiqua" w:eastAsia="SimSun" w:hAnsi="Book Antiqua" w:cs="SimSun"/>
          <w:b/>
          <w:bCs/>
          <w:sz w:val="24"/>
          <w:szCs w:val="24"/>
        </w:rPr>
        <w:t>Meunier K</w:t>
      </w:r>
      <w:r w:rsidRPr="00723B55">
        <w:rPr>
          <w:rFonts w:ascii="Book Antiqua" w:eastAsia="SimSun" w:hAnsi="Book Antiqua" w:cs="SimSun"/>
          <w:sz w:val="24"/>
          <w:szCs w:val="24"/>
        </w:rPr>
        <w:t>, Mucci S, Quentin V, Azoulay R, Arnaud JP, Hamy A. Colorectal surgery in cirrhotic patients: assessment of operative morbidity and mortality. </w:t>
      </w:r>
      <w:r w:rsidRPr="00723B55">
        <w:rPr>
          <w:rFonts w:ascii="Book Antiqua" w:eastAsia="SimSun" w:hAnsi="Book Antiqua" w:cs="SimSun"/>
          <w:i/>
          <w:iCs/>
          <w:sz w:val="24"/>
          <w:szCs w:val="24"/>
        </w:rPr>
        <w:t>Dis Colon Rectum</w:t>
      </w:r>
      <w:r w:rsidRPr="00723B55">
        <w:rPr>
          <w:rFonts w:ascii="Book Antiqua" w:eastAsia="SimSun" w:hAnsi="Book Antiqua" w:cs="SimSun"/>
          <w:sz w:val="24"/>
          <w:szCs w:val="24"/>
        </w:rPr>
        <w:t> 2008; </w:t>
      </w:r>
      <w:r w:rsidRPr="00723B55">
        <w:rPr>
          <w:rFonts w:ascii="Book Antiqua" w:eastAsia="SimSun" w:hAnsi="Book Antiqua" w:cs="SimSun"/>
          <w:b/>
          <w:bCs/>
          <w:sz w:val="24"/>
          <w:szCs w:val="24"/>
        </w:rPr>
        <w:t>51</w:t>
      </w:r>
      <w:r w:rsidRPr="00723B55">
        <w:rPr>
          <w:rFonts w:ascii="Book Antiqua" w:eastAsia="SimSun" w:hAnsi="Book Antiqua" w:cs="SimSun"/>
          <w:sz w:val="24"/>
          <w:szCs w:val="24"/>
        </w:rPr>
        <w:t>: 1225-1231 [PMID: 18521677 DOI: 10.1007/s10350-008-9336-y]</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69 </w:t>
      </w:r>
      <w:r w:rsidRPr="00723B55">
        <w:rPr>
          <w:rFonts w:ascii="Book Antiqua" w:eastAsia="SimSun" w:hAnsi="Book Antiqua" w:cs="SimSun"/>
          <w:b/>
          <w:bCs/>
          <w:sz w:val="24"/>
          <w:szCs w:val="24"/>
        </w:rPr>
        <w:t>Nguyen GC</w:t>
      </w:r>
      <w:r w:rsidRPr="00723B55">
        <w:rPr>
          <w:rFonts w:ascii="Book Antiqua" w:eastAsia="SimSun" w:hAnsi="Book Antiqua" w:cs="SimSun"/>
          <w:sz w:val="24"/>
          <w:szCs w:val="24"/>
        </w:rPr>
        <w:t>, Correia AJ, Thuluvath PJ. The impact of cirrhosis and portal hypertension on mortality following colorectal surgery: a nationwide, population-based study. </w:t>
      </w:r>
      <w:r w:rsidRPr="00723B55">
        <w:rPr>
          <w:rFonts w:ascii="Book Antiqua" w:eastAsia="SimSun" w:hAnsi="Book Antiqua" w:cs="SimSun"/>
          <w:i/>
          <w:iCs/>
          <w:sz w:val="24"/>
          <w:szCs w:val="24"/>
        </w:rPr>
        <w:t>Dis Colon Rectum</w:t>
      </w:r>
      <w:r w:rsidRPr="00723B55">
        <w:rPr>
          <w:rFonts w:ascii="Book Antiqua" w:eastAsia="SimSun" w:hAnsi="Book Antiqua" w:cs="SimSun"/>
          <w:sz w:val="24"/>
          <w:szCs w:val="24"/>
        </w:rPr>
        <w:t> 2009; </w:t>
      </w:r>
      <w:r w:rsidRPr="00723B55">
        <w:rPr>
          <w:rFonts w:ascii="Book Antiqua" w:eastAsia="SimSun" w:hAnsi="Book Antiqua" w:cs="SimSun"/>
          <w:b/>
          <w:bCs/>
          <w:sz w:val="24"/>
          <w:szCs w:val="24"/>
        </w:rPr>
        <w:t>52</w:t>
      </w:r>
      <w:r w:rsidRPr="00723B55">
        <w:rPr>
          <w:rFonts w:ascii="Book Antiqua" w:eastAsia="SimSun" w:hAnsi="Book Antiqua" w:cs="SimSun"/>
          <w:sz w:val="24"/>
          <w:szCs w:val="24"/>
        </w:rPr>
        <w:t>: 1367-1374 [PMID: 19617746 DOI: 10.1007/DCR.0b013e3181a80dca]</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70 </w:t>
      </w:r>
      <w:r w:rsidRPr="00723B55">
        <w:rPr>
          <w:rFonts w:ascii="Book Antiqua" w:eastAsia="SimSun" w:hAnsi="Book Antiqua" w:cs="SimSun"/>
          <w:b/>
          <w:bCs/>
          <w:sz w:val="24"/>
          <w:szCs w:val="24"/>
        </w:rPr>
        <w:t>Belliveau P</w:t>
      </w:r>
      <w:r w:rsidRPr="00723B55">
        <w:rPr>
          <w:rFonts w:ascii="Book Antiqua" w:eastAsia="SimSun" w:hAnsi="Book Antiqua" w:cs="SimSun"/>
          <w:sz w:val="24"/>
          <w:szCs w:val="24"/>
        </w:rPr>
        <w:t>, Trudel J, Vasilevsky CA, Stein B, Gordon PH. Ileoanal anastomosis with reservoirs: complications and long-term results. </w:t>
      </w:r>
      <w:r w:rsidRPr="00723B55">
        <w:rPr>
          <w:rFonts w:ascii="Book Antiqua" w:eastAsia="SimSun" w:hAnsi="Book Antiqua" w:cs="SimSun"/>
          <w:i/>
          <w:iCs/>
          <w:sz w:val="24"/>
          <w:szCs w:val="24"/>
        </w:rPr>
        <w:t>Can J Surg</w:t>
      </w:r>
      <w:r w:rsidRPr="00723B55">
        <w:rPr>
          <w:rFonts w:ascii="Book Antiqua" w:eastAsia="SimSun" w:hAnsi="Book Antiqua" w:cs="SimSun"/>
          <w:sz w:val="24"/>
          <w:szCs w:val="24"/>
        </w:rPr>
        <w:t> 1999; </w:t>
      </w:r>
      <w:r w:rsidRPr="00723B55">
        <w:rPr>
          <w:rFonts w:ascii="Book Antiqua" w:eastAsia="SimSun" w:hAnsi="Book Antiqua" w:cs="SimSun"/>
          <w:b/>
          <w:bCs/>
          <w:sz w:val="24"/>
          <w:szCs w:val="24"/>
        </w:rPr>
        <w:t>42</w:t>
      </w:r>
      <w:r w:rsidRPr="00723B55">
        <w:rPr>
          <w:rFonts w:ascii="Book Antiqua" w:eastAsia="SimSun" w:hAnsi="Book Antiqua" w:cs="SimSun"/>
          <w:sz w:val="24"/>
          <w:szCs w:val="24"/>
        </w:rPr>
        <w:t>: 345-352 [PMID: 10526518]</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71 </w:t>
      </w:r>
      <w:r w:rsidRPr="00723B55">
        <w:rPr>
          <w:rFonts w:ascii="Book Antiqua" w:eastAsia="SimSun" w:hAnsi="Book Antiqua" w:cs="SimSun"/>
          <w:b/>
          <w:bCs/>
          <w:sz w:val="24"/>
          <w:szCs w:val="24"/>
        </w:rPr>
        <w:t>Sint Nicolaas J</w:t>
      </w:r>
      <w:r w:rsidRPr="00723B55">
        <w:rPr>
          <w:rFonts w:ascii="Book Antiqua" w:eastAsia="SimSun" w:hAnsi="Book Antiqua" w:cs="SimSun"/>
          <w:sz w:val="24"/>
          <w:szCs w:val="24"/>
        </w:rPr>
        <w:t>, de Jonge V, Steyerberg EW, Kuipers EJ, van Leerdam ME, Veldhuyzen-van Zanten SJ. Risk of colorectal carcinoma in post-liver transplant patients: a systematic review and meta-analysis. </w:t>
      </w:r>
      <w:r w:rsidRPr="00723B55">
        <w:rPr>
          <w:rFonts w:ascii="Book Antiqua" w:eastAsia="SimSun" w:hAnsi="Book Antiqua" w:cs="SimSun"/>
          <w:i/>
          <w:iCs/>
          <w:sz w:val="24"/>
          <w:szCs w:val="24"/>
        </w:rPr>
        <w:t>Am J Transplant</w:t>
      </w:r>
      <w:r w:rsidRPr="00723B55">
        <w:rPr>
          <w:rFonts w:ascii="Book Antiqua" w:eastAsia="SimSun" w:hAnsi="Book Antiqua" w:cs="SimSun"/>
          <w:sz w:val="24"/>
          <w:szCs w:val="24"/>
        </w:rPr>
        <w:t> 2010; </w:t>
      </w:r>
      <w:r w:rsidRPr="00723B55">
        <w:rPr>
          <w:rFonts w:ascii="Book Antiqua" w:eastAsia="SimSun" w:hAnsi="Book Antiqua" w:cs="SimSun"/>
          <w:b/>
          <w:bCs/>
          <w:sz w:val="24"/>
          <w:szCs w:val="24"/>
        </w:rPr>
        <w:t>10</w:t>
      </w:r>
      <w:r w:rsidRPr="00723B55">
        <w:rPr>
          <w:rFonts w:ascii="Book Antiqua" w:eastAsia="SimSun" w:hAnsi="Book Antiqua" w:cs="SimSun"/>
          <w:sz w:val="24"/>
          <w:szCs w:val="24"/>
        </w:rPr>
        <w:t>: 868-876 [PMID: 20420641 DOI: 10.1111/j.1600-6143.2010.03049.x]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72 </w:t>
      </w:r>
      <w:r w:rsidRPr="00723B55">
        <w:rPr>
          <w:rFonts w:ascii="Book Antiqua" w:eastAsia="SimSun" w:hAnsi="Book Antiqua" w:cs="SimSun"/>
          <w:b/>
          <w:bCs/>
          <w:sz w:val="24"/>
          <w:szCs w:val="24"/>
        </w:rPr>
        <w:t>Wang R</w:t>
      </w:r>
      <w:r w:rsidRPr="00723B55">
        <w:rPr>
          <w:rFonts w:ascii="Book Antiqua" w:eastAsia="SimSun" w:hAnsi="Book Antiqua" w:cs="SimSun"/>
          <w:sz w:val="24"/>
          <w:szCs w:val="24"/>
        </w:rPr>
        <w:t xml:space="preserve">, Leong RW. Primary sclerosing cholangitis as an independent risk factor for colorectal cancer in the context of inflammatory bowel disease: a review of the </w:t>
      </w:r>
      <w:r w:rsidRPr="00723B55">
        <w:rPr>
          <w:rFonts w:ascii="Book Antiqua" w:eastAsia="SimSun" w:hAnsi="Book Antiqua" w:cs="SimSun"/>
          <w:sz w:val="24"/>
          <w:szCs w:val="24"/>
        </w:rPr>
        <w:lastRenderedPageBreak/>
        <w:t>literature. </w:t>
      </w:r>
      <w:r w:rsidRPr="00723B55">
        <w:rPr>
          <w:rFonts w:ascii="Book Antiqua" w:eastAsia="SimSun" w:hAnsi="Book Antiqua" w:cs="SimSun"/>
          <w:i/>
          <w:iCs/>
          <w:sz w:val="24"/>
          <w:szCs w:val="24"/>
        </w:rPr>
        <w:t>World J Gastroenterol</w:t>
      </w:r>
      <w:r w:rsidRPr="00723B55">
        <w:rPr>
          <w:rFonts w:ascii="Book Antiqua" w:eastAsia="SimSun" w:hAnsi="Book Antiqua" w:cs="SimSun"/>
          <w:sz w:val="24"/>
          <w:szCs w:val="24"/>
        </w:rPr>
        <w:t> 2014; </w:t>
      </w:r>
      <w:r w:rsidRPr="00723B55">
        <w:rPr>
          <w:rFonts w:ascii="Book Antiqua" w:eastAsia="SimSun" w:hAnsi="Book Antiqua" w:cs="SimSun"/>
          <w:b/>
          <w:bCs/>
          <w:sz w:val="24"/>
          <w:szCs w:val="24"/>
        </w:rPr>
        <w:t>20</w:t>
      </w:r>
      <w:r w:rsidRPr="00723B55">
        <w:rPr>
          <w:rFonts w:ascii="Book Antiqua" w:eastAsia="SimSun" w:hAnsi="Book Antiqua" w:cs="SimSun"/>
          <w:sz w:val="24"/>
          <w:szCs w:val="24"/>
        </w:rPr>
        <w:t>: 8783-8789 [PMID: 25083052 DOI: 10.3748/wjg.v20.i27.8783]</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73 </w:t>
      </w:r>
      <w:r w:rsidRPr="00723B55">
        <w:rPr>
          <w:rFonts w:ascii="Book Antiqua" w:eastAsia="SimSun" w:hAnsi="Book Antiqua" w:cs="SimSun"/>
          <w:b/>
          <w:bCs/>
          <w:sz w:val="24"/>
          <w:szCs w:val="24"/>
        </w:rPr>
        <w:t>Claessen MM</w:t>
      </w:r>
      <w:r w:rsidRPr="00723B55">
        <w:rPr>
          <w:rFonts w:ascii="Book Antiqua" w:eastAsia="SimSun" w:hAnsi="Book Antiqua" w:cs="SimSun"/>
          <w:sz w:val="24"/>
          <w:szCs w:val="24"/>
        </w:rPr>
        <w:t>, Vleggaar FP, Tytgat KM, Siersema PD, van Buuren HR. High lifetime risk of cancer in primary sclerosing cholangitis. </w:t>
      </w:r>
      <w:r w:rsidRPr="00723B55">
        <w:rPr>
          <w:rFonts w:ascii="Book Antiqua" w:eastAsia="SimSun" w:hAnsi="Book Antiqua" w:cs="SimSun"/>
          <w:i/>
          <w:iCs/>
          <w:sz w:val="24"/>
          <w:szCs w:val="24"/>
        </w:rPr>
        <w:t>J Hepatol</w:t>
      </w:r>
      <w:r w:rsidRPr="00723B55">
        <w:rPr>
          <w:rFonts w:ascii="Book Antiqua" w:eastAsia="SimSun" w:hAnsi="Book Antiqua" w:cs="SimSun"/>
          <w:sz w:val="24"/>
          <w:szCs w:val="24"/>
        </w:rPr>
        <w:t> 2009; </w:t>
      </w:r>
      <w:r w:rsidRPr="00723B55">
        <w:rPr>
          <w:rFonts w:ascii="Book Antiqua" w:eastAsia="SimSun" w:hAnsi="Book Antiqua" w:cs="SimSun"/>
          <w:b/>
          <w:bCs/>
          <w:sz w:val="24"/>
          <w:szCs w:val="24"/>
        </w:rPr>
        <w:t>50</w:t>
      </w:r>
      <w:r w:rsidRPr="00723B55">
        <w:rPr>
          <w:rFonts w:ascii="Book Antiqua" w:eastAsia="SimSun" w:hAnsi="Book Antiqua" w:cs="SimSun"/>
          <w:sz w:val="24"/>
          <w:szCs w:val="24"/>
        </w:rPr>
        <w:t>: 158-164 [PMID: 19012991 DOI: 10.1016/j.jhep.2008.08.013]</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74 </w:t>
      </w:r>
      <w:r w:rsidRPr="00723B55">
        <w:rPr>
          <w:rFonts w:ascii="Book Antiqua" w:eastAsia="SimSun" w:hAnsi="Book Antiqua" w:cs="SimSun"/>
          <w:b/>
          <w:bCs/>
          <w:sz w:val="24"/>
          <w:szCs w:val="24"/>
        </w:rPr>
        <w:t>Albright JB</w:t>
      </w:r>
      <w:r w:rsidRPr="00723B55">
        <w:rPr>
          <w:rFonts w:ascii="Book Antiqua" w:eastAsia="SimSun" w:hAnsi="Book Antiqua" w:cs="SimSun"/>
          <w:sz w:val="24"/>
          <w:szCs w:val="24"/>
        </w:rPr>
        <w:t>, Bonatti H, Stauffer J, Dickson RC, Nguyen J, Harnois D, Jeanpierre C, Hinder R, Steers J, Chua H, Aranda-Michel J. Colorectal and anal neoplasms following liver transplantation. </w:t>
      </w:r>
      <w:r w:rsidRPr="00723B55">
        <w:rPr>
          <w:rFonts w:ascii="Book Antiqua" w:eastAsia="SimSun" w:hAnsi="Book Antiqua" w:cs="SimSun"/>
          <w:i/>
          <w:iCs/>
          <w:sz w:val="24"/>
          <w:szCs w:val="24"/>
        </w:rPr>
        <w:t>Colorectal Dis</w:t>
      </w:r>
      <w:r w:rsidRPr="00723B55">
        <w:rPr>
          <w:rFonts w:ascii="Book Antiqua" w:eastAsia="SimSun" w:hAnsi="Book Antiqua" w:cs="SimSun"/>
          <w:sz w:val="24"/>
          <w:szCs w:val="24"/>
        </w:rPr>
        <w:t> 2010; </w:t>
      </w:r>
      <w:r w:rsidRPr="00723B55">
        <w:rPr>
          <w:rFonts w:ascii="Book Antiqua" w:eastAsia="SimSun" w:hAnsi="Book Antiqua" w:cs="SimSun"/>
          <w:b/>
          <w:bCs/>
          <w:sz w:val="24"/>
          <w:szCs w:val="24"/>
        </w:rPr>
        <w:t>12</w:t>
      </w:r>
      <w:r w:rsidRPr="00723B55">
        <w:rPr>
          <w:rFonts w:ascii="Book Antiqua" w:eastAsia="SimSun" w:hAnsi="Book Antiqua" w:cs="SimSun"/>
          <w:sz w:val="24"/>
          <w:szCs w:val="24"/>
        </w:rPr>
        <w:t>: 657-666 [PMID: 19508543 DOI: 10.1111/j.1463-1318.2009.01840.x]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75 </w:t>
      </w:r>
      <w:r w:rsidRPr="00723B55">
        <w:rPr>
          <w:rFonts w:ascii="Book Antiqua" w:eastAsia="SimSun" w:hAnsi="Book Antiqua" w:cs="SimSun"/>
          <w:b/>
          <w:bCs/>
          <w:sz w:val="24"/>
          <w:szCs w:val="24"/>
        </w:rPr>
        <w:t>Bleday R</w:t>
      </w:r>
      <w:r w:rsidRPr="00723B55">
        <w:rPr>
          <w:rFonts w:ascii="Book Antiqua" w:eastAsia="SimSun" w:hAnsi="Book Antiqua" w:cs="SimSun"/>
          <w:sz w:val="24"/>
          <w:szCs w:val="24"/>
        </w:rPr>
        <w:t>, Lee E, Jessurun J, Heine J, Wong WD. Increased risk of early colorectal neoplasms after hepatic transplant in patients with inflammatory bowel disease. </w:t>
      </w:r>
      <w:r w:rsidRPr="00723B55">
        <w:rPr>
          <w:rFonts w:ascii="Book Antiqua" w:eastAsia="SimSun" w:hAnsi="Book Antiqua" w:cs="SimSun"/>
          <w:i/>
          <w:iCs/>
          <w:sz w:val="24"/>
          <w:szCs w:val="24"/>
        </w:rPr>
        <w:t>Dis Colon Rectum</w:t>
      </w:r>
      <w:r w:rsidRPr="00723B55">
        <w:rPr>
          <w:rFonts w:ascii="Book Antiqua" w:eastAsia="SimSun" w:hAnsi="Book Antiqua" w:cs="SimSun"/>
          <w:sz w:val="24"/>
          <w:szCs w:val="24"/>
        </w:rPr>
        <w:t> 1993; </w:t>
      </w:r>
      <w:r w:rsidRPr="00723B55">
        <w:rPr>
          <w:rFonts w:ascii="Book Antiqua" w:eastAsia="SimSun" w:hAnsi="Book Antiqua" w:cs="SimSun"/>
          <w:b/>
          <w:bCs/>
          <w:sz w:val="24"/>
          <w:szCs w:val="24"/>
        </w:rPr>
        <w:t>36</w:t>
      </w:r>
      <w:r w:rsidRPr="00723B55">
        <w:rPr>
          <w:rFonts w:ascii="Book Antiqua" w:eastAsia="SimSun" w:hAnsi="Book Antiqua" w:cs="SimSun"/>
          <w:sz w:val="24"/>
          <w:szCs w:val="24"/>
        </w:rPr>
        <w:t>: 908-912 [PMID: 8404380]</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76 </w:t>
      </w:r>
      <w:r w:rsidRPr="00723B55">
        <w:rPr>
          <w:rFonts w:ascii="Book Antiqua" w:eastAsia="SimSun" w:hAnsi="Book Antiqua" w:cs="SimSun"/>
          <w:b/>
          <w:bCs/>
          <w:sz w:val="24"/>
          <w:szCs w:val="24"/>
        </w:rPr>
        <w:t>Loftus EV</w:t>
      </w:r>
      <w:r w:rsidRPr="00723B55">
        <w:rPr>
          <w:rFonts w:ascii="Book Antiqua" w:eastAsia="SimSun" w:hAnsi="Book Antiqua" w:cs="SimSun"/>
          <w:sz w:val="24"/>
          <w:szCs w:val="24"/>
        </w:rPr>
        <w:t>, Aguilar HI, Sandborn WJ, Tremaine WJ, Krom RA, Zinsmeister AR, Graziadei IW, Wiesner RH. Risk of colorectal neoplasia in patients with primary sclerosing cholangitis and ulcerative colitis following orthotopic liver transplantation. </w:t>
      </w:r>
      <w:r w:rsidRPr="00723B55">
        <w:rPr>
          <w:rFonts w:ascii="Book Antiqua" w:eastAsia="SimSun" w:hAnsi="Book Antiqua" w:cs="SimSun"/>
          <w:i/>
          <w:iCs/>
          <w:sz w:val="24"/>
          <w:szCs w:val="24"/>
        </w:rPr>
        <w:t>Hepatology</w:t>
      </w:r>
      <w:r w:rsidRPr="00723B55">
        <w:rPr>
          <w:rFonts w:ascii="Book Antiqua" w:eastAsia="SimSun" w:hAnsi="Book Antiqua" w:cs="SimSun"/>
          <w:sz w:val="24"/>
          <w:szCs w:val="24"/>
        </w:rPr>
        <w:t> 1998; </w:t>
      </w:r>
      <w:r w:rsidRPr="00723B55">
        <w:rPr>
          <w:rFonts w:ascii="Book Antiqua" w:eastAsia="SimSun" w:hAnsi="Book Antiqua" w:cs="SimSun"/>
          <w:b/>
          <w:bCs/>
          <w:sz w:val="24"/>
          <w:szCs w:val="24"/>
        </w:rPr>
        <w:t>27</w:t>
      </w:r>
      <w:r w:rsidRPr="00723B55">
        <w:rPr>
          <w:rFonts w:ascii="Book Antiqua" w:eastAsia="SimSun" w:hAnsi="Book Antiqua" w:cs="SimSun"/>
          <w:sz w:val="24"/>
          <w:szCs w:val="24"/>
        </w:rPr>
        <w:t>: 685-690 [PMID: 9500695 DOI: 10.1002/hep.510270308]</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77 </w:t>
      </w:r>
      <w:r w:rsidRPr="00723B55">
        <w:rPr>
          <w:rFonts w:ascii="Book Antiqua" w:eastAsia="SimSun" w:hAnsi="Book Antiqua" w:cs="SimSun"/>
          <w:b/>
          <w:bCs/>
          <w:sz w:val="24"/>
          <w:szCs w:val="24"/>
        </w:rPr>
        <w:t>Jørgensen KK</w:t>
      </w:r>
      <w:r w:rsidRPr="00723B55">
        <w:rPr>
          <w:rFonts w:ascii="Book Antiqua" w:eastAsia="SimSun" w:hAnsi="Book Antiqua" w:cs="SimSun"/>
          <w:sz w:val="24"/>
          <w:szCs w:val="24"/>
        </w:rPr>
        <w:t>, Lindström L, Cvancarova M, Castedal M, Friman S, Schrumpf E, Foss A, Isoniemi H, Nordin A, Holte K, Rasmussen A, Bergquist A, Vatn MH, Boberg KM. Colorectal neoplasia in patients with primary sclerosing cholangitis undergoing liver transplantation: a Nordic multicenter study. </w:t>
      </w:r>
      <w:r w:rsidRPr="00723B55">
        <w:rPr>
          <w:rFonts w:ascii="Book Antiqua" w:eastAsia="SimSun" w:hAnsi="Book Antiqua" w:cs="SimSun"/>
          <w:i/>
          <w:iCs/>
          <w:sz w:val="24"/>
          <w:szCs w:val="24"/>
        </w:rPr>
        <w:t>Scand J Gastroenterol</w:t>
      </w:r>
      <w:r w:rsidRPr="00723B55">
        <w:rPr>
          <w:rFonts w:ascii="Book Antiqua" w:eastAsia="SimSun" w:hAnsi="Book Antiqua" w:cs="SimSun"/>
          <w:sz w:val="24"/>
          <w:szCs w:val="24"/>
        </w:rPr>
        <w:t> 2012; </w:t>
      </w:r>
      <w:r w:rsidRPr="00723B55">
        <w:rPr>
          <w:rFonts w:ascii="Book Antiqua" w:eastAsia="SimSun" w:hAnsi="Book Antiqua" w:cs="SimSun"/>
          <w:b/>
          <w:bCs/>
          <w:sz w:val="24"/>
          <w:szCs w:val="24"/>
        </w:rPr>
        <w:t>47</w:t>
      </w:r>
      <w:r w:rsidRPr="00723B55">
        <w:rPr>
          <w:rFonts w:ascii="Book Antiqua" w:eastAsia="SimSun" w:hAnsi="Book Antiqua" w:cs="SimSun"/>
          <w:sz w:val="24"/>
          <w:szCs w:val="24"/>
        </w:rPr>
        <w:t>: 1021-1029 [PMID: 22577871 DOI: 10.3109/00365521.2012.685754]</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78 </w:t>
      </w:r>
      <w:r w:rsidRPr="00723B55">
        <w:rPr>
          <w:rFonts w:ascii="Book Antiqua" w:eastAsia="SimSun" w:hAnsi="Book Antiqua" w:cs="SimSun"/>
          <w:b/>
          <w:bCs/>
          <w:sz w:val="24"/>
          <w:szCs w:val="24"/>
        </w:rPr>
        <w:t>Watt KD</w:t>
      </w:r>
      <w:r w:rsidRPr="00723B55">
        <w:rPr>
          <w:rFonts w:ascii="Book Antiqua" w:eastAsia="SimSun" w:hAnsi="Book Antiqua" w:cs="SimSun"/>
          <w:sz w:val="24"/>
          <w:szCs w:val="24"/>
        </w:rPr>
        <w:t>, Pedersen RA, Kremers WK, Heimbach JK, Charlton MR. Evolution of causes and risk factors for mortality post-liver transplant: results of the NIDDK long-term follow-up study. </w:t>
      </w:r>
      <w:r w:rsidRPr="00723B55">
        <w:rPr>
          <w:rFonts w:ascii="Book Antiqua" w:eastAsia="SimSun" w:hAnsi="Book Antiqua" w:cs="SimSun"/>
          <w:i/>
          <w:iCs/>
          <w:sz w:val="24"/>
          <w:szCs w:val="24"/>
        </w:rPr>
        <w:t>Am J Transplant</w:t>
      </w:r>
      <w:r w:rsidRPr="00723B55">
        <w:rPr>
          <w:rFonts w:ascii="Book Antiqua" w:eastAsia="SimSun" w:hAnsi="Book Antiqua" w:cs="SimSun"/>
          <w:sz w:val="24"/>
          <w:szCs w:val="24"/>
        </w:rPr>
        <w:t> 2010; </w:t>
      </w:r>
      <w:r w:rsidRPr="00723B55">
        <w:rPr>
          <w:rFonts w:ascii="Book Antiqua" w:eastAsia="SimSun" w:hAnsi="Book Antiqua" w:cs="SimSun"/>
          <w:b/>
          <w:bCs/>
          <w:sz w:val="24"/>
          <w:szCs w:val="24"/>
        </w:rPr>
        <w:t>10</w:t>
      </w:r>
      <w:r w:rsidRPr="00723B55">
        <w:rPr>
          <w:rFonts w:ascii="Book Antiqua" w:eastAsia="SimSun" w:hAnsi="Book Antiqua" w:cs="SimSun"/>
          <w:sz w:val="24"/>
          <w:szCs w:val="24"/>
        </w:rPr>
        <w:t>: 1420-1427 [PMID: 20486907 DOI: 10.1111/j.1600-6143.2010.03126.x]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79 </w:t>
      </w:r>
      <w:r w:rsidRPr="00723B55">
        <w:rPr>
          <w:rFonts w:ascii="Book Antiqua" w:eastAsia="SimSun" w:hAnsi="Book Antiqua" w:cs="SimSun"/>
          <w:b/>
          <w:bCs/>
          <w:sz w:val="24"/>
          <w:szCs w:val="24"/>
        </w:rPr>
        <w:t>Fabia R</w:t>
      </w:r>
      <w:r w:rsidRPr="00723B55">
        <w:rPr>
          <w:rFonts w:ascii="Book Antiqua" w:eastAsia="SimSun" w:hAnsi="Book Antiqua" w:cs="SimSun"/>
          <w:sz w:val="24"/>
          <w:szCs w:val="24"/>
        </w:rPr>
        <w:t>, Levy MF, Testa G, Obiekwe S, Goldstein RM, Husberg BS, Gonwa TA, Klintmalm GB. Colon carcinoma in patients undergoing liver transplantation. </w:t>
      </w:r>
      <w:r w:rsidRPr="00723B55">
        <w:rPr>
          <w:rFonts w:ascii="Book Antiqua" w:eastAsia="SimSun" w:hAnsi="Book Antiqua" w:cs="SimSun"/>
          <w:i/>
          <w:iCs/>
          <w:sz w:val="24"/>
          <w:szCs w:val="24"/>
        </w:rPr>
        <w:t>Am J Surg</w:t>
      </w:r>
      <w:r w:rsidRPr="00723B55">
        <w:rPr>
          <w:rFonts w:ascii="Book Antiqua" w:eastAsia="SimSun" w:hAnsi="Book Antiqua" w:cs="SimSun"/>
          <w:sz w:val="24"/>
          <w:szCs w:val="24"/>
        </w:rPr>
        <w:t> 1998; </w:t>
      </w:r>
      <w:r w:rsidRPr="00723B55">
        <w:rPr>
          <w:rFonts w:ascii="Book Antiqua" w:eastAsia="SimSun" w:hAnsi="Book Antiqua" w:cs="SimSun"/>
          <w:b/>
          <w:bCs/>
          <w:sz w:val="24"/>
          <w:szCs w:val="24"/>
        </w:rPr>
        <w:t>176</w:t>
      </w:r>
      <w:r w:rsidRPr="00723B55">
        <w:rPr>
          <w:rFonts w:ascii="Book Antiqua" w:eastAsia="SimSun" w:hAnsi="Book Antiqua" w:cs="SimSun"/>
          <w:sz w:val="24"/>
          <w:szCs w:val="24"/>
        </w:rPr>
        <w:t>: 265-269 [PMID: 9776156]</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80 </w:t>
      </w:r>
      <w:r w:rsidRPr="00723B55">
        <w:rPr>
          <w:rFonts w:ascii="Book Antiqua" w:eastAsia="SimSun" w:hAnsi="Book Antiqua" w:cs="SimSun"/>
          <w:b/>
          <w:bCs/>
          <w:sz w:val="24"/>
          <w:szCs w:val="24"/>
        </w:rPr>
        <w:t>Vera A</w:t>
      </w:r>
      <w:r w:rsidRPr="00723B55">
        <w:rPr>
          <w:rFonts w:ascii="Book Antiqua" w:eastAsia="SimSun" w:hAnsi="Book Antiqua" w:cs="SimSun"/>
          <w:sz w:val="24"/>
          <w:szCs w:val="24"/>
        </w:rPr>
        <w:t xml:space="preserve">, Gunson BK, Ussatoff V, Nightingale P, Candinas D, Radley S, Mayer A, Buckels JA, McMaster P, Neuberger J, Mirza DF. Colorectal cancer in patients with </w:t>
      </w:r>
      <w:r w:rsidRPr="00723B55">
        <w:rPr>
          <w:rFonts w:ascii="Book Antiqua" w:eastAsia="SimSun" w:hAnsi="Book Antiqua" w:cs="SimSun"/>
          <w:sz w:val="24"/>
          <w:szCs w:val="24"/>
        </w:rPr>
        <w:lastRenderedPageBreak/>
        <w:t>inflammatory bowel disease after liver transplantation for primary sclerosing cholangitis. </w:t>
      </w:r>
      <w:r w:rsidRPr="00723B55">
        <w:rPr>
          <w:rFonts w:ascii="Book Antiqua" w:eastAsia="SimSun" w:hAnsi="Book Antiqua" w:cs="SimSun"/>
          <w:i/>
          <w:iCs/>
          <w:sz w:val="24"/>
          <w:szCs w:val="24"/>
        </w:rPr>
        <w:t>Transplantation</w:t>
      </w:r>
      <w:r w:rsidRPr="00723B55">
        <w:rPr>
          <w:rFonts w:ascii="Book Antiqua" w:eastAsia="SimSun" w:hAnsi="Book Antiqua" w:cs="SimSun"/>
          <w:sz w:val="24"/>
          <w:szCs w:val="24"/>
        </w:rPr>
        <w:t> 2003; </w:t>
      </w:r>
      <w:r w:rsidRPr="00723B55">
        <w:rPr>
          <w:rFonts w:ascii="Book Antiqua" w:eastAsia="SimSun" w:hAnsi="Book Antiqua" w:cs="SimSun"/>
          <w:b/>
          <w:bCs/>
          <w:sz w:val="24"/>
          <w:szCs w:val="24"/>
        </w:rPr>
        <w:t>75</w:t>
      </w:r>
      <w:r w:rsidRPr="00723B55">
        <w:rPr>
          <w:rFonts w:ascii="Book Antiqua" w:eastAsia="SimSun" w:hAnsi="Book Antiqua" w:cs="SimSun"/>
          <w:sz w:val="24"/>
          <w:szCs w:val="24"/>
        </w:rPr>
        <w:t>: 1983-1988 [PMID: 12829898]</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81 </w:t>
      </w:r>
      <w:r w:rsidRPr="00723B55">
        <w:rPr>
          <w:rFonts w:ascii="Book Antiqua" w:eastAsia="SimSun" w:hAnsi="Book Antiqua" w:cs="SimSun"/>
          <w:b/>
          <w:bCs/>
          <w:sz w:val="24"/>
          <w:szCs w:val="24"/>
        </w:rPr>
        <w:t>Singh S</w:t>
      </w:r>
      <w:r w:rsidRPr="00723B55">
        <w:rPr>
          <w:rFonts w:ascii="Book Antiqua" w:eastAsia="SimSun" w:hAnsi="Book Antiqua" w:cs="SimSun"/>
          <w:sz w:val="24"/>
          <w:szCs w:val="24"/>
        </w:rPr>
        <w:t>, Edakkanambeth Varayil J, Loftus EV, Talwalkar JA. Incidence of colorectal cancer after liver transplantation for primary sclerosing cholangitis: a systematic review and meta-analysis. </w:t>
      </w:r>
      <w:r w:rsidRPr="00723B55">
        <w:rPr>
          <w:rFonts w:ascii="Book Antiqua" w:eastAsia="SimSun" w:hAnsi="Book Antiqua" w:cs="SimSun"/>
          <w:i/>
          <w:iCs/>
          <w:sz w:val="24"/>
          <w:szCs w:val="24"/>
        </w:rPr>
        <w:t>Liver Transpl</w:t>
      </w:r>
      <w:r w:rsidRPr="00723B55">
        <w:rPr>
          <w:rFonts w:ascii="Book Antiqua" w:eastAsia="SimSun" w:hAnsi="Book Antiqua" w:cs="SimSun"/>
          <w:sz w:val="24"/>
          <w:szCs w:val="24"/>
        </w:rPr>
        <w:t> 2013; </w:t>
      </w:r>
      <w:r w:rsidRPr="00723B55">
        <w:rPr>
          <w:rFonts w:ascii="Book Antiqua" w:eastAsia="SimSun" w:hAnsi="Book Antiqua" w:cs="SimSun"/>
          <w:b/>
          <w:bCs/>
          <w:sz w:val="24"/>
          <w:szCs w:val="24"/>
        </w:rPr>
        <w:t>19</w:t>
      </w:r>
      <w:r w:rsidRPr="00723B55">
        <w:rPr>
          <w:rFonts w:ascii="Book Antiqua" w:eastAsia="SimSun" w:hAnsi="Book Antiqua" w:cs="SimSun"/>
          <w:sz w:val="24"/>
          <w:szCs w:val="24"/>
        </w:rPr>
        <w:t>: 1361-1369 [PMID: 24019127 DOI: 10.1002/lt.23741]</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82 </w:t>
      </w:r>
      <w:r w:rsidRPr="00723B55">
        <w:rPr>
          <w:rFonts w:ascii="Book Antiqua" w:eastAsia="SimSun" w:hAnsi="Book Antiqua" w:cs="SimSun"/>
          <w:b/>
          <w:bCs/>
          <w:sz w:val="24"/>
          <w:szCs w:val="24"/>
        </w:rPr>
        <w:t>Marchesa P</w:t>
      </w:r>
      <w:r w:rsidRPr="00723B55">
        <w:rPr>
          <w:rFonts w:ascii="Book Antiqua" w:eastAsia="SimSun" w:hAnsi="Book Antiqua" w:cs="SimSun"/>
          <w:sz w:val="24"/>
          <w:szCs w:val="24"/>
        </w:rPr>
        <w:t>, Lashner BA, Lavery IC, Milsom J, Hull TL, Strong SA, Church JM, Navarro G, Fazio VW. The risk of cancer and dysplasia among ulcerative colitis patients with primary sclerosing cholangitis. </w:t>
      </w:r>
      <w:r w:rsidRPr="00723B55">
        <w:rPr>
          <w:rFonts w:ascii="Book Antiqua" w:eastAsia="SimSun" w:hAnsi="Book Antiqua" w:cs="SimSun"/>
          <w:i/>
          <w:iCs/>
          <w:sz w:val="24"/>
          <w:szCs w:val="24"/>
        </w:rPr>
        <w:t>Am J Gastroenterol</w:t>
      </w:r>
      <w:r w:rsidRPr="00723B55">
        <w:rPr>
          <w:rFonts w:ascii="Book Antiqua" w:eastAsia="SimSun" w:hAnsi="Book Antiqua" w:cs="SimSun"/>
          <w:sz w:val="24"/>
          <w:szCs w:val="24"/>
        </w:rPr>
        <w:t> 1997; </w:t>
      </w:r>
      <w:r w:rsidRPr="00723B55">
        <w:rPr>
          <w:rFonts w:ascii="Book Antiqua" w:eastAsia="SimSun" w:hAnsi="Book Antiqua" w:cs="SimSun"/>
          <w:b/>
          <w:bCs/>
          <w:sz w:val="24"/>
          <w:szCs w:val="24"/>
        </w:rPr>
        <w:t>92</w:t>
      </w:r>
      <w:r w:rsidRPr="00723B55">
        <w:rPr>
          <w:rFonts w:ascii="Book Antiqua" w:eastAsia="SimSun" w:hAnsi="Book Antiqua" w:cs="SimSun"/>
          <w:sz w:val="24"/>
          <w:szCs w:val="24"/>
        </w:rPr>
        <w:t>: 1285-1288 [PMID: 9260790]</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83 </w:t>
      </w:r>
      <w:r w:rsidRPr="00723B55">
        <w:rPr>
          <w:rFonts w:ascii="Book Antiqua" w:eastAsia="SimSun" w:hAnsi="Book Antiqua" w:cs="SimSun"/>
          <w:b/>
          <w:bCs/>
          <w:sz w:val="24"/>
          <w:szCs w:val="24"/>
        </w:rPr>
        <w:t>Kashyap R</w:t>
      </w:r>
      <w:r w:rsidRPr="00723B55">
        <w:rPr>
          <w:rFonts w:ascii="Book Antiqua" w:eastAsia="SimSun" w:hAnsi="Book Antiqua" w:cs="SimSun"/>
          <w:sz w:val="24"/>
          <w:szCs w:val="24"/>
        </w:rPr>
        <w:t>, Safadjou S, Chen R, Mantry P, Sharma R, Patil V, Maloo M, Ryan C, Marroquin C, Barry C, Ramaraju G, Maliakkal B, Orloff M. Living donor and deceased donor liver transplantation for autoimmune and cholestatic liver diseases--an analysis of the UNOS database. </w:t>
      </w:r>
      <w:r w:rsidRPr="00723B55">
        <w:rPr>
          <w:rFonts w:ascii="Book Antiqua" w:eastAsia="SimSun" w:hAnsi="Book Antiqua" w:cs="SimSun"/>
          <w:i/>
          <w:iCs/>
          <w:sz w:val="24"/>
          <w:szCs w:val="24"/>
        </w:rPr>
        <w:t>J Gastrointest Surg</w:t>
      </w:r>
      <w:r w:rsidRPr="00723B55">
        <w:rPr>
          <w:rFonts w:ascii="Book Antiqua" w:eastAsia="SimSun" w:hAnsi="Book Antiqua" w:cs="SimSun"/>
          <w:sz w:val="24"/>
          <w:szCs w:val="24"/>
        </w:rPr>
        <w:t> 2010; </w:t>
      </w:r>
      <w:r w:rsidRPr="00723B55">
        <w:rPr>
          <w:rFonts w:ascii="Book Antiqua" w:eastAsia="SimSun" w:hAnsi="Book Antiqua" w:cs="SimSun"/>
          <w:b/>
          <w:bCs/>
          <w:sz w:val="24"/>
          <w:szCs w:val="24"/>
        </w:rPr>
        <w:t>14</w:t>
      </w:r>
      <w:r w:rsidRPr="00723B55">
        <w:rPr>
          <w:rFonts w:ascii="Book Antiqua" w:eastAsia="SimSun" w:hAnsi="Book Antiqua" w:cs="SimSun"/>
          <w:sz w:val="24"/>
          <w:szCs w:val="24"/>
        </w:rPr>
        <w:t>: 1362-1369 [PMID: 20617395 DOI: 10.1007/s11605-010-1256-1]</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84 </w:t>
      </w:r>
      <w:r w:rsidRPr="00723B55">
        <w:rPr>
          <w:rFonts w:ascii="Book Antiqua" w:eastAsia="SimSun" w:hAnsi="Book Antiqua" w:cs="SimSun"/>
          <w:b/>
          <w:bCs/>
          <w:sz w:val="24"/>
          <w:szCs w:val="24"/>
        </w:rPr>
        <w:t>Graziadei IW</w:t>
      </w:r>
      <w:r w:rsidRPr="00723B55">
        <w:rPr>
          <w:rFonts w:ascii="Book Antiqua" w:eastAsia="SimSun" w:hAnsi="Book Antiqua" w:cs="SimSun"/>
          <w:sz w:val="24"/>
          <w:szCs w:val="24"/>
        </w:rPr>
        <w:t>, Wiesner RH, Marotta PJ, Porayko MK, Hay JE, Charlton MR, Poterucha JJ, Rosen CB, Gores GJ, LaRusso NF, Krom RA. Long-term results of patients undergoing liver transplantation for primary sclerosing cholangitis. </w:t>
      </w:r>
      <w:r w:rsidRPr="00723B55">
        <w:rPr>
          <w:rFonts w:ascii="Book Antiqua" w:eastAsia="SimSun" w:hAnsi="Book Antiqua" w:cs="SimSun"/>
          <w:i/>
          <w:iCs/>
          <w:sz w:val="24"/>
          <w:szCs w:val="24"/>
        </w:rPr>
        <w:t>Hepatology</w:t>
      </w:r>
      <w:r w:rsidRPr="00723B55">
        <w:rPr>
          <w:rFonts w:ascii="Book Antiqua" w:eastAsia="SimSun" w:hAnsi="Book Antiqua" w:cs="SimSun"/>
          <w:sz w:val="24"/>
          <w:szCs w:val="24"/>
        </w:rPr>
        <w:t> 1999; </w:t>
      </w:r>
      <w:r w:rsidRPr="00723B55">
        <w:rPr>
          <w:rFonts w:ascii="Book Antiqua" w:eastAsia="SimSun" w:hAnsi="Book Antiqua" w:cs="SimSun"/>
          <w:b/>
          <w:bCs/>
          <w:sz w:val="24"/>
          <w:szCs w:val="24"/>
        </w:rPr>
        <w:t>30</w:t>
      </w:r>
      <w:r w:rsidRPr="00723B55">
        <w:rPr>
          <w:rFonts w:ascii="Book Antiqua" w:eastAsia="SimSun" w:hAnsi="Book Antiqua" w:cs="SimSun"/>
          <w:sz w:val="24"/>
          <w:szCs w:val="24"/>
        </w:rPr>
        <w:t>: 1121-1127 [PMID: 10534330 DOI: 10.1002/hep.510300501]</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85 </w:t>
      </w:r>
      <w:r w:rsidRPr="00723B55">
        <w:rPr>
          <w:rFonts w:ascii="Book Antiqua" w:eastAsia="SimSun" w:hAnsi="Book Antiqua" w:cs="SimSun"/>
          <w:b/>
          <w:bCs/>
          <w:sz w:val="24"/>
          <w:szCs w:val="24"/>
        </w:rPr>
        <w:t>Hildebrand T</w:t>
      </w:r>
      <w:r w:rsidRPr="00723B55">
        <w:rPr>
          <w:rFonts w:ascii="Book Antiqua" w:eastAsia="SimSun" w:hAnsi="Book Antiqua" w:cs="SimSun"/>
          <w:sz w:val="24"/>
          <w:szCs w:val="24"/>
        </w:rPr>
        <w:t>, Pannicke N, Dechene A, Gotthardt DN, Kirchner G, Reiter FP, Sterneck M, Herzer K, Lenzen H, Rupp C, Barg-Hock H, de Leuw P, Teufel A, Zimmer V, Lammert F, Sarrazin C, Spengler U, Rust C, Manns MP, Strassburg CP, Schramm C, Weismüller TJ. Biliary strictures and recurrence after liver transplantation for primary sclerosing cholangitis: A retrospective multicenter analysis. </w:t>
      </w:r>
      <w:r w:rsidRPr="00723B55">
        <w:rPr>
          <w:rFonts w:ascii="Book Antiqua" w:eastAsia="SimSun" w:hAnsi="Book Antiqua" w:cs="SimSun"/>
          <w:i/>
          <w:iCs/>
          <w:sz w:val="24"/>
          <w:szCs w:val="24"/>
        </w:rPr>
        <w:t>Liver Transpl</w:t>
      </w:r>
      <w:r w:rsidRPr="00723B55">
        <w:rPr>
          <w:rFonts w:ascii="Book Antiqua" w:eastAsia="SimSun" w:hAnsi="Book Antiqua" w:cs="SimSun"/>
          <w:sz w:val="24"/>
          <w:szCs w:val="24"/>
        </w:rPr>
        <w:t> 2016; </w:t>
      </w:r>
      <w:r w:rsidRPr="00723B55">
        <w:rPr>
          <w:rFonts w:ascii="Book Antiqua" w:eastAsia="SimSun" w:hAnsi="Book Antiqua" w:cs="SimSun"/>
          <w:b/>
          <w:bCs/>
          <w:sz w:val="24"/>
          <w:szCs w:val="24"/>
        </w:rPr>
        <w:t>22</w:t>
      </w:r>
      <w:r w:rsidRPr="00723B55">
        <w:rPr>
          <w:rFonts w:ascii="Book Antiqua" w:eastAsia="SimSun" w:hAnsi="Book Antiqua" w:cs="SimSun"/>
          <w:sz w:val="24"/>
          <w:szCs w:val="24"/>
        </w:rPr>
        <w:t>: 42-52 [PMID: 26438008 DOI: 10.1002/lt.24350]</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86 </w:t>
      </w:r>
      <w:r w:rsidRPr="00723B55">
        <w:rPr>
          <w:rFonts w:ascii="Book Antiqua" w:eastAsia="SimSun" w:hAnsi="Book Antiqua" w:cs="SimSun"/>
          <w:b/>
          <w:bCs/>
          <w:sz w:val="24"/>
          <w:szCs w:val="24"/>
        </w:rPr>
        <w:t>Charatcharoenwitthaya P</w:t>
      </w:r>
      <w:r w:rsidRPr="00723B55">
        <w:rPr>
          <w:rFonts w:ascii="Book Antiqua" w:eastAsia="SimSun" w:hAnsi="Book Antiqua" w:cs="SimSun"/>
          <w:sz w:val="24"/>
          <w:szCs w:val="24"/>
        </w:rPr>
        <w:t>, Lindor KD. Recurrence of primary sclerosing cholangitis: what do we learn from several transplant centers? </w:t>
      </w:r>
      <w:r w:rsidRPr="00723B55">
        <w:rPr>
          <w:rFonts w:ascii="Book Antiqua" w:eastAsia="SimSun" w:hAnsi="Book Antiqua" w:cs="SimSun"/>
          <w:i/>
          <w:iCs/>
          <w:sz w:val="24"/>
          <w:szCs w:val="24"/>
        </w:rPr>
        <w:t>Liver Transpl</w:t>
      </w:r>
      <w:r w:rsidRPr="00723B55">
        <w:rPr>
          <w:rFonts w:ascii="Book Antiqua" w:eastAsia="SimSun" w:hAnsi="Book Antiqua" w:cs="SimSun"/>
          <w:sz w:val="24"/>
          <w:szCs w:val="24"/>
        </w:rPr>
        <w:t> 2008; </w:t>
      </w:r>
      <w:r w:rsidRPr="00723B55">
        <w:rPr>
          <w:rFonts w:ascii="Book Antiqua" w:eastAsia="SimSun" w:hAnsi="Book Antiqua" w:cs="SimSun"/>
          <w:b/>
          <w:bCs/>
          <w:sz w:val="24"/>
          <w:szCs w:val="24"/>
        </w:rPr>
        <w:t>14</w:t>
      </w:r>
      <w:r w:rsidRPr="00723B55">
        <w:rPr>
          <w:rFonts w:ascii="Book Antiqua" w:eastAsia="SimSun" w:hAnsi="Book Antiqua" w:cs="SimSun"/>
          <w:sz w:val="24"/>
          <w:szCs w:val="24"/>
        </w:rPr>
        <w:t>: 130-132 [PMID: 18236444 DOI: 10.1002/lt.21403]</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87 </w:t>
      </w:r>
      <w:r w:rsidRPr="00723B55">
        <w:rPr>
          <w:rFonts w:ascii="Book Antiqua" w:eastAsia="SimSun" w:hAnsi="Book Antiqua" w:cs="SimSun"/>
          <w:b/>
          <w:bCs/>
          <w:sz w:val="24"/>
          <w:szCs w:val="24"/>
        </w:rPr>
        <w:t>Ravikumar R</w:t>
      </w:r>
      <w:r w:rsidRPr="00723B55">
        <w:rPr>
          <w:rFonts w:ascii="Book Antiqua" w:eastAsia="SimSun" w:hAnsi="Book Antiqua" w:cs="SimSun"/>
          <w:sz w:val="24"/>
          <w:szCs w:val="24"/>
        </w:rPr>
        <w:t xml:space="preserve">, Tsochatzis E, Jose S, Allison M, Athale A, Creamer F, Gunson B, Iyer V, Madanur M, Manas D, Monaco A, Mirza D, Owen N, Roberts K, Sen G, </w:t>
      </w:r>
      <w:r w:rsidRPr="00723B55">
        <w:rPr>
          <w:rFonts w:ascii="Book Antiqua" w:eastAsia="SimSun" w:hAnsi="Book Antiqua" w:cs="SimSun"/>
          <w:sz w:val="24"/>
          <w:szCs w:val="24"/>
        </w:rPr>
        <w:lastRenderedPageBreak/>
        <w:t>Srinivasan P, Wigmore S, Fusai G, Fernando B, Burroughs A. Risk factors for recurrent primary sclerosing cholangitis after liver transplantation. </w:t>
      </w:r>
      <w:r w:rsidRPr="00723B55">
        <w:rPr>
          <w:rFonts w:ascii="Book Antiqua" w:eastAsia="SimSun" w:hAnsi="Book Antiqua" w:cs="SimSun"/>
          <w:i/>
          <w:iCs/>
          <w:sz w:val="24"/>
          <w:szCs w:val="24"/>
        </w:rPr>
        <w:t>J Hepatol</w:t>
      </w:r>
      <w:r w:rsidRPr="00723B55">
        <w:rPr>
          <w:rFonts w:ascii="Book Antiqua" w:eastAsia="SimSun" w:hAnsi="Book Antiqua" w:cs="SimSun"/>
          <w:sz w:val="24"/>
          <w:szCs w:val="24"/>
        </w:rPr>
        <w:t> 2015; </w:t>
      </w:r>
      <w:r w:rsidRPr="00723B55">
        <w:rPr>
          <w:rFonts w:ascii="Book Antiqua" w:eastAsia="SimSun" w:hAnsi="Book Antiqua" w:cs="SimSun"/>
          <w:b/>
          <w:bCs/>
          <w:sz w:val="24"/>
          <w:szCs w:val="24"/>
        </w:rPr>
        <w:t>63</w:t>
      </w:r>
      <w:r w:rsidRPr="00723B55">
        <w:rPr>
          <w:rFonts w:ascii="Book Antiqua" w:eastAsia="SimSun" w:hAnsi="Book Antiqua" w:cs="SimSun"/>
          <w:sz w:val="24"/>
          <w:szCs w:val="24"/>
        </w:rPr>
        <w:t>: 1139-1146 [PMID: 26186988 DOI: 10.1016/j.jhep.2015.07.005]</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88 </w:t>
      </w:r>
      <w:r w:rsidRPr="00723B55">
        <w:rPr>
          <w:rFonts w:ascii="Book Antiqua" w:eastAsia="SimSun" w:hAnsi="Book Antiqua" w:cs="SimSun"/>
          <w:b/>
          <w:bCs/>
          <w:sz w:val="24"/>
          <w:szCs w:val="24"/>
        </w:rPr>
        <w:t>Kochhar G</w:t>
      </w:r>
      <w:r w:rsidRPr="00723B55">
        <w:rPr>
          <w:rFonts w:ascii="Book Antiqua" w:eastAsia="SimSun" w:hAnsi="Book Antiqua" w:cs="SimSun"/>
          <w:sz w:val="24"/>
          <w:szCs w:val="24"/>
        </w:rPr>
        <w:t>, Singh T, Dust H, Lopez R, McCullough AJ, Liu X, Fung J, Shen B. Impact of De Novo and Preexisting Inflammatory Bowel Disease on the Outcome of Orthotopic Liver Transplantation. </w:t>
      </w:r>
      <w:r w:rsidRPr="00723B55">
        <w:rPr>
          <w:rFonts w:ascii="Book Antiqua" w:eastAsia="SimSun" w:hAnsi="Book Antiqua" w:cs="SimSun"/>
          <w:i/>
          <w:iCs/>
          <w:sz w:val="24"/>
          <w:szCs w:val="24"/>
        </w:rPr>
        <w:t>Inflamm Bowel Dis</w:t>
      </w:r>
      <w:r w:rsidRPr="00723B55">
        <w:rPr>
          <w:rFonts w:ascii="Book Antiqua" w:eastAsia="SimSun" w:hAnsi="Book Antiqua" w:cs="SimSun"/>
          <w:sz w:val="24"/>
          <w:szCs w:val="24"/>
        </w:rPr>
        <w:t> 2016; </w:t>
      </w:r>
      <w:r w:rsidRPr="00723B55">
        <w:rPr>
          <w:rFonts w:ascii="Book Antiqua" w:eastAsia="SimSun" w:hAnsi="Book Antiqua" w:cs="SimSun"/>
          <w:b/>
          <w:bCs/>
          <w:sz w:val="24"/>
          <w:szCs w:val="24"/>
        </w:rPr>
        <w:t>22</w:t>
      </w:r>
      <w:r w:rsidRPr="00723B55">
        <w:rPr>
          <w:rFonts w:ascii="Book Antiqua" w:eastAsia="SimSun" w:hAnsi="Book Antiqua" w:cs="SimSun"/>
          <w:sz w:val="24"/>
          <w:szCs w:val="24"/>
        </w:rPr>
        <w:t>: 1670-1678 [PMID: 27306073 DOI: 10.1097/MIB.0000000000000830]</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89 </w:t>
      </w:r>
      <w:r w:rsidRPr="00723B55">
        <w:rPr>
          <w:rFonts w:ascii="Book Antiqua" w:eastAsia="SimSun" w:hAnsi="Book Antiqua" w:cs="SimSun"/>
          <w:b/>
          <w:bCs/>
          <w:sz w:val="24"/>
          <w:szCs w:val="24"/>
        </w:rPr>
        <w:t>Rowe IA</w:t>
      </w:r>
      <w:r w:rsidRPr="00723B55">
        <w:rPr>
          <w:rFonts w:ascii="Book Antiqua" w:eastAsia="SimSun" w:hAnsi="Book Antiqua" w:cs="SimSun"/>
          <w:sz w:val="24"/>
          <w:szCs w:val="24"/>
        </w:rPr>
        <w:t>, Webb K, Gunson BK, Mehta N, Haque S, Neuberger J. The impact of disease recurrence on graft survival following liver transplantation: a single centre experience. </w:t>
      </w:r>
      <w:r w:rsidRPr="00723B55">
        <w:rPr>
          <w:rFonts w:ascii="Book Antiqua" w:eastAsia="SimSun" w:hAnsi="Book Antiqua" w:cs="SimSun"/>
          <w:i/>
          <w:iCs/>
          <w:sz w:val="24"/>
          <w:szCs w:val="24"/>
        </w:rPr>
        <w:t>Transpl Int</w:t>
      </w:r>
      <w:r w:rsidRPr="00723B55">
        <w:rPr>
          <w:rFonts w:ascii="Book Antiqua" w:eastAsia="SimSun" w:hAnsi="Book Antiqua" w:cs="SimSun"/>
          <w:sz w:val="24"/>
          <w:szCs w:val="24"/>
        </w:rPr>
        <w:t> 2008; </w:t>
      </w:r>
      <w:r w:rsidRPr="00723B55">
        <w:rPr>
          <w:rFonts w:ascii="Book Antiqua" w:eastAsia="SimSun" w:hAnsi="Book Antiqua" w:cs="SimSun"/>
          <w:b/>
          <w:bCs/>
          <w:sz w:val="24"/>
          <w:szCs w:val="24"/>
        </w:rPr>
        <w:t>21</w:t>
      </w:r>
      <w:r w:rsidRPr="00723B55">
        <w:rPr>
          <w:rFonts w:ascii="Book Antiqua" w:eastAsia="SimSun" w:hAnsi="Book Antiqua" w:cs="SimSun"/>
          <w:sz w:val="24"/>
          <w:szCs w:val="24"/>
        </w:rPr>
        <w:t>: 459-465 [PMID: 18225996 DOI: 10.1111/j.1432-2277.2007.00628.x]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90 </w:t>
      </w:r>
      <w:r w:rsidRPr="00723B55">
        <w:rPr>
          <w:rFonts w:ascii="Book Antiqua" w:eastAsia="SimSun" w:hAnsi="Book Antiqua" w:cs="SimSun"/>
          <w:b/>
          <w:bCs/>
          <w:sz w:val="24"/>
          <w:szCs w:val="24"/>
        </w:rPr>
        <w:t>McAlister VC</w:t>
      </w:r>
      <w:r w:rsidRPr="00723B55">
        <w:rPr>
          <w:rFonts w:ascii="Book Antiqua" w:eastAsia="SimSun" w:hAnsi="Book Antiqua" w:cs="SimSun"/>
          <w:sz w:val="24"/>
          <w:szCs w:val="24"/>
        </w:rPr>
        <w:t>, Haddad E, Renouf E, Malthaner RA, Kjaer MS, Gluud LL. Cyclosporin versus tacrolimus as primary immunosuppressant after liver transplantation: a meta-analysis. </w:t>
      </w:r>
      <w:r w:rsidRPr="00723B55">
        <w:rPr>
          <w:rFonts w:ascii="Book Antiqua" w:eastAsia="SimSun" w:hAnsi="Book Antiqua" w:cs="SimSun"/>
          <w:i/>
          <w:iCs/>
          <w:sz w:val="24"/>
          <w:szCs w:val="24"/>
        </w:rPr>
        <w:t>Am J Transplant</w:t>
      </w:r>
      <w:r w:rsidRPr="00723B55">
        <w:rPr>
          <w:rFonts w:ascii="Book Antiqua" w:eastAsia="SimSun" w:hAnsi="Book Antiqua" w:cs="SimSun"/>
          <w:sz w:val="24"/>
          <w:szCs w:val="24"/>
        </w:rPr>
        <w:t> 2006; </w:t>
      </w:r>
      <w:r w:rsidRPr="00723B55">
        <w:rPr>
          <w:rFonts w:ascii="Book Antiqua" w:eastAsia="SimSun" w:hAnsi="Book Antiqua" w:cs="SimSun"/>
          <w:b/>
          <w:bCs/>
          <w:sz w:val="24"/>
          <w:szCs w:val="24"/>
        </w:rPr>
        <w:t>6</w:t>
      </w:r>
      <w:r w:rsidRPr="00723B55">
        <w:rPr>
          <w:rFonts w:ascii="Book Antiqua" w:eastAsia="SimSun" w:hAnsi="Book Antiqua" w:cs="SimSun"/>
          <w:sz w:val="24"/>
          <w:szCs w:val="24"/>
        </w:rPr>
        <w:t>: 1578-1585 [PMID: 16827858 DOI: 10.1111/j.1600-6143.2006.01360.x]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91 </w:t>
      </w:r>
      <w:r w:rsidRPr="00723B55">
        <w:rPr>
          <w:rFonts w:ascii="Book Antiqua" w:eastAsia="SimSun" w:hAnsi="Book Antiqua" w:cs="SimSun"/>
          <w:b/>
          <w:bCs/>
          <w:sz w:val="24"/>
          <w:szCs w:val="24"/>
        </w:rPr>
        <w:t>Lal S</w:t>
      </w:r>
      <w:r w:rsidRPr="00723B55">
        <w:rPr>
          <w:rFonts w:ascii="Book Antiqua" w:eastAsia="SimSun" w:hAnsi="Book Antiqua" w:cs="SimSun"/>
          <w:sz w:val="24"/>
          <w:szCs w:val="24"/>
        </w:rPr>
        <w:t>, Steinhart AH. Infliximab for ulcerative colitis following liver transplantation. </w:t>
      </w:r>
      <w:r w:rsidRPr="00723B55">
        <w:rPr>
          <w:rFonts w:ascii="Book Antiqua" w:eastAsia="SimSun" w:hAnsi="Book Antiqua" w:cs="SimSun"/>
          <w:i/>
          <w:iCs/>
          <w:sz w:val="24"/>
          <w:szCs w:val="24"/>
        </w:rPr>
        <w:t>Eur J Gastroenterol Hepatol</w:t>
      </w:r>
      <w:r w:rsidRPr="00723B55">
        <w:rPr>
          <w:rFonts w:ascii="Book Antiqua" w:eastAsia="SimSun" w:hAnsi="Book Antiqua" w:cs="SimSun"/>
          <w:sz w:val="24"/>
          <w:szCs w:val="24"/>
        </w:rPr>
        <w:t> 2007; </w:t>
      </w:r>
      <w:r w:rsidRPr="00723B55">
        <w:rPr>
          <w:rFonts w:ascii="Book Antiqua" w:eastAsia="SimSun" w:hAnsi="Book Antiqua" w:cs="SimSun"/>
          <w:b/>
          <w:bCs/>
          <w:sz w:val="24"/>
          <w:szCs w:val="24"/>
        </w:rPr>
        <w:t>19</w:t>
      </w:r>
      <w:r w:rsidRPr="00723B55">
        <w:rPr>
          <w:rFonts w:ascii="Book Antiqua" w:eastAsia="SimSun" w:hAnsi="Book Antiqua" w:cs="SimSun"/>
          <w:sz w:val="24"/>
          <w:szCs w:val="24"/>
        </w:rPr>
        <w:t>: 277-280 [PMID: 17301656]</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92 </w:t>
      </w:r>
      <w:r w:rsidRPr="00723B55">
        <w:rPr>
          <w:rFonts w:ascii="Book Antiqua" w:eastAsia="SimSun" w:hAnsi="Book Antiqua" w:cs="SimSun"/>
          <w:b/>
          <w:bCs/>
          <w:sz w:val="24"/>
          <w:szCs w:val="24"/>
        </w:rPr>
        <w:t>Garrouste C</w:t>
      </w:r>
      <w:r w:rsidRPr="00723B55">
        <w:rPr>
          <w:rFonts w:ascii="Book Antiqua" w:eastAsia="SimSun" w:hAnsi="Book Antiqua" w:cs="SimSun"/>
          <w:sz w:val="24"/>
          <w:szCs w:val="24"/>
        </w:rPr>
        <w:t>, Anglicheau D, Kamar N, Bachelier C, Rivalan J, Pereira B, Caillard S, Aniort J, Gatault P, Soubrier M, Sayegh J, Colosio C, Buisson A, Thervet E, Bouvier N, Heng AE. Anti-TNFα therapy for chronic inflammatory disease in kidney transplant recipients: Clinical outcomes. </w:t>
      </w:r>
      <w:r w:rsidRPr="00723B55">
        <w:rPr>
          <w:rFonts w:ascii="Book Antiqua" w:eastAsia="SimSun" w:hAnsi="Book Antiqua" w:cs="SimSun"/>
          <w:i/>
          <w:iCs/>
          <w:sz w:val="24"/>
          <w:szCs w:val="24"/>
        </w:rPr>
        <w:t xml:space="preserve">Medicine </w:t>
      </w:r>
      <w:r w:rsidRPr="00723B55">
        <w:rPr>
          <w:rFonts w:ascii="Book Antiqua" w:eastAsia="SimSun" w:hAnsi="Book Antiqua" w:cs="SimSun"/>
          <w:iCs/>
          <w:sz w:val="24"/>
          <w:szCs w:val="24"/>
        </w:rPr>
        <w:t>(Baltimore)</w:t>
      </w:r>
      <w:r w:rsidRPr="00723B55">
        <w:rPr>
          <w:rFonts w:ascii="Book Antiqua" w:eastAsia="SimSun" w:hAnsi="Book Antiqua" w:cs="SimSun"/>
          <w:sz w:val="24"/>
          <w:szCs w:val="24"/>
        </w:rPr>
        <w:t> 2016; </w:t>
      </w:r>
      <w:r w:rsidRPr="00723B55">
        <w:rPr>
          <w:rFonts w:ascii="Book Antiqua" w:eastAsia="SimSun" w:hAnsi="Book Antiqua" w:cs="SimSun"/>
          <w:b/>
          <w:bCs/>
          <w:sz w:val="24"/>
          <w:szCs w:val="24"/>
        </w:rPr>
        <w:t>95</w:t>
      </w:r>
      <w:r w:rsidRPr="00723B55">
        <w:rPr>
          <w:rFonts w:ascii="Book Antiqua" w:eastAsia="SimSun" w:hAnsi="Book Antiqua" w:cs="SimSun"/>
          <w:sz w:val="24"/>
          <w:szCs w:val="24"/>
        </w:rPr>
        <w:t>: e5108 [PMID: 27741127 DOI: 10.1097/MD.0000000000005108]</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93 </w:t>
      </w:r>
      <w:r w:rsidRPr="00723B55">
        <w:rPr>
          <w:rFonts w:ascii="Book Antiqua" w:eastAsia="SimSun" w:hAnsi="Book Antiqua" w:cs="SimSun"/>
          <w:b/>
          <w:bCs/>
          <w:sz w:val="24"/>
          <w:szCs w:val="24"/>
        </w:rPr>
        <w:t>El-Nachef N</w:t>
      </w:r>
      <w:r w:rsidRPr="00723B55">
        <w:rPr>
          <w:rFonts w:ascii="Book Antiqua" w:eastAsia="SimSun" w:hAnsi="Book Antiqua" w:cs="SimSun"/>
          <w:sz w:val="24"/>
          <w:szCs w:val="24"/>
        </w:rPr>
        <w:t>, Terdiman J, Mahadevan U. Anti-tumor necrosis factor therapy for inflammatory bowel disease in the setting of immunosuppression for solid organ transplantation. </w:t>
      </w:r>
      <w:r w:rsidRPr="00723B55">
        <w:rPr>
          <w:rFonts w:ascii="Book Antiqua" w:eastAsia="SimSun" w:hAnsi="Book Antiqua" w:cs="SimSun"/>
          <w:i/>
          <w:iCs/>
          <w:sz w:val="24"/>
          <w:szCs w:val="24"/>
        </w:rPr>
        <w:t>Am J Gastroenterol</w:t>
      </w:r>
      <w:r w:rsidRPr="00723B55">
        <w:rPr>
          <w:rFonts w:ascii="Book Antiqua" w:eastAsia="SimSun" w:hAnsi="Book Antiqua" w:cs="SimSun"/>
          <w:sz w:val="24"/>
          <w:szCs w:val="24"/>
        </w:rPr>
        <w:t> 2010; </w:t>
      </w:r>
      <w:r w:rsidRPr="00723B55">
        <w:rPr>
          <w:rFonts w:ascii="Book Antiqua" w:eastAsia="SimSun" w:hAnsi="Book Antiqua" w:cs="SimSun"/>
          <w:b/>
          <w:bCs/>
          <w:sz w:val="24"/>
          <w:szCs w:val="24"/>
        </w:rPr>
        <w:t>105</w:t>
      </w:r>
      <w:r w:rsidRPr="00723B55">
        <w:rPr>
          <w:rFonts w:ascii="Book Antiqua" w:eastAsia="SimSun" w:hAnsi="Book Antiqua" w:cs="SimSun"/>
          <w:sz w:val="24"/>
          <w:szCs w:val="24"/>
        </w:rPr>
        <w:t>: 1210-1211 [PMID: 20445523 DOI: 10.1038/ajg.2010.33]</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94 </w:t>
      </w:r>
      <w:r w:rsidRPr="00723B55">
        <w:rPr>
          <w:rFonts w:ascii="Book Antiqua" w:eastAsia="SimSun" w:hAnsi="Book Antiqua" w:cs="SimSun"/>
          <w:b/>
          <w:bCs/>
          <w:sz w:val="24"/>
          <w:szCs w:val="24"/>
        </w:rPr>
        <w:t>Mohabbat AB</w:t>
      </w:r>
      <w:r w:rsidRPr="00723B55">
        <w:rPr>
          <w:rFonts w:ascii="Book Antiqua" w:eastAsia="SimSun" w:hAnsi="Book Antiqua" w:cs="SimSun"/>
          <w:sz w:val="24"/>
          <w:szCs w:val="24"/>
        </w:rPr>
        <w:t>, Sandborn WJ, Loftus EV, Wiesner RH, Bruining DH. Anti-tumour necrosis factor treatment of inflammatory bowel disease in liver transplant recipients. </w:t>
      </w:r>
      <w:r w:rsidRPr="00723B55">
        <w:rPr>
          <w:rFonts w:ascii="Book Antiqua" w:eastAsia="SimSun" w:hAnsi="Book Antiqua" w:cs="SimSun"/>
          <w:i/>
          <w:iCs/>
          <w:sz w:val="24"/>
          <w:szCs w:val="24"/>
        </w:rPr>
        <w:t>Aliment Pharmacol Ther</w:t>
      </w:r>
      <w:r w:rsidRPr="00723B55">
        <w:rPr>
          <w:rFonts w:ascii="Book Antiqua" w:eastAsia="SimSun" w:hAnsi="Book Antiqua" w:cs="SimSun"/>
          <w:sz w:val="24"/>
          <w:szCs w:val="24"/>
        </w:rPr>
        <w:t> 2012; </w:t>
      </w:r>
      <w:r w:rsidRPr="00723B55">
        <w:rPr>
          <w:rFonts w:ascii="Book Antiqua" w:eastAsia="SimSun" w:hAnsi="Book Antiqua" w:cs="SimSun"/>
          <w:b/>
          <w:bCs/>
          <w:sz w:val="24"/>
          <w:szCs w:val="24"/>
        </w:rPr>
        <w:t>36</w:t>
      </w:r>
      <w:r w:rsidRPr="00723B55">
        <w:rPr>
          <w:rFonts w:ascii="Book Antiqua" w:eastAsia="SimSun" w:hAnsi="Book Antiqua" w:cs="SimSun"/>
          <w:sz w:val="24"/>
          <w:szCs w:val="24"/>
        </w:rPr>
        <w:t>: 569-574 [PMID: 22779779 DOI: 10.1111/j.1365-2036.2012.05217.x]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lastRenderedPageBreak/>
        <w:t>95 </w:t>
      </w:r>
      <w:r w:rsidRPr="00723B55">
        <w:rPr>
          <w:rFonts w:ascii="Book Antiqua" w:eastAsia="SimSun" w:hAnsi="Book Antiqua" w:cs="SimSun"/>
          <w:b/>
          <w:bCs/>
          <w:sz w:val="24"/>
          <w:szCs w:val="24"/>
        </w:rPr>
        <w:t>Sandhu A</w:t>
      </w:r>
      <w:r w:rsidRPr="00723B55">
        <w:rPr>
          <w:rFonts w:ascii="Book Antiqua" w:eastAsia="SimSun" w:hAnsi="Book Antiqua" w:cs="SimSun"/>
          <w:sz w:val="24"/>
          <w:szCs w:val="24"/>
        </w:rPr>
        <w:t>, Alameel T, Dale CH, Levstik M, Chande N. The safety and efficacy of antitumour necrosis factor-alpha therapy for inflammatory bowel disease in patients post liver transplantation: a case series. </w:t>
      </w:r>
      <w:r w:rsidRPr="00723B55">
        <w:rPr>
          <w:rFonts w:ascii="Book Antiqua" w:eastAsia="SimSun" w:hAnsi="Book Antiqua" w:cs="SimSun"/>
          <w:i/>
          <w:iCs/>
          <w:sz w:val="24"/>
          <w:szCs w:val="24"/>
        </w:rPr>
        <w:t>Aliment Pharmacol Ther</w:t>
      </w:r>
      <w:r w:rsidRPr="00723B55">
        <w:rPr>
          <w:rFonts w:ascii="Book Antiqua" w:eastAsia="SimSun" w:hAnsi="Book Antiqua" w:cs="SimSun"/>
          <w:sz w:val="24"/>
          <w:szCs w:val="24"/>
        </w:rPr>
        <w:t> 2012; </w:t>
      </w:r>
      <w:r w:rsidRPr="00723B55">
        <w:rPr>
          <w:rFonts w:ascii="Book Antiqua" w:eastAsia="SimSun" w:hAnsi="Book Antiqua" w:cs="SimSun"/>
          <w:b/>
          <w:bCs/>
          <w:sz w:val="24"/>
          <w:szCs w:val="24"/>
        </w:rPr>
        <w:t>36</w:t>
      </w:r>
      <w:r w:rsidRPr="00723B55">
        <w:rPr>
          <w:rFonts w:ascii="Book Antiqua" w:eastAsia="SimSun" w:hAnsi="Book Antiqua" w:cs="SimSun"/>
          <w:sz w:val="24"/>
          <w:szCs w:val="24"/>
        </w:rPr>
        <w:t>: 159-165 [PMID: 22616981 DOI: 10.1111/j.1365-2036.2012.05141.x]</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96 </w:t>
      </w:r>
      <w:r w:rsidRPr="00723B55">
        <w:rPr>
          <w:rFonts w:ascii="Book Antiqua" w:eastAsia="SimSun" w:hAnsi="Book Antiqua" w:cs="SimSun"/>
          <w:b/>
          <w:bCs/>
          <w:sz w:val="24"/>
          <w:szCs w:val="24"/>
        </w:rPr>
        <w:t>Indriolo A</w:t>
      </w:r>
      <w:r w:rsidRPr="00723B55">
        <w:rPr>
          <w:rFonts w:ascii="Book Antiqua" w:eastAsia="SimSun" w:hAnsi="Book Antiqua" w:cs="SimSun"/>
          <w:sz w:val="24"/>
          <w:szCs w:val="24"/>
        </w:rPr>
        <w:t>, Fagiuoli S, Pasulo L, Fiorino G, Danese S, Ravelli P. Letter: infliximab therapy in inflammatory bowel disease patients after liver transplantation. </w:t>
      </w:r>
      <w:r w:rsidRPr="00723B55">
        <w:rPr>
          <w:rFonts w:ascii="Book Antiqua" w:eastAsia="SimSun" w:hAnsi="Book Antiqua" w:cs="SimSun"/>
          <w:i/>
          <w:iCs/>
          <w:sz w:val="24"/>
          <w:szCs w:val="24"/>
        </w:rPr>
        <w:t>Aliment Pharmacol Ther</w:t>
      </w:r>
      <w:r w:rsidRPr="00723B55">
        <w:rPr>
          <w:rFonts w:ascii="Book Antiqua" w:eastAsia="SimSun" w:hAnsi="Book Antiqua" w:cs="SimSun"/>
          <w:sz w:val="24"/>
          <w:szCs w:val="24"/>
        </w:rPr>
        <w:t> 2013; </w:t>
      </w:r>
      <w:r w:rsidRPr="00723B55">
        <w:rPr>
          <w:rFonts w:ascii="Book Antiqua" w:eastAsia="SimSun" w:hAnsi="Book Antiqua" w:cs="SimSun"/>
          <w:b/>
          <w:bCs/>
          <w:sz w:val="24"/>
          <w:szCs w:val="24"/>
        </w:rPr>
        <w:t>37</w:t>
      </w:r>
      <w:r w:rsidRPr="00723B55">
        <w:rPr>
          <w:rFonts w:ascii="Book Antiqua" w:eastAsia="SimSun" w:hAnsi="Book Antiqua" w:cs="SimSun"/>
          <w:sz w:val="24"/>
          <w:szCs w:val="24"/>
        </w:rPr>
        <w:t>: 840-842 [PMID: 23496317 DOI: 10.1111/apt.12256]</w:t>
      </w:r>
    </w:p>
    <w:p w:rsidR="00733EDB" w:rsidRPr="00723B55" w:rsidRDefault="00733EDB" w:rsidP="00313A7D">
      <w:pPr>
        <w:spacing w:after="0" w:line="360" w:lineRule="auto"/>
        <w:jc w:val="both"/>
        <w:rPr>
          <w:rFonts w:ascii="Book Antiqua" w:eastAsia="SimSun" w:hAnsi="Book Antiqua" w:cs="SimSun"/>
          <w:sz w:val="24"/>
          <w:szCs w:val="24"/>
        </w:rPr>
      </w:pPr>
      <w:r w:rsidRPr="00723B55">
        <w:rPr>
          <w:rFonts w:ascii="Book Antiqua" w:eastAsia="SimSun" w:hAnsi="Book Antiqua" w:cs="SimSun"/>
          <w:sz w:val="24"/>
          <w:szCs w:val="24"/>
        </w:rPr>
        <w:t>97 </w:t>
      </w:r>
      <w:r w:rsidRPr="00723B55">
        <w:rPr>
          <w:rFonts w:ascii="Book Antiqua" w:eastAsia="SimSun" w:hAnsi="Book Antiqua" w:cs="SimSun"/>
          <w:b/>
          <w:bCs/>
          <w:sz w:val="24"/>
          <w:szCs w:val="24"/>
        </w:rPr>
        <w:t>Pavlidis P</w:t>
      </w:r>
      <w:r w:rsidRPr="00723B55">
        <w:rPr>
          <w:rFonts w:ascii="Book Antiqua" w:eastAsia="SimSun" w:hAnsi="Book Antiqua" w:cs="SimSun"/>
          <w:sz w:val="24"/>
          <w:szCs w:val="24"/>
        </w:rPr>
        <w:t>, Potts J, Barnabas A, Heaton N, Bjarnason I, Heneghan M, Hayee B. Antitumor necrosis α treatment in primary sclerosing cholangitis associated inflammatory bowel disease after liver transplantation. </w:t>
      </w:r>
      <w:r w:rsidRPr="00723B55">
        <w:rPr>
          <w:rFonts w:ascii="Book Antiqua" w:eastAsia="SimSun" w:hAnsi="Book Antiqua" w:cs="SimSun"/>
          <w:i/>
          <w:iCs/>
          <w:sz w:val="24"/>
          <w:szCs w:val="24"/>
        </w:rPr>
        <w:t>Liver Transpl</w:t>
      </w:r>
      <w:r w:rsidRPr="00723B55">
        <w:rPr>
          <w:rFonts w:ascii="Book Antiqua" w:eastAsia="SimSun" w:hAnsi="Book Antiqua" w:cs="SimSun"/>
          <w:sz w:val="24"/>
          <w:szCs w:val="24"/>
        </w:rPr>
        <w:t> 2015; </w:t>
      </w:r>
      <w:r w:rsidRPr="00723B55">
        <w:rPr>
          <w:rFonts w:ascii="Book Antiqua" w:eastAsia="SimSun" w:hAnsi="Book Antiqua" w:cs="SimSun"/>
          <w:b/>
          <w:bCs/>
          <w:sz w:val="24"/>
          <w:szCs w:val="24"/>
        </w:rPr>
        <w:t>21</w:t>
      </w:r>
      <w:r w:rsidRPr="00723B55">
        <w:rPr>
          <w:rFonts w:ascii="Book Antiqua" w:eastAsia="SimSun" w:hAnsi="Book Antiqua" w:cs="SimSun"/>
          <w:sz w:val="24"/>
          <w:szCs w:val="24"/>
        </w:rPr>
        <w:t>: 1455-1456 [PMID: 26175058 DOI: 10.1002/lt.24212]</w:t>
      </w:r>
    </w:p>
    <w:p w:rsidR="00733EDB" w:rsidRPr="00392036" w:rsidRDefault="00733EDB" w:rsidP="00313A7D">
      <w:pPr>
        <w:spacing w:after="0" w:line="360" w:lineRule="auto"/>
        <w:jc w:val="both"/>
        <w:rPr>
          <w:rFonts w:ascii="Book Antiqua" w:hAnsi="Book Antiqua"/>
          <w:color w:val="000000" w:themeColor="text1"/>
          <w:sz w:val="24"/>
          <w:szCs w:val="24"/>
          <w:lang w:eastAsia="zh-CN"/>
        </w:rPr>
      </w:pPr>
    </w:p>
    <w:p w:rsidR="00392036" w:rsidRPr="00392036" w:rsidRDefault="00392036" w:rsidP="00313A7D">
      <w:pPr>
        <w:spacing w:after="0" w:line="360" w:lineRule="auto"/>
        <w:rPr>
          <w:rFonts w:ascii="Book Antiqua" w:eastAsia="SimSun" w:hAnsi="Book Antiqua"/>
          <w:b/>
          <w:bCs/>
          <w:color w:val="000000"/>
          <w:lang w:eastAsia="zh-CN"/>
        </w:rPr>
      </w:pPr>
      <w:r w:rsidRPr="00392036">
        <w:rPr>
          <w:rStyle w:val="Strong"/>
          <w:rFonts w:ascii="Book Antiqua" w:hAnsi="Book Antiqua" w:cs="Arial"/>
          <w:bCs w:val="0"/>
          <w:noProof/>
          <w:color w:val="000000"/>
        </w:rPr>
        <w:t>P-Reviewer</w:t>
      </w:r>
      <w:r w:rsidRPr="00392036">
        <w:rPr>
          <w:rStyle w:val="Strong"/>
          <w:rFonts w:ascii="Book Antiqua" w:eastAsia="SimSun" w:hAnsi="Book Antiqua" w:cs="Arial"/>
          <w:bCs w:val="0"/>
          <w:noProof/>
          <w:color w:val="000000"/>
          <w:lang w:eastAsia="zh-CN"/>
        </w:rPr>
        <w:t>:</w:t>
      </w:r>
      <w:r w:rsidRPr="00392036">
        <w:rPr>
          <w:rFonts w:ascii="Book Antiqua" w:hAnsi="Book Antiqua"/>
          <w:bCs/>
          <w:color w:val="000000"/>
        </w:rPr>
        <w:t xml:space="preserve"> </w:t>
      </w:r>
      <w:r w:rsidR="00313A7D" w:rsidRPr="00313A7D">
        <w:rPr>
          <w:rFonts w:ascii="Book Antiqua" w:hAnsi="Book Antiqua"/>
          <w:bCs/>
          <w:color w:val="000000"/>
        </w:rPr>
        <w:t>Sparrow</w:t>
      </w:r>
      <w:r w:rsidR="00313A7D">
        <w:rPr>
          <w:rFonts w:ascii="Book Antiqua" w:hAnsi="Book Antiqua" w:hint="eastAsia"/>
          <w:bCs/>
          <w:color w:val="000000"/>
          <w:lang w:eastAsia="zh-CN"/>
        </w:rPr>
        <w:t xml:space="preserve"> MP</w:t>
      </w:r>
      <w:r w:rsidRPr="00392036">
        <w:rPr>
          <w:rFonts w:ascii="Book Antiqua" w:hAnsi="Book Antiqua"/>
          <w:bCs/>
          <w:color w:val="000000"/>
        </w:rPr>
        <w:t xml:space="preserve">   </w:t>
      </w:r>
      <w:r w:rsidRPr="00392036">
        <w:rPr>
          <w:rFonts w:ascii="Book Antiqua" w:hAnsi="Book Antiqua"/>
          <w:b/>
          <w:bCs/>
          <w:color w:val="000000"/>
        </w:rPr>
        <w:t>S-Editor</w:t>
      </w:r>
      <w:r w:rsidRPr="00392036">
        <w:rPr>
          <w:rFonts w:ascii="Book Antiqua" w:eastAsia="SimSun" w:hAnsi="Book Antiqua"/>
          <w:b/>
          <w:bCs/>
          <w:color w:val="000000"/>
          <w:lang w:eastAsia="zh-CN"/>
        </w:rPr>
        <w:t>:</w:t>
      </w:r>
      <w:r w:rsidRPr="00392036">
        <w:rPr>
          <w:rFonts w:ascii="Book Antiqua" w:hAnsi="Book Antiqua"/>
          <w:bCs/>
          <w:color w:val="000000"/>
        </w:rPr>
        <w:t xml:space="preserve"> </w:t>
      </w:r>
      <w:r w:rsidRPr="00392036">
        <w:rPr>
          <w:rFonts w:ascii="Book Antiqua" w:eastAsia="SimSun" w:hAnsi="Book Antiqua"/>
          <w:bCs/>
          <w:color w:val="000000"/>
          <w:lang w:eastAsia="zh-CN"/>
        </w:rPr>
        <w:t>Qi Y</w:t>
      </w:r>
      <w:r w:rsidRPr="00392036">
        <w:rPr>
          <w:rFonts w:ascii="Book Antiqua" w:hAnsi="Book Antiqua"/>
          <w:b/>
          <w:bCs/>
          <w:color w:val="000000"/>
        </w:rPr>
        <w:t xml:space="preserve">   L-Editor</w:t>
      </w:r>
      <w:r w:rsidRPr="00392036">
        <w:rPr>
          <w:rFonts w:ascii="Book Antiqua" w:eastAsia="SimSun" w:hAnsi="Book Antiqua"/>
          <w:b/>
          <w:bCs/>
          <w:color w:val="000000"/>
          <w:lang w:eastAsia="zh-CN"/>
        </w:rPr>
        <w:t>:</w:t>
      </w:r>
      <w:r w:rsidRPr="00392036">
        <w:rPr>
          <w:rFonts w:ascii="Book Antiqua" w:hAnsi="Book Antiqua"/>
          <w:b/>
          <w:bCs/>
          <w:color w:val="000000"/>
        </w:rPr>
        <w:t xml:space="preserve">   E-Editor</w:t>
      </w:r>
      <w:r w:rsidRPr="00392036">
        <w:rPr>
          <w:rFonts w:ascii="Book Antiqua" w:eastAsia="SimSun" w:hAnsi="Book Antiqua"/>
          <w:b/>
          <w:bCs/>
          <w:color w:val="000000"/>
          <w:lang w:eastAsia="zh-CN"/>
        </w:rPr>
        <w:t>:</w:t>
      </w:r>
    </w:p>
    <w:p w:rsidR="00392036" w:rsidRPr="008F0DB6" w:rsidRDefault="00392036" w:rsidP="00313A7D">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392036" w:rsidRPr="008F0DB6" w:rsidRDefault="00392036" w:rsidP="00313A7D">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313A7D" w:rsidRPr="00392036">
        <w:rPr>
          <w:rFonts w:ascii="Book Antiqua" w:hAnsi="Book Antiqua"/>
          <w:color w:val="000000" w:themeColor="text1"/>
          <w:sz w:val="24"/>
          <w:szCs w:val="24"/>
        </w:rPr>
        <w:t>Croatia</w:t>
      </w:r>
    </w:p>
    <w:p w:rsidR="00392036" w:rsidRPr="008F0DB6" w:rsidRDefault="00392036" w:rsidP="00313A7D">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rsidR="00392036" w:rsidRPr="008F0DB6" w:rsidRDefault="00392036" w:rsidP="00313A7D">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w:t>
      </w:r>
      <w:proofErr w:type="gramStart"/>
      <w:r w:rsidRPr="008F0DB6">
        <w:rPr>
          <w:rFonts w:ascii="Book Antiqua" w:hAnsi="Book Antiqua" w:cs="Helvetica"/>
          <w:sz w:val="24"/>
        </w:rPr>
        <w:t>A</w:t>
      </w:r>
      <w:proofErr w:type="gramEnd"/>
      <w:r w:rsidRPr="008F0DB6">
        <w:rPr>
          <w:rFonts w:ascii="Book Antiqua" w:hAnsi="Book Antiqua" w:cs="Helvetica"/>
          <w:sz w:val="24"/>
        </w:rPr>
        <w:t xml:space="preserve"> (Excellent): </w:t>
      </w:r>
      <w:r w:rsidR="00313A7D">
        <w:rPr>
          <w:rFonts w:ascii="Book Antiqua" w:hAnsi="Book Antiqua" w:cs="Helvetica" w:hint="eastAsia"/>
          <w:sz w:val="24"/>
          <w:lang w:eastAsia="zh-CN"/>
        </w:rPr>
        <w:t>A</w:t>
      </w:r>
    </w:p>
    <w:p w:rsidR="00392036" w:rsidRPr="008F0DB6" w:rsidRDefault="00392036" w:rsidP="00313A7D">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392036" w:rsidRPr="008F0DB6" w:rsidRDefault="00392036" w:rsidP="00313A7D">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rsidR="00392036" w:rsidRPr="008F0DB6" w:rsidRDefault="00392036" w:rsidP="00313A7D">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392036" w:rsidRPr="008F0DB6" w:rsidRDefault="00392036" w:rsidP="00313A7D">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4C29DB" w:rsidRPr="00392036" w:rsidRDefault="004C29DB" w:rsidP="00313A7D">
      <w:pPr>
        <w:spacing w:after="0"/>
        <w:rPr>
          <w:rFonts w:ascii="Book Antiqua" w:hAnsi="Book Antiqua"/>
          <w:color w:val="000000" w:themeColor="text1"/>
          <w:sz w:val="24"/>
          <w:szCs w:val="24"/>
        </w:rPr>
      </w:pPr>
      <w:r w:rsidRPr="00392036">
        <w:rPr>
          <w:rFonts w:ascii="Book Antiqua" w:hAnsi="Book Antiqua"/>
          <w:color w:val="000000" w:themeColor="text1"/>
          <w:sz w:val="24"/>
          <w:szCs w:val="24"/>
        </w:rPr>
        <w:br w:type="page"/>
      </w:r>
    </w:p>
    <w:p w:rsidR="00077B32" w:rsidRPr="00392036" w:rsidRDefault="00077B32" w:rsidP="00313A7D">
      <w:pPr>
        <w:spacing w:after="0" w:line="360" w:lineRule="auto"/>
        <w:jc w:val="both"/>
        <w:rPr>
          <w:rFonts w:ascii="Book Antiqua" w:hAnsi="Book Antiqua"/>
          <w:b/>
          <w:color w:val="000000" w:themeColor="text1"/>
          <w:sz w:val="24"/>
          <w:szCs w:val="24"/>
          <w:lang w:eastAsia="zh-CN"/>
        </w:rPr>
      </w:pPr>
      <w:r w:rsidRPr="00392036">
        <w:rPr>
          <w:rFonts w:ascii="Book Antiqua" w:hAnsi="Book Antiqua"/>
          <w:b/>
          <w:color w:val="000000" w:themeColor="text1"/>
          <w:sz w:val="24"/>
          <w:szCs w:val="24"/>
        </w:rPr>
        <w:lastRenderedPageBreak/>
        <w:t>Table 1</w:t>
      </w:r>
      <w:r w:rsidR="004C29DB" w:rsidRPr="00392036">
        <w:rPr>
          <w:rFonts w:ascii="Book Antiqua" w:hAnsi="Book Antiqua"/>
          <w:b/>
          <w:color w:val="000000" w:themeColor="text1"/>
          <w:sz w:val="24"/>
          <w:szCs w:val="24"/>
          <w:lang w:eastAsia="zh-CN"/>
        </w:rPr>
        <w:t xml:space="preserve"> </w:t>
      </w:r>
      <w:r w:rsidRPr="00392036">
        <w:rPr>
          <w:rFonts w:ascii="Book Antiqua" w:hAnsi="Book Antiqua"/>
          <w:b/>
          <w:color w:val="000000" w:themeColor="text1"/>
          <w:sz w:val="24"/>
          <w:szCs w:val="24"/>
          <w:shd w:val="clear" w:color="auto" w:fill="FFFFFF"/>
        </w:rPr>
        <w:t xml:space="preserve">Efficacy of immunosuppressive and </w:t>
      </w:r>
      <w:r w:rsidR="004C29DB" w:rsidRPr="00392036">
        <w:rPr>
          <w:rFonts w:ascii="Book Antiqua" w:hAnsi="Book Antiqua"/>
          <w:b/>
          <w:color w:val="000000" w:themeColor="text1"/>
          <w:sz w:val="24"/>
          <w:szCs w:val="24"/>
          <w:shd w:val="clear" w:color="auto" w:fill="FFFFFF"/>
        </w:rPr>
        <w:t xml:space="preserve">inflammatory bowel disease </w:t>
      </w:r>
      <w:r w:rsidRPr="00392036">
        <w:rPr>
          <w:rFonts w:ascii="Book Antiqua" w:hAnsi="Book Antiqua"/>
          <w:b/>
          <w:color w:val="000000" w:themeColor="text1"/>
          <w:sz w:val="24"/>
          <w:szCs w:val="24"/>
          <w:shd w:val="clear" w:color="auto" w:fill="FFFFFF"/>
        </w:rPr>
        <w:t xml:space="preserve">treatment after </w:t>
      </w:r>
      <w:r w:rsidR="00392036" w:rsidRPr="00392036">
        <w:rPr>
          <w:rFonts w:ascii="Book Antiqua" w:hAnsi="Book Antiqua"/>
          <w:b/>
          <w:color w:val="000000" w:themeColor="text1"/>
          <w:sz w:val="24"/>
          <w:szCs w:val="24"/>
          <w:shd w:val="clear" w:color="auto" w:fill="FFFFFF"/>
        </w:rPr>
        <w:t>liver transplant</w:t>
      </w:r>
    </w:p>
    <w:tbl>
      <w:tblPr>
        <w:tblStyle w:val="TableGrid"/>
        <w:tblW w:w="10031"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499"/>
        <w:gridCol w:w="1509"/>
        <w:gridCol w:w="1569"/>
        <w:gridCol w:w="1768"/>
        <w:gridCol w:w="2410"/>
        <w:gridCol w:w="1276"/>
      </w:tblGrid>
      <w:tr w:rsidR="00B74FFE" w:rsidRPr="00392036" w:rsidTr="00392036">
        <w:tc>
          <w:tcPr>
            <w:tcW w:w="1499" w:type="dxa"/>
            <w:tcBorders>
              <w:top w:val="single" w:sz="4" w:space="0" w:color="000000" w:themeColor="text1"/>
              <w:bottom w:val="single" w:sz="4" w:space="0" w:color="000000" w:themeColor="text1"/>
            </w:tcBorders>
          </w:tcPr>
          <w:p w:rsidR="00077B32" w:rsidRPr="00392036" w:rsidRDefault="00077B32" w:rsidP="00313A7D">
            <w:pPr>
              <w:spacing w:line="360" w:lineRule="auto"/>
              <w:jc w:val="both"/>
              <w:rPr>
                <w:rFonts w:ascii="Book Antiqua" w:hAnsi="Book Antiqua"/>
                <w:b/>
                <w:color w:val="000000" w:themeColor="text1"/>
              </w:rPr>
            </w:pPr>
            <w:r w:rsidRPr="00392036">
              <w:rPr>
                <w:rFonts w:ascii="Book Antiqua" w:hAnsi="Book Antiqua"/>
                <w:b/>
                <w:color w:val="000000" w:themeColor="text1"/>
              </w:rPr>
              <w:t>Drug</w:t>
            </w:r>
          </w:p>
        </w:tc>
        <w:tc>
          <w:tcPr>
            <w:tcW w:w="1509" w:type="dxa"/>
            <w:tcBorders>
              <w:top w:val="single" w:sz="4" w:space="0" w:color="000000" w:themeColor="text1"/>
              <w:bottom w:val="single" w:sz="4" w:space="0" w:color="000000" w:themeColor="text1"/>
            </w:tcBorders>
          </w:tcPr>
          <w:p w:rsidR="00077B32" w:rsidRPr="00392036" w:rsidRDefault="00077B32" w:rsidP="00313A7D">
            <w:pPr>
              <w:spacing w:line="360" w:lineRule="auto"/>
              <w:jc w:val="both"/>
              <w:rPr>
                <w:rFonts w:ascii="Book Antiqua" w:hAnsi="Book Antiqua"/>
                <w:b/>
                <w:color w:val="000000" w:themeColor="text1"/>
              </w:rPr>
            </w:pPr>
            <w:r w:rsidRPr="00392036">
              <w:rPr>
                <w:rFonts w:ascii="Book Antiqua" w:hAnsi="Book Antiqua"/>
                <w:b/>
                <w:color w:val="000000" w:themeColor="text1"/>
              </w:rPr>
              <w:t>Anti-rejection therapy</w:t>
            </w:r>
          </w:p>
        </w:tc>
        <w:tc>
          <w:tcPr>
            <w:tcW w:w="1569" w:type="dxa"/>
            <w:tcBorders>
              <w:top w:val="single" w:sz="4" w:space="0" w:color="000000" w:themeColor="text1"/>
              <w:bottom w:val="single" w:sz="4" w:space="0" w:color="000000" w:themeColor="text1"/>
            </w:tcBorders>
          </w:tcPr>
          <w:p w:rsidR="00077B32" w:rsidRPr="00392036" w:rsidRDefault="00077B32" w:rsidP="00313A7D">
            <w:pPr>
              <w:spacing w:line="360" w:lineRule="auto"/>
              <w:jc w:val="both"/>
              <w:rPr>
                <w:rFonts w:ascii="Book Antiqua" w:hAnsi="Book Antiqua"/>
                <w:b/>
                <w:color w:val="000000" w:themeColor="text1"/>
              </w:rPr>
            </w:pPr>
            <w:r w:rsidRPr="00392036">
              <w:rPr>
                <w:rFonts w:ascii="Book Antiqua" w:hAnsi="Book Antiqua"/>
                <w:b/>
                <w:color w:val="000000" w:themeColor="text1"/>
              </w:rPr>
              <w:t xml:space="preserve">IBD </w:t>
            </w:r>
          </w:p>
          <w:p w:rsidR="00077B32" w:rsidRPr="00392036" w:rsidRDefault="00423923" w:rsidP="00313A7D">
            <w:pPr>
              <w:spacing w:line="360" w:lineRule="auto"/>
              <w:jc w:val="both"/>
              <w:rPr>
                <w:rFonts w:ascii="Book Antiqua" w:hAnsi="Book Antiqua"/>
                <w:b/>
                <w:color w:val="000000" w:themeColor="text1"/>
              </w:rPr>
            </w:pPr>
            <w:r w:rsidRPr="00392036">
              <w:rPr>
                <w:rFonts w:ascii="Book Antiqua" w:hAnsi="Book Antiqua"/>
                <w:b/>
                <w:color w:val="000000" w:themeColor="text1"/>
              </w:rPr>
              <w:t>t</w:t>
            </w:r>
            <w:r w:rsidR="00077B32" w:rsidRPr="00392036">
              <w:rPr>
                <w:rFonts w:ascii="Book Antiqua" w:hAnsi="Book Antiqua"/>
                <w:b/>
                <w:color w:val="000000" w:themeColor="text1"/>
              </w:rPr>
              <w:t>herapy</w:t>
            </w:r>
          </w:p>
        </w:tc>
        <w:tc>
          <w:tcPr>
            <w:tcW w:w="1768" w:type="dxa"/>
            <w:tcBorders>
              <w:top w:val="single" w:sz="4" w:space="0" w:color="000000" w:themeColor="text1"/>
              <w:bottom w:val="single" w:sz="4" w:space="0" w:color="000000" w:themeColor="text1"/>
            </w:tcBorders>
          </w:tcPr>
          <w:p w:rsidR="00077B32" w:rsidRPr="00392036" w:rsidRDefault="00077B32" w:rsidP="00313A7D">
            <w:pPr>
              <w:spacing w:line="360" w:lineRule="auto"/>
              <w:jc w:val="both"/>
              <w:rPr>
                <w:rFonts w:ascii="Book Antiqua" w:hAnsi="Book Antiqua"/>
                <w:b/>
                <w:color w:val="000000" w:themeColor="text1"/>
              </w:rPr>
            </w:pPr>
            <w:r w:rsidRPr="00392036">
              <w:rPr>
                <w:rFonts w:ascii="Book Antiqua" w:hAnsi="Book Antiqua"/>
                <w:b/>
                <w:color w:val="000000" w:themeColor="text1"/>
              </w:rPr>
              <w:t xml:space="preserve">IBD efficacy </w:t>
            </w:r>
          </w:p>
        </w:tc>
        <w:tc>
          <w:tcPr>
            <w:tcW w:w="2410" w:type="dxa"/>
            <w:tcBorders>
              <w:top w:val="single" w:sz="4" w:space="0" w:color="000000" w:themeColor="text1"/>
              <w:bottom w:val="single" w:sz="4" w:space="0" w:color="000000" w:themeColor="text1"/>
            </w:tcBorders>
          </w:tcPr>
          <w:p w:rsidR="00077B32" w:rsidRPr="00392036" w:rsidRDefault="00077B32" w:rsidP="00313A7D">
            <w:pPr>
              <w:spacing w:line="360" w:lineRule="auto"/>
              <w:jc w:val="both"/>
              <w:rPr>
                <w:rFonts w:ascii="Book Antiqua" w:hAnsi="Book Antiqua"/>
                <w:b/>
                <w:color w:val="000000" w:themeColor="text1"/>
              </w:rPr>
            </w:pPr>
            <w:r w:rsidRPr="00392036">
              <w:rPr>
                <w:rFonts w:ascii="Book Antiqua" w:hAnsi="Book Antiqua"/>
                <w:b/>
                <w:color w:val="000000" w:themeColor="text1"/>
              </w:rPr>
              <w:t>Potential risks</w:t>
            </w:r>
          </w:p>
        </w:tc>
        <w:tc>
          <w:tcPr>
            <w:tcW w:w="1276" w:type="dxa"/>
            <w:tcBorders>
              <w:top w:val="single" w:sz="4" w:space="0" w:color="000000" w:themeColor="text1"/>
              <w:bottom w:val="single" w:sz="4" w:space="0" w:color="000000" w:themeColor="text1"/>
            </w:tcBorders>
          </w:tcPr>
          <w:p w:rsidR="00077B32" w:rsidRPr="00392036" w:rsidRDefault="00077B32" w:rsidP="00313A7D">
            <w:pPr>
              <w:spacing w:line="360" w:lineRule="auto"/>
              <w:jc w:val="both"/>
              <w:rPr>
                <w:rFonts w:ascii="Book Antiqua" w:eastAsiaTheme="minorEastAsia" w:hAnsi="Book Antiqua"/>
                <w:b/>
                <w:color w:val="000000" w:themeColor="text1"/>
                <w:lang w:eastAsia="zh-CN"/>
              </w:rPr>
            </w:pPr>
            <w:r w:rsidRPr="00392036">
              <w:rPr>
                <w:rFonts w:ascii="Book Antiqua" w:hAnsi="Book Antiqua"/>
                <w:b/>
                <w:color w:val="000000" w:themeColor="text1"/>
              </w:rPr>
              <w:t>Ref</w:t>
            </w:r>
            <w:r w:rsidR="00392036" w:rsidRPr="00392036">
              <w:rPr>
                <w:rFonts w:ascii="Book Antiqua" w:eastAsiaTheme="minorEastAsia" w:hAnsi="Book Antiqua"/>
                <w:b/>
                <w:color w:val="000000" w:themeColor="text1"/>
                <w:lang w:eastAsia="zh-CN"/>
              </w:rPr>
              <w:t>.</w:t>
            </w:r>
          </w:p>
        </w:tc>
      </w:tr>
      <w:tr w:rsidR="00B74FFE" w:rsidRPr="00392036" w:rsidTr="00392036">
        <w:tc>
          <w:tcPr>
            <w:tcW w:w="1499" w:type="dxa"/>
            <w:tcBorders>
              <w:top w:val="single" w:sz="4" w:space="0" w:color="000000" w:themeColor="text1"/>
            </w:tcBorders>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Prednisone</w:t>
            </w:r>
          </w:p>
        </w:tc>
        <w:tc>
          <w:tcPr>
            <w:tcW w:w="1509" w:type="dxa"/>
            <w:tcBorders>
              <w:top w:val="single" w:sz="4" w:space="0" w:color="000000" w:themeColor="text1"/>
            </w:tcBorders>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Yes</w:t>
            </w:r>
          </w:p>
        </w:tc>
        <w:tc>
          <w:tcPr>
            <w:tcW w:w="1569" w:type="dxa"/>
            <w:tcBorders>
              <w:top w:val="single" w:sz="4" w:space="0" w:color="000000" w:themeColor="text1"/>
            </w:tcBorders>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Induction</w:t>
            </w:r>
          </w:p>
        </w:tc>
        <w:tc>
          <w:tcPr>
            <w:tcW w:w="1768" w:type="dxa"/>
            <w:tcBorders>
              <w:top w:val="single" w:sz="4" w:space="0" w:color="000000" w:themeColor="text1"/>
            </w:tcBorders>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reduction of flare up</w:t>
            </w:r>
          </w:p>
          <w:p w:rsidR="00077B32" w:rsidRPr="00392036" w:rsidRDefault="00077B32" w:rsidP="00313A7D">
            <w:pPr>
              <w:spacing w:line="360" w:lineRule="auto"/>
              <w:jc w:val="both"/>
              <w:rPr>
                <w:rFonts w:ascii="Book Antiqua" w:hAnsi="Book Antiqua"/>
                <w:color w:val="000000" w:themeColor="text1"/>
              </w:rPr>
            </w:pPr>
          </w:p>
        </w:tc>
        <w:tc>
          <w:tcPr>
            <w:tcW w:w="2410" w:type="dxa"/>
            <w:tcBorders>
              <w:top w:val="single" w:sz="4" w:space="0" w:color="000000" w:themeColor="text1"/>
            </w:tcBorders>
          </w:tcPr>
          <w:p w:rsidR="00077B32" w:rsidRPr="00392036" w:rsidRDefault="00B225EE" w:rsidP="00313A7D">
            <w:pPr>
              <w:spacing w:line="360" w:lineRule="auto"/>
              <w:jc w:val="both"/>
              <w:rPr>
                <w:rFonts w:ascii="Book Antiqua" w:hAnsi="Book Antiqua"/>
                <w:color w:val="000000" w:themeColor="text1"/>
              </w:rPr>
            </w:pPr>
            <w:r w:rsidRPr="00392036">
              <w:rPr>
                <w:rFonts w:ascii="Book Antiqua" w:hAnsi="Book Antiqua"/>
                <w:color w:val="000000" w:themeColor="text1"/>
              </w:rPr>
              <w:t>i</w:t>
            </w:r>
            <w:r w:rsidR="00077B32" w:rsidRPr="00392036">
              <w:rPr>
                <w:rFonts w:ascii="Book Antiqua" w:hAnsi="Book Antiqua"/>
                <w:color w:val="000000" w:themeColor="text1"/>
              </w:rPr>
              <w:t>nfectious, metabolic side effects</w:t>
            </w:r>
          </w:p>
          <w:p w:rsidR="00077B32" w:rsidRPr="00392036" w:rsidRDefault="00B225EE" w:rsidP="00313A7D">
            <w:pPr>
              <w:spacing w:line="360" w:lineRule="auto"/>
              <w:jc w:val="both"/>
              <w:rPr>
                <w:rFonts w:ascii="Book Antiqua" w:hAnsi="Book Antiqua"/>
                <w:color w:val="000000" w:themeColor="text1"/>
              </w:rPr>
            </w:pPr>
            <w:r w:rsidRPr="00392036">
              <w:rPr>
                <w:rFonts w:ascii="Book Antiqua" w:hAnsi="Book Antiqua"/>
                <w:color w:val="000000" w:themeColor="text1"/>
              </w:rPr>
              <w:t>r</w:t>
            </w:r>
            <w:r w:rsidR="00077B32" w:rsidRPr="00392036">
              <w:rPr>
                <w:rFonts w:ascii="Book Antiqua" w:hAnsi="Book Antiqua"/>
                <w:color w:val="000000" w:themeColor="text1"/>
              </w:rPr>
              <w:t>isk of PSC recurrence</w:t>
            </w:r>
          </w:p>
        </w:tc>
        <w:tc>
          <w:tcPr>
            <w:tcW w:w="1276" w:type="dxa"/>
            <w:tcBorders>
              <w:top w:val="single" w:sz="4" w:space="0" w:color="000000" w:themeColor="text1"/>
            </w:tcBorders>
          </w:tcPr>
          <w:p w:rsidR="00254BD9" w:rsidRPr="00392036" w:rsidRDefault="00254BD9" w:rsidP="00313A7D">
            <w:pPr>
              <w:spacing w:line="360" w:lineRule="auto"/>
              <w:jc w:val="both"/>
              <w:rPr>
                <w:rFonts w:ascii="Book Antiqua" w:hAnsi="Book Antiqua"/>
                <w:color w:val="000000" w:themeColor="text1"/>
                <w:vertAlign w:val="superscript"/>
              </w:rPr>
            </w:pPr>
            <w:r w:rsidRPr="00392036">
              <w:rPr>
                <w:rFonts w:ascii="Book Antiqua" w:hAnsi="Book Antiqua"/>
                <w:color w:val="000000" w:themeColor="text1"/>
                <w:vertAlign w:val="superscript"/>
              </w:rPr>
              <w:t>40,48</w:t>
            </w:r>
          </w:p>
          <w:p w:rsidR="00077B32" w:rsidRPr="00392036" w:rsidRDefault="00077B32" w:rsidP="00313A7D">
            <w:pPr>
              <w:spacing w:line="360" w:lineRule="auto"/>
              <w:jc w:val="both"/>
              <w:rPr>
                <w:rFonts w:ascii="Book Antiqua" w:hAnsi="Book Antiqua"/>
                <w:color w:val="000000" w:themeColor="text1"/>
              </w:rPr>
            </w:pPr>
          </w:p>
        </w:tc>
      </w:tr>
      <w:tr w:rsidR="00B74FFE" w:rsidRPr="00392036" w:rsidTr="00392036">
        <w:tc>
          <w:tcPr>
            <w:tcW w:w="1499"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5-ASA</w:t>
            </w:r>
          </w:p>
        </w:tc>
        <w:tc>
          <w:tcPr>
            <w:tcW w:w="1509" w:type="dxa"/>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No</w:t>
            </w:r>
          </w:p>
        </w:tc>
        <w:tc>
          <w:tcPr>
            <w:tcW w:w="1569" w:type="dxa"/>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Induction/</w:t>
            </w:r>
          </w:p>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Maintenance</w:t>
            </w:r>
          </w:p>
        </w:tc>
        <w:tc>
          <w:tcPr>
            <w:tcW w:w="1768"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80% reduction of flare up</w:t>
            </w:r>
          </w:p>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53% induction of remission in recurrent IBD</w:t>
            </w:r>
          </w:p>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 xml:space="preserve">75% induction of remission in </w:t>
            </w:r>
            <w:r w:rsidR="00C806F3" w:rsidRPr="00392036">
              <w:rPr>
                <w:rFonts w:ascii="Book Antiqua" w:hAnsi="Book Antiqua"/>
                <w:i/>
                <w:color w:val="000000" w:themeColor="text1"/>
              </w:rPr>
              <w:t>de novo</w:t>
            </w:r>
            <w:r w:rsidRPr="00392036">
              <w:rPr>
                <w:rFonts w:ascii="Book Antiqua" w:hAnsi="Book Antiqua"/>
                <w:color w:val="000000" w:themeColor="text1"/>
              </w:rPr>
              <w:t xml:space="preserve"> IBD</w:t>
            </w:r>
          </w:p>
        </w:tc>
        <w:tc>
          <w:tcPr>
            <w:tcW w:w="2410"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possible leukopenia with AzA</w:t>
            </w:r>
          </w:p>
        </w:tc>
        <w:tc>
          <w:tcPr>
            <w:tcW w:w="1276" w:type="dxa"/>
          </w:tcPr>
          <w:p w:rsidR="00077B32" w:rsidRPr="00392036" w:rsidRDefault="00254BD9" w:rsidP="00313A7D">
            <w:pPr>
              <w:spacing w:line="360" w:lineRule="auto"/>
              <w:jc w:val="both"/>
              <w:rPr>
                <w:rFonts w:ascii="Book Antiqua" w:hAnsi="Book Antiqua"/>
                <w:color w:val="000000" w:themeColor="text1"/>
                <w:vertAlign w:val="superscript"/>
              </w:rPr>
            </w:pPr>
            <w:r w:rsidRPr="00392036">
              <w:rPr>
                <w:rFonts w:ascii="Book Antiqua" w:hAnsi="Book Antiqua"/>
                <w:color w:val="000000" w:themeColor="text1"/>
                <w:vertAlign w:val="superscript"/>
              </w:rPr>
              <w:t>15,</w:t>
            </w:r>
            <w:r w:rsidR="006F4BF8" w:rsidRPr="00392036">
              <w:rPr>
                <w:rFonts w:ascii="Book Antiqua" w:hAnsi="Book Antiqua"/>
                <w:color w:val="000000" w:themeColor="text1"/>
                <w:vertAlign w:val="superscript"/>
              </w:rPr>
              <w:t>16,</w:t>
            </w:r>
            <w:r w:rsidRPr="00392036">
              <w:rPr>
                <w:rFonts w:ascii="Book Antiqua" w:hAnsi="Book Antiqua"/>
                <w:color w:val="000000" w:themeColor="text1"/>
                <w:vertAlign w:val="superscript"/>
              </w:rPr>
              <w:t>41,48</w:t>
            </w:r>
          </w:p>
        </w:tc>
      </w:tr>
      <w:tr w:rsidR="00B74FFE" w:rsidRPr="00392036" w:rsidTr="00392036">
        <w:tc>
          <w:tcPr>
            <w:tcW w:w="1499"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AzA</w:t>
            </w:r>
          </w:p>
        </w:tc>
        <w:tc>
          <w:tcPr>
            <w:tcW w:w="1509" w:type="dxa"/>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Yes</w:t>
            </w:r>
          </w:p>
        </w:tc>
        <w:tc>
          <w:tcPr>
            <w:tcW w:w="1569" w:type="dxa"/>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Induction/</w:t>
            </w:r>
          </w:p>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Maintenance</w:t>
            </w:r>
          </w:p>
        </w:tc>
        <w:tc>
          <w:tcPr>
            <w:tcW w:w="1768"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IBD-free survival at 5-years 88%</w:t>
            </w:r>
          </w:p>
        </w:tc>
        <w:tc>
          <w:tcPr>
            <w:tcW w:w="2410"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leukopenia, pancreatitis, infections, malignancy</w:t>
            </w:r>
          </w:p>
        </w:tc>
        <w:tc>
          <w:tcPr>
            <w:tcW w:w="1276" w:type="dxa"/>
          </w:tcPr>
          <w:p w:rsidR="00077B32" w:rsidRPr="00392036" w:rsidRDefault="006F4BF8" w:rsidP="00313A7D">
            <w:pPr>
              <w:spacing w:line="360" w:lineRule="auto"/>
              <w:jc w:val="both"/>
              <w:rPr>
                <w:rFonts w:ascii="Book Antiqua" w:hAnsi="Book Antiqua"/>
                <w:color w:val="000000" w:themeColor="text1"/>
                <w:vertAlign w:val="superscript"/>
              </w:rPr>
            </w:pPr>
            <w:r w:rsidRPr="00392036">
              <w:rPr>
                <w:rFonts w:ascii="Book Antiqua" w:hAnsi="Book Antiqua"/>
                <w:color w:val="000000" w:themeColor="text1"/>
                <w:vertAlign w:val="superscript"/>
              </w:rPr>
              <w:t>4</w:t>
            </w:r>
            <w:r w:rsidR="00254BD9" w:rsidRPr="00392036">
              <w:rPr>
                <w:rFonts w:ascii="Book Antiqua" w:hAnsi="Book Antiqua"/>
                <w:color w:val="000000" w:themeColor="text1"/>
                <w:vertAlign w:val="superscript"/>
              </w:rPr>
              <w:t>3</w:t>
            </w:r>
          </w:p>
        </w:tc>
      </w:tr>
      <w:tr w:rsidR="00B74FFE" w:rsidRPr="00392036" w:rsidTr="00392036">
        <w:tc>
          <w:tcPr>
            <w:tcW w:w="1499"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anti-TNF-alpha</w:t>
            </w:r>
          </w:p>
        </w:tc>
        <w:tc>
          <w:tcPr>
            <w:tcW w:w="1509" w:type="dxa"/>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No</w:t>
            </w:r>
          </w:p>
        </w:tc>
        <w:tc>
          <w:tcPr>
            <w:tcW w:w="1569" w:type="dxa"/>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Induction/</w:t>
            </w:r>
          </w:p>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Maintenance</w:t>
            </w:r>
          </w:p>
        </w:tc>
        <w:tc>
          <w:tcPr>
            <w:tcW w:w="1768" w:type="dxa"/>
          </w:tcPr>
          <w:p w:rsidR="00077B32" w:rsidRPr="00392036" w:rsidRDefault="00077B32" w:rsidP="00313A7D">
            <w:pPr>
              <w:spacing w:line="360" w:lineRule="auto"/>
              <w:jc w:val="both"/>
              <w:rPr>
                <w:rFonts w:ascii="Book Antiqua" w:hAnsi="Book Antiqua"/>
                <w:color w:val="000000" w:themeColor="text1"/>
              </w:rPr>
            </w:pPr>
            <w:proofErr w:type="gramStart"/>
            <w:r w:rsidRPr="00392036">
              <w:rPr>
                <w:rFonts w:ascii="Book Antiqua" w:hAnsi="Book Antiqua"/>
                <w:color w:val="000000" w:themeColor="text1"/>
              </w:rPr>
              <w:t>clinical</w:t>
            </w:r>
            <w:proofErr w:type="gramEnd"/>
            <w:r w:rsidRPr="00392036">
              <w:rPr>
                <w:rFonts w:ascii="Book Antiqua" w:hAnsi="Book Antiqua"/>
                <w:color w:val="000000" w:themeColor="text1"/>
              </w:rPr>
              <w:t xml:space="preserve"> improvement 78% (range 50</w:t>
            </w:r>
            <w:r w:rsidR="00D22DC2">
              <w:rPr>
                <w:rFonts w:ascii="Book Antiqua" w:eastAsiaTheme="minorEastAsia" w:hAnsi="Book Antiqua" w:hint="eastAsia"/>
                <w:color w:val="000000" w:themeColor="text1"/>
                <w:lang w:eastAsia="zh-CN"/>
              </w:rPr>
              <w:t>%</w:t>
            </w:r>
            <w:r w:rsidRPr="00392036">
              <w:rPr>
                <w:rFonts w:ascii="Book Antiqua" w:hAnsi="Book Antiqua"/>
                <w:color w:val="000000" w:themeColor="text1"/>
              </w:rPr>
              <w:t>-100%)</w:t>
            </w:r>
          </w:p>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mucosal healing 33</w:t>
            </w:r>
            <w:r w:rsidR="00392036" w:rsidRPr="00392036">
              <w:rPr>
                <w:rFonts w:ascii="Book Antiqua" w:eastAsiaTheme="minorEastAsia" w:hAnsi="Book Antiqua"/>
                <w:color w:val="000000" w:themeColor="text1"/>
                <w:lang w:eastAsia="zh-CN"/>
              </w:rPr>
              <w:t>%</w:t>
            </w:r>
            <w:r w:rsidRPr="00392036">
              <w:rPr>
                <w:rFonts w:ascii="Book Antiqua" w:hAnsi="Book Antiqua"/>
                <w:color w:val="000000" w:themeColor="text1"/>
              </w:rPr>
              <w:t>-43%</w:t>
            </w:r>
          </w:p>
        </w:tc>
        <w:tc>
          <w:tcPr>
            <w:tcW w:w="2410"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infective, autoimmune, neoplastic side effects</w:t>
            </w:r>
          </w:p>
        </w:tc>
        <w:tc>
          <w:tcPr>
            <w:tcW w:w="1276" w:type="dxa"/>
          </w:tcPr>
          <w:p w:rsidR="00077B32" w:rsidRPr="00392036" w:rsidRDefault="00254BD9" w:rsidP="00313A7D">
            <w:pPr>
              <w:spacing w:line="360" w:lineRule="auto"/>
              <w:jc w:val="both"/>
              <w:rPr>
                <w:rFonts w:ascii="Book Antiqua" w:hAnsi="Book Antiqua"/>
                <w:color w:val="000000" w:themeColor="text1"/>
                <w:vertAlign w:val="superscript"/>
              </w:rPr>
            </w:pPr>
            <w:r w:rsidRPr="00392036">
              <w:rPr>
                <w:rFonts w:ascii="Book Antiqua" w:hAnsi="Book Antiqua"/>
                <w:color w:val="000000" w:themeColor="text1"/>
                <w:vertAlign w:val="superscript"/>
              </w:rPr>
              <w:t>47</w:t>
            </w:r>
            <w:r w:rsidR="006F4BF8" w:rsidRPr="00392036">
              <w:rPr>
                <w:rFonts w:ascii="Book Antiqua" w:hAnsi="Book Antiqua"/>
                <w:color w:val="000000" w:themeColor="text1"/>
                <w:vertAlign w:val="superscript"/>
              </w:rPr>
              <w:t>,91-97</w:t>
            </w:r>
          </w:p>
        </w:tc>
      </w:tr>
      <w:tr w:rsidR="00B74FFE" w:rsidRPr="00392036" w:rsidTr="00392036">
        <w:tc>
          <w:tcPr>
            <w:tcW w:w="1499"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Tac</w:t>
            </w:r>
          </w:p>
        </w:tc>
        <w:tc>
          <w:tcPr>
            <w:tcW w:w="1509" w:type="dxa"/>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Yes</w:t>
            </w:r>
          </w:p>
        </w:tc>
        <w:tc>
          <w:tcPr>
            <w:tcW w:w="1569" w:type="dxa"/>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No</w:t>
            </w:r>
          </w:p>
        </w:tc>
        <w:tc>
          <w:tcPr>
            <w:tcW w:w="1768"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up to 64% flare up (4-</w:t>
            </w:r>
            <w:r w:rsidRPr="00392036">
              <w:rPr>
                <w:rFonts w:ascii="Book Antiqua" w:hAnsi="Book Antiqua"/>
                <w:color w:val="000000" w:themeColor="text1"/>
              </w:rPr>
              <w:lastRenderedPageBreak/>
              <w:t>fold increased risk)</w:t>
            </w:r>
          </w:p>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risk of infectious side effects</w:t>
            </w:r>
          </w:p>
        </w:tc>
        <w:tc>
          <w:tcPr>
            <w:tcW w:w="2410"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lastRenderedPageBreak/>
              <w:t xml:space="preserve">infective, metabolic, neoplastic side </w:t>
            </w:r>
            <w:r w:rsidRPr="00392036">
              <w:rPr>
                <w:rFonts w:ascii="Book Antiqua" w:hAnsi="Book Antiqua"/>
                <w:color w:val="000000" w:themeColor="text1"/>
              </w:rPr>
              <w:lastRenderedPageBreak/>
              <w:t>effects</w:t>
            </w:r>
          </w:p>
        </w:tc>
        <w:tc>
          <w:tcPr>
            <w:tcW w:w="1276" w:type="dxa"/>
          </w:tcPr>
          <w:p w:rsidR="00077B32" w:rsidRPr="00392036" w:rsidRDefault="00254BD9" w:rsidP="00313A7D">
            <w:pPr>
              <w:spacing w:line="360" w:lineRule="auto"/>
              <w:jc w:val="both"/>
              <w:rPr>
                <w:rFonts w:ascii="Book Antiqua" w:hAnsi="Book Antiqua"/>
                <w:color w:val="000000" w:themeColor="text1"/>
                <w:vertAlign w:val="superscript"/>
              </w:rPr>
            </w:pPr>
            <w:r w:rsidRPr="00392036">
              <w:rPr>
                <w:rFonts w:ascii="Book Antiqua" w:hAnsi="Book Antiqua"/>
                <w:color w:val="000000" w:themeColor="text1"/>
                <w:vertAlign w:val="superscript"/>
              </w:rPr>
              <w:lastRenderedPageBreak/>
              <w:t>35,36,38,43,41</w:t>
            </w:r>
          </w:p>
        </w:tc>
      </w:tr>
      <w:tr w:rsidR="00B74FFE" w:rsidRPr="00392036" w:rsidTr="00392036">
        <w:tc>
          <w:tcPr>
            <w:tcW w:w="1499"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CsA</w:t>
            </w:r>
          </w:p>
        </w:tc>
        <w:tc>
          <w:tcPr>
            <w:tcW w:w="1509" w:type="dxa"/>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Yes</w:t>
            </w:r>
          </w:p>
        </w:tc>
        <w:tc>
          <w:tcPr>
            <w:tcW w:w="1569"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UC induction</w:t>
            </w:r>
          </w:p>
        </w:tc>
        <w:tc>
          <w:tcPr>
            <w:tcW w:w="1768"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in combination with AZA up to 30% flare up</w:t>
            </w:r>
          </w:p>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risk of side effects</w:t>
            </w:r>
          </w:p>
        </w:tc>
        <w:tc>
          <w:tcPr>
            <w:tcW w:w="2410"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infective, metabolic, neoplastic side effects</w:t>
            </w:r>
          </w:p>
        </w:tc>
        <w:tc>
          <w:tcPr>
            <w:tcW w:w="1276" w:type="dxa"/>
          </w:tcPr>
          <w:p w:rsidR="00077B32" w:rsidRPr="00392036" w:rsidRDefault="006F4BF8" w:rsidP="00313A7D">
            <w:pPr>
              <w:spacing w:line="360" w:lineRule="auto"/>
              <w:jc w:val="both"/>
              <w:rPr>
                <w:rFonts w:ascii="Book Antiqua" w:hAnsi="Book Antiqua"/>
                <w:color w:val="000000" w:themeColor="text1"/>
                <w:vertAlign w:val="superscript"/>
              </w:rPr>
            </w:pPr>
            <w:r w:rsidRPr="00392036">
              <w:rPr>
                <w:rFonts w:ascii="Book Antiqua" w:hAnsi="Book Antiqua"/>
                <w:color w:val="000000" w:themeColor="text1"/>
                <w:vertAlign w:val="superscript"/>
              </w:rPr>
              <w:t>4</w:t>
            </w:r>
            <w:r w:rsidR="00254BD9" w:rsidRPr="00392036">
              <w:rPr>
                <w:rFonts w:ascii="Book Antiqua" w:hAnsi="Book Antiqua"/>
                <w:color w:val="000000" w:themeColor="text1"/>
                <w:vertAlign w:val="superscript"/>
              </w:rPr>
              <w:t>1</w:t>
            </w:r>
          </w:p>
        </w:tc>
      </w:tr>
      <w:tr w:rsidR="00B74FFE" w:rsidRPr="00392036" w:rsidTr="00392036">
        <w:tc>
          <w:tcPr>
            <w:tcW w:w="1499"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MMF</w:t>
            </w:r>
          </w:p>
        </w:tc>
        <w:tc>
          <w:tcPr>
            <w:tcW w:w="1509" w:type="dxa"/>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Yes</w:t>
            </w:r>
          </w:p>
        </w:tc>
        <w:tc>
          <w:tcPr>
            <w:tcW w:w="1569" w:type="dxa"/>
          </w:tcPr>
          <w:p w:rsidR="00077B32" w:rsidRPr="00392036" w:rsidRDefault="00392036" w:rsidP="00313A7D">
            <w:pPr>
              <w:spacing w:line="360" w:lineRule="auto"/>
              <w:jc w:val="both"/>
              <w:rPr>
                <w:rFonts w:ascii="Book Antiqua" w:hAnsi="Book Antiqua"/>
                <w:color w:val="000000" w:themeColor="text1"/>
              </w:rPr>
            </w:pPr>
            <w:r w:rsidRPr="00392036">
              <w:rPr>
                <w:rFonts w:ascii="Book Antiqua" w:hAnsi="Book Antiqua"/>
                <w:color w:val="000000" w:themeColor="text1"/>
              </w:rPr>
              <w:t>No</w:t>
            </w:r>
          </w:p>
        </w:tc>
        <w:tc>
          <w:tcPr>
            <w:tcW w:w="1768"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ND</w:t>
            </w:r>
          </w:p>
          <w:p w:rsidR="00077B32" w:rsidRPr="00392036" w:rsidRDefault="00077B32" w:rsidP="00313A7D">
            <w:pPr>
              <w:spacing w:line="360" w:lineRule="auto"/>
              <w:jc w:val="both"/>
              <w:rPr>
                <w:rFonts w:ascii="Book Antiqua" w:hAnsi="Book Antiqua"/>
                <w:color w:val="000000" w:themeColor="text1"/>
              </w:rPr>
            </w:pPr>
          </w:p>
        </w:tc>
        <w:tc>
          <w:tcPr>
            <w:tcW w:w="2410" w:type="dxa"/>
          </w:tcPr>
          <w:p w:rsidR="00077B32" w:rsidRPr="00392036" w:rsidRDefault="00077B32" w:rsidP="00313A7D">
            <w:pPr>
              <w:spacing w:line="360" w:lineRule="auto"/>
              <w:jc w:val="both"/>
              <w:rPr>
                <w:rFonts w:ascii="Book Antiqua" w:hAnsi="Book Antiqua"/>
                <w:color w:val="000000" w:themeColor="text1"/>
              </w:rPr>
            </w:pPr>
            <w:r w:rsidRPr="00392036">
              <w:rPr>
                <w:rFonts w:ascii="Book Antiqua" w:hAnsi="Book Antiqua"/>
                <w:color w:val="000000" w:themeColor="text1"/>
              </w:rPr>
              <w:t>pancitopenia, GI side effects</w:t>
            </w:r>
          </w:p>
        </w:tc>
        <w:tc>
          <w:tcPr>
            <w:tcW w:w="1276" w:type="dxa"/>
          </w:tcPr>
          <w:p w:rsidR="00077B32" w:rsidRPr="00392036" w:rsidRDefault="006F4BF8" w:rsidP="00313A7D">
            <w:pPr>
              <w:spacing w:line="360" w:lineRule="auto"/>
              <w:jc w:val="both"/>
              <w:rPr>
                <w:rFonts w:ascii="Book Antiqua" w:hAnsi="Book Antiqua"/>
                <w:color w:val="000000" w:themeColor="text1"/>
                <w:vertAlign w:val="superscript"/>
              </w:rPr>
            </w:pPr>
            <w:r w:rsidRPr="00392036">
              <w:rPr>
                <w:rFonts w:ascii="Book Antiqua" w:hAnsi="Book Antiqua"/>
                <w:color w:val="000000" w:themeColor="text1"/>
                <w:vertAlign w:val="superscript"/>
              </w:rPr>
              <w:t>5</w:t>
            </w:r>
            <w:r w:rsidR="00254BD9" w:rsidRPr="00392036">
              <w:rPr>
                <w:rFonts w:ascii="Book Antiqua" w:hAnsi="Book Antiqua"/>
                <w:color w:val="000000" w:themeColor="text1"/>
                <w:vertAlign w:val="superscript"/>
              </w:rPr>
              <w:t>1</w:t>
            </w:r>
          </w:p>
        </w:tc>
      </w:tr>
    </w:tbl>
    <w:p w:rsidR="00C419E3" w:rsidRPr="00392036" w:rsidRDefault="00077B32" w:rsidP="00313A7D">
      <w:pPr>
        <w:spacing w:after="0" w:line="360" w:lineRule="auto"/>
        <w:jc w:val="both"/>
        <w:rPr>
          <w:rFonts w:ascii="Book Antiqua" w:hAnsi="Book Antiqua" w:cs="Times New Roman"/>
          <w:color w:val="000000" w:themeColor="text1"/>
          <w:sz w:val="24"/>
          <w:szCs w:val="24"/>
          <w:lang w:eastAsia="zh-CN"/>
        </w:rPr>
      </w:pPr>
      <w:r w:rsidRPr="00392036">
        <w:rPr>
          <w:rFonts w:ascii="Book Antiqua" w:eastAsia="Times New Roman" w:hAnsi="Book Antiqua" w:cs="Times New Roman"/>
          <w:color w:val="000000" w:themeColor="text1"/>
          <w:sz w:val="24"/>
          <w:szCs w:val="24"/>
        </w:rPr>
        <w:t xml:space="preserve">LT: </w:t>
      </w:r>
      <w:r w:rsidR="004C29DB" w:rsidRPr="00392036">
        <w:rPr>
          <w:rFonts w:ascii="Book Antiqua" w:eastAsia="Times New Roman" w:hAnsi="Book Antiqua" w:cs="Times New Roman"/>
          <w:color w:val="000000" w:themeColor="text1"/>
          <w:sz w:val="24"/>
          <w:szCs w:val="24"/>
        </w:rPr>
        <w:t xml:space="preserve">Liver </w:t>
      </w:r>
      <w:r w:rsidRPr="00392036">
        <w:rPr>
          <w:rFonts w:ascii="Book Antiqua" w:eastAsia="Times New Roman" w:hAnsi="Book Antiqua" w:cs="Times New Roman"/>
          <w:color w:val="000000" w:themeColor="text1"/>
          <w:sz w:val="24"/>
          <w:szCs w:val="24"/>
        </w:rPr>
        <w:t xml:space="preserve">transplant; IBD: </w:t>
      </w:r>
      <w:r w:rsidR="004C29DB" w:rsidRPr="00392036">
        <w:rPr>
          <w:rFonts w:ascii="Book Antiqua" w:eastAsia="Times New Roman" w:hAnsi="Book Antiqua" w:cs="Times New Roman"/>
          <w:color w:val="000000" w:themeColor="text1"/>
          <w:sz w:val="24"/>
          <w:szCs w:val="24"/>
        </w:rPr>
        <w:t xml:space="preserve">Inflammatory </w:t>
      </w:r>
      <w:r w:rsidRPr="00392036">
        <w:rPr>
          <w:rFonts w:ascii="Book Antiqua" w:eastAsia="Times New Roman" w:hAnsi="Book Antiqua" w:cs="Times New Roman"/>
          <w:color w:val="000000" w:themeColor="text1"/>
          <w:sz w:val="24"/>
          <w:szCs w:val="24"/>
        </w:rPr>
        <w:t xml:space="preserve">bowel disease; TNF: </w:t>
      </w:r>
      <w:r w:rsidR="004C29DB" w:rsidRPr="00392036">
        <w:rPr>
          <w:rFonts w:ascii="Book Antiqua" w:eastAsia="Times New Roman" w:hAnsi="Book Antiqua" w:cs="Times New Roman"/>
          <w:color w:val="000000" w:themeColor="text1"/>
          <w:sz w:val="24"/>
          <w:szCs w:val="24"/>
        </w:rPr>
        <w:t xml:space="preserve">Tumor </w:t>
      </w:r>
      <w:r w:rsidRPr="00392036">
        <w:rPr>
          <w:rFonts w:ascii="Book Antiqua" w:eastAsia="Times New Roman" w:hAnsi="Book Antiqua" w:cs="Times New Roman"/>
          <w:color w:val="000000" w:themeColor="text1"/>
          <w:sz w:val="24"/>
          <w:szCs w:val="24"/>
        </w:rPr>
        <w:t xml:space="preserve">necrosis factor; UC: </w:t>
      </w:r>
      <w:r w:rsidR="004C29DB" w:rsidRPr="00392036">
        <w:rPr>
          <w:rFonts w:ascii="Book Antiqua" w:eastAsia="Times New Roman" w:hAnsi="Book Antiqua" w:cs="Times New Roman"/>
          <w:color w:val="000000" w:themeColor="text1"/>
          <w:sz w:val="24"/>
          <w:szCs w:val="24"/>
        </w:rPr>
        <w:t xml:space="preserve">Ulcerative </w:t>
      </w:r>
      <w:r w:rsidR="00392036" w:rsidRPr="00392036">
        <w:rPr>
          <w:rFonts w:ascii="Book Antiqua" w:eastAsia="Times New Roman" w:hAnsi="Book Antiqua" w:cs="Times New Roman"/>
          <w:color w:val="000000" w:themeColor="text1"/>
          <w:sz w:val="24"/>
          <w:szCs w:val="24"/>
        </w:rPr>
        <w:t xml:space="preserve">colitis; CD: Crohn's disease; </w:t>
      </w:r>
      <w:proofErr w:type="gramStart"/>
      <w:r w:rsidRPr="00392036">
        <w:rPr>
          <w:rFonts w:ascii="Book Antiqua" w:eastAsia="Times New Roman" w:hAnsi="Book Antiqua" w:cs="Times New Roman"/>
          <w:color w:val="000000" w:themeColor="text1"/>
          <w:sz w:val="24"/>
          <w:szCs w:val="24"/>
        </w:rPr>
        <w:t>Tac</w:t>
      </w:r>
      <w:proofErr w:type="gramEnd"/>
      <w:r w:rsidRPr="00392036">
        <w:rPr>
          <w:rFonts w:ascii="Book Antiqua" w:eastAsia="Times New Roman" w:hAnsi="Book Antiqua" w:cs="Times New Roman"/>
          <w:color w:val="000000" w:themeColor="text1"/>
          <w:sz w:val="24"/>
          <w:szCs w:val="24"/>
        </w:rPr>
        <w:t xml:space="preserve">: </w:t>
      </w:r>
      <w:r w:rsidR="004C29DB" w:rsidRPr="00392036">
        <w:rPr>
          <w:rFonts w:ascii="Book Antiqua" w:eastAsia="Times New Roman" w:hAnsi="Book Antiqua" w:cs="Times New Roman"/>
          <w:color w:val="000000" w:themeColor="text1"/>
          <w:sz w:val="24"/>
          <w:szCs w:val="24"/>
        </w:rPr>
        <w:t>Tacrolimus</w:t>
      </w:r>
      <w:r w:rsidRPr="00392036">
        <w:rPr>
          <w:rFonts w:ascii="Book Antiqua" w:eastAsia="Times New Roman" w:hAnsi="Book Antiqua" w:cs="Times New Roman"/>
          <w:color w:val="000000" w:themeColor="text1"/>
          <w:sz w:val="24"/>
          <w:szCs w:val="24"/>
        </w:rPr>
        <w:t xml:space="preserve">; CsA: </w:t>
      </w:r>
      <w:r w:rsidR="004C29DB" w:rsidRPr="00392036">
        <w:rPr>
          <w:rFonts w:ascii="Book Antiqua" w:eastAsia="Times New Roman" w:hAnsi="Book Antiqua" w:cs="Times New Roman"/>
          <w:color w:val="000000" w:themeColor="text1"/>
          <w:sz w:val="24"/>
          <w:szCs w:val="24"/>
        </w:rPr>
        <w:t>Cyclosporine</w:t>
      </w:r>
      <w:r w:rsidRPr="00392036">
        <w:rPr>
          <w:rFonts w:ascii="Book Antiqua" w:eastAsia="Times New Roman" w:hAnsi="Book Antiqua" w:cs="Times New Roman"/>
          <w:color w:val="000000" w:themeColor="text1"/>
          <w:sz w:val="24"/>
          <w:szCs w:val="24"/>
        </w:rPr>
        <w:t xml:space="preserve">; AZA: </w:t>
      </w:r>
      <w:r w:rsidR="004C29DB" w:rsidRPr="00392036">
        <w:rPr>
          <w:rFonts w:ascii="Book Antiqua" w:eastAsia="Times New Roman" w:hAnsi="Book Antiqua" w:cs="Times New Roman"/>
          <w:color w:val="000000" w:themeColor="text1"/>
          <w:sz w:val="24"/>
          <w:szCs w:val="24"/>
        </w:rPr>
        <w:t>Azathioprine</w:t>
      </w:r>
      <w:r w:rsidRPr="00392036">
        <w:rPr>
          <w:rFonts w:ascii="Book Antiqua" w:eastAsia="Times New Roman" w:hAnsi="Book Antiqua" w:cs="Times New Roman"/>
          <w:color w:val="000000" w:themeColor="text1"/>
          <w:sz w:val="24"/>
          <w:szCs w:val="24"/>
        </w:rPr>
        <w:t xml:space="preserve">; MMF: </w:t>
      </w:r>
      <w:r w:rsidR="004C29DB" w:rsidRPr="00392036">
        <w:rPr>
          <w:rFonts w:ascii="Book Antiqua" w:eastAsia="Times New Roman" w:hAnsi="Book Antiqua" w:cs="Times New Roman"/>
          <w:color w:val="000000" w:themeColor="text1"/>
          <w:sz w:val="24"/>
          <w:szCs w:val="24"/>
        </w:rPr>
        <w:t xml:space="preserve">Mycophenolate </w:t>
      </w:r>
      <w:r w:rsidRPr="00392036">
        <w:rPr>
          <w:rFonts w:ascii="Book Antiqua" w:eastAsia="Times New Roman" w:hAnsi="Book Antiqua" w:cs="Times New Roman"/>
          <w:color w:val="000000" w:themeColor="text1"/>
          <w:sz w:val="24"/>
          <w:szCs w:val="24"/>
        </w:rPr>
        <w:t>mofetil</w:t>
      </w:r>
      <w:r w:rsidR="00392036" w:rsidRPr="00392036">
        <w:rPr>
          <w:rFonts w:ascii="Book Antiqua" w:hAnsi="Book Antiqua" w:cs="Times New Roman"/>
          <w:color w:val="000000" w:themeColor="text1"/>
          <w:sz w:val="24"/>
          <w:szCs w:val="24"/>
          <w:lang w:eastAsia="zh-CN"/>
        </w:rPr>
        <w:t>;</w:t>
      </w:r>
      <w:r w:rsidRPr="00392036">
        <w:rPr>
          <w:rFonts w:ascii="Book Antiqua" w:eastAsia="Times New Roman" w:hAnsi="Book Antiqua" w:cs="Times New Roman"/>
          <w:color w:val="000000" w:themeColor="text1"/>
          <w:sz w:val="24"/>
          <w:szCs w:val="24"/>
        </w:rPr>
        <w:t xml:space="preserve"> ND</w:t>
      </w:r>
      <w:r w:rsidR="00BD5504">
        <w:rPr>
          <w:rFonts w:ascii="Book Antiqua" w:hAnsi="Book Antiqua" w:cs="Times New Roman" w:hint="eastAsia"/>
          <w:color w:val="000000" w:themeColor="text1"/>
          <w:sz w:val="24"/>
          <w:szCs w:val="24"/>
          <w:lang w:eastAsia="zh-CN"/>
        </w:rPr>
        <w:t xml:space="preserve">: </w:t>
      </w:r>
      <w:r w:rsidR="00392036" w:rsidRPr="00392036">
        <w:rPr>
          <w:rFonts w:ascii="Book Antiqua" w:eastAsia="Times New Roman" w:hAnsi="Book Antiqua" w:cs="Times New Roman"/>
          <w:color w:val="000000" w:themeColor="text1"/>
          <w:sz w:val="24"/>
          <w:szCs w:val="24"/>
        </w:rPr>
        <w:t xml:space="preserve">Not </w:t>
      </w:r>
      <w:r w:rsidRPr="00392036">
        <w:rPr>
          <w:rFonts w:ascii="Book Antiqua" w:eastAsia="Times New Roman" w:hAnsi="Book Antiqua" w:cs="Times New Roman"/>
          <w:color w:val="000000" w:themeColor="text1"/>
          <w:sz w:val="24"/>
          <w:szCs w:val="24"/>
        </w:rPr>
        <w:t>determined</w:t>
      </w:r>
      <w:r w:rsidR="00392036" w:rsidRPr="00392036">
        <w:rPr>
          <w:rFonts w:ascii="Book Antiqua" w:hAnsi="Book Antiqua" w:cs="Times New Roman"/>
          <w:color w:val="000000" w:themeColor="text1"/>
          <w:sz w:val="24"/>
          <w:szCs w:val="24"/>
          <w:lang w:eastAsia="zh-CN"/>
        </w:rPr>
        <w:t xml:space="preserve">; </w:t>
      </w:r>
      <w:r w:rsidRPr="00392036">
        <w:rPr>
          <w:rFonts w:ascii="Book Antiqua" w:eastAsia="Times New Roman" w:hAnsi="Book Antiqua" w:cs="Times New Roman"/>
          <w:color w:val="000000" w:themeColor="text1"/>
          <w:sz w:val="24"/>
          <w:szCs w:val="24"/>
        </w:rPr>
        <w:t>GI</w:t>
      </w:r>
      <w:r w:rsidR="00BD5504">
        <w:rPr>
          <w:rFonts w:ascii="Book Antiqua" w:hAnsi="Book Antiqua" w:cs="Times New Roman" w:hint="eastAsia"/>
          <w:color w:val="000000" w:themeColor="text1"/>
          <w:sz w:val="24"/>
          <w:szCs w:val="24"/>
          <w:lang w:eastAsia="zh-CN"/>
        </w:rPr>
        <w:t xml:space="preserve">: </w:t>
      </w:r>
      <w:r w:rsidR="00BD5504" w:rsidRPr="00392036">
        <w:rPr>
          <w:rFonts w:ascii="Book Antiqua" w:eastAsia="Times New Roman" w:hAnsi="Book Antiqua" w:cs="Times New Roman"/>
          <w:color w:val="000000" w:themeColor="text1"/>
          <w:sz w:val="24"/>
          <w:szCs w:val="24"/>
        </w:rPr>
        <w:t>Gastrointestinal</w:t>
      </w:r>
      <w:r w:rsidR="00392036" w:rsidRPr="00392036">
        <w:rPr>
          <w:rFonts w:ascii="Book Antiqua" w:hAnsi="Book Antiqua" w:cs="Times New Roman"/>
          <w:color w:val="000000" w:themeColor="text1"/>
          <w:sz w:val="24"/>
          <w:szCs w:val="24"/>
          <w:lang w:eastAsia="zh-CN"/>
        </w:rPr>
        <w:t>.</w:t>
      </w:r>
    </w:p>
    <w:p w:rsidR="00392036" w:rsidRPr="00BD5504" w:rsidRDefault="00392036" w:rsidP="00313A7D">
      <w:pPr>
        <w:spacing w:after="0" w:line="360" w:lineRule="auto"/>
        <w:jc w:val="both"/>
        <w:rPr>
          <w:rFonts w:ascii="Book Antiqua" w:hAnsi="Book Antiqua"/>
          <w:color w:val="000000" w:themeColor="text1"/>
          <w:sz w:val="24"/>
          <w:szCs w:val="24"/>
          <w:lang w:eastAsia="zh-CN"/>
        </w:rPr>
      </w:pPr>
    </w:p>
    <w:p w:rsidR="00392036" w:rsidRDefault="00392036" w:rsidP="00313A7D">
      <w:pPr>
        <w:spacing w:after="0"/>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br w:type="page"/>
      </w:r>
    </w:p>
    <w:p w:rsidR="00077B32" w:rsidRPr="00392036" w:rsidRDefault="00077B32" w:rsidP="00313A7D">
      <w:pPr>
        <w:spacing w:after="0" w:line="360" w:lineRule="auto"/>
        <w:jc w:val="both"/>
        <w:rPr>
          <w:rFonts w:ascii="Book Antiqua" w:hAnsi="Book Antiqua"/>
          <w:color w:val="000000" w:themeColor="text1"/>
          <w:sz w:val="24"/>
          <w:szCs w:val="24"/>
          <w:lang w:eastAsia="zh-CN"/>
        </w:rPr>
      </w:pPr>
      <w:r w:rsidRPr="00392036">
        <w:rPr>
          <w:rFonts w:ascii="Book Antiqua" w:hAnsi="Book Antiqua"/>
          <w:b/>
          <w:color w:val="000000" w:themeColor="text1"/>
          <w:sz w:val="24"/>
          <w:szCs w:val="24"/>
        </w:rPr>
        <w:lastRenderedPageBreak/>
        <w:t>Table 2</w:t>
      </w:r>
      <w:r w:rsidR="00392036" w:rsidRPr="00392036">
        <w:rPr>
          <w:rFonts w:ascii="Book Antiqua" w:hAnsi="Book Antiqua" w:hint="eastAsia"/>
          <w:b/>
          <w:color w:val="000000" w:themeColor="text1"/>
          <w:sz w:val="24"/>
          <w:szCs w:val="24"/>
          <w:lang w:eastAsia="zh-CN"/>
        </w:rPr>
        <w:t xml:space="preserve"> </w:t>
      </w:r>
      <w:bookmarkStart w:id="27" w:name="OLE_LINK243"/>
      <w:bookmarkStart w:id="28" w:name="OLE_LINK244"/>
      <w:r w:rsidRPr="00392036">
        <w:rPr>
          <w:rFonts w:ascii="Book Antiqua" w:hAnsi="Book Antiqua"/>
          <w:b/>
          <w:color w:val="000000" w:themeColor="text1"/>
          <w:sz w:val="24"/>
          <w:szCs w:val="24"/>
        </w:rPr>
        <w:t>PSC</w:t>
      </w:r>
      <w:bookmarkEnd w:id="27"/>
      <w:bookmarkEnd w:id="28"/>
      <w:r w:rsidRPr="00392036">
        <w:rPr>
          <w:rFonts w:ascii="Book Antiqua" w:hAnsi="Book Antiqua"/>
          <w:b/>
          <w:color w:val="000000" w:themeColor="text1"/>
          <w:sz w:val="24"/>
          <w:szCs w:val="24"/>
        </w:rPr>
        <w:t>/</w:t>
      </w:r>
      <w:r w:rsidR="00D22DC2" w:rsidRPr="00D22DC2">
        <w:rPr>
          <w:rFonts w:ascii="Book Antiqua" w:hAnsi="Book Antiqua"/>
          <w:b/>
          <w:color w:val="000000" w:themeColor="text1"/>
          <w:sz w:val="24"/>
          <w:szCs w:val="24"/>
        </w:rPr>
        <w:t xml:space="preserve">Inflammatory bowel disease </w:t>
      </w:r>
      <w:r w:rsidRPr="00392036">
        <w:rPr>
          <w:rFonts w:ascii="Book Antiqua" w:hAnsi="Book Antiqua"/>
          <w:b/>
          <w:color w:val="000000" w:themeColor="text1"/>
          <w:sz w:val="24"/>
          <w:szCs w:val="24"/>
        </w:rPr>
        <w:t>patients proposed management approach in peri</w:t>
      </w:r>
      <w:r w:rsidR="00B225EE" w:rsidRPr="00392036">
        <w:rPr>
          <w:rFonts w:ascii="Book Antiqua" w:hAnsi="Book Antiqua"/>
          <w:b/>
          <w:color w:val="000000" w:themeColor="text1"/>
          <w:sz w:val="24"/>
          <w:szCs w:val="24"/>
        </w:rPr>
        <w:t>-</w:t>
      </w:r>
      <w:r w:rsidRPr="00392036">
        <w:rPr>
          <w:rFonts w:ascii="Book Antiqua" w:hAnsi="Book Antiqua"/>
          <w:b/>
          <w:color w:val="000000" w:themeColor="text1"/>
          <w:sz w:val="24"/>
          <w:szCs w:val="24"/>
        </w:rPr>
        <w:t>transplant period</w:t>
      </w:r>
    </w:p>
    <w:tbl>
      <w:tblPr>
        <w:tblStyle w:val="TableGrid"/>
        <w:tblW w:w="9288"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195"/>
        <w:gridCol w:w="7093"/>
      </w:tblGrid>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Before LT</w:t>
            </w: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Adequate treatment of IBD in order to achieve remission</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Annual colonoscopic surveillance screening for neoplasia</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Reconsidering colectomy in patients with refractory disease and neoplasia</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Screen donor and recipient for CMV antibodies</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Preoperative</w:t>
            </w: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Clinical remission and cessation of smoking are important in order to reduce the risk of flare up after LT</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Consider of pre-emptive/continuation of use of 5-ASA to prevent relapse of IBD</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Consider high risk patients for C</w:t>
            </w:r>
            <w:r w:rsidR="00C419E3" w:rsidRPr="00392036">
              <w:rPr>
                <w:rFonts w:ascii="Book Antiqua" w:eastAsia="Times New Roman" w:hAnsi="Book Antiqua" w:cs="Times New Roman"/>
                <w:color w:val="000000" w:themeColor="text1"/>
              </w:rPr>
              <w:t>MV disease for valganciclovir</w:t>
            </w:r>
            <w:r w:rsidRPr="00392036">
              <w:rPr>
                <w:rFonts w:ascii="Book Antiqua" w:eastAsia="Times New Roman" w:hAnsi="Book Antiqua" w:cs="Times New Roman"/>
                <w:color w:val="000000" w:themeColor="text1"/>
              </w:rPr>
              <w:t xml:space="preserve"> prophylaxis</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Post-transplant</w:t>
            </w: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Reconsider risk of rejection and possibility of substituting Tac with CsA in selective patients</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Avoid MMF due to possible gastrointestinal side effects</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Reconsider treatment with AzA in recurrence of IBD</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Reconsider anti-TNF-alfa in refractory IBD</w:t>
            </w:r>
          </w:p>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Carefully monitor for infections, autoimmune diseases and malignancy</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Annual colonoscopic surveillance for neoplasia</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Reconsidering colectomy in patients with refractory disease and neoplasia</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Treat chronic refractory pouchitis according to standard guidelines</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Perform surveillance for recurrent PSC especially in recipients with intact colon at LT</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 xml:space="preserve">Screen high risk patients for CMV viremia </w:t>
            </w:r>
          </w:p>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Positive CMV pati</w:t>
            </w:r>
            <w:r w:rsidR="00B225EE" w:rsidRPr="00392036">
              <w:rPr>
                <w:rFonts w:ascii="Book Antiqua" w:eastAsia="Times New Roman" w:hAnsi="Book Antiqua" w:cs="Times New Roman"/>
                <w:color w:val="000000" w:themeColor="text1"/>
              </w:rPr>
              <w:t xml:space="preserve">ents treat with valganciclovir </w:t>
            </w:r>
            <w:r w:rsidRPr="00392036">
              <w:rPr>
                <w:rFonts w:ascii="Book Antiqua" w:eastAsia="Times New Roman" w:hAnsi="Book Antiqua" w:cs="Times New Roman"/>
                <w:color w:val="000000" w:themeColor="text1"/>
              </w:rPr>
              <w:t>or ganciclovir</w:t>
            </w:r>
          </w:p>
        </w:tc>
      </w:tr>
      <w:tr w:rsidR="00B74FFE" w:rsidRPr="00392036" w:rsidTr="00392036">
        <w:tc>
          <w:tcPr>
            <w:tcW w:w="2195" w:type="dxa"/>
          </w:tcPr>
          <w:p w:rsidR="00077B32" w:rsidRPr="00392036" w:rsidRDefault="00077B32" w:rsidP="00313A7D">
            <w:pPr>
              <w:spacing w:line="360" w:lineRule="auto"/>
              <w:jc w:val="both"/>
              <w:rPr>
                <w:rFonts w:ascii="Book Antiqua" w:eastAsia="Times New Roman" w:hAnsi="Book Antiqua" w:cs="Times New Roman"/>
                <w:color w:val="000000" w:themeColor="text1"/>
              </w:rPr>
            </w:pPr>
          </w:p>
        </w:tc>
        <w:tc>
          <w:tcPr>
            <w:tcW w:w="7093" w:type="dxa"/>
          </w:tcPr>
          <w:p w:rsidR="00077B32" w:rsidRPr="00392036" w:rsidRDefault="00077B32" w:rsidP="00313A7D">
            <w:pPr>
              <w:spacing w:line="360" w:lineRule="auto"/>
              <w:jc w:val="both"/>
              <w:rPr>
                <w:rFonts w:ascii="Book Antiqua" w:eastAsia="Times New Roman" w:hAnsi="Book Antiqua" w:cs="Times New Roman"/>
                <w:color w:val="000000" w:themeColor="text1"/>
              </w:rPr>
            </w:pPr>
            <w:r w:rsidRPr="00392036">
              <w:rPr>
                <w:rFonts w:ascii="Book Antiqua" w:eastAsia="Times New Roman" w:hAnsi="Book Antiqua" w:cs="Times New Roman"/>
                <w:color w:val="000000" w:themeColor="text1"/>
              </w:rPr>
              <w:t>Perform surveillance for graft rejection and/or vascular thrombosis in patients with active IBD</w:t>
            </w:r>
          </w:p>
        </w:tc>
      </w:tr>
    </w:tbl>
    <w:p w:rsidR="00423923" w:rsidRPr="00392036" w:rsidRDefault="00077B32" w:rsidP="00313A7D">
      <w:pPr>
        <w:spacing w:after="0" w:line="360" w:lineRule="auto"/>
        <w:jc w:val="both"/>
        <w:rPr>
          <w:rFonts w:ascii="Book Antiqua" w:hAnsi="Book Antiqua" w:cs="Times New Roman"/>
          <w:color w:val="000000" w:themeColor="text1"/>
          <w:sz w:val="24"/>
          <w:szCs w:val="24"/>
          <w:lang w:eastAsia="zh-CN"/>
        </w:rPr>
      </w:pPr>
      <w:r w:rsidRPr="00392036">
        <w:rPr>
          <w:rFonts w:ascii="Book Antiqua" w:eastAsia="Times New Roman" w:hAnsi="Book Antiqua" w:cs="Times New Roman"/>
          <w:color w:val="000000" w:themeColor="text1"/>
          <w:sz w:val="24"/>
          <w:szCs w:val="24"/>
        </w:rPr>
        <w:lastRenderedPageBreak/>
        <w:t xml:space="preserve">LT: </w:t>
      </w:r>
      <w:r w:rsidR="00392036" w:rsidRPr="00392036">
        <w:rPr>
          <w:rFonts w:ascii="Book Antiqua" w:eastAsia="Times New Roman" w:hAnsi="Book Antiqua" w:cs="Times New Roman"/>
          <w:color w:val="000000" w:themeColor="text1"/>
          <w:sz w:val="24"/>
          <w:szCs w:val="24"/>
        </w:rPr>
        <w:t xml:space="preserve">Liver </w:t>
      </w:r>
      <w:r w:rsidRPr="00392036">
        <w:rPr>
          <w:rFonts w:ascii="Book Antiqua" w:eastAsia="Times New Roman" w:hAnsi="Book Antiqua" w:cs="Times New Roman"/>
          <w:color w:val="000000" w:themeColor="text1"/>
          <w:sz w:val="24"/>
          <w:szCs w:val="24"/>
        </w:rPr>
        <w:t xml:space="preserve">transplant; IBD: </w:t>
      </w:r>
      <w:r w:rsidR="00392036" w:rsidRPr="00392036">
        <w:rPr>
          <w:rFonts w:ascii="Book Antiqua" w:eastAsia="Times New Roman" w:hAnsi="Book Antiqua" w:cs="Times New Roman"/>
          <w:color w:val="000000" w:themeColor="text1"/>
          <w:sz w:val="24"/>
          <w:szCs w:val="24"/>
        </w:rPr>
        <w:t xml:space="preserve">Inflammatory </w:t>
      </w:r>
      <w:r w:rsidRPr="00392036">
        <w:rPr>
          <w:rFonts w:ascii="Book Antiqua" w:eastAsia="Times New Roman" w:hAnsi="Book Antiqua" w:cs="Times New Roman"/>
          <w:color w:val="000000" w:themeColor="text1"/>
          <w:sz w:val="24"/>
          <w:szCs w:val="24"/>
        </w:rPr>
        <w:t>bowel disease; CMV</w:t>
      </w:r>
      <w:r w:rsidR="00392036">
        <w:rPr>
          <w:rFonts w:ascii="Book Antiqua" w:hAnsi="Book Antiqua" w:cs="Times New Roman" w:hint="eastAsia"/>
          <w:color w:val="000000" w:themeColor="text1"/>
          <w:sz w:val="24"/>
          <w:szCs w:val="24"/>
          <w:lang w:eastAsia="zh-CN"/>
        </w:rPr>
        <w:t xml:space="preserve">: </w:t>
      </w:r>
      <w:r w:rsidR="00392036" w:rsidRPr="00392036">
        <w:rPr>
          <w:rFonts w:ascii="Book Antiqua" w:eastAsia="Times New Roman" w:hAnsi="Book Antiqua" w:cs="Times New Roman"/>
          <w:color w:val="000000" w:themeColor="text1"/>
          <w:sz w:val="24"/>
          <w:szCs w:val="24"/>
        </w:rPr>
        <w:t>Citomegalovirus</w:t>
      </w:r>
      <w:r w:rsidRPr="00392036">
        <w:rPr>
          <w:rFonts w:ascii="Book Antiqua" w:eastAsia="Times New Roman" w:hAnsi="Book Antiqua" w:cs="Times New Roman"/>
          <w:color w:val="000000" w:themeColor="text1"/>
          <w:sz w:val="24"/>
          <w:szCs w:val="24"/>
        </w:rPr>
        <w:t xml:space="preserve">; </w:t>
      </w:r>
      <w:proofErr w:type="gramStart"/>
      <w:r w:rsidRPr="00392036">
        <w:rPr>
          <w:rFonts w:ascii="Book Antiqua" w:eastAsia="Times New Roman" w:hAnsi="Book Antiqua" w:cs="Times New Roman"/>
          <w:color w:val="000000" w:themeColor="text1"/>
          <w:sz w:val="24"/>
          <w:szCs w:val="24"/>
        </w:rPr>
        <w:t>Tac</w:t>
      </w:r>
      <w:proofErr w:type="gramEnd"/>
      <w:r w:rsidRPr="00392036">
        <w:rPr>
          <w:rFonts w:ascii="Book Antiqua" w:eastAsia="Times New Roman" w:hAnsi="Book Antiqua" w:cs="Times New Roman"/>
          <w:color w:val="000000" w:themeColor="text1"/>
          <w:sz w:val="24"/>
          <w:szCs w:val="24"/>
        </w:rPr>
        <w:t xml:space="preserve">: </w:t>
      </w:r>
      <w:r w:rsidR="00392036" w:rsidRPr="00392036">
        <w:rPr>
          <w:rFonts w:ascii="Book Antiqua" w:eastAsia="Times New Roman" w:hAnsi="Book Antiqua" w:cs="Times New Roman"/>
          <w:color w:val="000000" w:themeColor="text1"/>
          <w:sz w:val="24"/>
          <w:szCs w:val="24"/>
        </w:rPr>
        <w:t>Tacrolimus</w:t>
      </w:r>
      <w:r w:rsidRPr="00392036">
        <w:rPr>
          <w:rFonts w:ascii="Book Antiqua" w:eastAsia="Times New Roman" w:hAnsi="Book Antiqua" w:cs="Times New Roman"/>
          <w:color w:val="000000" w:themeColor="text1"/>
          <w:sz w:val="24"/>
          <w:szCs w:val="24"/>
        </w:rPr>
        <w:t xml:space="preserve">; CsA: </w:t>
      </w:r>
      <w:r w:rsidR="00392036" w:rsidRPr="00392036">
        <w:rPr>
          <w:rFonts w:ascii="Book Antiqua" w:eastAsia="Times New Roman" w:hAnsi="Book Antiqua" w:cs="Times New Roman"/>
          <w:color w:val="000000" w:themeColor="text1"/>
          <w:sz w:val="24"/>
          <w:szCs w:val="24"/>
        </w:rPr>
        <w:t>Cyclosporine</w:t>
      </w:r>
      <w:r w:rsidRPr="00392036">
        <w:rPr>
          <w:rFonts w:ascii="Book Antiqua" w:eastAsia="Times New Roman" w:hAnsi="Book Antiqua" w:cs="Times New Roman"/>
          <w:color w:val="000000" w:themeColor="text1"/>
          <w:sz w:val="24"/>
          <w:szCs w:val="24"/>
        </w:rPr>
        <w:t xml:space="preserve">; AZA: </w:t>
      </w:r>
      <w:r w:rsidR="00392036" w:rsidRPr="00392036">
        <w:rPr>
          <w:rFonts w:ascii="Book Antiqua" w:eastAsia="Times New Roman" w:hAnsi="Book Antiqua" w:cs="Times New Roman"/>
          <w:color w:val="000000" w:themeColor="text1"/>
          <w:sz w:val="24"/>
          <w:szCs w:val="24"/>
        </w:rPr>
        <w:t>Azathioprine</w:t>
      </w:r>
      <w:r w:rsidRPr="00392036">
        <w:rPr>
          <w:rFonts w:ascii="Book Antiqua" w:eastAsia="Times New Roman" w:hAnsi="Book Antiqua" w:cs="Times New Roman"/>
          <w:color w:val="000000" w:themeColor="text1"/>
          <w:sz w:val="24"/>
          <w:szCs w:val="24"/>
        </w:rPr>
        <w:t xml:space="preserve">; MMF: </w:t>
      </w:r>
      <w:r w:rsidR="00392036" w:rsidRPr="00392036">
        <w:rPr>
          <w:rFonts w:ascii="Book Antiqua" w:eastAsia="Times New Roman" w:hAnsi="Book Antiqua" w:cs="Times New Roman"/>
          <w:color w:val="000000" w:themeColor="text1"/>
          <w:sz w:val="24"/>
          <w:szCs w:val="24"/>
        </w:rPr>
        <w:t xml:space="preserve">Mycophenolate </w:t>
      </w:r>
      <w:r w:rsidRPr="00392036">
        <w:rPr>
          <w:rFonts w:ascii="Book Antiqua" w:eastAsia="Times New Roman" w:hAnsi="Book Antiqua" w:cs="Times New Roman"/>
          <w:color w:val="000000" w:themeColor="text1"/>
          <w:sz w:val="24"/>
          <w:szCs w:val="24"/>
        </w:rPr>
        <w:t xml:space="preserve">mofetil; TNF: </w:t>
      </w:r>
      <w:r w:rsidR="00392036" w:rsidRPr="00392036">
        <w:rPr>
          <w:rFonts w:ascii="Book Antiqua" w:eastAsia="Times New Roman" w:hAnsi="Book Antiqua" w:cs="Times New Roman"/>
          <w:color w:val="000000" w:themeColor="text1"/>
          <w:sz w:val="24"/>
          <w:szCs w:val="24"/>
        </w:rPr>
        <w:t xml:space="preserve">Tumor </w:t>
      </w:r>
      <w:r w:rsidRPr="00392036">
        <w:rPr>
          <w:rFonts w:ascii="Book Antiqua" w:eastAsia="Times New Roman" w:hAnsi="Book Antiqua" w:cs="Times New Roman"/>
          <w:color w:val="000000" w:themeColor="text1"/>
          <w:sz w:val="24"/>
          <w:szCs w:val="24"/>
        </w:rPr>
        <w:t>necrosis factor</w:t>
      </w:r>
      <w:r w:rsidR="00392036">
        <w:rPr>
          <w:rFonts w:ascii="Book Antiqua" w:hAnsi="Book Antiqua" w:cs="Times New Roman" w:hint="eastAsia"/>
          <w:color w:val="000000" w:themeColor="text1"/>
          <w:sz w:val="24"/>
          <w:szCs w:val="24"/>
          <w:lang w:eastAsia="zh-CN"/>
        </w:rPr>
        <w:t>.</w:t>
      </w:r>
    </w:p>
    <w:p w:rsidR="00423923" w:rsidRPr="00392036" w:rsidRDefault="00423923" w:rsidP="00313A7D">
      <w:pPr>
        <w:spacing w:after="0" w:line="360" w:lineRule="auto"/>
        <w:jc w:val="both"/>
        <w:rPr>
          <w:rFonts w:ascii="Book Antiqua" w:eastAsia="Times New Roman" w:hAnsi="Book Antiqua" w:cs="Times New Roman"/>
          <w:color w:val="000000" w:themeColor="text1"/>
          <w:sz w:val="24"/>
          <w:szCs w:val="24"/>
        </w:rPr>
      </w:pPr>
    </w:p>
    <w:p w:rsidR="00F54F61" w:rsidRPr="00392036" w:rsidRDefault="00F54F61" w:rsidP="00313A7D">
      <w:pPr>
        <w:spacing w:after="0" w:line="360" w:lineRule="auto"/>
        <w:jc w:val="both"/>
        <w:rPr>
          <w:rFonts w:ascii="Book Antiqua" w:eastAsia="Times New Roman" w:hAnsi="Book Antiqua" w:cs="Times New Roman"/>
          <w:color w:val="000000" w:themeColor="text1"/>
          <w:sz w:val="24"/>
          <w:szCs w:val="24"/>
        </w:rPr>
      </w:pPr>
    </w:p>
    <w:sectPr w:rsidR="00F54F61" w:rsidRPr="00392036" w:rsidSect="006412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D1" w:rsidRDefault="005040D1" w:rsidP="00932070">
      <w:pPr>
        <w:spacing w:after="0" w:line="240" w:lineRule="auto"/>
      </w:pPr>
      <w:r>
        <w:separator/>
      </w:r>
    </w:p>
  </w:endnote>
  <w:endnote w:type="continuationSeparator" w:id="0">
    <w:p w:rsidR="005040D1" w:rsidRDefault="005040D1" w:rsidP="0093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Italic">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Pro-Regular">
    <w:panose1 w:val="00000000000000000000"/>
    <w:charset w:val="EE"/>
    <w:family w:val="auto"/>
    <w:notTrueType/>
    <w:pitch w:val="default"/>
    <w:sig w:usb0="00000005" w:usb1="00000000" w:usb2="00000000" w:usb3="00000000" w:csb0="00000002" w:csb1="00000000"/>
  </w:font>
  <w:font w:name="BookAntiqua">
    <w:altName w:val="方正舒体"/>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359361"/>
      <w:docPartObj>
        <w:docPartGallery w:val="Page Numbers (Bottom of Page)"/>
        <w:docPartUnique/>
      </w:docPartObj>
    </w:sdtPr>
    <w:sdtEndPr/>
    <w:sdtContent>
      <w:p w:rsidR="001B7096" w:rsidRDefault="006B6D03">
        <w:pPr>
          <w:pStyle w:val="Footer"/>
          <w:jc w:val="right"/>
        </w:pPr>
        <w:r>
          <w:fldChar w:fldCharType="begin"/>
        </w:r>
        <w:r>
          <w:instrText>PAGE   \* MERGEFORMAT</w:instrText>
        </w:r>
        <w:r>
          <w:fldChar w:fldCharType="separate"/>
        </w:r>
        <w:r w:rsidR="003972BD" w:rsidRPr="003972BD">
          <w:rPr>
            <w:noProof/>
            <w:lang w:val="hr-HR"/>
          </w:rPr>
          <w:t>41</w:t>
        </w:r>
        <w:r>
          <w:rPr>
            <w:noProof/>
            <w:lang w:val="hr-HR"/>
          </w:rPr>
          <w:fldChar w:fldCharType="end"/>
        </w:r>
      </w:p>
    </w:sdtContent>
  </w:sdt>
  <w:p w:rsidR="001B7096" w:rsidRDefault="001B7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D1" w:rsidRDefault="005040D1" w:rsidP="00932070">
      <w:pPr>
        <w:spacing w:after="0" w:line="240" w:lineRule="auto"/>
      </w:pPr>
      <w:r>
        <w:separator/>
      </w:r>
    </w:p>
  </w:footnote>
  <w:footnote w:type="continuationSeparator" w:id="0">
    <w:p w:rsidR="005040D1" w:rsidRDefault="005040D1" w:rsidP="00932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666"/>
    <w:multiLevelType w:val="hybridMultilevel"/>
    <w:tmpl w:val="1122920E"/>
    <w:lvl w:ilvl="0" w:tplc="D0DE86BA">
      <w:start w:val="1"/>
      <w:numFmt w:val="decimal"/>
      <w:lvlText w:val="%1."/>
      <w:lvlJc w:val="left"/>
      <w:pPr>
        <w:ind w:left="1069" w:hanging="360"/>
      </w:pPr>
      <w:rPr>
        <w:rFonts w:ascii="Book Antiqua" w:hAnsi="Book Antiqua" w:cstheme="minorBidi" w:hint="default"/>
        <w:b w:val="0"/>
        <w:sz w:val="24"/>
        <w:szCs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56049C8"/>
    <w:multiLevelType w:val="hybridMultilevel"/>
    <w:tmpl w:val="FC503B78"/>
    <w:lvl w:ilvl="0" w:tplc="2B4ECB28">
      <w:start w:val="1"/>
      <w:numFmt w:val="decimal"/>
      <w:lvlText w:val="%1."/>
      <w:lvlJc w:val="left"/>
      <w:pPr>
        <w:ind w:left="1080" w:hanging="360"/>
      </w:pPr>
      <w:rPr>
        <w:rFonts w:asciiTheme="minorHAnsi" w:hAnsiTheme="minorHAnsi" w:cstheme="minorBidi"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F7A4C79"/>
    <w:multiLevelType w:val="hybridMultilevel"/>
    <w:tmpl w:val="0444202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8C4216A"/>
    <w:multiLevelType w:val="hybridMultilevel"/>
    <w:tmpl w:val="2142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43BB6"/>
    <w:multiLevelType w:val="hybridMultilevel"/>
    <w:tmpl w:val="1122920E"/>
    <w:lvl w:ilvl="0" w:tplc="D0DE86BA">
      <w:start w:val="1"/>
      <w:numFmt w:val="decimal"/>
      <w:lvlText w:val="%1."/>
      <w:lvlJc w:val="left"/>
      <w:pPr>
        <w:ind w:left="1069" w:hanging="360"/>
      </w:pPr>
      <w:rPr>
        <w:rFonts w:ascii="Book Antiqua" w:hAnsi="Book Antiqua" w:cstheme="minorBidi" w:hint="default"/>
        <w:b w:val="0"/>
        <w:sz w:val="24"/>
        <w:szCs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3EC243A"/>
    <w:multiLevelType w:val="multilevel"/>
    <w:tmpl w:val="2152A2C2"/>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415DE"/>
    <w:multiLevelType w:val="multilevel"/>
    <w:tmpl w:val="4E7C407E"/>
    <w:lvl w:ilvl="0">
      <w:start w:val="4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6C21F4"/>
    <w:multiLevelType w:val="hybridMultilevel"/>
    <w:tmpl w:val="ACCEC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92247B"/>
    <w:multiLevelType w:val="hybridMultilevel"/>
    <w:tmpl w:val="9C56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D3D11"/>
    <w:multiLevelType w:val="hybridMultilevel"/>
    <w:tmpl w:val="FC503B78"/>
    <w:lvl w:ilvl="0" w:tplc="2B4ECB28">
      <w:start w:val="1"/>
      <w:numFmt w:val="decimal"/>
      <w:lvlText w:val="%1."/>
      <w:lvlJc w:val="left"/>
      <w:pPr>
        <w:ind w:left="1080" w:hanging="360"/>
      </w:pPr>
      <w:rPr>
        <w:rFonts w:asciiTheme="minorHAnsi" w:hAnsiTheme="minorHAnsi" w:cstheme="minorBidi"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5437995"/>
    <w:multiLevelType w:val="hybridMultilevel"/>
    <w:tmpl w:val="1586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D2F77"/>
    <w:multiLevelType w:val="hybridMultilevel"/>
    <w:tmpl w:val="FC503B78"/>
    <w:lvl w:ilvl="0" w:tplc="2B4ECB28">
      <w:start w:val="1"/>
      <w:numFmt w:val="decimal"/>
      <w:lvlText w:val="%1."/>
      <w:lvlJc w:val="left"/>
      <w:pPr>
        <w:ind w:left="1080" w:hanging="360"/>
      </w:pPr>
      <w:rPr>
        <w:rFonts w:asciiTheme="minorHAnsi" w:hAnsiTheme="minorHAnsi" w:cstheme="minorBidi"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6AD35F2F"/>
    <w:multiLevelType w:val="hybridMultilevel"/>
    <w:tmpl w:val="6F24487E"/>
    <w:lvl w:ilvl="0" w:tplc="2B4ECB28">
      <w:start w:val="1"/>
      <w:numFmt w:val="decimal"/>
      <w:lvlText w:val="%1."/>
      <w:lvlJc w:val="left"/>
      <w:pPr>
        <w:ind w:left="720" w:hanging="360"/>
      </w:pPr>
      <w:rPr>
        <w:rFonts w:asciiTheme="minorHAnsi" w:hAnsiTheme="minorHAnsi" w:cstheme="minorBid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490603"/>
    <w:multiLevelType w:val="hybridMultilevel"/>
    <w:tmpl w:val="C694B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0C7B79"/>
    <w:multiLevelType w:val="hybridMultilevel"/>
    <w:tmpl w:val="6B700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41567A"/>
    <w:multiLevelType w:val="hybridMultilevel"/>
    <w:tmpl w:val="8BA6F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9"/>
  </w:num>
  <w:num w:numId="5">
    <w:abstractNumId w:val="11"/>
  </w:num>
  <w:num w:numId="6">
    <w:abstractNumId w:val="15"/>
  </w:num>
  <w:num w:numId="7">
    <w:abstractNumId w:val="1"/>
  </w:num>
  <w:num w:numId="8">
    <w:abstractNumId w:val="4"/>
  </w:num>
  <w:num w:numId="9">
    <w:abstractNumId w:val="5"/>
  </w:num>
  <w:num w:numId="10">
    <w:abstractNumId w:val="6"/>
  </w:num>
  <w:num w:numId="11">
    <w:abstractNumId w:val="10"/>
  </w:num>
  <w:num w:numId="12">
    <w:abstractNumId w:val="7"/>
  </w:num>
  <w:num w:numId="13">
    <w:abstractNumId w:val="13"/>
  </w:num>
  <w:num w:numId="14">
    <w:abstractNumId w:val="8"/>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AD"/>
    <w:rsid w:val="000008CA"/>
    <w:rsid w:val="00004C39"/>
    <w:rsid w:val="0001398B"/>
    <w:rsid w:val="00015AEA"/>
    <w:rsid w:val="0001673C"/>
    <w:rsid w:val="00020A36"/>
    <w:rsid w:val="00026935"/>
    <w:rsid w:val="00026A68"/>
    <w:rsid w:val="00027FAD"/>
    <w:rsid w:val="00036F9F"/>
    <w:rsid w:val="00040429"/>
    <w:rsid w:val="000407C5"/>
    <w:rsid w:val="00046A9A"/>
    <w:rsid w:val="0005054C"/>
    <w:rsid w:val="00050D9E"/>
    <w:rsid w:val="0005191E"/>
    <w:rsid w:val="0005468C"/>
    <w:rsid w:val="0006161F"/>
    <w:rsid w:val="00062BBE"/>
    <w:rsid w:val="0007153C"/>
    <w:rsid w:val="00071D26"/>
    <w:rsid w:val="00071FE7"/>
    <w:rsid w:val="00072702"/>
    <w:rsid w:val="00073703"/>
    <w:rsid w:val="000759F2"/>
    <w:rsid w:val="000766AB"/>
    <w:rsid w:val="00077327"/>
    <w:rsid w:val="00077B32"/>
    <w:rsid w:val="00077E1A"/>
    <w:rsid w:val="00080ABB"/>
    <w:rsid w:val="00080EA5"/>
    <w:rsid w:val="0008353E"/>
    <w:rsid w:val="00085834"/>
    <w:rsid w:val="00085D21"/>
    <w:rsid w:val="00087528"/>
    <w:rsid w:val="00091580"/>
    <w:rsid w:val="00092E17"/>
    <w:rsid w:val="000933BD"/>
    <w:rsid w:val="000A3205"/>
    <w:rsid w:val="000A6BB8"/>
    <w:rsid w:val="000B2786"/>
    <w:rsid w:val="000B278B"/>
    <w:rsid w:val="000C14D8"/>
    <w:rsid w:val="000C4E4F"/>
    <w:rsid w:val="000D3309"/>
    <w:rsid w:val="000D3E88"/>
    <w:rsid w:val="000E1A26"/>
    <w:rsid w:val="000E312C"/>
    <w:rsid w:val="000F0699"/>
    <w:rsid w:val="000F3947"/>
    <w:rsid w:val="000F3F2B"/>
    <w:rsid w:val="000F5CE7"/>
    <w:rsid w:val="001013A1"/>
    <w:rsid w:val="001020EE"/>
    <w:rsid w:val="00104BA7"/>
    <w:rsid w:val="00105E87"/>
    <w:rsid w:val="00106F5B"/>
    <w:rsid w:val="00112CCE"/>
    <w:rsid w:val="00113972"/>
    <w:rsid w:val="00117AAE"/>
    <w:rsid w:val="0012058E"/>
    <w:rsid w:val="0012513A"/>
    <w:rsid w:val="001256D5"/>
    <w:rsid w:val="00125AA8"/>
    <w:rsid w:val="00127541"/>
    <w:rsid w:val="00127961"/>
    <w:rsid w:val="00130502"/>
    <w:rsid w:val="00130B3C"/>
    <w:rsid w:val="00131194"/>
    <w:rsid w:val="0013379B"/>
    <w:rsid w:val="001347C3"/>
    <w:rsid w:val="00135407"/>
    <w:rsid w:val="0013654F"/>
    <w:rsid w:val="00142230"/>
    <w:rsid w:val="00144FCD"/>
    <w:rsid w:val="00145157"/>
    <w:rsid w:val="001548A8"/>
    <w:rsid w:val="001646CA"/>
    <w:rsid w:val="00177519"/>
    <w:rsid w:val="00177F48"/>
    <w:rsid w:val="00184754"/>
    <w:rsid w:val="00185090"/>
    <w:rsid w:val="00190036"/>
    <w:rsid w:val="001961EC"/>
    <w:rsid w:val="00197549"/>
    <w:rsid w:val="0019788E"/>
    <w:rsid w:val="001A6209"/>
    <w:rsid w:val="001B0CD1"/>
    <w:rsid w:val="001B4529"/>
    <w:rsid w:val="001B7096"/>
    <w:rsid w:val="001B7916"/>
    <w:rsid w:val="001C4BE4"/>
    <w:rsid w:val="001C6457"/>
    <w:rsid w:val="001C6822"/>
    <w:rsid w:val="001C7FD9"/>
    <w:rsid w:val="001D0C0D"/>
    <w:rsid w:val="001E2148"/>
    <w:rsid w:val="001E42B0"/>
    <w:rsid w:val="001E6E5D"/>
    <w:rsid w:val="001F4FE2"/>
    <w:rsid w:val="001F523E"/>
    <w:rsid w:val="0020212B"/>
    <w:rsid w:val="00213E2E"/>
    <w:rsid w:val="00214240"/>
    <w:rsid w:val="002173EE"/>
    <w:rsid w:val="00220B33"/>
    <w:rsid w:val="00222BD0"/>
    <w:rsid w:val="002305F4"/>
    <w:rsid w:val="002310C5"/>
    <w:rsid w:val="002316E3"/>
    <w:rsid w:val="00232053"/>
    <w:rsid w:val="00234445"/>
    <w:rsid w:val="00235C6A"/>
    <w:rsid w:val="002403AD"/>
    <w:rsid w:val="00243DF1"/>
    <w:rsid w:val="00244DAC"/>
    <w:rsid w:val="00246307"/>
    <w:rsid w:val="002529E6"/>
    <w:rsid w:val="00253F3F"/>
    <w:rsid w:val="00254BD9"/>
    <w:rsid w:val="00256635"/>
    <w:rsid w:val="002567E5"/>
    <w:rsid w:val="00256F20"/>
    <w:rsid w:val="0026282E"/>
    <w:rsid w:val="00263432"/>
    <w:rsid w:val="00263454"/>
    <w:rsid w:val="00264DD6"/>
    <w:rsid w:val="00272622"/>
    <w:rsid w:val="00272723"/>
    <w:rsid w:val="00275713"/>
    <w:rsid w:val="00276A2B"/>
    <w:rsid w:val="00277C16"/>
    <w:rsid w:val="002857F2"/>
    <w:rsid w:val="002858E0"/>
    <w:rsid w:val="0028723F"/>
    <w:rsid w:val="0029411F"/>
    <w:rsid w:val="002943A7"/>
    <w:rsid w:val="00294965"/>
    <w:rsid w:val="00294AF7"/>
    <w:rsid w:val="00295B09"/>
    <w:rsid w:val="00295DF9"/>
    <w:rsid w:val="002A1FCF"/>
    <w:rsid w:val="002B210A"/>
    <w:rsid w:val="002B2147"/>
    <w:rsid w:val="002B33B6"/>
    <w:rsid w:val="002C3B68"/>
    <w:rsid w:val="002C71B2"/>
    <w:rsid w:val="002D04D0"/>
    <w:rsid w:val="002D316D"/>
    <w:rsid w:val="002D64BD"/>
    <w:rsid w:val="002D653A"/>
    <w:rsid w:val="002D6DB5"/>
    <w:rsid w:val="002E3C5C"/>
    <w:rsid w:val="002E5AAE"/>
    <w:rsid w:val="002E77B2"/>
    <w:rsid w:val="002F3CA6"/>
    <w:rsid w:val="002F467D"/>
    <w:rsid w:val="002F5E3F"/>
    <w:rsid w:val="002F6B4F"/>
    <w:rsid w:val="00302285"/>
    <w:rsid w:val="00305222"/>
    <w:rsid w:val="00305788"/>
    <w:rsid w:val="00310988"/>
    <w:rsid w:val="003114BA"/>
    <w:rsid w:val="00312E8C"/>
    <w:rsid w:val="00313544"/>
    <w:rsid w:val="00313A7D"/>
    <w:rsid w:val="00315CFE"/>
    <w:rsid w:val="003175EC"/>
    <w:rsid w:val="0032629F"/>
    <w:rsid w:val="00330056"/>
    <w:rsid w:val="003333F6"/>
    <w:rsid w:val="00333751"/>
    <w:rsid w:val="00334C44"/>
    <w:rsid w:val="0033542B"/>
    <w:rsid w:val="00335561"/>
    <w:rsid w:val="00336B96"/>
    <w:rsid w:val="003409A2"/>
    <w:rsid w:val="00343CDF"/>
    <w:rsid w:val="003463B5"/>
    <w:rsid w:val="003467CE"/>
    <w:rsid w:val="003476B7"/>
    <w:rsid w:val="00351855"/>
    <w:rsid w:val="00352BA8"/>
    <w:rsid w:val="00353CA8"/>
    <w:rsid w:val="0035505F"/>
    <w:rsid w:val="00356AB4"/>
    <w:rsid w:val="00357F21"/>
    <w:rsid w:val="00364595"/>
    <w:rsid w:val="003725BB"/>
    <w:rsid w:val="00373B1D"/>
    <w:rsid w:val="00373B4B"/>
    <w:rsid w:val="003746D5"/>
    <w:rsid w:val="00374A6E"/>
    <w:rsid w:val="00380EA9"/>
    <w:rsid w:val="00381116"/>
    <w:rsid w:val="00383D24"/>
    <w:rsid w:val="00387367"/>
    <w:rsid w:val="00387503"/>
    <w:rsid w:val="00392036"/>
    <w:rsid w:val="0039487B"/>
    <w:rsid w:val="00396302"/>
    <w:rsid w:val="0039669F"/>
    <w:rsid w:val="003972BD"/>
    <w:rsid w:val="003A03B7"/>
    <w:rsid w:val="003A0AD7"/>
    <w:rsid w:val="003A3E8C"/>
    <w:rsid w:val="003A505D"/>
    <w:rsid w:val="003A6C4A"/>
    <w:rsid w:val="003A76D1"/>
    <w:rsid w:val="003B2D06"/>
    <w:rsid w:val="003B4DE1"/>
    <w:rsid w:val="003B6198"/>
    <w:rsid w:val="003C0C0E"/>
    <w:rsid w:val="003C67A1"/>
    <w:rsid w:val="003C7C64"/>
    <w:rsid w:val="003D1629"/>
    <w:rsid w:val="003D265A"/>
    <w:rsid w:val="003D73D7"/>
    <w:rsid w:val="003E03B2"/>
    <w:rsid w:val="003E1998"/>
    <w:rsid w:val="003E3D21"/>
    <w:rsid w:val="003E4169"/>
    <w:rsid w:val="003E5B8A"/>
    <w:rsid w:val="003E641E"/>
    <w:rsid w:val="003E75AC"/>
    <w:rsid w:val="003F3BC0"/>
    <w:rsid w:val="003F42BA"/>
    <w:rsid w:val="003F4609"/>
    <w:rsid w:val="003F7CE4"/>
    <w:rsid w:val="004012ED"/>
    <w:rsid w:val="00401C87"/>
    <w:rsid w:val="004031A3"/>
    <w:rsid w:val="00406FCE"/>
    <w:rsid w:val="00407632"/>
    <w:rsid w:val="00413934"/>
    <w:rsid w:val="00413C08"/>
    <w:rsid w:val="0041528E"/>
    <w:rsid w:val="00415C40"/>
    <w:rsid w:val="004208A9"/>
    <w:rsid w:val="0042361D"/>
    <w:rsid w:val="00423923"/>
    <w:rsid w:val="00427DC7"/>
    <w:rsid w:val="00430F2E"/>
    <w:rsid w:val="00433E55"/>
    <w:rsid w:val="00437253"/>
    <w:rsid w:val="00437516"/>
    <w:rsid w:val="00444D66"/>
    <w:rsid w:val="00446AD8"/>
    <w:rsid w:val="004516FC"/>
    <w:rsid w:val="00451C56"/>
    <w:rsid w:val="004523EA"/>
    <w:rsid w:val="004563D5"/>
    <w:rsid w:val="00462B9E"/>
    <w:rsid w:val="004716DB"/>
    <w:rsid w:val="004720F8"/>
    <w:rsid w:val="0047411A"/>
    <w:rsid w:val="00477D95"/>
    <w:rsid w:val="00487B95"/>
    <w:rsid w:val="00497C10"/>
    <w:rsid w:val="004B099A"/>
    <w:rsid w:val="004B1658"/>
    <w:rsid w:val="004B63EE"/>
    <w:rsid w:val="004C0E58"/>
    <w:rsid w:val="004C19D6"/>
    <w:rsid w:val="004C23AF"/>
    <w:rsid w:val="004C29DB"/>
    <w:rsid w:val="004C4530"/>
    <w:rsid w:val="004D0AF5"/>
    <w:rsid w:val="004D2C0C"/>
    <w:rsid w:val="004D7C62"/>
    <w:rsid w:val="004E0253"/>
    <w:rsid w:val="004E03F1"/>
    <w:rsid w:val="004E5500"/>
    <w:rsid w:val="004E5ACB"/>
    <w:rsid w:val="004F169D"/>
    <w:rsid w:val="004F4111"/>
    <w:rsid w:val="004F55A9"/>
    <w:rsid w:val="004F6E8C"/>
    <w:rsid w:val="004F7172"/>
    <w:rsid w:val="00500316"/>
    <w:rsid w:val="00500B98"/>
    <w:rsid w:val="00500C40"/>
    <w:rsid w:val="00501287"/>
    <w:rsid w:val="005019D9"/>
    <w:rsid w:val="005040D1"/>
    <w:rsid w:val="0050461C"/>
    <w:rsid w:val="00507227"/>
    <w:rsid w:val="00507EA5"/>
    <w:rsid w:val="0051024F"/>
    <w:rsid w:val="00510914"/>
    <w:rsid w:val="00520AA9"/>
    <w:rsid w:val="00520B76"/>
    <w:rsid w:val="00526DF9"/>
    <w:rsid w:val="00530F96"/>
    <w:rsid w:val="005349E5"/>
    <w:rsid w:val="00534C0E"/>
    <w:rsid w:val="00534E65"/>
    <w:rsid w:val="00547F58"/>
    <w:rsid w:val="00551EAE"/>
    <w:rsid w:val="00552630"/>
    <w:rsid w:val="00557FE8"/>
    <w:rsid w:val="00561D43"/>
    <w:rsid w:val="0056293D"/>
    <w:rsid w:val="00562F56"/>
    <w:rsid w:val="00564AFF"/>
    <w:rsid w:val="005672A4"/>
    <w:rsid w:val="005704CF"/>
    <w:rsid w:val="00570F9F"/>
    <w:rsid w:val="00571263"/>
    <w:rsid w:val="00573B48"/>
    <w:rsid w:val="005750EC"/>
    <w:rsid w:val="00575204"/>
    <w:rsid w:val="00582A44"/>
    <w:rsid w:val="00582B89"/>
    <w:rsid w:val="00584C47"/>
    <w:rsid w:val="00591645"/>
    <w:rsid w:val="00591F07"/>
    <w:rsid w:val="00592A2F"/>
    <w:rsid w:val="005A04A5"/>
    <w:rsid w:val="005A15FC"/>
    <w:rsid w:val="005A29AF"/>
    <w:rsid w:val="005A3506"/>
    <w:rsid w:val="005A3C44"/>
    <w:rsid w:val="005A47D0"/>
    <w:rsid w:val="005B0711"/>
    <w:rsid w:val="005B69C0"/>
    <w:rsid w:val="005B6DDC"/>
    <w:rsid w:val="005C4FC5"/>
    <w:rsid w:val="005D072D"/>
    <w:rsid w:val="005D2A64"/>
    <w:rsid w:val="005D3E86"/>
    <w:rsid w:val="005D49B1"/>
    <w:rsid w:val="005E17E1"/>
    <w:rsid w:val="005E5742"/>
    <w:rsid w:val="005F1AC8"/>
    <w:rsid w:val="005F4332"/>
    <w:rsid w:val="005F537A"/>
    <w:rsid w:val="00602C5C"/>
    <w:rsid w:val="006035EE"/>
    <w:rsid w:val="00614570"/>
    <w:rsid w:val="006152B0"/>
    <w:rsid w:val="00615C86"/>
    <w:rsid w:val="00617942"/>
    <w:rsid w:val="00620ACB"/>
    <w:rsid w:val="006244BF"/>
    <w:rsid w:val="00626AFB"/>
    <w:rsid w:val="006277D9"/>
    <w:rsid w:val="00630036"/>
    <w:rsid w:val="0063267F"/>
    <w:rsid w:val="006334C3"/>
    <w:rsid w:val="006336C4"/>
    <w:rsid w:val="00635CDB"/>
    <w:rsid w:val="00637BA1"/>
    <w:rsid w:val="00640668"/>
    <w:rsid w:val="006412AB"/>
    <w:rsid w:val="00641C09"/>
    <w:rsid w:val="00641CB9"/>
    <w:rsid w:val="00643C88"/>
    <w:rsid w:val="00643D4E"/>
    <w:rsid w:val="00644EA2"/>
    <w:rsid w:val="006454CC"/>
    <w:rsid w:val="006512B9"/>
    <w:rsid w:val="006525E7"/>
    <w:rsid w:val="0065315E"/>
    <w:rsid w:val="006545C3"/>
    <w:rsid w:val="00654E76"/>
    <w:rsid w:val="006634DC"/>
    <w:rsid w:val="00666A60"/>
    <w:rsid w:val="00666AC7"/>
    <w:rsid w:val="00675A12"/>
    <w:rsid w:val="00682201"/>
    <w:rsid w:val="0068238A"/>
    <w:rsid w:val="006827E1"/>
    <w:rsid w:val="006A5154"/>
    <w:rsid w:val="006A6521"/>
    <w:rsid w:val="006A7464"/>
    <w:rsid w:val="006B3229"/>
    <w:rsid w:val="006B6630"/>
    <w:rsid w:val="006B6D03"/>
    <w:rsid w:val="006C16BF"/>
    <w:rsid w:val="006C25D3"/>
    <w:rsid w:val="006C3887"/>
    <w:rsid w:val="006C6432"/>
    <w:rsid w:val="006C6587"/>
    <w:rsid w:val="006D2AAC"/>
    <w:rsid w:val="006D3A26"/>
    <w:rsid w:val="006D3A87"/>
    <w:rsid w:val="006E4263"/>
    <w:rsid w:val="006E79FE"/>
    <w:rsid w:val="006F2E2D"/>
    <w:rsid w:val="006F3FC5"/>
    <w:rsid w:val="006F4BF8"/>
    <w:rsid w:val="006F6D92"/>
    <w:rsid w:val="00703516"/>
    <w:rsid w:val="0070406F"/>
    <w:rsid w:val="00705177"/>
    <w:rsid w:val="00707545"/>
    <w:rsid w:val="00710015"/>
    <w:rsid w:val="007103F8"/>
    <w:rsid w:val="007155E4"/>
    <w:rsid w:val="00716F01"/>
    <w:rsid w:val="00721AB9"/>
    <w:rsid w:val="00722EE8"/>
    <w:rsid w:val="00723C28"/>
    <w:rsid w:val="00724415"/>
    <w:rsid w:val="00730825"/>
    <w:rsid w:val="00733EDB"/>
    <w:rsid w:val="0073516A"/>
    <w:rsid w:val="007369AA"/>
    <w:rsid w:val="0074028F"/>
    <w:rsid w:val="00740477"/>
    <w:rsid w:val="007419B5"/>
    <w:rsid w:val="007425F2"/>
    <w:rsid w:val="00746F9A"/>
    <w:rsid w:val="007500FD"/>
    <w:rsid w:val="0075126E"/>
    <w:rsid w:val="007569BC"/>
    <w:rsid w:val="0077496F"/>
    <w:rsid w:val="00775697"/>
    <w:rsid w:val="00775B45"/>
    <w:rsid w:val="00776A65"/>
    <w:rsid w:val="00777792"/>
    <w:rsid w:val="00777819"/>
    <w:rsid w:val="00780D34"/>
    <w:rsid w:val="00782BF7"/>
    <w:rsid w:val="007841F8"/>
    <w:rsid w:val="00790EEB"/>
    <w:rsid w:val="007A1E11"/>
    <w:rsid w:val="007A2011"/>
    <w:rsid w:val="007A3422"/>
    <w:rsid w:val="007A363C"/>
    <w:rsid w:val="007A4E7E"/>
    <w:rsid w:val="007A7DE3"/>
    <w:rsid w:val="007B25B3"/>
    <w:rsid w:val="007B286A"/>
    <w:rsid w:val="007B2CCC"/>
    <w:rsid w:val="007B2F14"/>
    <w:rsid w:val="007C041B"/>
    <w:rsid w:val="007C248D"/>
    <w:rsid w:val="007C736E"/>
    <w:rsid w:val="007C7B5D"/>
    <w:rsid w:val="007D08C0"/>
    <w:rsid w:val="007D15EF"/>
    <w:rsid w:val="007D15FB"/>
    <w:rsid w:val="007D4D35"/>
    <w:rsid w:val="007D527F"/>
    <w:rsid w:val="007E243F"/>
    <w:rsid w:val="007E28FA"/>
    <w:rsid w:val="007E40F5"/>
    <w:rsid w:val="007E44A8"/>
    <w:rsid w:val="007E7249"/>
    <w:rsid w:val="007F048B"/>
    <w:rsid w:val="007F04B5"/>
    <w:rsid w:val="007F057B"/>
    <w:rsid w:val="007F6B4E"/>
    <w:rsid w:val="00800735"/>
    <w:rsid w:val="00802852"/>
    <w:rsid w:val="008069C8"/>
    <w:rsid w:val="00806E90"/>
    <w:rsid w:val="0080789D"/>
    <w:rsid w:val="00812CB1"/>
    <w:rsid w:val="00816995"/>
    <w:rsid w:val="00817259"/>
    <w:rsid w:val="0082169D"/>
    <w:rsid w:val="00822448"/>
    <w:rsid w:val="00833FE5"/>
    <w:rsid w:val="00834848"/>
    <w:rsid w:val="00834F4E"/>
    <w:rsid w:val="00835E06"/>
    <w:rsid w:val="00837654"/>
    <w:rsid w:val="00837B96"/>
    <w:rsid w:val="00837BEB"/>
    <w:rsid w:val="00841853"/>
    <w:rsid w:val="00842C88"/>
    <w:rsid w:val="00842C8B"/>
    <w:rsid w:val="008463BC"/>
    <w:rsid w:val="00846490"/>
    <w:rsid w:val="00846819"/>
    <w:rsid w:val="008468EA"/>
    <w:rsid w:val="00855076"/>
    <w:rsid w:val="008569F6"/>
    <w:rsid w:val="00863875"/>
    <w:rsid w:val="00863CA2"/>
    <w:rsid w:val="00866565"/>
    <w:rsid w:val="0087289B"/>
    <w:rsid w:val="0087713B"/>
    <w:rsid w:val="008815A4"/>
    <w:rsid w:val="0088371C"/>
    <w:rsid w:val="00885E1B"/>
    <w:rsid w:val="008927C3"/>
    <w:rsid w:val="00895C4F"/>
    <w:rsid w:val="008A0053"/>
    <w:rsid w:val="008A1085"/>
    <w:rsid w:val="008A1B8D"/>
    <w:rsid w:val="008A371F"/>
    <w:rsid w:val="008A52CA"/>
    <w:rsid w:val="008A7488"/>
    <w:rsid w:val="008B2973"/>
    <w:rsid w:val="008B4145"/>
    <w:rsid w:val="008B5291"/>
    <w:rsid w:val="008B77D0"/>
    <w:rsid w:val="008C3892"/>
    <w:rsid w:val="008C5D98"/>
    <w:rsid w:val="008C70AC"/>
    <w:rsid w:val="008D2607"/>
    <w:rsid w:val="008D308F"/>
    <w:rsid w:val="008D32F9"/>
    <w:rsid w:val="008D583A"/>
    <w:rsid w:val="008E3610"/>
    <w:rsid w:val="008E3C4B"/>
    <w:rsid w:val="008E5B98"/>
    <w:rsid w:val="008E797E"/>
    <w:rsid w:val="008E7E80"/>
    <w:rsid w:val="008F0CD5"/>
    <w:rsid w:val="008F0F87"/>
    <w:rsid w:val="008F3741"/>
    <w:rsid w:val="008F3887"/>
    <w:rsid w:val="008F5FEF"/>
    <w:rsid w:val="0090088E"/>
    <w:rsid w:val="009018B4"/>
    <w:rsid w:val="00905EE9"/>
    <w:rsid w:val="00906CE1"/>
    <w:rsid w:val="009100F1"/>
    <w:rsid w:val="0091172C"/>
    <w:rsid w:val="00914D86"/>
    <w:rsid w:val="00914D89"/>
    <w:rsid w:val="00916CBE"/>
    <w:rsid w:val="00921CF0"/>
    <w:rsid w:val="00927117"/>
    <w:rsid w:val="00932070"/>
    <w:rsid w:val="00934F7B"/>
    <w:rsid w:val="0094269A"/>
    <w:rsid w:val="00947C47"/>
    <w:rsid w:val="00951364"/>
    <w:rsid w:val="00952690"/>
    <w:rsid w:val="00953F68"/>
    <w:rsid w:val="009545BC"/>
    <w:rsid w:val="009548BA"/>
    <w:rsid w:val="00955577"/>
    <w:rsid w:val="00962998"/>
    <w:rsid w:val="00963FA9"/>
    <w:rsid w:val="00966B7D"/>
    <w:rsid w:val="00967A1A"/>
    <w:rsid w:val="00967C3D"/>
    <w:rsid w:val="00977042"/>
    <w:rsid w:val="00977D39"/>
    <w:rsid w:val="00983271"/>
    <w:rsid w:val="0098794D"/>
    <w:rsid w:val="00992C95"/>
    <w:rsid w:val="00992F72"/>
    <w:rsid w:val="009944C6"/>
    <w:rsid w:val="00995F4C"/>
    <w:rsid w:val="009965CE"/>
    <w:rsid w:val="009971B8"/>
    <w:rsid w:val="00997BC1"/>
    <w:rsid w:val="009A0ED3"/>
    <w:rsid w:val="009A1C90"/>
    <w:rsid w:val="009A1E26"/>
    <w:rsid w:val="009A40FA"/>
    <w:rsid w:val="009A4E3B"/>
    <w:rsid w:val="009A5AD8"/>
    <w:rsid w:val="009A5BD6"/>
    <w:rsid w:val="009A7A63"/>
    <w:rsid w:val="009B4E4A"/>
    <w:rsid w:val="009C1CE2"/>
    <w:rsid w:val="009C5EA0"/>
    <w:rsid w:val="009C6708"/>
    <w:rsid w:val="009D12B3"/>
    <w:rsid w:val="009D244F"/>
    <w:rsid w:val="009D3D92"/>
    <w:rsid w:val="009D3FA6"/>
    <w:rsid w:val="009D595B"/>
    <w:rsid w:val="009E1236"/>
    <w:rsid w:val="009E2D4C"/>
    <w:rsid w:val="009E4201"/>
    <w:rsid w:val="009F1070"/>
    <w:rsid w:val="009F4AC8"/>
    <w:rsid w:val="00A00885"/>
    <w:rsid w:val="00A03374"/>
    <w:rsid w:val="00A0494B"/>
    <w:rsid w:val="00A05E53"/>
    <w:rsid w:val="00A10C00"/>
    <w:rsid w:val="00A12840"/>
    <w:rsid w:val="00A12914"/>
    <w:rsid w:val="00A12C52"/>
    <w:rsid w:val="00A14811"/>
    <w:rsid w:val="00A14D2D"/>
    <w:rsid w:val="00A159C5"/>
    <w:rsid w:val="00A170AB"/>
    <w:rsid w:val="00A2033B"/>
    <w:rsid w:val="00A22867"/>
    <w:rsid w:val="00A22B6C"/>
    <w:rsid w:val="00A232A4"/>
    <w:rsid w:val="00A255AC"/>
    <w:rsid w:val="00A265AB"/>
    <w:rsid w:val="00A30D53"/>
    <w:rsid w:val="00A31C05"/>
    <w:rsid w:val="00A33080"/>
    <w:rsid w:val="00A40515"/>
    <w:rsid w:val="00A40805"/>
    <w:rsid w:val="00A41B1D"/>
    <w:rsid w:val="00A422F8"/>
    <w:rsid w:val="00A42BBA"/>
    <w:rsid w:val="00A43A26"/>
    <w:rsid w:val="00A50990"/>
    <w:rsid w:val="00A50E97"/>
    <w:rsid w:val="00A50F29"/>
    <w:rsid w:val="00A51977"/>
    <w:rsid w:val="00A55921"/>
    <w:rsid w:val="00A5644A"/>
    <w:rsid w:val="00A56841"/>
    <w:rsid w:val="00A5768F"/>
    <w:rsid w:val="00A60C73"/>
    <w:rsid w:val="00A64E0F"/>
    <w:rsid w:val="00A7525D"/>
    <w:rsid w:val="00A771D5"/>
    <w:rsid w:val="00A8166D"/>
    <w:rsid w:val="00A831A2"/>
    <w:rsid w:val="00A855D5"/>
    <w:rsid w:val="00A87C68"/>
    <w:rsid w:val="00A91C04"/>
    <w:rsid w:val="00A9758B"/>
    <w:rsid w:val="00AA665D"/>
    <w:rsid w:val="00AB02EA"/>
    <w:rsid w:val="00AB045E"/>
    <w:rsid w:val="00AB257E"/>
    <w:rsid w:val="00AB35FC"/>
    <w:rsid w:val="00AB60C0"/>
    <w:rsid w:val="00AB6813"/>
    <w:rsid w:val="00AC1673"/>
    <w:rsid w:val="00AC4B13"/>
    <w:rsid w:val="00AD1E3E"/>
    <w:rsid w:val="00AD257B"/>
    <w:rsid w:val="00AD4250"/>
    <w:rsid w:val="00AD7A26"/>
    <w:rsid w:val="00AE0B69"/>
    <w:rsid w:val="00AE498B"/>
    <w:rsid w:val="00AE6228"/>
    <w:rsid w:val="00AE7FB2"/>
    <w:rsid w:val="00AF11ED"/>
    <w:rsid w:val="00AF3E75"/>
    <w:rsid w:val="00AF52B1"/>
    <w:rsid w:val="00AF55DF"/>
    <w:rsid w:val="00AF5E05"/>
    <w:rsid w:val="00B00FAD"/>
    <w:rsid w:val="00B04FEB"/>
    <w:rsid w:val="00B059FD"/>
    <w:rsid w:val="00B06081"/>
    <w:rsid w:val="00B07804"/>
    <w:rsid w:val="00B108DE"/>
    <w:rsid w:val="00B12F96"/>
    <w:rsid w:val="00B13CFA"/>
    <w:rsid w:val="00B1771C"/>
    <w:rsid w:val="00B225EE"/>
    <w:rsid w:val="00B30F0B"/>
    <w:rsid w:val="00B34AE6"/>
    <w:rsid w:val="00B4095B"/>
    <w:rsid w:val="00B45147"/>
    <w:rsid w:val="00B514AA"/>
    <w:rsid w:val="00B535C3"/>
    <w:rsid w:val="00B6065E"/>
    <w:rsid w:val="00B60D89"/>
    <w:rsid w:val="00B673E7"/>
    <w:rsid w:val="00B70311"/>
    <w:rsid w:val="00B73C15"/>
    <w:rsid w:val="00B73D4F"/>
    <w:rsid w:val="00B73E57"/>
    <w:rsid w:val="00B7466E"/>
    <w:rsid w:val="00B74FFE"/>
    <w:rsid w:val="00B75C96"/>
    <w:rsid w:val="00B839B0"/>
    <w:rsid w:val="00B86433"/>
    <w:rsid w:val="00B91550"/>
    <w:rsid w:val="00B95936"/>
    <w:rsid w:val="00B95BD6"/>
    <w:rsid w:val="00B9614D"/>
    <w:rsid w:val="00BA041F"/>
    <w:rsid w:val="00BA05E6"/>
    <w:rsid w:val="00BA7ECD"/>
    <w:rsid w:val="00BB26BF"/>
    <w:rsid w:val="00BB2A64"/>
    <w:rsid w:val="00BB454C"/>
    <w:rsid w:val="00BB4D5E"/>
    <w:rsid w:val="00BC0322"/>
    <w:rsid w:val="00BC0911"/>
    <w:rsid w:val="00BD058A"/>
    <w:rsid w:val="00BD30D1"/>
    <w:rsid w:val="00BD5504"/>
    <w:rsid w:val="00BD6D66"/>
    <w:rsid w:val="00BE1B43"/>
    <w:rsid w:val="00BE210E"/>
    <w:rsid w:val="00BE359B"/>
    <w:rsid w:val="00BE3FCD"/>
    <w:rsid w:val="00BE561F"/>
    <w:rsid w:val="00BE7F5F"/>
    <w:rsid w:val="00BF39C5"/>
    <w:rsid w:val="00BF79BE"/>
    <w:rsid w:val="00C026BC"/>
    <w:rsid w:val="00C02E4D"/>
    <w:rsid w:val="00C11BA0"/>
    <w:rsid w:val="00C125AE"/>
    <w:rsid w:val="00C127CE"/>
    <w:rsid w:val="00C135D5"/>
    <w:rsid w:val="00C1427D"/>
    <w:rsid w:val="00C2224A"/>
    <w:rsid w:val="00C2390A"/>
    <w:rsid w:val="00C25001"/>
    <w:rsid w:val="00C2615B"/>
    <w:rsid w:val="00C30524"/>
    <w:rsid w:val="00C3376D"/>
    <w:rsid w:val="00C3457F"/>
    <w:rsid w:val="00C34AFA"/>
    <w:rsid w:val="00C419E3"/>
    <w:rsid w:val="00C41F4D"/>
    <w:rsid w:val="00C50CCD"/>
    <w:rsid w:val="00C52097"/>
    <w:rsid w:val="00C54356"/>
    <w:rsid w:val="00C57949"/>
    <w:rsid w:val="00C604C0"/>
    <w:rsid w:val="00C607A3"/>
    <w:rsid w:val="00C6265C"/>
    <w:rsid w:val="00C63F00"/>
    <w:rsid w:val="00C6493B"/>
    <w:rsid w:val="00C65F45"/>
    <w:rsid w:val="00C70257"/>
    <w:rsid w:val="00C71FA8"/>
    <w:rsid w:val="00C74424"/>
    <w:rsid w:val="00C7443A"/>
    <w:rsid w:val="00C7582E"/>
    <w:rsid w:val="00C80004"/>
    <w:rsid w:val="00C806F3"/>
    <w:rsid w:val="00C84BDF"/>
    <w:rsid w:val="00C874E1"/>
    <w:rsid w:val="00C91393"/>
    <w:rsid w:val="00CA149C"/>
    <w:rsid w:val="00CA2590"/>
    <w:rsid w:val="00CA76A9"/>
    <w:rsid w:val="00CB5AA7"/>
    <w:rsid w:val="00CB6504"/>
    <w:rsid w:val="00CC0976"/>
    <w:rsid w:val="00CC0DA3"/>
    <w:rsid w:val="00CC27A0"/>
    <w:rsid w:val="00CC68FA"/>
    <w:rsid w:val="00CC7DA0"/>
    <w:rsid w:val="00CC7EDF"/>
    <w:rsid w:val="00CD2937"/>
    <w:rsid w:val="00CD5050"/>
    <w:rsid w:val="00CE1112"/>
    <w:rsid w:val="00CE1EC5"/>
    <w:rsid w:val="00CE3702"/>
    <w:rsid w:val="00CE3926"/>
    <w:rsid w:val="00CE41F3"/>
    <w:rsid w:val="00CE6933"/>
    <w:rsid w:val="00CF2098"/>
    <w:rsid w:val="00CF3027"/>
    <w:rsid w:val="00CF45FC"/>
    <w:rsid w:val="00CF4741"/>
    <w:rsid w:val="00CF6695"/>
    <w:rsid w:val="00D04F71"/>
    <w:rsid w:val="00D10BE7"/>
    <w:rsid w:val="00D112CF"/>
    <w:rsid w:val="00D13514"/>
    <w:rsid w:val="00D16CA3"/>
    <w:rsid w:val="00D20CE2"/>
    <w:rsid w:val="00D21290"/>
    <w:rsid w:val="00D22DC2"/>
    <w:rsid w:val="00D23D44"/>
    <w:rsid w:val="00D25396"/>
    <w:rsid w:val="00D26350"/>
    <w:rsid w:val="00D26C44"/>
    <w:rsid w:val="00D27C4B"/>
    <w:rsid w:val="00D30319"/>
    <w:rsid w:val="00D31D2E"/>
    <w:rsid w:val="00D334FE"/>
    <w:rsid w:val="00D3636F"/>
    <w:rsid w:val="00D37126"/>
    <w:rsid w:val="00D42080"/>
    <w:rsid w:val="00D42D3D"/>
    <w:rsid w:val="00D478D5"/>
    <w:rsid w:val="00D47B58"/>
    <w:rsid w:val="00D5264D"/>
    <w:rsid w:val="00D60391"/>
    <w:rsid w:val="00D6717B"/>
    <w:rsid w:val="00D773BE"/>
    <w:rsid w:val="00D776CA"/>
    <w:rsid w:val="00D77F18"/>
    <w:rsid w:val="00D81083"/>
    <w:rsid w:val="00D86BEC"/>
    <w:rsid w:val="00D92F18"/>
    <w:rsid w:val="00D938C0"/>
    <w:rsid w:val="00D93EC0"/>
    <w:rsid w:val="00DA1058"/>
    <w:rsid w:val="00DA25F6"/>
    <w:rsid w:val="00DA3A67"/>
    <w:rsid w:val="00DB74C2"/>
    <w:rsid w:val="00DB79E0"/>
    <w:rsid w:val="00DC2C6D"/>
    <w:rsid w:val="00DC34F8"/>
    <w:rsid w:val="00DC5B56"/>
    <w:rsid w:val="00DC71D6"/>
    <w:rsid w:val="00DC768D"/>
    <w:rsid w:val="00DD2058"/>
    <w:rsid w:val="00DD69BD"/>
    <w:rsid w:val="00DE4B56"/>
    <w:rsid w:val="00DE6E15"/>
    <w:rsid w:val="00DE74CD"/>
    <w:rsid w:val="00DF01AC"/>
    <w:rsid w:val="00DF2B1F"/>
    <w:rsid w:val="00DF3408"/>
    <w:rsid w:val="00DF6751"/>
    <w:rsid w:val="00DF7B5A"/>
    <w:rsid w:val="00E00D0B"/>
    <w:rsid w:val="00E0264A"/>
    <w:rsid w:val="00E0331A"/>
    <w:rsid w:val="00E038F2"/>
    <w:rsid w:val="00E03DB9"/>
    <w:rsid w:val="00E07D6F"/>
    <w:rsid w:val="00E10DB2"/>
    <w:rsid w:val="00E1237B"/>
    <w:rsid w:val="00E13762"/>
    <w:rsid w:val="00E1456A"/>
    <w:rsid w:val="00E15AA3"/>
    <w:rsid w:val="00E160BB"/>
    <w:rsid w:val="00E16604"/>
    <w:rsid w:val="00E177CC"/>
    <w:rsid w:val="00E41C17"/>
    <w:rsid w:val="00E449C0"/>
    <w:rsid w:val="00E54399"/>
    <w:rsid w:val="00E55DCA"/>
    <w:rsid w:val="00E5606C"/>
    <w:rsid w:val="00E61032"/>
    <w:rsid w:val="00E65950"/>
    <w:rsid w:val="00E671FF"/>
    <w:rsid w:val="00E72650"/>
    <w:rsid w:val="00E72F41"/>
    <w:rsid w:val="00E7370A"/>
    <w:rsid w:val="00E73C2E"/>
    <w:rsid w:val="00E80C60"/>
    <w:rsid w:val="00E86C52"/>
    <w:rsid w:val="00E94A9E"/>
    <w:rsid w:val="00E9744C"/>
    <w:rsid w:val="00EA321E"/>
    <w:rsid w:val="00EA45A4"/>
    <w:rsid w:val="00EA46FF"/>
    <w:rsid w:val="00EA7457"/>
    <w:rsid w:val="00EB4551"/>
    <w:rsid w:val="00EB4D2D"/>
    <w:rsid w:val="00EB7819"/>
    <w:rsid w:val="00EC2CA7"/>
    <w:rsid w:val="00EC6D32"/>
    <w:rsid w:val="00EC715D"/>
    <w:rsid w:val="00EC78D4"/>
    <w:rsid w:val="00ED2258"/>
    <w:rsid w:val="00ED4DC6"/>
    <w:rsid w:val="00ED58F7"/>
    <w:rsid w:val="00ED7C48"/>
    <w:rsid w:val="00EE2D62"/>
    <w:rsid w:val="00EE4E83"/>
    <w:rsid w:val="00EE5CA0"/>
    <w:rsid w:val="00EF1DBE"/>
    <w:rsid w:val="00EF35D6"/>
    <w:rsid w:val="00EF572F"/>
    <w:rsid w:val="00EF6563"/>
    <w:rsid w:val="00EF6A8B"/>
    <w:rsid w:val="00F004F8"/>
    <w:rsid w:val="00F020AD"/>
    <w:rsid w:val="00F03338"/>
    <w:rsid w:val="00F053B9"/>
    <w:rsid w:val="00F05FDB"/>
    <w:rsid w:val="00F065F6"/>
    <w:rsid w:val="00F069FB"/>
    <w:rsid w:val="00F10BC7"/>
    <w:rsid w:val="00F131A0"/>
    <w:rsid w:val="00F15918"/>
    <w:rsid w:val="00F20751"/>
    <w:rsid w:val="00F2176C"/>
    <w:rsid w:val="00F23401"/>
    <w:rsid w:val="00F23B3E"/>
    <w:rsid w:val="00F31091"/>
    <w:rsid w:val="00F326F3"/>
    <w:rsid w:val="00F32BB2"/>
    <w:rsid w:val="00F35618"/>
    <w:rsid w:val="00F40923"/>
    <w:rsid w:val="00F42ACE"/>
    <w:rsid w:val="00F42BC4"/>
    <w:rsid w:val="00F45DDA"/>
    <w:rsid w:val="00F46289"/>
    <w:rsid w:val="00F4708C"/>
    <w:rsid w:val="00F51B44"/>
    <w:rsid w:val="00F52BD1"/>
    <w:rsid w:val="00F536BE"/>
    <w:rsid w:val="00F54BE2"/>
    <w:rsid w:val="00F54F61"/>
    <w:rsid w:val="00F55827"/>
    <w:rsid w:val="00F56228"/>
    <w:rsid w:val="00F56626"/>
    <w:rsid w:val="00F71A83"/>
    <w:rsid w:val="00F750D7"/>
    <w:rsid w:val="00F77A74"/>
    <w:rsid w:val="00F77B25"/>
    <w:rsid w:val="00F84216"/>
    <w:rsid w:val="00F91EF0"/>
    <w:rsid w:val="00F922A6"/>
    <w:rsid w:val="00F92EA8"/>
    <w:rsid w:val="00F96256"/>
    <w:rsid w:val="00FA0D72"/>
    <w:rsid w:val="00FA14BA"/>
    <w:rsid w:val="00FA1F3C"/>
    <w:rsid w:val="00FA2223"/>
    <w:rsid w:val="00FA3391"/>
    <w:rsid w:val="00FA39F9"/>
    <w:rsid w:val="00FB0BAD"/>
    <w:rsid w:val="00FB152C"/>
    <w:rsid w:val="00FB1FA8"/>
    <w:rsid w:val="00FC03DA"/>
    <w:rsid w:val="00FC1418"/>
    <w:rsid w:val="00FC44D2"/>
    <w:rsid w:val="00FC50AB"/>
    <w:rsid w:val="00FC65BC"/>
    <w:rsid w:val="00FC6ECE"/>
    <w:rsid w:val="00FC7501"/>
    <w:rsid w:val="00FD01F3"/>
    <w:rsid w:val="00FD0236"/>
    <w:rsid w:val="00FD2A40"/>
    <w:rsid w:val="00FD3636"/>
    <w:rsid w:val="00FD6F3E"/>
    <w:rsid w:val="00FE02B4"/>
    <w:rsid w:val="00FE12CF"/>
    <w:rsid w:val="00FE31E9"/>
    <w:rsid w:val="00FE44DC"/>
    <w:rsid w:val="00FE4852"/>
    <w:rsid w:val="00FF05C1"/>
    <w:rsid w:val="00FF19BD"/>
    <w:rsid w:val="00FF2936"/>
    <w:rsid w:val="00FF4EE6"/>
    <w:rsid w:val="00FF5570"/>
    <w:rsid w:val="00FF7044"/>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849E0-3C24-437D-A5E4-B7A5967D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AB"/>
    <w:rPr>
      <w:lang w:val="en-GB"/>
    </w:rPr>
  </w:style>
  <w:style w:type="paragraph" w:styleId="Heading1">
    <w:name w:val="heading 1"/>
    <w:basedOn w:val="Normal"/>
    <w:link w:val="Heading1Char"/>
    <w:uiPriority w:val="9"/>
    <w:rsid w:val="00EF572F"/>
    <w:pPr>
      <w:spacing w:beforeLines="1" w:afterLines="1" w:line="240" w:lineRule="auto"/>
      <w:outlineLvl w:val="0"/>
    </w:pPr>
    <w:rPr>
      <w:rFonts w:ascii="Times" w:hAnsi="Times"/>
      <w:b/>
      <w:kern w:val="36"/>
      <w:sz w:val="4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EA"/>
    <w:pPr>
      <w:ind w:left="720"/>
      <w:contextualSpacing/>
    </w:pPr>
  </w:style>
  <w:style w:type="character" w:customStyle="1" w:styleId="apple-converted-space">
    <w:name w:val="apple-converted-space"/>
    <w:basedOn w:val="DefaultParagraphFont"/>
    <w:rsid w:val="004523EA"/>
  </w:style>
  <w:style w:type="character" w:styleId="Hyperlink">
    <w:name w:val="Hyperlink"/>
    <w:basedOn w:val="DefaultParagraphFont"/>
    <w:uiPriority w:val="99"/>
    <w:unhideWhenUsed/>
    <w:rsid w:val="004523EA"/>
    <w:rPr>
      <w:color w:val="0000FF"/>
      <w:u w:val="single"/>
    </w:rPr>
  </w:style>
  <w:style w:type="paragraph" w:styleId="Header">
    <w:name w:val="header"/>
    <w:basedOn w:val="Normal"/>
    <w:link w:val="HeaderChar"/>
    <w:uiPriority w:val="99"/>
    <w:unhideWhenUsed/>
    <w:rsid w:val="009320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2070"/>
    <w:rPr>
      <w:lang w:val="en-GB"/>
    </w:rPr>
  </w:style>
  <w:style w:type="paragraph" w:styleId="Footer">
    <w:name w:val="footer"/>
    <w:basedOn w:val="Normal"/>
    <w:link w:val="FooterChar"/>
    <w:uiPriority w:val="99"/>
    <w:unhideWhenUsed/>
    <w:rsid w:val="009320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2070"/>
    <w:rPr>
      <w:lang w:val="en-GB"/>
    </w:rPr>
  </w:style>
  <w:style w:type="paragraph" w:styleId="BalloonText">
    <w:name w:val="Balloon Text"/>
    <w:basedOn w:val="Normal"/>
    <w:link w:val="BalloonTextChar"/>
    <w:uiPriority w:val="99"/>
    <w:semiHidden/>
    <w:unhideWhenUsed/>
    <w:rsid w:val="00A4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05"/>
    <w:rPr>
      <w:rFonts w:ascii="Tahoma" w:hAnsi="Tahoma" w:cs="Tahoma"/>
      <w:sz w:val="16"/>
      <w:szCs w:val="16"/>
      <w:lang w:val="en-GB"/>
    </w:rPr>
  </w:style>
  <w:style w:type="character" w:styleId="CommentReference">
    <w:name w:val="annotation reference"/>
    <w:basedOn w:val="DefaultParagraphFont"/>
    <w:uiPriority w:val="99"/>
    <w:semiHidden/>
    <w:unhideWhenUsed/>
    <w:rsid w:val="00EF6A8B"/>
    <w:rPr>
      <w:sz w:val="16"/>
      <w:szCs w:val="16"/>
    </w:rPr>
  </w:style>
  <w:style w:type="paragraph" w:styleId="CommentText">
    <w:name w:val="annotation text"/>
    <w:basedOn w:val="Normal"/>
    <w:link w:val="CommentTextChar"/>
    <w:uiPriority w:val="99"/>
    <w:semiHidden/>
    <w:unhideWhenUsed/>
    <w:rsid w:val="00EF6A8B"/>
    <w:pPr>
      <w:spacing w:line="240" w:lineRule="auto"/>
    </w:pPr>
    <w:rPr>
      <w:sz w:val="20"/>
      <w:szCs w:val="20"/>
    </w:rPr>
  </w:style>
  <w:style w:type="character" w:customStyle="1" w:styleId="CommentTextChar">
    <w:name w:val="Comment Text Char"/>
    <w:basedOn w:val="DefaultParagraphFont"/>
    <w:link w:val="CommentText"/>
    <w:uiPriority w:val="99"/>
    <w:semiHidden/>
    <w:rsid w:val="00EF6A8B"/>
    <w:rPr>
      <w:sz w:val="20"/>
      <w:szCs w:val="20"/>
      <w:lang w:val="en-GB"/>
    </w:rPr>
  </w:style>
  <w:style w:type="paragraph" w:styleId="CommentSubject">
    <w:name w:val="annotation subject"/>
    <w:basedOn w:val="CommentText"/>
    <w:next w:val="CommentText"/>
    <w:link w:val="CommentSubjectChar"/>
    <w:uiPriority w:val="99"/>
    <w:semiHidden/>
    <w:unhideWhenUsed/>
    <w:rsid w:val="00EF6A8B"/>
    <w:rPr>
      <w:b/>
      <w:bCs/>
    </w:rPr>
  </w:style>
  <w:style w:type="character" w:customStyle="1" w:styleId="CommentSubjectChar">
    <w:name w:val="Comment Subject Char"/>
    <w:basedOn w:val="CommentTextChar"/>
    <w:link w:val="CommentSubject"/>
    <w:uiPriority w:val="99"/>
    <w:semiHidden/>
    <w:rsid w:val="00EF6A8B"/>
    <w:rPr>
      <w:b/>
      <w:bCs/>
      <w:sz w:val="20"/>
      <w:szCs w:val="20"/>
      <w:lang w:val="en-GB"/>
    </w:rPr>
  </w:style>
  <w:style w:type="paragraph" w:styleId="Revision">
    <w:name w:val="Revision"/>
    <w:hidden/>
    <w:uiPriority w:val="99"/>
    <w:semiHidden/>
    <w:rsid w:val="00E15AA3"/>
    <w:pPr>
      <w:spacing w:after="0" w:line="240" w:lineRule="auto"/>
    </w:pPr>
    <w:rPr>
      <w:lang w:val="en-GB"/>
    </w:rPr>
  </w:style>
  <w:style w:type="paragraph" w:styleId="NormalWeb">
    <w:name w:val="Normal (Web)"/>
    <w:basedOn w:val="Normal"/>
    <w:uiPriority w:val="99"/>
    <w:rsid w:val="00A50990"/>
    <w:pPr>
      <w:spacing w:beforeLines="1" w:afterLines="1" w:line="240" w:lineRule="auto"/>
    </w:pPr>
    <w:rPr>
      <w:rFonts w:ascii="Times" w:hAnsi="Times" w:cs="Times New Roman"/>
      <w:sz w:val="20"/>
      <w:szCs w:val="20"/>
      <w:lang w:val="en-US" w:eastAsia="en-US"/>
    </w:rPr>
  </w:style>
  <w:style w:type="table" w:styleId="TableGrid">
    <w:name w:val="Table Grid"/>
    <w:basedOn w:val="TableNormal"/>
    <w:uiPriority w:val="59"/>
    <w:rsid w:val="005B6DDC"/>
    <w:pPr>
      <w:spacing w:after="0" w:line="240" w:lineRule="auto"/>
    </w:pPr>
    <w:rPr>
      <w:rFonts w:eastAsiaTheme="minorHAns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EF572F"/>
    <w:rPr>
      <w:i/>
    </w:rPr>
  </w:style>
  <w:style w:type="character" w:customStyle="1" w:styleId="Heading1Char">
    <w:name w:val="Heading 1 Char"/>
    <w:basedOn w:val="DefaultParagraphFont"/>
    <w:link w:val="Heading1"/>
    <w:uiPriority w:val="9"/>
    <w:rsid w:val="00EF572F"/>
    <w:rPr>
      <w:rFonts w:ascii="Times" w:hAnsi="Times"/>
      <w:b/>
      <w:kern w:val="36"/>
      <w:sz w:val="48"/>
      <w:szCs w:val="20"/>
      <w:lang w:val="en-US" w:eastAsia="en-US"/>
    </w:rPr>
  </w:style>
  <w:style w:type="character" w:customStyle="1" w:styleId="ref-title">
    <w:name w:val="ref-title"/>
    <w:basedOn w:val="DefaultParagraphFont"/>
    <w:rsid w:val="009D3FA6"/>
  </w:style>
  <w:style w:type="character" w:customStyle="1" w:styleId="ref-journal">
    <w:name w:val="ref-journal"/>
    <w:basedOn w:val="DefaultParagraphFont"/>
    <w:rsid w:val="009D3FA6"/>
  </w:style>
  <w:style w:type="character" w:customStyle="1" w:styleId="ref-vol">
    <w:name w:val="ref-vol"/>
    <w:basedOn w:val="DefaultParagraphFont"/>
    <w:rsid w:val="009D3FA6"/>
  </w:style>
  <w:style w:type="paragraph" w:styleId="EndnoteText">
    <w:name w:val="endnote text"/>
    <w:basedOn w:val="Normal"/>
    <w:link w:val="EndnoteTextChar"/>
    <w:rsid w:val="00866565"/>
    <w:pPr>
      <w:spacing w:after="0" w:line="240" w:lineRule="auto"/>
    </w:pPr>
    <w:rPr>
      <w:sz w:val="24"/>
      <w:szCs w:val="24"/>
    </w:rPr>
  </w:style>
  <w:style w:type="character" w:customStyle="1" w:styleId="EndnoteTextChar">
    <w:name w:val="Endnote Text Char"/>
    <w:basedOn w:val="DefaultParagraphFont"/>
    <w:link w:val="EndnoteText"/>
    <w:rsid w:val="00866565"/>
    <w:rPr>
      <w:sz w:val="24"/>
      <w:szCs w:val="24"/>
      <w:lang w:val="en-GB"/>
    </w:rPr>
  </w:style>
  <w:style w:type="character" w:styleId="EndnoteReference">
    <w:name w:val="endnote reference"/>
    <w:basedOn w:val="DefaultParagraphFont"/>
    <w:rsid w:val="00866565"/>
    <w:rPr>
      <w:vertAlign w:val="superscript"/>
    </w:rPr>
  </w:style>
  <w:style w:type="character" w:styleId="Strong">
    <w:name w:val="Strong"/>
    <w:uiPriority w:val="22"/>
    <w:qFormat/>
    <w:rsid w:val="00392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9566">
      <w:bodyDiv w:val="1"/>
      <w:marLeft w:val="0"/>
      <w:marRight w:val="0"/>
      <w:marTop w:val="0"/>
      <w:marBottom w:val="0"/>
      <w:divBdr>
        <w:top w:val="none" w:sz="0" w:space="0" w:color="auto"/>
        <w:left w:val="none" w:sz="0" w:space="0" w:color="auto"/>
        <w:bottom w:val="none" w:sz="0" w:space="0" w:color="auto"/>
        <w:right w:val="none" w:sz="0" w:space="0" w:color="auto"/>
      </w:divBdr>
      <w:divsChild>
        <w:div w:id="1305236779">
          <w:marLeft w:val="0"/>
          <w:marRight w:val="0"/>
          <w:marTop w:val="0"/>
          <w:marBottom w:val="0"/>
          <w:divBdr>
            <w:top w:val="none" w:sz="0" w:space="0" w:color="auto"/>
            <w:left w:val="none" w:sz="0" w:space="0" w:color="auto"/>
            <w:bottom w:val="none" w:sz="0" w:space="0" w:color="auto"/>
            <w:right w:val="none" w:sz="0" w:space="0" w:color="auto"/>
          </w:divBdr>
          <w:divsChild>
            <w:div w:id="1656257146">
              <w:marLeft w:val="0"/>
              <w:marRight w:val="0"/>
              <w:marTop w:val="0"/>
              <w:marBottom w:val="0"/>
              <w:divBdr>
                <w:top w:val="none" w:sz="0" w:space="0" w:color="auto"/>
                <w:left w:val="none" w:sz="0" w:space="0" w:color="auto"/>
                <w:bottom w:val="none" w:sz="0" w:space="0" w:color="auto"/>
                <w:right w:val="none" w:sz="0" w:space="0" w:color="auto"/>
              </w:divBdr>
              <w:divsChild>
                <w:div w:id="8108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3990">
      <w:bodyDiv w:val="1"/>
      <w:marLeft w:val="0"/>
      <w:marRight w:val="0"/>
      <w:marTop w:val="0"/>
      <w:marBottom w:val="0"/>
      <w:divBdr>
        <w:top w:val="none" w:sz="0" w:space="0" w:color="auto"/>
        <w:left w:val="none" w:sz="0" w:space="0" w:color="auto"/>
        <w:bottom w:val="none" w:sz="0" w:space="0" w:color="auto"/>
        <w:right w:val="none" w:sz="0" w:space="0" w:color="auto"/>
      </w:divBdr>
      <w:divsChild>
        <w:div w:id="882785384">
          <w:marLeft w:val="0"/>
          <w:marRight w:val="0"/>
          <w:marTop w:val="0"/>
          <w:marBottom w:val="0"/>
          <w:divBdr>
            <w:top w:val="none" w:sz="0" w:space="0" w:color="auto"/>
            <w:left w:val="none" w:sz="0" w:space="0" w:color="auto"/>
            <w:bottom w:val="none" w:sz="0" w:space="0" w:color="auto"/>
            <w:right w:val="none" w:sz="0" w:space="0" w:color="auto"/>
          </w:divBdr>
          <w:divsChild>
            <w:div w:id="980230705">
              <w:marLeft w:val="0"/>
              <w:marRight w:val="0"/>
              <w:marTop w:val="0"/>
              <w:marBottom w:val="0"/>
              <w:divBdr>
                <w:top w:val="none" w:sz="0" w:space="0" w:color="auto"/>
                <w:left w:val="none" w:sz="0" w:space="0" w:color="auto"/>
                <w:bottom w:val="none" w:sz="0" w:space="0" w:color="auto"/>
                <w:right w:val="none" w:sz="0" w:space="0" w:color="auto"/>
              </w:divBdr>
              <w:divsChild>
                <w:div w:id="21181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590">
      <w:bodyDiv w:val="1"/>
      <w:marLeft w:val="0"/>
      <w:marRight w:val="0"/>
      <w:marTop w:val="0"/>
      <w:marBottom w:val="0"/>
      <w:divBdr>
        <w:top w:val="none" w:sz="0" w:space="0" w:color="auto"/>
        <w:left w:val="none" w:sz="0" w:space="0" w:color="auto"/>
        <w:bottom w:val="none" w:sz="0" w:space="0" w:color="auto"/>
        <w:right w:val="none" w:sz="0" w:space="0" w:color="auto"/>
      </w:divBdr>
      <w:divsChild>
        <w:div w:id="920337155">
          <w:marLeft w:val="0"/>
          <w:marRight w:val="0"/>
          <w:marTop w:val="0"/>
          <w:marBottom w:val="0"/>
          <w:divBdr>
            <w:top w:val="none" w:sz="0" w:space="0" w:color="auto"/>
            <w:left w:val="none" w:sz="0" w:space="0" w:color="auto"/>
            <w:bottom w:val="none" w:sz="0" w:space="0" w:color="auto"/>
            <w:right w:val="none" w:sz="0" w:space="0" w:color="auto"/>
          </w:divBdr>
          <w:divsChild>
            <w:div w:id="1097141223">
              <w:marLeft w:val="0"/>
              <w:marRight w:val="0"/>
              <w:marTop w:val="0"/>
              <w:marBottom w:val="0"/>
              <w:divBdr>
                <w:top w:val="none" w:sz="0" w:space="0" w:color="auto"/>
                <w:left w:val="none" w:sz="0" w:space="0" w:color="auto"/>
                <w:bottom w:val="none" w:sz="0" w:space="0" w:color="auto"/>
                <w:right w:val="none" w:sz="0" w:space="0" w:color="auto"/>
              </w:divBdr>
              <w:divsChild>
                <w:div w:id="390540006">
                  <w:marLeft w:val="0"/>
                  <w:marRight w:val="0"/>
                  <w:marTop w:val="0"/>
                  <w:marBottom w:val="0"/>
                  <w:divBdr>
                    <w:top w:val="none" w:sz="0" w:space="0" w:color="auto"/>
                    <w:left w:val="none" w:sz="0" w:space="0" w:color="auto"/>
                    <w:bottom w:val="none" w:sz="0" w:space="0" w:color="auto"/>
                    <w:right w:val="none" w:sz="0" w:space="0" w:color="auto"/>
                  </w:divBdr>
                  <w:divsChild>
                    <w:div w:id="375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0209">
      <w:bodyDiv w:val="1"/>
      <w:marLeft w:val="0"/>
      <w:marRight w:val="0"/>
      <w:marTop w:val="0"/>
      <w:marBottom w:val="0"/>
      <w:divBdr>
        <w:top w:val="none" w:sz="0" w:space="0" w:color="auto"/>
        <w:left w:val="none" w:sz="0" w:space="0" w:color="auto"/>
        <w:bottom w:val="none" w:sz="0" w:space="0" w:color="auto"/>
        <w:right w:val="none" w:sz="0" w:space="0" w:color="auto"/>
      </w:divBdr>
      <w:divsChild>
        <w:div w:id="1567834657">
          <w:marLeft w:val="0"/>
          <w:marRight w:val="0"/>
          <w:marTop w:val="0"/>
          <w:marBottom w:val="0"/>
          <w:divBdr>
            <w:top w:val="none" w:sz="0" w:space="0" w:color="auto"/>
            <w:left w:val="none" w:sz="0" w:space="0" w:color="auto"/>
            <w:bottom w:val="none" w:sz="0" w:space="0" w:color="auto"/>
            <w:right w:val="none" w:sz="0" w:space="0" w:color="auto"/>
          </w:divBdr>
          <w:divsChild>
            <w:div w:id="1414202484">
              <w:marLeft w:val="0"/>
              <w:marRight w:val="0"/>
              <w:marTop w:val="0"/>
              <w:marBottom w:val="0"/>
              <w:divBdr>
                <w:top w:val="none" w:sz="0" w:space="0" w:color="auto"/>
                <w:left w:val="none" w:sz="0" w:space="0" w:color="auto"/>
                <w:bottom w:val="none" w:sz="0" w:space="0" w:color="auto"/>
                <w:right w:val="none" w:sz="0" w:space="0" w:color="auto"/>
              </w:divBdr>
              <w:divsChild>
                <w:div w:id="18518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7025">
      <w:bodyDiv w:val="1"/>
      <w:marLeft w:val="0"/>
      <w:marRight w:val="0"/>
      <w:marTop w:val="0"/>
      <w:marBottom w:val="0"/>
      <w:divBdr>
        <w:top w:val="none" w:sz="0" w:space="0" w:color="auto"/>
        <w:left w:val="none" w:sz="0" w:space="0" w:color="auto"/>
        <w:bottom w:val="none" w:sz="0" w:space="0" w:color="auto"/>
        <w:right w:val="none" w:sz="0" w:space="0" w:color="auto"/>
      </w:divBdr>
      <w:divsChild>
        <w:div w:id="661615821">
          <w:marLeft w:val="0"/>
          <w:marRight w:val="0"/>
          <w:marTop w:val="0"/>
          <w:marBottom w:val="0"/>
          <w:divBdr>
            <w:top w:val="none" w:sz="0" w:space="0" w:color="auto"/>
            <w:left w:val="none" w:sz="0" w:space="0" w:color="auto"/>
            <w:bottom w:val="none" w:sz="0" w:space="0" w:color="auto"/>
            <w:right w:val="none" w:sz="0" w:space="0" w:color="auto"/>
          </w:divBdr>
          <w:divsChild>
            <w:div w:id="632566959">
              <w:marLeft w:val="0"/>
              <w:marRight w:val="0"/>
              <w:marTop w:val="0"/>
              <w:marBottom w:val="0"/>
              <w:divBdr>
                <w:top w:val="none" w:sz="0" w:space="0" w:color="auto"/>
                <w:left w:val="none" w:sz="0" w:space="0" w:color="auto"/>
                <w:bottom w:val="none" w:sz="0" w:space="0" w:color="auto"/>
                <w:right w:val="none" w:sz="0" w:space="0" w:color="auto"/>
              </w:divBdr>
              <w:divsChild>
                <w:div w:id="18779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9989">
      <w:bodyDiv w:val="1"/>
      <w:marLeft w:val="0"/>
      <w:marRight w:val="0"/>
      <w:marTop w:val="0"/>
      <w:marBottom w:val="0"/>
      <w:divBdr>
        <w:top w:val="none" w:sz="0" w:space="0" w:color="auto"/>
        <w:left w:val="none" w:sz="0" w:space="0" w:color="auto"/>
        <w:bottom w:val="none" w:sz="0" w:space="0" w:color="auto"/>
        <w:right w:val="none" w:sz="0" w:space="0" w:color="auto"/>
      </w:divBdr>
      <w:divsChild>
        <w:div w:id="447704565">
          <w:marLeft w:val="0"/>
          <w:marRight w:val="0"/>
          <w:marTop w:val="0"/>
          <w:marBottom w:val="0"/>
          <w:divBdr>
            <w:top w:val="none" w:sz="0" w:space="0" w:color="auto"/>
            <w:left w:val="none" w:sz="0" w:space="0" w:color="auto"/>
            <w:bottom w:val="none" w:sz="0" w:space="0" w:color="auto"/>
            <w:right w:val="none" w:sz="0" w:space="0" w:color="auto"/>
          </w:divBdr>
          <w:divsChild>
            <w:div w:id="871654925">
              <w:marLeft w:val="0"/>
              <w:marRight w:val="0"/>
              <w:marTop w:val="0"/>
              <w:marBottom w:val="0"/>
              <w:divBdr>
                <w:top w:val="none" w:sz="0" w:space="0" w:color="auto"/>
                <w:left w:val="none" w:sz="0" w:space="0" w:color="auto"/>
                <w:bottom w:val="none" w:sz="0" w:space="0" w:color="auto"/>
                <w:right w:val="none" w:sz="0" w:space="0" w:color="auto"/>
              </w:divBdr>
              <w:divsChild>
                <w:div w:id="6877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436">
      <w:bodyDiv w:val="1"/>
      <w:marLeft w:val="0"/>
      <w:marRight w:val="0"/>
      <w:marTop w:val="0"/>
      <w:marBottom w:val="0"/>
      <w:divBdr>
        <w:top w:val="none" w:sz="0" w:space="0" w:color="auto"/>
        <w:left w:val="none" w:sz="0" w:space="0" w:color="auto"/>
        <w:bottom w:val="none" w:sz="0" w:space="0" w:color="auto"/>
        <w:right w:val="none" w:sz="0" w:space="0" w:color="auto"/>
      </w:divBdr>
    </w:div>
    <w:div w:id="166142360">
      <w:bodyDiv w:val="1"/>
      <w:marLeft w:val="0"/>
      <w:marRight w:val="0"/>
      <w:marTop w:val="0"/>
      <w:marBottom w:val="0"/>
      <w:divBdr>
        <w:top w:val="none" w:sz="0" w:space="0" w:color="auto"/>
        <w:left w:val="none" w:sz="0" w:space="0" w:color="auto"/>
        <w:bottom w:val="none" w:sz="0" w:space="0" w:color="auto"/>
        <w:right w:val="none" w:sz="0" w:space="0" w:color="auto"/>
      </w:divBdr>
    </w:div>
    <w:div w:id="214048911">
      <w:bodyDiv w:val="1"/>
      <w:marLeft w:val="0"/>
      <w:marRight w:val="0"/>
      <w:marTop w:val="0"/>
      <w:marBottom w:val="0"/>
      <w:divBdr>
        <w:top w:val="none" w:sz="0" w:space="0" w:color="auto"/>
        <w:left w:val="none" w:sz="0" w:space="0" w:color="auto"/>
        <w:bottom w:val="none" w:sz="0" w:space="0" w:color="auto"/>
        <w:right w:val="none" w:sz="0" w:space="0" w:color="auto"/>
      </w:divBdr>
      <w:divsChild>
        <w:div w:id="1727802168">
          <w:marLeft w:val="0"/>
          <w:marRight w:val="0"/>
          <w:marTop w:val="0"/>
          <w:marBottom w:val="0"/>
          <w:divBdr>
            <w:top w:val="none" w:sz="0" w:space="0" w:color="auto"/>
            <w:left w:val="none" w:sz="0" w:space="0" w:color="auto"/>
            <w:bottom w:val="none" w:sz="0" w:space="0" w:color="auto"/>
            <w:right w:val="none" w:sz="0" w:space="0" w:color="auto"/>
          </w:divBdr>
          <w:divsChild>
            <w:div w:id="1467818396">
              <w:marLeft w:val="0"/>
              <w:marRight w:val="0"/>
              <w:marTop w:val="0"/>
              <w:marBottom w:val="0"/>
              <w:divBdr>
                <w:top w:val="none" w:sz="0" w:space="0" w:color="auto"/>
                <w:left w:val="none" w:sz="0" w:space="0" w:color="auto"/>
                <w:bottom w:val="none" w:sz="0" w:space="0" w:color="auto"/>
                <w:right w:val="none" w:sz="0" w:space="0" w:color="auto"/>
              </w:divBdr>
              <w:divsChild>
                <w:div w:id="328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12694">
      <w:bodyDiv w:val="1"/>
      <w:marLeft w:val="0"/>
      <w:marRight w:val="0"/>
      <w:marTop w:val="0"/>
      <w:marBottom w:val="0"/>
      <w:divBdr>
        <w:top w:val="none" w:sz="0" w:space="0" w:color="auto"/>
        <w:left w:val="none" w:sz="0" w:space="0" w:color="auto"/>
        <w:bottom w:val="none" w:sz="0" w:space="0" w:color="auto"/>
        <w:right w:val="none" w:sz="0" w:space="0" w:color="auto"/>
      </w:divBdr>
      <w:divsChild>
        <w:div w:id="311644953">
          <w:marLeft w:val="0"/>
          <w:marRight w:val="0"/>
          <w:marTop w:val="0"/>
          <w:marBottom w:val="0"/>
          <w:divBdr>
            <w:top w:val="none" w:sz="0" w:space="0" w:color="auto"/>
            <w:left w:val="none" w:sz="0" w:space="0" w:color="auto"/>
            <w:bottom w:val="none" w:sz="0" w:space="0" w:color="auto"/>
            <w:right w:val="none" w:sz="0" w:space="0" w:color="auto"/>
          </w:divBdr>
          <w:divsChild>
            <w:div w:id="772559071">
              <w:marLeft w:val="0"/>
              <w:marRight w:val="0"/>
              <w:marTop w:val="0"/>
              <w:marBottom w:val="0"/>
              <w:divBdr>
                <w:top w:val="none" w:sz="0" w:space="0" w:color="auto"/>
                <w:left w:val="none" w:sz="0" w:space="0" w:color="auto"/>
                <w:bottom w:val="none" w:sz="0" w:space="0" w:color="auto"/>
                <w:right w:val="none" w:sz="0" w:space="0" w:color="auto"/>
              </w:divBdr>
              <w:divsChild>
                <w:div w:id="199056925">
                  <w:marLeft w:val="0"/>
                  <w:marRight w:val="0"/>
                  <w:marTop w:val="0"/>
                  <w:marBottom w:val="0"/>
                  <w:divBdr>
                    <w:top w:val="none" w:sz="0" w:space="0" w:color="auto"/>
                    <w:left w:val="none" w:sz="0" w:space="0" w:color="auto"/>
                    <w:bottom w:val="none" w:sz="0" w:space="0" w:color="auto"/>
                    <w:right w:val="none" w:sz="0" w:space="0" w:color="auto"/>
                  </w:divBdr>
                  <w:divsChild>
                    <w:div w:id="1363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2786">
      <w:bodyDiv w:val="1"/>
      <w:marLeft w:val="0"/>
      <w:marRight w:val="0"/>
      <w:marTop w:val="0"/>
      <w:marBottom w:val="0"/>
      <w:divBdr>
        <w:top w:val="none" w:sz="0" w:space="0" w:color="auto"/>
        <w:left w:val="none" w:sz="0" w:space="0" w:color="auto"/>
        <w:bottom w:val="none" w:sz="0" w:space="0" w:color="auto"/>
        <w:right w:val="none" w:sz="0" w:space="0" w:color="auto"/>
      </w:divBdr>
      <w:divsChild>
        <w:div w:id="2008822711">
          <w:marLeft w:val="0"/>
          <w:marRight w:val="0"/>
          <w:marTop w:val="0"/>
          <w:marBottom w:val="0"/>
          <w:divBdr>
            <w:top w:val="none" w:sz="0" w:space="0" w:color="auto"/>
            <w:left w:val="none" w:sz="0" w:space="0" w:color="auto"/>
            <w:bottom w:val="none" w:sz="0" w:space="0" w:color="auto"/>
            <w:right w:val="none" w:sz="0" w:space="0" w:color="auto"/>
          </w:divBdr>
          <w:divsChild>
            <w:div w:id="1626695453">
              <w:marLeft w:val="0"/>
              <w:marRight w:val="0"/>
              <w:marTop w:val="0"/>
              <w:marBottom w:val="0"/>
              <w:divBdr>
                <w:top w:val="none" w:sz="0" w:space="0" w:color="auto"/>
                <w:left w:val="none" w:sz="0" w:space="0" w:color="auto"/>
                <w:bottom w:val="none" w:sz="0" w:space="0" w:color="auto"/>
                <w:right w:val="none" w:sz="0" w:space="0" w:color="auto"/>
              </w:divBdr>
              <w:divsChild>
                <w:div w:id="15579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9161">
      <w:bodyDiv w:val="1"/>
      <w:marLeft w:val="0"/>
      <w:marRight w:val="0"/>
      <w:marTop w:val="0"/>
      <w:marBottom w:val="0"/>
      <w:divBdr>
        <w:top w:val="none" w:sz="0" w:space="0" w:color="auto"/>
        <w:left w:val="none" w:sz="0" w:space="0" w:color="auto"/>
        <w:bottom w:val="none" w:sz="0" w:space="0" w:color="auto"/>
        <w:right w:val="none" w:sz="0" w:space="0" w:color="auto"/>
      </w:divBdr>
      <w:divsChild>
        <w:div w:id="114566537">
          <w:marLeft w:val="0"/>
          <w:marRight w:val="0"/>
          <w:marTop w:val="0"/>
          <w:marBottom w:val="0"/>
          <w:divBdr>
            <w:top w:val="none" w:sz="0" w:space="0" w:color="auto"/>
            <w:left w:val="none" w:sz="0" w:space="0" w:color="auto"/>
            <w:bottom w:val="none" w:sz="0" w:space="0" w:color="auto"/>
            <w:right w:val="none" w:sz="0" w:space="0" w:color="auto"/>
          </w:divBdr>
          <w:divsChild>
            <w:div w:id="1690912653">
              <w:marLeft w:val="0"/>
              <w:marRight w:val="0"/>
              <w:marTop w:val="0"/>
              <w:marBottom w:val="0"/>
              <w:divBdr>
                <w:top w:val="none" w:sz="0" w:space="0" w:color="auto"/>
                <w:left w:val="none" w:sz="0" w:space="0" w:color="auto"/>
                <w:bottom w:val="none" w:sz="0" w:space="0" w:color="auto"/>
                <w:right w:val="none" w:sz="0" w:space="0" w:color="auto"/>
              </w:divBdr>
              <w:divsChild>
                <w:div w:id="941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311254584">
      <w:bodyDiv w:val="1"/>
      <w:marLeft w:val="0"/>
      <w:marRight w:val="0"/>
      <w:marTop w:val="0"/>
      <w:marBottom w:val="0"/>
      <w:divBdr>
        <w:top w:val="none" w:sz="0" w:space="0" w:color="auto"/>
        <w:left w:val="none" w:sz="0" w:space="0" w:color="auto"/>
        <w:bottom w:val="none" w:sz="0" w:space="0" w:color="auto"/>
        <w:right w:val="none" w:sz="0" w:space="0" w:color="auto"/>
      </w:divBdr>
      <w:divsChild>
        <w:div w:id="1483424813">
          <w:marLeft w:val="0"/>
          <w:marRight w:val="0"/>
          <w:marTop w:val="0"/>
          <w:marBottom w:val="0"/>
          <w:divBdr>
            <w:top w:val="none" w:sz="0" w:space="0" w:color="auto"/>
            <w:left w:val="none" w:sz="0" w:space="0" w:color="auto"/>
            <w:bottom w:val="none" w:sz="0" w:space="0" w:color="auto"/>
            <w:right w:val="none" w:sz="0" w:space="0" w:color="auto"/>
          </w:divBdr>
          <w:divsChild>
            <w:div w:id="583226576">
              <w:marLeft w:val="0"/>
              <w:marRight w:val="0"/>
              <w:marTop w:val="0"/>
              <w:marBottom w:val="0"/>
              <w:divBdr>
                <w:top w:val="none" w:sz="0" w:space="0" w:color="auto"/>
                <w:left w:val="none" w:sz="0" w:space="0" w:color="auto"/>
                <w:bottom w:val="none" w:sz="0" w:space="0" w:color="auto"/>
                <w:right w:val="none" w:sz="0" w:space="0" w:color="auto"/>
              </w:divBdr>
              <w:divsChild>
                <w:div w:id="19671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2888">
      <w:bodyDiv w:val="1"/>
      <w:marLeft w:val="0"/>
      <w:marRight w:val="0"/>
      <w:marTop w:val="0"/>
      <w:marBottom w:val="0"/>
      <w:divBdr>
        <w:top w:val="none" w:sz="0" w:space="0" w:color="auto"/>
        <w:left w:val="none" w:sz="0" w:space="0" w:color="auto"/>
        <w:bottom w:val="none" w:sz="0" w:space="0" w:color="auto"/>
        <w:right w:val="none" w:sz="0" w:space="0" w:color="auto"/>
      </w:divBdr>
      <w:divsChild>
        <w:div w:id="1573733384">
          <w:marLeft w:val="0"/>
          <w:marRight w:val="0"/>
          <w:marTop w:val="0"/>
          <w:marBottom w:val="0"/>
          <w:divBdr>
            <w:top w:val="none" w:sz="0" w:space="0" w:color="auto"/>
            <w:left w:val="none" w:sz="0" w:space="0" w:color="auto"/>
            <w:bottom w:val="none" w:sz="0" w:space="0" w:color="auto"/>
            <w:right w:val="none" w:sz="0" w:space="0" w:color="auto"/>
          </w:divBdr>
          <w:divsChild>
            <w:div w:id="1249459166">
              <w:marLeft w:val="0"/>
              <w:marRight w:val="0"/>
              <w:marTop w:val="0"/>
              <w:marBottom w:val="0"/>
              <w:divBdr>
                <w:top w:val="none" w:sz="0" w:space="0" w:color="auto"/>
                <w:left w:val="none" w:sz="0" w:space="0" w:color="auto"/>
                <w:bottom w:val="none" w:sz="0" w:space="0" w:color="auto"/>
                <w:right w:val="none" w:sz="0" w:space="0" w:color="auto"/>
              </w:divBdr>
              <w:divsChild>
                <w:div w:id="63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2912">
      <w:bodyDiv w:val="1"/>
      <w:marLeft w:val="0"/>
      <w:marRight w:val="0"/>
      <w:marTop w:val="0"/>
      <w:marBottom w:val="0"/>
      <w:divBdr>
        <w:top w:val="none" w:sz="0" w:space="0" w:color="auto"/>
        <w:left w:val="none" w:sz="0" w:space="0" w:color="auto"/>
        <w:bottom w:val="none" w:sz="0" w:space="0" w:color="auto"/>
        <w:right w:val="none" w:sz="0" w:space="0" w:color="auto"/>
      </w:divBdr>
      <w:divsChild>
        <w:div w:id="1854953252">
          <w:marLeft w:val="0"/>
          <w:marRight w:val="0"/>
          <w:marTop w:val="0"/>
          <w:marBottom w:val="0"/>
          <w:divBdr>
            <w:top w:val="none" w:sz="0" w:space="0" w:color="auto"/>
            <w:left w:val="none" w:sz="0" w:space="0" w:color="auto"/>
            <w:bottom w:val="none" w:sz="0" w:space="0" w:color="auto"/>
            <w:right w:val="none" w:sz="0" w:space="0" w:color="auto"/>
          </w:divBdr>
          <w:divsChild>
            <w:div w:id="1109278300">
              <w:marLeft w:val="0"/>
              <w:marRight w:val="0"/>
              <w:marTop w:val="0"/>
              <w:marBottom w:val="0"/>
              <w:divBdr>
                <w:top w:val="none" w:sz="0" w:space="0" w:color="auto"/>
                <w:left w:val="none" w:sz="0" w:space="0" w:color="auto"/>
                <w:bottom w:val="none" w:sz="0" w:space="0" w:color="auto"/>
                <w:right w:val="none" w:sz="0" w:space="0" w:color="auto"/>
              </w:divBdr>
              <w:divsChild>
                <w:div w:id="2682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6177">
      <w:bodyDiv w:val="1"/>
      <w:marLeft w:val="0"/>
      <w:marRight w:val="0"/>
      <w:marTop w:val="0"/>
      <w:marBottom w:val="0"/>
      <w:divBdr>
        <w:top w:val="none" w:sz="0" w:space="0" w:color="auto"/>
        <w:left w:val="none" w:sz="0" w:space="0" w:color="auto"/>
        <w:bottom w:val="none" w:sz="0" w:space="0" w:color="auto"/>
        <w:right w:val="none" w:sz="0" w:space="0" w:color="auto"/>
      </w:divBdr>
    </w:div>
    <w:div w:id="429930944">
      <w:bodyDiv w:val="1"/>
      <w:marLeft w:val="0"/>
      <w:marRight w:val="0"/>
      <w:marTop w:val="0"/>
      <w:marBottom w:val="0"/>
      <w:divBdr>
        <w:top w:val="none" w:sz="0" w:space="0" w:color="auto"/>
        <w:left w:val="none" w:sz="0" w:space="0" w:color="auto"/>
        <w:bottom w:val="none" w:sz="0" w:space="0" w:color="auto"/>
        <w:right w:val="none" w:sz="0" w:space="0" w:color="auto"/>
      </w:divBdr>
    </w:div>
    <w:div w:id="453909726">
      <w:bodyDiv w:val="1"/>
      <w:marLeft w:val="0"/>
      <w:marRight w:val="0"/>
      <w:marTop w:val="0"/>
      <w:marBottom w:val="0"/>
      <w:divBdr>
        <w:top w:val="none" w:sz="0" w:space="0" w:color="auto"/>
        <w:left w:val="none" w:sz="0" w:space="0" w:color="auto"/>
        <w:bottom w:val="none" w:sz="0" w:space="0" w:color="auto"/>
        <w:right w:val="none" w:sz="0" w:space="0" w:color="auto"/>
      </w:divBdr>
      <w:divsChild>
        <w:div w:id="1218972393">
          <w:marLeft w:val="0"/>
          <w:marRight w:val="0"/>
          <w:marTop w:val="0"/>
          <w:marBottom w:val="0"/>
          <w:divBdr>
            <w:top w:val="none" w:sz="0" w:space="0" w:color="auto"/>
            <w:left w:val="none" w:sz="0" w:space="0" w:color="auto"/>
            <w:bottom w:val="none" w:sz="0" w:space="0" w:color="auto"/>
            <w:right w:val="none" w:sz="0" w:space="0" w:color="auto"/>
          </w:divBdr>
          <w:divsChild>
            <w:div w:id="2000496131">
              <w:marLeft w:val="0"/>
              <w:marRight w:val="0"/>
              <w:marTop w:val="0"/>
              <w:marBottom w:val="0"/>
              <w:divBdr>
                <w:top w:val="none" w:sz="0" w:space="0" w:color="auto"/>
                <w:left w:val="none" w:sz="0" w:space="0" w:color="auto"/>
                <w:bottom w:val="none" w:sz="0" w:space="0" w:color="auto"/>
                <w:right w:val="none" w:sz="0" w:space="0" w:color="auto"/>
              </w:divBdr>
              <w:divsChild>
                <w:div w:id="16496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7742">
      <w:bodyDiv w:val="1"/>
      <w:marLeft w:val="0"/>
      <w:marRight w:val="0"/>
      <w:marTop w:val="0"/>
      <w:marBottom w:val="0"/>
      <w:divBdr>
        <w:top w:val="none" w:sz="0" w:space="0" w:color="auto"/>
        <w:left w:val="none" w:sz="0" w:space="0" w:color="auto"/>
        <w:bottom w:val="none" w:sz="0" w:space="0" w:color="auto"/>
        <w:right w:val="none" w:sz="0" w:space="0" w:color="auto"/>
      </w:divBdr>
      <w:divsChild>
        <w:div w:id="1438938868">
          <w:marLeft w:val="0"/>
          <w:marRight w:val="0"/>
          <w:marTop w:val="0"/>
          <w:marBottom w:val="0"/>
          <w:divBdr>
            <w:top w:val="none" w:sz="0" w:space="0" w:color="auto"/>
            <w:left w:val="none" w:sz="0" w:space="0" w:color="auto"/>
            <w:bottom w:val="none" w:sz="0" w:space="0" w:color="auto"/>
            <w:right w:val="none" w:sz="0" w:space="0" w:color="auto"/>
          </w:divBdr>
          <w:divsChild>
            <w:div w:id="1574195475">
              <w:marLeft w:val="0"/>
              <w:marRight w:val="0"/>
              <w:marTop w:val="0"/>
              <w:marBottom w:val="0"/>
              <w:divBdr>
                <w:top w:val="none" w:sz="0" w:space="0" w:color="auto"/>
                <w:left w:val="none" w:sz="0" w:space="0" w:color="auto"/>
                <w:bottom w:val="none" w:sz="0" w:space="0" w:color="auto"/>
                <w:right w:val="none" w:sz="0" w:space="0" w:color="auto"/>
              </w:divBdr>
              <w:divsChild>
                <w:div w:id="3908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72872">
      <w:bodyDiv w:val="1"/>
      <w:marLeft w:val="0"/>
      <w:marRight w:val="0"/>
      <w:marTop w:val="0"/>
      <w:marBottom w:val="0"/>
      <w:divBdr>
        <w:top w:val="none" w:sz="0" w:space="0" w:color="auto"/>
        <w:left w:val="none" w:sz="0" w:space="0" w:color="auto"/>
        <w:bottom w:val="none" w:sz="0" w:space="0" w:color="auto"/>
        <w:right w:val="none" w:sz="0" w:space="0" w:color="auto"/>
      </w:divBdr>
      <w:divsChild>
        <w:div w:id="841631082">
          <w:marLeft w:val="0"/>
          <w:marRight w:val="0"/>
          <w:marTop w:val="0"/>
          <w:marBottom w:val="0"/>
          <w:divBdr>
            <w:top w:val="none" w:sz="0" w:space="0" w:color="auto"/>
            <w:left w:val="none" w:sz="0" w:space="0" w:color="auto"/>
            <w:bottom w:val="none" w:sz="0" w:space="0" w:color="auto"/>
            <w:right w:val="none" w:sz="0" w:space="0" w:color="auto"/>
          </w:divBdr>
          <w:divsChild>
            <w:div w:id="863203901">
              <w:marLeft w:val="0"/>
              <w:marRight w:val="0"/>
              <w:marTop w:val="0"/>
              <w:marBottom w:val="0"/>
              <w:divBdr>
                <w:top w:val="none" w:sz="0" w:space="0" w:color="auto"/>
                <w:left w:val="none" w:sz="0" w:space="0" w:color="auto"/>
                <w:bottom w:val="none" w:sz="0" w:space="0" w:color="auto"/>
                <w:right w:val="none" w:sz="0" w:space="0" w:color="auto"/>
              </w:divBdr>
              <w:divsChild>
                <w:div w:id="987439431">
                  <w:marLeft w:val="0"/>
                  <w:marRight w:val="0"/>
                  <w:marTop w:val="0"/>
                  <w:marBottom w:val="0"/>
                  <w:divBdr>
                    <w:top w:val="none" w:sz="0" w:space="0" w:color="auto"/>
                    <w:left w:val="none" w:sz="0" w:space="0" w:color="auto"/>
                    <w:bottom w:val="none" w:sz="0" w:space="0" w:color="auto"/>
                    <w:right w:val="none" w:sz="0" w:space="0" w:color="auto"/>
                  </w:divBdr>
                  <w:divsChild>
                    <w:div w:id="12714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8417">
      <w:bodyDiv w:val="1"/>
      <w:marLeft w:val="0"/>
      <w:marRight w:val="0"/>
      <w:marTop w:val="0"/>
      <w:marBottom w:val="0"/>
      <w:divBdr>
        <w:top w:val="none" w:sz="0" w:space="0" w:color="auto"/>
        <w:left w:val="none" w:sz="0" w:space="0" w:color="auto"/>
        <w:bottom w:val="none" w:sz="0" w:space="0" w:color="auto"/>
        <w:right w:val="none" w:sz="0" w:space="0" w:color="auto"/>
      </w:divBdr>
      <w:divsChild>
        <w:div w:id="711154545">
          <w:marLeft w:val="0"/>
          <w:marRight w:val="0"/>
          <w:marTop w:val="0"/>
          <w:marBottom w:val="0"/>
          <w:divBdr>
            <w:top w:val="none" w:sz="0" w:space="0" w:color="auto"/>
            <w:left w:val="none" w:sz="0" w:space="0" w:color="auto"/>
            <w:bottom w:val="none" w:sz="0" w:space="0" w:color="auto"/>
            <w:right w:val="none" w:sz="0" w:space="0" w:color="auto"/>
          </w:divBdr>
          <w:divsChild>
            <w:div w:id="1682658978">
              <w:marLeft w:val="0"/>
              <w:marRight w:val="0"/>
              <w:marTop w:val="0"/>
              <w:marBottom w:val="0"/>
              <w:divBdr>
                <w:top w:val="none" w:sz="0" w:space="0" w:color="auto"/>
                <w:left w:val="none" w:sz="0" w:space="0" w:color="auto"/>
                <w:bottom w:val="none" w:sz="0" w:space="0" w:color="auto"/>
                <w:right w:val="none" w:sz="0" w:space="0" w:color="auto"/>
              </w:divBdr>
              <w:divsChild>
                <w:div w:id="76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1212">
      <w:bodyDiv w:val="1"/>
      <w:marLeft w:val="0"/>
      <w:marRight w:val="0"/>
      <w:marTop w:val="0"/>
      <w:marBottom w:val="0"/>
      <w:divBdr>
        <w:top w:val="none" w:sz="0" w:space="0" w:color="auto"/>
        <w:left w:val="none" w:sz="0" w:space="0" w:color="auto"/>
        <w:bottom w:val="none" w:sz="0" w:space="0" w:color="auto"/>
        <w:right w:val="none" w:sz="0" w:space="0" w:color="auto"/>
      </w:divBdr>
      <w:divsChild>
        <w:div w:id="2003654760">
          <w:marLeft w:val="0"/>
          <w:marRight w:val="0"/>
          <w:marTop w:val="0"/>
          <w:marBottom w:val="0"/>
          <w:divBdr>
            <w:top w:val="none" w:sz="0" w:space="0" w:color="auto"/>
            <w:left w:val="none" w:sz="0" w:space="0" w:color="auto"/>
            <w:bottom w:val="none" w:sz="0" w:space="0" w:color="auto"/>
            <w:right w:val="none" w:sz="0" w:space="0" w:color="auto"/>
          </w:divBdr>
          <w:divsChild>
            <w:div w:id="1200819964">
              <w:marLeft w:val="0"/>
              <w:marRight w:val="0"/>
              <w:marTop w:val="0"/>
              <w:marBottom w:val="0"/>
              <w:divBdr>
                <w:top w:val="none" w:sz="0" w:space="0" w:color="auto"/>
                <w:left w:val="none" w:sz="0" w:space="0" w:color="auto"/>
                <w:bottom w:val="none" w:sz="0" w:space="0" w:color="auto"/>
                <w:right w:val="none" w:sz="0" w:space="0" w:color="auto"/>
              </w:divBdr>
              <w:divsChild>
                <w:div w:id="20711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4594">
      <w:bodyDiv w:val="1"/>
      <w:marLeft w:val="0"/>
      <w:marRight w:val="0"/>
      <w:marTop w:val="0"/>
      <w:marBottom w:val="0"/>
      <w:divBdr>
        <w:top w:val="none" w:sz="0" w:space="0" w:color="auto"/>
        <w:left w:val="none" w:sz="0" w:space="0" w:color="auto"/>
        <w:bottom w:val="none" w:sz="0" w:space="0" w:color="auto"/>
        <w:right w:val="none" w:sz="0" w:space="0" w:color="auto"/>
      </w:divBdr>
      <w:divsChild>
        <w:div w:id="479227229">
          <w:marLeft w:val="0"/>
          <w:marRight w:val="0"/>
          <w:marTop w:val="0"/>
          <w:marBottom w:val="0"/>
          <w:divBdr>
            <w:top w:val="none" w:sz="0" w:space="0" w:color="auto"/>
            <w:left w:val="none" w:sz="0" w:space="0" w:color="auto"/>
            <w:bottom w:val="none" w:sz="0" w:space="0" w:color="auto"/>
            <w:right w:val="none" w:sz="0" w:space="0" w:color="auto"/>
          </w:divBdr>
          <w:divsChild>
            <w:div w:id="175850034">
              <w:marLeft w:val="0"/>
              <w:marRight w:val="0"/>
              <w:marTop w:val="0"/>
              <w:marBottom w:val="0"/>
              <w:divBdr>
                <w:top w:val="none" w:sz="0" w:space="0" w:color="auto"/>
                <w:left w:val="none" w:sz="0" w:space="0" w:color="auto"/>
                <w:bottom w:val="none" w:sz="0" w:space="0" w:color="auto"/>
                <w:right w:val="none" w:sz="0" w:space="0" w:color="auto"/>
              </w:divBdr>
              <w:divsChild>
                <w:div w:id="4407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0635">
      <w:bodyDiv w:val="1"/>
      <w:marLeft w:val="0"/>
      <w:marRight w:val="0"/>
      <w:marTop w:val="0"/>
      <w:marBottom w:val="0"/>
      <w:divBdr>
        <w:top w:val="none" w:sz="0" w:space="0" w:color="auto"/>
        <w:left w:val="none" w:sz="0" w:space="0" w:color="auto"/>
        <w:bottom w:val="none" w:sz="0" w:space="0" w:color="auto"/>
        <w:right w:val="none" w:sz="0" w:space="0" w:color="auto"/>
      </w:divBdr>
      <w:divsChild>
        <w:div w:id="326326436">
          <w:marLeft w:val="0"/>
          <w:marRight w:val="0"/>
          <w:marTop w:val="0"/>
          <w:marBottom w:val="0"/>
          <w:divBdr>
            <w:top w:val="none" w:sz="0" w:space="0" w:color="auto"/>
            <w:left w:val="none" w:sz="0" w:space="0" w:color="auto"/>
            <w:bottom w:val="none" w:sz="0" w:space="0" w:color="auto"/>
            <w:right w:val="none" w:sz="0" w:space="0" w:color="auto"/>
          </w:divBdr>
          <w:divsChild>
            <w:div w:id="958410916">
              <w:marLeft w:val="0"/>
              <w:marRight w:val="0"/>
              <w:marTop w:val="0"/>
              <w:marBottom w:val="0"/>
              <w:divBdr>
                <w:top w:val="none" w:sz="0" w:space="0" w:color="auto"/>
                <w:left w:val="none" w:sz="0" w:space="0" w:color="auto"/>
                <w:bottom w:val="none" w:sz="0" w:space="0" w:color="auto"/>
                <w:right w:val="none" w:sz="0" w:space="0" w:color="auto"/>
              </w:divBdr>
              <w:divsChild>
                <w:div w:id="1158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5655">
      <w:bodyDiv w:val="1"/>
      <w:marLeft w:val="0"/>
      <w:marRight w:val="0"/>
      <w:marTop w:val="0"/>
      <w:marBottom w:val="0"/>
      <w:divBdr>
        <w:top w:val="none" w:sz="0" w:space="0" w:color="auto"/>
        <w:left w:val="none" w:sz="0" w:space="0" w:color="auto"/>
        <w:bottom w:val="none" w:sz="0" w:space="0" w:color="auto"/>
        <w:right w:val="none" w:sz="0" w:space="0" w:color="auto"/>
      </w:divBdr>
      <w:divsChild>
        <w:div w:id="1210416925">
          <w:marLeft w:val="0"/>
          <w:marRight w:val="0"/>
          <w:marTop w:val="0"/>
          <w:marBottom w:val="0"/>
          <w:divBdr>
            <w:top w:val="none" w:sz="0" w:space="0" w:color="auto"/>
            <w:left w:val="none" w:sz="0" w:space="0" w:color="auto"/>
            <w:bottom w:val="none" w:sz="0" w:space="0" w:color="auto"/>
            <w:right w:val="none" w:sz="0" w:space="0" w:color="auto"/>
          </w:divBdr>
          <w:divsChild>
            <w:div w:id="312951711">
              <w:marLeft w:val="0"/>
              <w:marRight w:val="0"/>
              <w:marTop w:val="0"/>
              <w:marBottom w:val="0"/>
              <w:divBdr>
                <w:top w:val="none" w:sz="0" w:space="0" w:color="auto"/>
                <w:left w:val="none" w:sz="0" w:space="0" w:color="auto"/>
                <w:bottom w:val="none" w:sz="0" w:space="0" w:color="auto"/>
                <w:right w:val="none" w:sz="0" w:space="0" w:color="auto"/>
              </w:divBdr>
              <w:divsChild>
                <w:div w:id="666514279">
                  <w:marLeft w:val="0"/>
                  <w:marRight w:val="0"/>
                  <w:marTop w:val="0"/>
                  <w:marBottom w:val="0"/>
                  <w:divBdr>
                    <w:top w:val="none" w:sz="0" w:space="0" w:color="auto"/>
                    <w:left w:val="none" w:sz="0" w:space="0" w:color="auto"/>
                    <w:bottom w:val="none" w:sz="0" w:space="0" w:color="auto"/>
                    <w:right w:val="none" w:sz="0" w:space="0" w:color="auto"/>
                  </w:divBdr>
                  <w:divsChild>
                    <w:div w:id="685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0164">
      <w:bodyDiv w:val="1"/>
      <w:marLeft w:val="0"/>
      <w:marRight w:val="0"/>
      <w:marTop w:val="0"/>
      <w:marBottom w:val="0"/>
      <w:divBdr>
        <w:top w:val="none" w:sz="0" w:space="0" w:color="auto"/>
        <w:left w:val="none" w:sz="0" w:space="0" w:color="auto"/>
        <w:bottom w:val="none" w:sz="0" w:space="0" w:color="auto"/>
        <w:right w:val="none" w:sz="0" w:space="0" w:color="auto"/>
      </w:divBdr>
      <w:divsChild>
        <w:div w:id="583953757">
          <w:marLeft w:val="0"/>
          <w:marRight w:val="0"/>
          <w:marTop w:val="0"/>
          <w:marBottom w:val="0"/>
          <w:divBdr>
            <w:top w:val="none" w:sz="0" w:space="0" w:color="auto"/>
            <w:left w:val="none" w:sz="0" w:space="0" w:color="auto"/>
            <w:bottom w:val="none" w:sz="0" w:space="0" w:color="auto"/>
            <w:right w:val="none" w:sz="0" w:space="0" w:color="auto"/>
          </w:divBdr>
          <w:divsChild>
            <w:div w:id="1625883853">
              <w:marLeft w:val="0"/>
              <w:marRight w:val="0"/>
              <w:marTop w:val="0"/>
              <w:marBottom w:val="0"/>
              <w:divBdr>
                <w:top w:val="none" w:sz="0" w:space="0" w:color="auto"/>
                <w:left w:val="none" w:sz="0" w:space="0" w:color="auto"/>
                <w:bottom w:val="none" w:sz="0" w:space="0" w:color="auto"/>
                <w:right w:val="none" w:sz="0" w:space="0" w:color="auto"/>
              </w:divBdr>
              <w:divsChild>
                <w:div w:id="345406822">
                  <w:marLeft w:val="0"/>
                  <w:marRight w:val="0"/>
                  <w:marTop w:val="0"/>
                  <w:marBottom w:val="0"/>
                  <w:divBdr>
                    <w:top w:val="none" w:sz="0" w:space="0" w:color="auto"/>
                    <w:left w:val="none" w:sz="0" w:space="0" w:color="auto"/>
                    <w:bottom w:val="none" w:sz="0" w:space="0" w:color="auto"/>
                    <w:right w:val="none" w:sz="0" w:space="0" w:color="auto"/>
                  </w:divBdr>
                  <w:divsChild>
                    <w:div w:id="1004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521">
      <w:bodyDiv w:val="1"/>
      <w:marLeft w:val="0"/>
      <w:marRight w:val="0"/>
      <w:marTop w:val="0"/>
      <w:marBottom w:val="0"/>
      <w:divBdr>
        <w:top w:val="none" w:sz="0" w:space="0" w:color="auto"/>
        <w:left w:val="none" w:sz="0" w:space="0" w:color="auto"/>
        <w:bottom w:val="none" w:sz="0" w:space="0" w:color="auto"/>
        <w:right w:val="none" w:sz="0" w:space="0" w:color="auto"/>
      </w:divBdr>
      <w:divsChild>
        <w:div w:id="1093548891">
          <w:marLeft w:val="0"/>
          <w:marRight w:val="0"/>
          <w:marTop w:val="0"/>
          <w:marBottom w:val="0"/>
          <w:divBdr>
            <w:top w:val="none" w:sz="0" w:space="0" w:color="auto"/>
            <w:left w:val="none" w:sz="0" w:space="0" w:color="auto"/>
            <w:bottom w:val="none" w:sz="0" w:space="0" w:color="auto"/>
            <w:right w:val="none" w:sz="0" w:space="0" w:color="auto"/>
          </w:divBdr>
          <w:divsChild>
            <w:div w:id="1443379562">
              <w:marLeft w:val="0"/>
              <w:marRight w:val="0"/>
              <w:marTop w:val="0"/>
              <w:marBottom w:val="0"/>
              <w:divBdr>
                <w:top w:val="none" w:sz="0" w:space="0" w:color="auto"/>
                <w:left w:val="none" w:sz="0" w:space="0" w:color="auto"/>
                <w:bottom w:val="none" w:sz="0" w:space="0" w:color="auto"/>
                <w:right w:val="none" w:sz="0" w:space="0" w:color="auto"/>
              </w:divBdr>
              <w:divsChild>
                <w:div w:id="538661873">
                  <w:marLeft w:val="0"/>
                  <w:marRight w:val="0"/>
                  <w:marTop w:val="0"/>
                  <w:marBottom w:val="0"/>
                  <w:divBdr>
                    <w:top w:val="none" w:sz="0" w:space="0" w:color="auto"/>
                    <w:left w:val="none" w:sz="0" w:space="0" w:color="auto"/>
                    <w:bottom w:val="none" w:sz="0" w:space="0" w:color="auto"/>
                    <w:right w:val="none" w:sz="0" w:space="0" w:color="auto"/>
                  </w:divBdr>
                  <w:divsChild>
                    <w:div w:id="119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82887">
      <w:bodyDiv w:val="1"/>
      <w:marLeft w:val="0"/>
      <w:marRight w:val="0"/>
      <w:marTop w:val="0"/>
      <w:marBottom w:val="0"/>
      <w:divBdr>
        <w:top w:val="none" w:sz="0" w:space="0" w:color="auto"/>
        <w:left w:val="none" w:sz="0" w:space="0" w:color="auto"/>
        <w:bottom w:val="none" w:sz="0" w:space="0" w:color="auto"/>
        <w:right w:val="none" w:sz="0" w:space="0" w:color="auto"/>
      </w:divBdr>
      <w:divsChild>
        <w:div w:id="817501213">
          <w:marLeft w:val="0"/>
          <w:marRight w:val="0"/>
          <w:marTop w:val="0"/>
          <w:marBottom w:val="0"/>
          <w:divBdr>
            <w:top w:val="none" w:sz="0" w:space="0" w:color="auto"/>
            <w:left w:val="none" w:sz="0" w:space="0" w:color="auto"/>
            <w:bottom w:val="none" w:sz="0" w:space="0" w:color="auto"/>
            <w:right w:val="none" w:sz="0" w:space="0" w:color="auto"/>
          </w:divBdr>
          <w:divsChild>
            <w:div w:id="988165792">
              <w:marLeft w:val="0"/>
              <w:marRight w:val="0"/>
              <w:marTop w:val="0"/>
              <w:marBottom w:val="0"/>
              <w:divBdr>
                <w:top w:val="none" w:sz="0" w:space="0" w:color="auto"/>
                <w:left w:val="none" w:sz="0" w:space="0" w:color="auto"/>
                <w:bottom w:val="none" w:sz="0" w:space="0" w:color="auto"/>
                <w:right w:val="none" w:sz="0" w:space="0" w:color="auto"/>
              </w:divBdr>
              <w:divsChild>
                <w:div w:id="1252394656">
                  <w:marLeft w:val="0"/>
                  <w:marRight w:val="0"/>
                  <w:marTop w:val="0"/>
                  <w:marBottom w:val="0"/>
                  <w:divBdr>
                    <w:top w:val="none" w:sz="0" w:space="0" w:color="auto"/>
                    <w:left w:val="none" w:sz="0" w:space="0" w:color="auto"/>
                    <w:bottom w:val="none" w:sz="0" w:space="0" w:color="auto"/>
                    <w:right w:val="none" w:sz="0" w:space="0" w:color="auto"/>
                  </w:divBdr>
                  <w:divsChild>
                    <w:div w:id="19847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62100">
      <w:bodyDiv w:val="1"/>
      <w:marLeft w:val="0"/>
      <w:marRight w:val="0"/>
      <w:marTop w:val="0"/>
      <w:marBottom w:val="0"/>
      <w:divBdr>
        <w:top w:val="none" w:sz="0" w:space="0" w:color="auto"/>
        <w:left w:val="none" w:sz="0" w:space="0" w:color="auto"/>
        <w:bottom w:val="none" w:sz="0" w:space="0" w:color="auto"/>
        <w:right w:val="none" w:sz="0" w:space="0" w:color="auto"/>
      </w:divBdr>
      <w:divsChild>
        <w:div w:id="1691641654">
          <w:marLeft w:val="0"/>
          <w:marRight w:val="0"/>
          <w:marTop w:val="0"/>
          <w:marBottom w:val="0"/>
          <w:divBdr>
            <w:top w:val="none" w:sz="0" w:space="0" w:color="auto"/>
            <w:left w:val="none" w:sz="0" w:space="0" w:color="auto"/>
            <w:bottom w:val="none" w:sz="0" w:space="0" w:color="auto"/>
            <w:right w:val="none" w:sz="0" w:space="0" w:color="auto"/>
          </w:divBdr>
          <w:divsChild>
            <w:div w:id="851719488">
              <w:marLeft w:val="0"/>
              <w:marRight w:val="0"/>
              <w:marTop w:val="0"/>
              <w:marBottom w:val="0"/>
              <w:divBdr>
                <w:top w:val="none" w:sz="0" w:space="0" w:color="auto"/>
                <w:left w:val="none" w:sz="0" w:space="0" w:color="auto"/>
                <w:bottom w:val="none" w:sz="0" w:space="0" w:color="auto"/>
                <w:right w:val="none" w:sz="0" w:space="0" w:color="auto"/>
              </w:divBdr>
              <w:divsChild>
                <w:div w:id="318390791">
                  <w:marLeft w:val="0"/>
                  <w:marRight w:val="0"/>
                  <w:marTop w:val="0"/>
                  <w:marBottom w:val="0"/>
                  <w:divBdr>
                    <w:top w:val="none" w:sz="0" w:space="0" w:color="auto"/>
                    <w:left w:val="none" w:sz="0" w:space="0" w:color="auto"/>
                    <w:bottom w:val="none" w:sz="0" w:space="0" w:color="auto"/>
                    <w:right w:val="none" w:sz="0" w:space="0" w:color="auto"/>
                  </w:divBdr>
                  <w:divsChild>
                    <w:div w:id="2058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5268">
      <w:bodyDiv w:val="1"/>
      <w:marLeft w:val="0"/>
      <w:marRight w:val="0"/>
      <w:marTop w:val="0"/>
      <w:marBottom w:val="0"/>
      <w:divBdr>
        <w:top w:val="none" w:sz="0" w:space="0" w:color="auto"/>
        <w:left w:val="none" w:sz="0" w:space="0" w:color="auto"/>
        <w:bottom w:val="none" w:sz="0" w:space="0" w:color="auto"/>
        <w:right w:val="none" w:sz="0" w:space="0" w:color="auto"/>
      </w:divBdr>
      <w:divsChild>
        <w:div w:id="1548757236">
          <w:marLeft w:val="0"/>
          <w:marRight w:val="0"/>
          <w:marTop w:val="0"/>
          <w:marBottom w:val="0"/>
          <w:divBdr>
            <w:top w:val="none" w:sz="0" w:space="0" w:color="auto"/>
            <w:left w:val="none" w:sz="0" w:space="0" w:color="auto"/>
            <w:bottom w:val="none" w:sz="0" w:space="0" w:color="auto"/>
            <w:right w:val="none" w:sz="0" w:space="0" w:color="auto"/>
          </w:divBdr>
          <w:divsChild>
            <w:div w:id="1390686971">
              <w:marLeft w:val="0"/>
              <w:marRight w:val="0"/>
              <w:marTop w:val="0"/>
              <w:marBottom w:val="0"/>
              <w:divBdr>
                <w:top w:val="none" w:sz="0" w:space="0" w:color="auto"/>
                <w:left w:val="none" w:sz="0" w:space="0" w:color="auto"/>
                <w:bottom w:val="none" w:sz="0" w:space="0" w:color="auto"/>
                <w:right w:val="none" w:sz="0" w:space="0" w:color="auto"/>
              </w:divBdr>
              <w:divsChild>
                <w:div w:id="144050459">
                  <w:marLeft w:val="0"/>
                  <w:marRight w:val="0"/>
                  <w:marTop w:val="0"/>
                  <w:marBottom w:val="0"/>
                  <w:divBdr>
                    <w:top w:val="none" w:sz="0" w:space="0" w:color="auto"/>
                    <w:left w:val="none" w:sz="0" w:space="0" w:color="auto"/>
                    <w:bottom w:val="none" w:sz="0" w:space="0" w:color="auto"/>
                    <w:right w:val="none" w:sz="0" w:space="0" w:color="auto"/>
                  </w:divBdr>
                  <w:divsChild>
                    <w:div w:id="14735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62125">
      <w:bodyDiv w:val="1"/>
      <w:marLeft w:val="0"/>
      <w:marRight w:val="0"/>
      <w:marTop w:val="0"/>
      <w:marBottom w:val="0"/>
      <w:divBdr>
        <w:top w:val="none" w:sz="0" w:space="0" w:color="auto"/>
        <w:left w:val="none" w:sz="0" w:space="0" w:color="auto"/>
        <w:bottom w:val="none" w:sz="0" w:space="0" w:color="auto"/>
        <w:right w:val="none" w:sz="0" w:space="0" w:color="auto"/>
      </w:divBdr>
      <w:divsChild>
        <w:div w:id="2106029048">
          <w:marLeft w:val="0"/>
          <w:marRight w:val="0"/>
          <w:marTop w:val="0"/>
          <w:marBottom w:val="0"/>
          <w:divBdr>
            <w:top w:val="none" w:sz="0" w:space="0" w:color="auto"/>
            <w:left w:val="none" w:sz="0" w:space="0" w:color="auto"/>
            <w:bottom w:val="none" w:sz="0" w:space="0" w:color="auto"/>
            <w:right w:val="none" w:sz="0" w:space="0" w:color="auto"/>
          </w:divBdr>
          <w:divsChild>
            <w:div w:id="977950819">
              <w:marLeft w:val="0"/>
              <w:marRight w:val="0"/>
              <w:marTop w:val="0"/>
              <w:marBottom w:val="0"/>
              <w:divBdr>
                <w:top w:val="none" w:sz="0" w:space="0" w:color="auto"/>
                <w:left w:val="none" w:sz="0" w:space="0" w:color="auto"/>
                <w:bottom w:val="none" w:sz="0" w:space="0" w:color="auto"/>
                <w:right w:val="none" w:sz="0" w:space="0" w:color="auto"/>
              </w:divBdr>
              <w:divsChild>
                <w:div w:id="8356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6463">
      <w:bodyDiv w:val="1"/>
      <w:marLeft w:val="0"/>
      <w:marRight w:val="0"/>
      <w:marTop w:val="0"/>
      <w:marBottom w:val="0"/>
      <w:divBdr>
        <w:top w:val="none" w:sz="0" w:space="0" w:color="auto"/>
        <w:left w:val="none" w:sz="0" w:space="0" w:color="auto"/>
        <w:bottom w:val="none" w:sz="0" w:space="0" w:color="auto"/>
        <w:right w:val="none" w:sz="0" w:space="0" w:color="auto"/>
      </w:divBdr>
      <w:divsChild>
        <w:div w:id="492987727">
          <w:marLeft w:val="0"/>
          <w:marRight w:val="0"/>
          <w:marTop w:val="0"/>
          <w:marBottom w:val="0"/>
          <w:divBdr>
            <w:top w:val="none" w:sz="0" w:space="0" w:color="auto"/>
            <w:left w:val="none" w:sz="0" w:space="0" w:color="auto"/>
            <w:bottom w:val="none" w:sz="0" w:space="0" w:color="auto"/>
            <w:right w:val="none" w:sz="0" w:space="0" w:color="auto"/>
          </w:divBdr>
          <w:divsChild>
            <w:div w:id="1966615205">
              <w:marLeft w:val="0"/>
              <w:marRight w:val="0"/>
              <w:marTop w:val="0"/>
              <w:marBottom w:val="0"/>
              <w:divBdr>
                <w:top w:val="none" w:sz="0" w:space="0" w:color="auto"/>
                <w:left w:val="none" w:sz="0" w:space="0" w:color="auto"/>
                <w:bottom w:val="none" w:sz="0" w:space="0" w:color="auto"/>
                <w:right w:val="none" w:sz="0" w:space="0" w:color="auto"/>
              </w:divBdr>
              <w:divsChild>
                <w:div w:id="1420639126">
                  <w:marLeft w:val="0"/>
                  <w:marRight w:val="0"/>
                  <w:marTop w:val="0"/>
                  <w:marBottom w:val="0"/>
                  <w:divBdr>
                    <w:top w:val="none" w:sz="0" w:space="0" w:color="auto"/>
                    <w:left w:val="none" w:sz="0" w:space="0" w:color="auto"/>
                    <w:bottom w:val="none" w:sz="0" w:space="0" w:color="auto"/>
                    <w:right w:val="none" w:sz="0" w:space="0" w:color="auto"/>
                  </w:divBdr>
                  <w:divsChild>
                    <w:div w:id="17362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9629">
      <w:bodyDiv w:val="1"/>
      <w:marLeft w:val="0"/>
      <w:marRight w:val="0"/>
      <w:marTop w:val="0"/>
      <w:marBottom w:val="0"/>
      <w:divBdr>
        <w:top w:val="none" w:sz="0" w:space="0" w:color="auto"/>
        <w:left w:val="none" w:sz="0" w:space="0" w:color="auto"/>
        <w:bottom w:val="none" w:sz="0" w:space="0" w:color="auto"/>
        <w:right w:val="none" w:sz="0" w:space="0" w:color="auto"/>
      </w:divBdr>
    </w:div>
    <w:div w:id="657610047">
      <w:bodyDiv w:val="1"/>
      <w:marLeft w:val="0"/>
      <w:marRight w:val="0"/>
      <w:marTop w:val="0"/>
      <w:marBottom w:val="0"/>
      <w:divBdr>
        <w:top w:val="none" w:sz="0" w:space="0" w:color="auto"/>
        <w:left w:val="none" w:sz="0" w:space="0" w:color="auto"/>
        <w:bottom w:val="none" w:sz="0" w:space="0" w:color="auto"/>
        <w:right w:val="none" w:sz="0" w:space="0" w:color="auto"/>
      </w:divBdr>
      <w:divsChild>
        <w:div w:id="612978811">
          <w:marLeft w:val="0"/>
          <w:marRight w:val="0"/>
          <w:marTop w:val="0"/>
          <w:marBottom w:val="0"/>
          <w:divBdr>
            <w:top w:val="none" w:sz="0" w:space="0" w:color="auto"/>
            <w:left w:val="none" w:sz="0" w:space="0" w:color="auto"/>
            <w:bottom w:val="none" w:sz="0" w:space="0" w:color="auto"/>
            <w:right w:val="none" w:sz="0" w:space="0" w:color="auto"/>
          </w:divBdr>
          <w:divsChild>
            <w:div w:id="739668931">
              <w:marLeft w:val="0"/>
              <w:marRight w:val="0"/>
              <w:marTop w:val="0"/>
              <w:marBottom w:val="0"/>
              <w:divBdr>
                <w:top w:val="none" w:sz="0" w:space="0" w:color="auto"/>
                <w:left w:val="none" w:sz="0" w:space="0" w:color="auto"/>
                <w:bottom w:val="none" w:sz="0" w:space="0" w:color="auto"/>
                <w:right w:val="none" w:sz="0" w:space="0" w:color="auto"/>
              </w:divBdr>
              <w:divsChild>
                <w:div w:id="1620335633">
                  <w:marLeft w:val="0"/>
                  <w:marRight w:val="0"/>
                  <w:marTop w:val="0"/>
                  <w:marBottom w:val="0"/>
                  <w:divBdr>
                    <w:top w:val="none" w:sz="0" w:space="0" w:color="auto"/>
                    <w:left w:val="none" w:sz="0" w:space="0" w:color="auto"/>
                    <w:bottom w:val="none" w:sz="0" w:space="0" w:color="auto"/>
                    <w:right w:val="none" w:sz="0" w:space="0" w:color="auto"/>
                  </w:divBdr>
                  <w:divsChild>
                    <w:div w:id="13521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92323">
      <w:bodyDiv w:val="1"/>
      <w:marLeft w:val="0"/>
      <w:marRight w:val="0"/>
      <w:marTop w:val="0"/>
      <w:marBottom w:val="0"/>
      <w:divBdr>
        <w:top w:val="none" w:sz="0" w:space="0" w:color="auto"/>
        <w:left w:val="none" w:sz="0" w:space="0" w:color="auto"/>
        <w:bottom w:val="none" w:sz="0" w:space="0" w:color="auto"/>
        <w:right w:val="none" w:sz="0" w:space="0" w:color="auto"/>
      </w:divBdr>
      <w:divsChild>
        <w:div w:id="1562983125">
          <w:marLeft w:val="0"/>
          <w:marRight w:val="0"/>
          <w:marTop w:val="0"/>
          <w:marBottom w:val="0"/>
          <w:divBdr>
            <w:top w:val="none" w:sz="0" w:space="0" w:color="auto"/>
            <w:left w:val="none" w:sz="0" w:space="0" w:color="auto"/>
            <w:bottom w:val="none" w:sz="0" w:space="0" w:color="auto"/>
            <w:right w:val="none" w:sz="0" w:space="0" w:color="auto"/>
          </w:divBdr>
          <w:divsChild>
            <w:div w:id="918558233">
              <w:marLeft w:val="0"/>
              <w:marRight w:val="0"/>
              <w:marTop w:val="0"/>
              <w:marBottom w:val="0"/>
              <w:divBdr>
                <w:top w:val="none" w:sz="0" w:space="0" w:color="auto"/>
                <w:left w:val="none" w:sz="0" w:space="0" w:color="auto"/>
                <w:bottom w:val="none" w:sz="0" w:space="0" w:color="auto"/>
                <w:right w:val="none" w:sz="0" w:space="0" w:color="auto"/>
              </w:divBdr>
              <w:divsChild>
                <w:div w:id="9053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70958">
      <w:bodyDiv w:val="1"/>
      <w:marLeft w:val="0"/>
      <w:marRight w:val="0"/>
      <w:marTop w:val="0"/>
      <w:marBottom w:val="0"/>
      <w:divBdr>
        <w:top w:val="none" w:sz="0" w:space="0" w:color="auto"/>
        <w:left w:val="none" w:sz="0" w:space="0" w:color="auto"/>
        <w:bottom w:val="none" w:sz="0" w:space="0" w:color="auto"/>
        <w:right w:val="none" w:sz="0" w:space="0" w:color="auto"/>
      </w:divBdr>
      <w:divsChild>
        <w:div w:id="909081096">
          <w:marLeft w:val="0"/>
          <w:marRight w:val="0"/>
          <w:marTop w:val="0"/>
          <w:marBottom w:val="0"/>
          <w:divBdr>
            <w:top w:val="none" w:sz="0" w:space="0" w:color="auto"/>
            <w:left w:val="none" w:sz="0" w:space="0" w:color="auto"/>
            <w:bottom w:val="none" w:sz="0" w:space="0" w:color="auto"/>
            <w:right w:val="none" w:sz="0" w:space="0" w:color="auto"/>
          </w:divBdr>
          <w:divsChild>
            <w:div w:id="688264875">
              <w:marLeft w:val="0"/>
              <w:marRight w:val="0"/>
              <w:marTop w:val="0"/>
              <w:marBottom w:val="0"/>
              <w:divBdr>
                <w:top w:val="none" w:sz="0" w:space="0" w:color="auto"/>
                <w:left w:val="none" w:sz="0" w:space="0" w:color="auto"/>
                <w:bottom w:val="none" w:sz="0" w:space="0" w:color="auto"/>
                <w:right w:val="none" w:sz="0" w:space="0" w:color="auto"/>
              </w:divBdr>
              <w:divsChild>
                <w:div w:id="1197501896">
                  <w:marLeft w:val="0"/>
                  <w:marRight w:val="0"/>
                  <w:marTop w:val="0"/>
                  <w:marBottom w:val="0"/>
                  <w:divBdr>
                    <w:top w:val="none" w:sz="0" w:space="0" w:color="auto"/>
                    <w:left w:val="none" w:sz="0" w:space="0" w:color="auto"/>
                    <w:bottom w:val="none" w:sz="0" w:space="0" w:color="auto"/>
                    <w:right w:val="none" w:sz="0" w:space="0" w:color="auto"/>
                  </w:divBdr>
                  <w:divsChild>
                    <w:div w:id="21438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6488">
      <w:bodyDiv w:val="1"/>
      <w:marLeft w:val="0"/>
      <w:marRight w:val="0"/>
      <w:marTop w:val="0"/>
      <w:marBottom w:val="0"/>
      <w:divBdr>
        <w:top w:val="none" w:sz="0" w:space="0" w:color="auto"/>
        <w:left w:val="none" w:sz="0" w:space="0" w:color="auto"/>
        <w:bottom w:val="none" w:sz="0" w:space="0" w:color="auto"/>
        <w:right w:val="none" w:sz="0" w:space="0" w:color="auto"/>
      </w:divBdr>
    </w:div>
    <w:div w:id="684329495">
      <w:bodyDiv w:val="1"/>
      <w:marLeft w:val="0"/>
      <w:marRight w:val="0"/>
      <w:marTop w:val="0"/>
      <w:marBottom w:val="0"/>
      <w:divBdr>
        <w:top w:val="none" w:sz="0" w:space="0" w:color="auto"/>
        <w:left w:val="none" w:sz="0" w:space="0" w:color="auto"/>
        <w:bottom w:val="none" w:sz="0" w:space="0" w:color="auto"/>
        <w:right w:val="none" w:sz="0" w:space="0" w:color="auto"/>
      </w:divBdr>
      <w:divsChild>
        <w:div w:id="1668704358">
          <w:marLeft w:val="0"/>
          <w:marRight w:val="0"/>
          <w:marTop w:val="0"/>
          <w:marBottom w:val="0"/>
          <w:divBdr>
            <w:top w:val="none" w:sz="0" w:space="0" w:color="auto"/>
            <w:left w:val="none" w:sz="0" w:space="0" w:color="auto"/>
            <w:bottom w:val="none" w:sz="0" w:space="0" w:color="auto"/>
            <w:right w:val="none" w:sz="0" w:space="0" w:color="auto"/>
          </w:divBdr>
          <w:divsChild>
            <w:div w:id="4484496">
              <w:marLeft w:val="0"/>
              <w:marRight w:val="0"/>
              <w:marTop w:val="0"/>
              <w:marBottom w:val="0"/>
              <w:divBdr>
                <w:top w:val="none" w:sz="0" w:space="0" w:color="auto"/>
                <w:left w:val="none" w:sz="0" w:space="0" w:color="auto"/>
                <w:bottom w:val="none" w:sz="0" w:space="0" w:color="auto"/>
                <w:right w:val="none" w:sz="0" w:space="0" w:color="auto"/>
              </w:divBdr>
              <w:divsChild>
                <w:div w:id="15982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7607">
      <w:bodyDiv w:val="1"/>
      <w:marLeft w:val="0"/>
      <w:marRight w:val="0"/>
      <w:marTop w:val="0"/>
      <w:marBottom w:val="0"/>
      <w:divBdr>
        <w:top w:val="none" w:sz="0" w:space="0" w:color="auto"/>
        <w:left w:val="none" w:sz="0" w:space="0" w:color="auto"/>
        <w:bottom w:val="none" w:sz="0" w:space="0" w:color="auto"/>
        <w:right w:val="none" w:sz="0" w:space="0" w:color="auto"/>
      </w:divBdr>
    </w:div>
    <w:div w:id="688918928">
      <w:bodyDiv w:val="1"/>
      <w:marLeft w:val="0"/>
      <w:marRight w:val="0"/>
      <w:marTop w:val="0"/>
      <w:marBottom w:val="0"/>
      <w:divBdr>
        <w:top w:val="none" w:sz="0" w:space="0" w:color="auto"/>
        <w:left w:val="none" w:sz="0" w:space="0" w:color="auto"/>
        <w:bottom w:val="none" w:sz="0" w:space="0" w:color="auto"/>
        <w:right w:val="none" w:sz="0" w:space="0" w:color="auto"/>
      </w:divBdr>
    </w:div>
    <w:div w:id="694964913">
      <w:bodyDiv w:val="1"/>
      <w:marLeft w:val="0"/>
      <w:marRight w:val="0"/>
      <w:marTop w:val="0"/>
      <w:marBottom w:val="0"/>
      <w:divBdr>
        <w:top w:val="none" w:sz="0" w:space="0" w:color="auto"/>
        <w:left w:val="none" w:sz="0" w:space="0" w:color="auto"/>
        <w:bottom w:val="none" w:sz="0" w:space="0" w:color="auto"/>
        <w:right w:val="none" w:sz="0" w:space="0" w:color="auto"/>
      </w:divBdr>
    </w:div>
    <w:div w:id="702823640">
      <w:bodyDiv w:val="1"/>
      <w:marLeft w:val="0"/>
      <w:marRight w:val="0"/>
      <w:marTop w:val="0"/>
      <w:marBottom w:val="0"/>
      <w:divBdr>
        <w:top w:val="none" w:sz="0" w:space="0" w:color="auto"/>
        <w:left w:val="none" w:sz="0" w:space="0" w:color="auto"/>
        <w:bottom w:val="none" w:sz="0" w:space="0" w:color="auto"/>
        <w:right w:val="none" w:sz="0" w:space="0" w:color="auto"/>
      </w:divBdr>
      <w:divsChild>
        <w:div w:id="1245186573">
          <w:marLeft w:val="0"/>
          <w:marRight w:val="0"/>
          <w:marTop w:val="0"/>
          <w:marBottom w:val="0"/>
          <w:divBdr>
            <w:top w:val="none" w:sz="0" w:space="0" w:color="auto"/>
            <w:left w:val="none" w:sz="0" w:space="0" w:color="auto"/>
            <w:bottom w:val="none" w:sz="0" w:space="0" w:color="auto"/>
            <w:right w:val="none" w:sz="0" w:space="0" w:color="auto"/>
          </w:divBdr>
          <w:divsChild>
            <w:div w:id="1271887392">
              <w:marLeft w:val="0"/>
              <w:marRight w:val="0"/>
              <w:marTop w:val="0"/>
              <w:marBottom w:val="0"/>
              <w:divBdr>
                <w:top w:val="none" w:sz="0" w:space="0" w:color="auto"/>
                <w:left w:val="none" w:sz="0" w:space="0" w:color="auto"/>
                <w:bottom w:val="none" w:sz="0" w:space="0" w:color="auto"/>
                <w:right w:val="none" w:sz="0" w:space="0" w:color="auto"/>
              </w:divBdr>
              <w:divsChild>
                <w:div w:id="20906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6936">
      <w:bodyDiv w:val="1"/>
      <w:marLeft w:val="0"/>
      <w:marRight w:val="0"/>
      <w:marTop w:val="0"/>
      <w:marBottom w:val="0"/>
      <w:divBdr>
        <w:top w:val="none" w:sz="0" w:space="0" w:color="auto"/>
        <w:left w:val="none" w:sz="0" w:space="0" w:color="auto"/>
        <w:bottom w:val="none" w:sz="0" w:space="0" w:color="auto"/>
        <w:right w:val="none" w:sz="0" w:space="0" w:color="auto"/>
      </w:divBdr>
      <w:divsChild>
        <w:div w:id="1248266482">
          <w:marLeft w:val="0"/>
          <w:marRight w:val="0"/>
          <w:marTop w:val="0"/>
          <w:marBottom w:val="0"/>
          <w:divBdr>
            <w:top w:val="none" w:sz="0" w:space="0" w:color="auto"/>
            <w:left w:val="none" w:sz="0" w:space="0" w:color="auto"/>
            <w:bottom w:val="none" w:sz="0" w:space="0" w:color="auto"/>
            <w:right w:val="none" w:sz="0" w:space="0" w:color="auto"/>
          </w:divBdr>
          <w:divsChild>
            <w:div w:id="261568164">
              <w:marLeft w:val="0"/>
              <w:marRight w:val="0"/>
              <w:marTop w:val="0"/>
              <w:marBottom w:val="0"/>
              <w:divBdr>
                <w:top w:val="none" w:sz="0" w:space="0" w:color="auto"/>
                <w:left w:val="none" w:sz="0" w:space="0" w:color="auto"/>
                <w:bottom w:val="none" w:sz="0" w:space="0" w:color="auto"/>
                <w:right w:val="none" w:sz="0" w:space="0" w:color="auto"/>
              </w:divBdr>
              <w:divsChild>
                <w:div w:id="1910075120">
                  <w:marLeft w:val="0"/>
                  <w:marRight w:val="0"/>
                  <w:marTop w:val="0"/>
                  <w:marBottom w:val="0"/>
                  <w:divBdr>
                    <w:top w:val="none" w:sz="0" w:space="0" w:color="auto"/>
                    <w:left w:val="none" w:sz="0" w:space="0" w:color="auto"/>
                    <w:bottom w:val="none" w:sz="0" w:space="0" w:color="auto"/>
                    <w:right w:val="none" w:sz="0" w:space="0" w:color="auto"/>
                  </w:divBdr>
                  <w:divsChild>
                    <w:div w:id="4639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20906">
      <w:bodyDiv w:val="1"/>
      <w:marLeft w:val="0"/>
      <w:marRight w:val="0"/>
      <w:marTop w:val="0"/>
      <w:marBottom w:val="0"/>
      <w:divBdr>
        <w:top w:val="none" w:sz="0" w:space="0" w:color="auto"/>
        <w:left w:val="none" w:sz="0" w:space="0" w:color="auto"/>
        <w:bottom w:val="none" w:sz="0" w:space="0" w:color="auto"/>
        <w:right w:val="none" w:sz="0" w:space="0" w:color="auto"/>
      </w:divBdr>
      <w:divsChild>
        <w:div w:id="76368809">
          <w:marLeft w:val="0"/>
          <w:marRight w:val="0"/>
          <w:marTop w:val="0"/>
          <w:marBottom w:val="0"/>
          <w:divBdr>
            <w:top w:val="none" w:sz="0" w:space="0" w:color="auto"/>
            <w:left w:val="none" w:sz="0" w:space="0" w:color="auto"/>
            <w:bottom w:val="none" w:sz="0" w:space="0" w:color="auto"/>
            <w:right w:val="none" w:sz="0" w:space="0" w:color="auto"/>
          </w:divBdr>
          <w:divsChild>
            <w:div w:id="193420978">
              <w:marLeft w:val="0"/>
              <w:marRight w:val="0"/>
              <w:marTop w:val="0"/>
              <w:marBottom w:val="0"/>
              <w:divBdr>
                <w:top w:val="none" w:sz="0" w:space="0" w:color="auto"/>
                <w:left w:val="none" w:sz="0" w:space="0" w:color="auto"/>
                <w:bottom w:val="none" w:sz="0" w:space="0" w:color="auto"/>
                <w:right w:val="none" w:sz="0" w:space="0" w:color="auto"/>
              </w:divBdr>
              <w:divsChild>
                <w:div w:id="15925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81366">
      <w:bodyDiv w:val="1"/>
      <w:marLeft w:val="0"/>
      <w:marRight w:val="0"/>
      <w:marTop w:val="0"/>
      <w:marBottom w:val="0"/>
      <w:divBdr>
        <w:top w:val="none" w:sz="0" w:space="0" w:color="auto"/>
        <w:left w:val="none" w:sz="0" w:space="0" w:color="auto"/>
        <w:bottom w:val="none" w:sz="0" w:space="0" w:color="auto"/>
        <w:right w:val="none" w:sz="0" w:space="0" w:color="auto"/>
      </w:divBdr>
      <w:divsChild>
        <w:div w:id="1289166674">
          <w:marLeft w:val="0"/>
          <w:marRight w:val="0"/>
          <w:marTop w:val="0"/>
          <w:marBottom w:val="0"/>
          <w:divBdr>
            <w:top w:val="none" w:sz="0" w:space="0" w:color="auto"/>
            <w:left w:val="none" w:sz="0" w:space="0" w:color="auto"/>
            <w:bottom w:val="none" w:sz="0" w:space="0" w:color="auto"/>
            <w:right w:val="none" w:sz="0" w:space="0" w:color="auto"/>
          </w:divBdr>
          <w:divsChild>
            <w:div w:id="1723095565">
              <w:marLeft w:val="0"/>
              <w:marRight w:val="0"/>
              <w:marTop w:val="0"/>
              <w:marBottom w:val="0"/>
              <w:divBdr>
                <w:top w:val="none" w:sz="0" w:space="0" w:color="auto"/>
                <w:left w:val="none" w:sz="0" w:space="0" w:color="auto"/>
                <w:bottom w:val="none" w:sz="0" w:space="0" w:color="auto"/>
                <w:right w:val="none" w:sz="0" w:space="0" w:color="auto"/>
              </w:divBdr>
              <w:divsChild>
                <w:div w:id="914167685">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6392">
      <w:bodyDiv w:val="1"/>
      <w:marLeft w:val="0"/>
      <w:marRight w:val="0"/>
      <w:marTop w:val="0"/>
      <w:marBottom w:val="0"/>
      <w:divBdr>
        <w:top w:val="none" w:sz="0" w:space="0" w:color="auto"/>
        <w:left w:val="none" w:sz="0" w:space="0" w:color="auto"/>
        <w:bottom w:val="none" w:sz="0" w:space="0" w:color="auto"/>
        <w:right w:val="none" w:sz="0" w:space="0" w:color="auto"/>
      </w:divBdr>
      <w:divsChild>
        <w:div w:id="722825669">
          <w:marLeft w:val="0"/>
          <w:marRight w:val="0"/>
          <w:marTop w:val="0"/>
          <w:marBottom w:val="0"/>
          <w:divBdr>
            <w:top w:val="none" w:sz="0" w:space="0" w:color="auto"/>
            <w:left w:val="none" w:sz="0" w:space="0" w:color="auto"/>
            <w:bottom w:val="none" w:sz="0" w:space="0" w:color="auto"/>
            <w:right w:val="none" w:sz="0" w:space="0" w:color="auto"/>
          </w:divBdr>
          <w:divsChild>
            <w:div w:id="1918898518">
              <w:marLeft w:val="0"/>
              <w:marRight w:val="0"/>
              <w:marTop w:val="0"/>
              <w:marBottom w:val="0"/>
              <w:divBdr>
                <w:top w:val="none" w:sz="0" w:space="0" w:color="auto"/>
                <w:left w:val="none" w:sz="0" w:space="0" w:color="auto"/>
                <w:bottom w:val="none" w:sz="0" w:space="0" w:color="auto"/>
                <w:right w:val="none" w:sz="0" w:space="0" w:color="auto"/>
              </w:divBdr>
              <w:divsChild>
                <w:div w:id="6496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9525">
      <w:bodyDiv w:val="1"/>
      <w:marLeft w:val="0"/>
      <w:marRight w:val="0"/>
      <w:marTop w:val="0"/>
      <w:marBottom w:val="0"/>
      <w:divBdr>
        <w:top w:val="none" w:sz="0" w:space="0" w:color="auto"/>
        <w:left w:val="none" w:sz="0" w:space="0" w:color="auto"/>
        <w:bottom w:val="none" w:sz="0" w:space="0" w:color="auto"/>
        <w:right w:val="none" w:sz="0" w:space="0" w:color="auto"/>
      </w:divBdr>
      <w:divsChild>
        <w:div w:id="70399181">
          <w:marLeft w:val="0"/>
          <w:marRight w:val="0"/>
          <w:marTop w:val="0"/>
          <w:marBottom w:val="0"/>
          <w:divBdr>
            <w:top w:val="none" w:sz="0" w:space="0" w:color="auto"/>
            <w:left w:val="none" w:sz="0" w:space="0" w:color="auto"/>
            <w:bottom w:val="none" w:sz="0" w:space="0" w:color="auto"/>
            <w:right w:val="none" w:sz="0" w:space="0" w:color="auto"/>
          </w:divBdr>
          <w:divsChild>
            <w:div w:id="1276984114">
              <w:marLeft w:val="0"/>
              <w:marRight w:val="0"/>
              <w:marTop w:val="0"/>
              <w:marBottom w:val="0"/>
              <w:divBdr>
                <w:top w:val="none" w:sz="0" w:space="0" w:color="auto"/>
                <w:left w:val="none" w:sz="0" w:space="0" w:color="auto"/>
                <w:bottom w:val="none" w:sz="0" w:space="0" w:color="auto"/>
                <w:right w:val="none" w:sz="0" w:space="0" w:color="auto"/>
              </w:divBdr>
              <w:divsChild>
                <w:div w:id="1754471698">
                  <w:marLeft w:val="0"/>
                  <w:marRight w:val="0"/>
                  <w:marTop w:val="0"/>
                  <w:marBottom w:val="0"/>
                  <w:divBdr>
                    <w:top w:val="none" w:sz="0" w:space="0" w:color="auto"/>
                    <w:left w:val="none" w:sz="0" w:space="0" w:color="auto"/>
                    <w:bottom w:val="none" w:sz="0" w:space="0" w:color="auto"/>
                    <w:right w:val="none" w:sz="0" w:space="0" w:color="auto"/>
                  </w:divBdr>
                  <w:divsChild>
                    <w:div w:id="7683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4791">
      <w:bodyDiv w:val="1"/>
      <w:marLeft w:val="0"/>
      <w:marRight w:val="0"/>
      <w:marTop w:val="0"/>
      <w:marBottom w:val="0"/>
      <w:divBdr>
        <w:top w:val="none" w:sz="0" w:space="0" w:color="auto"/>
        <w:left w:val="none" w:sz="0" w:space="0" w:color="auto"/>
        <w:bottom w:val="none" w:sz="0" w:space="0" w:color="auto"/>
        <w:right w:val="none" w:sz="0" w:space="0" w:color="auto"/>
      </w:divBdr>
    </w:div>
    <w:div w:id="800733210">
      <w:bodyDiv w:val="1"/>
      <w:marLeft w:val="0"/>
      <w:marRight w:val="0"/>
      <w:marTop w:val="0"/>
      <w:marBottom w:val="0"/>
      <w:divBdr>
        <w:top w:val="none" w:sz="0" w:space="0" w:color="auto"/>
        <w:left w:val="none" w:sz="0" w:space="0" w:color="auto"/>
        <w:bottom w:val="none" w:sz="0" w:space="0" w:color="auto"/>
        <w:right w:val="none" w:sz="0" w:space="0" w:color="auto"/>
      </w:divBdr>
      <w:divsChild>
        <w:div w:id="810833437">
          <w:marLeft w:val="0"/>
          <w:marRight w:val="0"/>
          <w:marTop w:val="0"/>
          <w:marBottom w:val="0"/>
          <w:divBdr>
            <w:top w:val="none" w:sz="0" w:space="0" w:color="auto"/>
            <w:left w:val="none" w:sz="0" w:space="0" w:color="auto"/>
            <w:bottom w:val="none" w:sz="0" w:space="0" w:color="auto"/>
            <w:right w:val="none" w:sz="0" w:space="0" w:color="auto"/>
          </w:divBdr>
          <w:divsChild>
            <w:div w:id="422342108">
              <w:marLeft w:val="0"/>
              <w:marRight w:val="0"/>
              <w:marTop w:val="0"/>
              <w:marBottom w:val="0"/>
              <w:divBdr>
                <w:top w:val="none" w:sz="0" w:space="0" w:color="auto"/>
                <w:left w:val="none" w:sz="0" w:space="0" w:color="auto"/>
                <w:bottom w:val="none" w:sz="0" w:space="0" w:color="auto"/>
                <w:right w:val="none" w:sz="0" w:space="0" w:color="auto"/>
              </w:divBdr>
              <w:divsChild>
                <w:div w:id="360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78303">
      <w:bodyDiv w:val="1"/>
      <w:marLeft w:val="0"/>
      <w:marRight w:val="0"/>
      <w:marTop w:val="0"/>
      <w:marBottom w:val="0"/>
      <w:divBdr>
        <w:top w:val="none" w:sz="0" w:space="0" w:color="auto"/>
        <w:left w:val="none" w:sz="0" w:space="0" w:color="auto"/>
        <w:bottom w:val="none" w:sz="0" w:space="0" w:color="auto"/>
        <w:right w:val="none" w:sz="0" w:space="0" w:color="auto"/>
      </w:divBdr>
    </w:div>
    <w:div w:id="862015030">
      <w:bodyDiv w:val="1"/>
      <w:marLeft w:val="0"/>
      <w:marRight w:val="0"/>
      <w:marTop w:val="0"/>
      <w:marBottom w:val="0"/>
      <w:divBdr>
        <w:top w:val="none" w:sz="0" w:space="0" w:color="auto"/>
        <w:left w:val="none" w:sz="0" w:space="0" w:color="auto"/>
        <w:bottom w:val="none" w:sz="0" w:space="0" w:color="auto"/>
        <w:right w:val="none" w:sz="0" w:space="0" w:color="auto"/>
      </w:divBdr>
    </w:div>
    <w:div w:id="865871507">
      <w:bodyDiv w:val="1"/>
      <w:marLeft w:val="0"/>
      <w:marRight w:val="0"/>
      <w:marTop w:val="0"/>
      <w:marBottom w:val="0"/>
      <w:divBdr>
        <w:top w:val="none" w:sz="0" w:space="0" w:color="auto"/>
        <w:left w:val="none" w:sz="0" w:space="0" w:color="auto"/>
        <w:bottom w:val="none" w:sz="0" w:space="0" w:color="auto"/>
        <w:right w:val="none" w:sz="0" w:space="0" w:color="auto"/>
      </w:divBdr>
      <w:divsChild>
        <w:div w:id="1893998348">
          <w:marLeft w:val="0"/>
          <w:marRight w:val="0"/>
          <w:marTop w:val="0"/>
          <w:marBottom w:val="0"/>
          <w:divBdr>
            <w:top w:val="none" w:sz="0" w:space="0" w:color="auto"/>
            <w:left w:val="none" w:sz="0" w:space="0" w:color="auto"/>
            <w:bottom w:val="none" w:sz="0" w:space="0" w:color="auto"/>
            <w:right w:val="none" w:sz="0" w:space="0" w:color="auto"/>
          </w:divBdr>
          <w:divsChild>
            <w:div w:id="964846925">
              <w:marLeft w:val="0"/>
              <w:marRight w:val="0"/>
              <w:marTop w:val="0"/>
              <w:marBottom w:val="0"/>
              <w:divBdr>
                <w:top w:val="none" w:sz="0" w:space="0" w:color="auto"/>
                <w:left w:val="none" w:sz="0" w:space="0" w:color="auto"/>
                <w:bottom w:val="none" w:sz="0" w:space="0" w:color="auto"/>
                <w:right w:val="none" w:sz="0" w:space="0" w:color="auto"/>
              </w:divBdr>
              <w:divsChild>
                <w:div w:id="2268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4671">
      <w:bodyDiv w:val="1"/>
      <w:marLeft w:val="0"/>
      <w:marRight w:val="0"/>
      <w:marTop w:val="0"/>
      <w:marBottom w:val="0"/>
      <w:divBdr>
        <w:top w:val="none" w:sz="0" w:space="0" w:color="auto"/>
        <w:left w:val="none" w:sz="0" w:space="0" w:color="auto"/>
        <w:bottom w:val="none" w:sz="0" w:space="0" w:color="auto"/>
        <w:right w:val="none" w:sz="0" w:space="0" w:color="auto"/>
      </w:divBdr>
      <w:divsChild>
        <w:div w:id="465466471">
          <w:marLeft w:val="0"/>
          <w:marRight w:val="0"/>
          <w:marTop w:val="0"/>
          <w:marBottom w:val="0"/>
          <w:divBdr>
            <w:top w:val="none" w:sz="0" w:space="0" w:color="auto"/>
            <w:left w:val="none" w:sz="0" w:space="0" w:color="auto"/>
            <w:bottom w:val="none" w:sz="0" w:space="0" w:color="auto"/>
            <w:right w:val="none" w:sz="0" w:space="0" w:color="auto"/>
          </w:divBdr>
          <w:divsChild>
            <w:div w:id="163476766">
              <w:marLeft w:val="0"/>
              <w:marRight w:val="0"/>
              <w:marTop w:val="0"/>
              <w:marBottom w:val="0"/>
              <w:divBdr>
                <w:top w:val="none" w:sz="0" w:space="0" w:color="auto"/>
                <w:left w:val="none" w:sz="0" w:space="0" w:color="auto"/>
                <w:bottom w:val="none" w:sz="0" w:space="0" w:color="auto"/>
                <w:right w:val="none" w:sz="0" w:space="0" w:color="auto"/>
              </w:divBdr>
              <w:divsChild>
                <w:div w:id="4822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886">
      <w:bodyDiv w:val="1"/>
      <w:marLeft w:val="0"/>
      <w:marRight w:val="0"/>
      <w:marTop w:val="0"/>
      <w:marBottom w:val="0"/>
      <w:divBdr>
        <w:top w:val="none" w:sz="0" w:space="0" w:color="auto"/>
        <w:left w:val="none" w:sz="0" w:space="0" w:color="auto"/>
        <w:bottom w:val="none" w:sz="0" w:space="0" w:color="auto"/>
        <w:right w:val="none" w:sz="0" w:space="0" w:color="auto"/>
      </w:divBdr>
    </w:div>
    <w:div w:id="879629556">
      <w:bodyDiv w:val="1"/>
      <w:marLeft w:val="0"/>
      <w:marRight w:val="0"/>
      <w:marTop w:val="0"/>
      <w:marBottom w:val="0"/>
      <w:divBdr>
        <w:top w:val="none" w:sz="0" w:space="0" w:color="auto"/>
        <w:left w:val="none" w:sz="0" w:space="0" w:color="auto"/>
        <w:bottom w:val="none" w:sz="0" w:space="0" w:color="auto"/>
        <w:right w:val="none" w:sz="0" w:space="0" w:color="auto"/>
      </w:divBdr>
    </w:div>
    <w:div w:id="912545970">
      <w:bodyDiv w:val="1"/>
      <w:marLeft w:val="0"/>
      <w:marRight w:val="0"/>
      <w:marTop w:val="0"/>
      <w:marBottom w:val="0"/>
      <w:divBdr>
        <w:top w:val="none" w:sz="0" w:space="0" w:color="auto"/>
        <w:left w:val="none" w:sz="0" w:space="0" w:color="auto"/>
        <w:bottom w:val="none" w:sz="0" w:space="0" w:color="auto"/>
        <w:right w:val="none" w:sz="0" w:space="0" w:color="auto"/>
      </w:divBdr>
      <w:divsChild>
        <w:div w:id="1448350356">
          <w:marLeft w:val="0"/>
          <w:marRight w:val="0"/>
          <w:marTop w:val="0"/>
          <w:marBottom w:val="0"/>
          <w:divBdr>
            <w:top w:val="none" w:sz="0" w:space="0" w:color="auto"/>
            <w:left w:val="none" w:sz="0" w:space="0" w:color="auto"/>
            <w:bottom w:val="none" w:sz="0" w:space="0" w:color="auto"/>
            <w:right w:val="none" w:sz="0" w:space="0" w:color="auto"/>
          </w:divBdr>
          <w:divsChild>
            <w:div w:id="1800032941">
              <w:marLeft w:val="0"/>
              <w:marRight w:val="0"/>
              <w:marTop w:val="0"/>
              <w:marBottom w:val="0"/>
              <w:divBdr>
                <w:top w:val="none" w:sz="0" w:space="0" w:color="auto"/>
                <w:left w:val="none" w:sz="0" w:space="0" w:color="auto"/>
                <w:bottom w:val="none" w:sz="0" w:space="0" w:color="auto"/>
                <w:right w:val="none" w:sz="0" w:space="0" w:color="auto"/>
              </w:divBdr>
              <w:divsChild>
                <w:div w:id="495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0725">
      <w:bodyDiv w:val="1"/>
      <w:marLeft w:val="0"/>
      <w:marRight w:val="0"/>
      <w:marTop w:val="0"/>
      <w:marBottom w:val="0"/>
      <w:divBdr>
        <w:top w:val="none" w:sz="0" w:space="0" w:color="auto"/>
        <w:left w:val="none" w:sz="0" w:space="0" w:color="auto"/>
        <w:bottom w:val="none" w:sz="0" w:space="0" w:color="auto"/>
        <w:right w:val="none" w:sz="0" w:space="0" w:color="auto"/>
      </w:divBdr>
      <w:divsChild>
        <w:div w:id="563949262">
          <w:marLeft w:val="0"/>
          <w:marRight w:val="0"/>
          <w:marTop w:val="0"/>
          <w:marBottom w:val="0"/>
          <w:divBdr>
            <w:top w:val="none" w:sz="0" w:space="0" w:color="auto"/>
            <w:left w:val="none" w:sz="0" w:space="0" w:color="auto"/>
            <w:bottom w:val="none" w:sz="0" w:space="0" w:color="auto"/>
            <w:right w:val="none" w:sz="0" w:space="0" w:color="auto"/>
          </w:divBdr>
          <w:divsChild>
            <w:div w:id="248589483">
              <w:marLeft w:val="0"/>
              <w:marRight w:val="0"/>
              <w:marTop w:val="0"/>
              <w:marBottom w:val="0"/>
              <w:divBdr>
                <w:top w:val="none" w:sz="0" w:space="0" w:color="auto"/>
                <w:left w:val="none" w:sz="0" w:space="0" w:color="auto"/>
                <w:bottom w:val="none" w:sz="0" w:space="0" w:color="auto"/>
                <w:right w:val="none" w:sz="0" w:space="0" w:color="auto"/>
              </w:divBdr>
              <w:divsChild>
                <w:div w:id="1589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1778">
      <w:bodyDiv w:val="1"/>
      <w:marLeft w:val="0"/>
      <w:marRight w:val="0"/>
      <w:marTop w:val="0"/>
      <w:marBottom w:val="0"/>
      <w:divBdr>
        <w:top w:val="none" w:sz="0" w:space="0" w:color="auto"/>
        <w:left w:val="none" w:sz="0" w:space="0" w:color="auto"/>
        <w:bottom w:val="none" w:sz="0" w:space="0" w:color="auto"/>
        <w:right w:val="none" w:sz="0" w:space="0" w:color="auto"/>
      </w:divBdr>
      <w:divsChild>
        <w:div w:id="1964115950">
          <w:marLeft w:val="0"/>
          <w:marRight w:val="0"/>
          <w:marTop w:val="0"/>
          <w:marBottom w:val="0"/>
          <w:divBdr>
            <w:top w:val="none" w:sz="0" w:space="0" w:color="auto"/>
            <w:left w:val="none" w:sz="0" w:space="0" w:color="auto"/>
            <w:bottom w:val="none" w:sz="0" w:space="0" w:color="auto"/>
            <w:right w:val="none" w:sz="0" w:space="0" w:color="auto"/>
          </w:divBdr>
          <w:divsChild>
            <w:div w:id="529539104">
              <w:marLeft w:val="0"/>
              <w:marRight w:val="0"/>
              <w:marTop w:val="0"/>
              <w:marBottom w:val="0"/>
              <w:divBdr>
                <w:top w:val="none" w:sz="0" w:space="0" w:color="auto"/>
                <w:left w:val="none" w:sz="0" w:space="0" w:color="auto"/>
                <w:bottom w:val="none" w:sz="0" w:space="0" w:color="auto"/>
                <w:right w:val="none" w:sz="0" w:space="0" w:color="auto"/>
              </w:divBdr>
              <w:divsChild>
                <w:div w:id="1811827831">
                  <w:marLeft w:val="0"/>
                  <w:marRight w:val="0"/>
                  <w:marTop w:val="0"/>
                  <w:marBottom w:val="0"/>
                  <w:divBdr>
                    <w:top w:val="none" w:sz="0" w:space="0" w:color="auto"/>
                    <w:left w:val="none" w:sz="0" w:space="0" w:color="auto"/>
                    <w:bottom w:val="none" w:sz="0" w:space="0" w:color="auto"/>
                    <w:right w:val="none" w:sz="0" w:space="0" w:color="auto"/>
                  </w:divBdr>
                  <w:divsChild>
                    <w:div w:id="5113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0502">
      <w:bodyDiv w:val="1"/>
      <w:marLeft w:val="0"/>
      <w:marRight w:val="0"/>
      <w:marTop w:val="0"/>
      <w:marBottom w:val="0"/>
      <w:divBdr>
        <w:top w:val="none" w:sz="0" w:space="0" w:color="auto"/>
        <w:left w:val="none" w:sz="0" w:space="0" w:color="auto"/>
        <w:bottom w:val="none" w:sz="0" w:space="0" w:color="auto"/>
        <w:right w:val="none" w:sz="0" w:space="0" w:color="auto"/>
      </w:divBdr>
    </w:div>
    <w:div w:id="947392190">
      <w:bodyDiv w:val="1"/>
      <w:marLeft w:val="0"/>
      <w:marRight w:val="0"/>
      <w:marTop w:val="0"/>
      <w:marBottom w:val="0"/>
      <w:divBdr>
        <w:top w:val="none" w:sz="0" w:space="0" w:color="auto"/>
        <w:left w:val="none" w:sz="0" w:space="0" w:color="auto"/>
        <w:bottom w:val="none" w:sz="0" w:space="0" w:color="auto"/>
        <w:right w:val="none" w:sz="0" w:space="0" w:color="auto"/>
      </w:divBdr>
      <w:divsChild>
        <w:div w:id="1002392049">
          <w:marLeft w:val="0"/>
          <w:marRight w:val="0"/>
          <w:marTop w:val="0"/>
          <w:marBottom w:val="0"/>
          <w:divBdr>
            <w:top w:val="none" w:sz="0" w:space="0" w:color="auto"/>
            <w:left w:val="none" w:sz="0" w:space="0" w:color="auto"/>
            <w:bottom w:val="none" w:sz="0" w:space="0" w:color="auto"/>
            <w:right w:val="none" w:sz="0" w:space="0" w:color="auto"/>
          </w:divBdr>
          <w:divsChild>
            <w:div w:id="653602841">
              <w:marLeft w:val="0"/>
              <w:marRight w:val="0"/>
              <w:marTop w:val="0"/>
              <w:marBottom w:val="0"/>
              <w:divBdr>
                <w:top w:val="none" w:sz="0" w:space="0" w:color="auto"/>
                <w:left w:val="none" w:sz="0" w:space="0" w:color="auto"/>
                <w:bottom w:val="none" w:sz="0" w:space="0" w:color="auto"/>
                <w:right w:val="none" w:sz="0" w:space="0" w:color="auto"/>
              </w:divBdr>
              <w:divsChild>
                <w:div w:id="1229922053">
                  <w:marLeft w:val="0"/>
                  <w:marRight w:val="0"/>
                  <w:marTop w:val="0"/>
                  <w:marBottom w:val="0"/>
                  <w:divBdr>
                    <w:top w:val="none" w:sz="0" w:space="0" w:color="auto"/>
                    <w:left w:val="none" w:sz="0" w:space="0" w:color="auto"/>
                    <w:bottom w:val="none" w:sz="0" w:space="0" w:color="auto"/>
                    <w:right w:val="none" w:sz="0" w:space="0" w:color="auto"/>
                  </w:divBdr>
                  <w:divsChild>
                    <w:div w:id="2922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765">
      <w:bodyDiv w:val="1"/>
      <w:marLeft w:val="0"/>
      <w:marRight w:val="0"/>
      <w:marTop w:val="0"/>
      <w:marBottom w:val="0"/>
      <w:divBdr>
        <w:top w:val="none" w:sz="0" w:space="0" w:color="auto"/>
        <w:left w:val="none" w:sz="0" w:space="0" w:color="auto"/>
        <w:bottom w:val="none" w:sz="0" w:space="0" w:color="auto"/>
        <w:right w:val="none" w:sz="0" w:space="0" w:color="auto"/>
      </w:divBdr>
      <w:divsChild>
        <w:div w:id="315110805">
          <w:marLeft w:val="0"/>
          <w:marRight w:val="0"/>
          <w:marTop w:val="0"/>
          <w:marBottom w:val="0"/>
          <w:divBdr>
            <w:top w:val="none" w:sz="0" w:space="0" w:color="auto"/>
            <w:left w:val="none" w:sz="0" w:space="0" w:color="auto"/>
            <w:bottom w:val="none" w:sz="0" w:space="0" w:color="auto"/>
            <w:right w:val="none" w:sz="0" w:space="0" w:color="auto"/>
          </w:divBdr>
          <w:divsChild>
            <w:div w:id="992299070">
              <w:marLeft w:val="0"/>
              <w:marRight w:val="0"/>
              <w:marTop w:val="0"/>
              <w:marBottom w:val="0"/>
              <w:divBdr>
                <w:top w:val="none" w:sz="0" w:space="0" w:color="auto"/>
                <w:left w:val="none" w:sz="0" w:space="0" w:color="auto"/>
                <w:bottom w:val="none" w:sz="0" w:space="0" w:color="auto"/>
                <w:right w:val="none" w:sz="0" w:space="0" w:color="auto"/>
              </w:divBdr>
              <w:divsChild>
                <w:div w:id="9665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3167">
      <w:bodyDiv w:val="1"/>
      <w:marLeft w:val="0"/>
      <w:marRight w:val="0"/>
      <w:marTop w:val="0"/>
      <w:marBottom w:val="0"/>
      <w:divBdr>
        <w:top w:val="none" w:sz="0" w:space="0" w:color="auto"/>
        <w:left w:val="none" w:sz="0" w:space="0" w:color="auto"/>
        <w:bottom w:val="none" w:sz="0" w:space="0" w:color="auto"/>
        <w:right w:val="none" w:sz="0" w:space="0" w:color="auto"/>
      </w:divBdr>
    </w:div>
    <w:div w:id="1028216895">
      <w:bodyDiv w:val="1"/>
      <w:marLeft w:val="0"/>
      <w:marRight w:val="0"/>
      <w:marTop w:val="0"/>
      <w:marBottom w:val="0"/>
      <w:divBdr>
        <w:top w:val="none" w:sz="0" w:space="0" w:color="auto"/>
        <w:left w:val="none" w:sz="0" w:space="0" w:color="auto"/>
        <w:bottom w:val="none" w:sz="0" w:space="0" w:color="auto"/>
        <w:right w:val="none" w:sz="0" w:space="0" w:color="auto"/>
      </w:divBdr>
      <w:divsChild>
        <w:div w:id="2121104805">
          <w:marLeft w:val="0"/>
          <w:marRight w:val="0"/>
          <w:marTop w:val="0"/>
          <w:marBottom w:val="0"/>
          <w:divBdr>
            <w:top w:val="none" w:sz="0" w:space="0" w:color="auto"/>
            <w:left w:val="none" w:sz="0" w:space="0" w:color="auto"/>
            <w:bottom w:val="none" w:sz="0" w:space="0" w:color="auto"/>
            <w:right w:val="none" w:sz="0" w:space="0" w:color="auto"/>
          </w:divBdr>
          <w:divsChild>
            <w:div w:id="1436711874">
              <w:marLeft w:val="0"/>
              <w:marRight w:val="0"/>
              <w:marTop w:val="0"/>
              <w:marBottom w:val="0"/>
              <w:divBdr>
                <w:top w:val="none" w:sz="0" w:space="0" w:color="auto"/>
                <w:left w:val="none" w:sz="0" w:space="0" w:color="auto"/>
                <w:bottom w:val="none" w:sz="0" w:space="0" w:color="auto"/>
                <w:right w:val="none" w:sz="0" w:space="0" w:color="auto"/>
              </w:divBdr>
              <w:divsChild>
                <w:div w:id="2130394292">
                  <w:marLeft w:val="0"/>
                  <w:marRight w:val="0"/>
                  <w:marTop w:val="0"/>
                  <w:marBottom w:val="0"/>
                  <w:divBdr>
                    <w:top w:val="none" w:sz="0" w:space="0" w:color="auto"/>
                    <w:left w:val="none" w:sz="0" w:space="0" w:color="auto"/>
                    <w:bottom w:val="none" w:sz="0" w:space="0" w:color="auto"/>
                    <w:right w:val="none" w:sz="0" w:space="0" w:color="auto"/>
                  </w:divBdr>
                  <w:divsChild>
                    <w:div w:id="19064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41003">
      <w:bodyDiv w:val="1"/>
      <w:marLeft w:val="0"/>
      <w:marRight w:val="0"/>
      <w:marTop w:val="0"/>
      <w:marBottom w:val="0"/>
      <w:divBdr>
        <w:top w:val="none" w:sz="0" w:space="0" w:color="auto"/>
        <w:left w:val="none" w:sz="0" w:space="0" w:color="auto"/>
        <w:bottom w:val="none" w:sz="0" w:space="0" w:color="auto"/>
        <w:right w:val="none" w:sz="0" w:space="0" w:color="auto"/>
      </w:divBdr>
    </w:div>
    <w:div w:id="1035538636">
      <w:bodyDiv w:val="1"/>
      <w:marLeft w:val="0"/>
      <w:marRight w:val="0"/>
      <w:marTop w:val="0"/>
      <w:marBottom w:val="0"/>
      <w:divBdr>
        <w:top w:val="none" w:sz="0" w:space="0" w:color="auto"/>
        <w:left w:val="none" w:sz="0" w:space="0" w:color="auto"/>
        <w:bottom w:val="none" w:sz="0" w:space="0" w:color="auto"/>
        <w:right w:val="none" w:sz="0" w:space="0" w:color="auto"/>
      </w:divBdr>
      <w:divsChild>
        <w:div w:id="1182628063">
          <w:marLeft w:val="0"/>
          <w:marRight w:val="0"/>
          <w:marTop w:val="0"/>
          <w:marBottom w:val="0"/>
          <w:divBdr>
            <w:top w:val="none" w:sz="0" w:space="0" w:color="auto"/>
            <w:left w:val="none" w:sz="0" w:space="0" w:color="auto"/>
            <w:bottom w:val="none" w:sz="0" w:space="0" w:color="auto"/>
            <w:right w:val="none" w:sz="0" w:space="0" w:color="auto"/>
          </w:divBdr>
          <w:divsChild>
            <w:div w:id="2033679434">
              <w:marLeft w:val="0"/>
              <w:marRight w:val="0"/>
              <w:marTop w:val="0"/>
              <w:marBottom w:val="0"/>
              <w:divBdr>
                <w:top w:val="none" w:sz="0" w:space="0" w:color="auto"/>
                <w:left w:val="none" w:sz="0" w:space="0" w:color="auto"/>
                <w:bottom w:val="none" w:sz="0" w:space="0" w:color="auto"/>
                <w:right w:val="none" w:sz="0" w:space="0" w:color="auto"/>
              </w:divBdr>
              <w:divsChild>
                <w:div w:id="15794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3897">
      <w:bodyDiv w:val="1"/>
      <w:marLeft w:val="0"/>
      <w:marRight w:val="0"/>
      <w:marTop w:val="0"/>
      <w:marBottom w:val="0"/>
      <w:divBdr>
        <w:top w:val="none" w:sz="0" w:space="0" w:color="auto"/>
        <w:left w:val="none" w:sz="0" w:space="0" w:color="auto"/>
        <w:bottom w:val="none" w:sz="0" w:space="0" w:color="auto"/>
        <w:right w:val="none" w:sz="0" w:space="0" w:color="auto"/>
      </w:divBdr>
      <w:divsChild>
        <w:div w:id="1219785718">
          <w:marLeft w:val="0"/>
          <w:marRight w:val="0"/>
          <w:marTop w:val="0"/>
          <w:marBottom w:val="0"/>
          <w:divBdr>
            <w:top w:val="none" w:sz="0" w:space="0" w:color="auto"/>
            <w:left w:val="none" w:sz="0" w:space="0" w:color="auto"/>
            <w:bottom w:val="none" w:sz="0" w:space="0" w:color="auto"/>
            <w:right w:val="none" w:sz="0" w:space="0" w:color="auto"/>
          </w:divBdr>
          <w:divsChild>
            <w:div w:id="1830095391">
              <w:marLeft w:val="0"/>
              <w:marRight w:val="0"/>
              <w:marTop w:val="0"/>
              <w:marBottom w:val="0"/>
              <w:divBdr>
                <w:top w:val="none" w:sz="0" w:space="0" w:color="auto"/>
                <w:left w:val="none" w:sz="0" w:space="0" w:color="auto"/>
                <w:bottom w:val="none" w:sz="0" w:space="0" w:color="auto"/>
                <w:right w:val="none" w:sz="0" w:space="0" w:color="auto"/>
              </w:divBdr>
              <w:divsChild>
                <w:div w:id="1061712810">
                  <w:marLeft w:val="0"/>
                  <w:marRight w:val="0"/>
                  <w:marTop w:val="0"/>
                  <w:marBottom w:val="0"/>
                  <w:divBdr>
                    <w:top w:val="none" w:sz="0" w:space="0" w:color="auto"/>
                    <w:left w:val="none" w:sz="0" w:space="0" w:color="auto"/>
                    <w:bottom w:val="none" w:sz="0" w:space="0" w:color="auto"/>
                    <w:right w:val="none" w:sz="0" w:space="0" w:color="auto"/>
                  </w:divBdr>
                  <w:divsChild>
                    <w:div w:id="12831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34217">
      <w:bodyDiv w:val="1"/>
      <w:marLeft w:val="0"/>
      <w:marRight w:val="0"/>
      <w:marTop w:val="0"/>
      <w:marBottom w:val="0"/>
      <w:divBdr>
        <w:top w:val="none" w:sz="0" w:space="0" w:color="auto"/>
        <w:left w:val="none" w:sz="0" w:space="0" w:color="auto"/>
        <w:bottom w:val="none" w:sz="0" w:space="0" w:color="auto"/>
        <w:right w:val="none" w:sz="0" w:space="0" w:color="auto"/>
      </w:divBdr>
      <w:divsChild>
        <w:div w:id="866870557">
          <w:marLeft w:val="0"/>
          <w:marRight w:val="0"/>
          <w:marTop w:val="0"/>
          <w:marBottom w:val="0"/>
          <w:divBdr>
            <w:top w:val="none" w:sz="0" w:space="0" w:color="auto"/>
            <w:left w:val="none" w:sz="0" w:space="0" w:color="auto"/>
            <w:bottom w:val="none" w:sz="0" w:space="0" w:color="auto"/>
            <w:right w:val="none" w:sz="0" w:space="0" w:color="auto"/>
          </w:divBdr>
          <w:divsChild>
            <w:div w:id="1895117545">
              <w:marLeft w:val="0"/>
              <w:marRight w:val="0"/>
              <w:marTop w:val="0"/>
              <w:marBottom w:val="0"/>
              <w:divBdr>
                <w:top w:val="none" w:sz="0" w:space="0" w:color="auto"/>
                <w:left w:val="none" w:sz="0" w:space="0" w:color="auto"/>
                <w:bottom w:val="none" w:sz="0" w:space="0" w:color="auto"/>
                <w:right w:val="none" w:sz="0" w:space="0" w:color="auto"/>
              </w:divBdr>
              <w:divsChild>
                <w:div w:id="1084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58659">
      <w:bodyDiv w:val="1"/>
      <w:marLeft w:val="0"/>
      <w:marRight w:val="0"/>
      <w:marTop w:val="0"/>
      <w:marBottom w:val="0"/>
      <w:divBdr>
        <w:top w:val="none" w:sz="0" w:space="0" w:color="auto"/>
        <w:left w:val="none" w:sz="0" w:space="0" w:color="auto"/>
        <w:bottom w:val="none" w:sz="0" w:space="0" w:color="auto"/>
        <w:right w:val="none" w:sz="0" w:space="0" w:color="auto"/>
      </w:divBdr>
      <w:divsChild>
        <w:div w:id="1769230156">
          <w:marLeft w:val="0"/>
          <w:marRight w:val="0"/>
          <w:marTop w:val="0"/>
          <w:marBottom w:val="0"/>
          <w:divBdr>
            <w:top w:val="none" w:sz="0" w:space="0" w:color="auto"/>
            <w:left w:val="none" w:sz="0" w:space="0" w:color="auto"/>
            <w:bottom w:val="none" w:sz="0" w:space="0" w:color="auto"/>
            <w:right w:val="none" w:sz="0" w:space="0" w:color="auto"/>
          </w:divBdr>
          <w:divsChild>
            <w:div w:id="1090465167">
              <w:marLeft w:val="0"/>
              <w:marRight w:val="0"/>
              <w:marTop w:val="0"/>
              <w:marBottom w:val="0"/>
              <w:divBdr>
                <w:top w:val="none" w:sz="0" w:space="0" w:color="auto"/>
                <w:left w:val="none" w:sz="0" w:space="0" w:color="auto"/>
                <w:bottom w:val="none" w:sz="0" w:space="0" w:color="auto"/>
                <w:right w:val="none" w:sz="0" w:space="0" w:color="auto"/>
              </w:divBdr>
              <w:divsChild>
                <w:div w:id="14956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7956">
      <w:bodyDiv w:val="1"/>
      <w:marLeft w:val="0"/>
      <w:marRight w:val="0"/>
      <w:marTop w:val="0"/>
      <w:marBottom w:val="0"/>
      <w:divBdr>
        <w:top w:val="none" w:sz="0" w:space="0" w:color="auto"/>
        <w:left w:val="none" w:sz="0" w:space="0" w:color="auto"/>
        <w:bottom w:val="none" w:sz="0" w:space="0" w:color="auto"/>
        <w:right w:val="none" w:sz="0" w:space="0" w:color="auto"/>
      </w:divBdr>
      <w:divsChild>
        <w:div w:id="1384869967">
          <w:marLeft w:val="0"/>
          <w:marRight w:val="0"/>
          <w:marTop w:val="0"/>
          <w:marBottom w:val="0"/>
          <w:divBdr>
            <w:top w:val="none" w:sz="0" w:space="0" w:color="auto"/>
            <w:left w:val="none" w:sz="0" w:space="0" w:color="auto"/>
            <w:bottom w:val="none" w:sz="0" w:space="0" w:color="auto"/>
            <w:right w:val="none" w:sz="0" w:space="0" w:color="auto"/>
          </w:divBdr>
          <w:divsChild>
            <w:div w:id="1979219155">
              <w:marLeft w:val="0"/>
              <w:marRight w:val="0"/>
              <w:marTop w:val="0"/>
              <w:marBottom w:val="0"/>
              <w:divBdr>
                <w:top w:val="none" w:sz="0" w:space="0" w:color="auto"/>
                <w:left w:val="none" w:sz="0" w:space="0" w:color="auto"/>
                <w:bottom w:val="none" w:sz="0" w:space="0" w:color="auto"/>
                <w:right w:val="none" w:sz="0" w:space="0" w:color="auto"/>
              </w:divBdr>
              <w:divsChild>
                <w:div w:id="1924875949">
                  <w:marLeft w:val="0"/>
                  <w:marRight w:val="0"/>
                  <w:marTop w:val="0"/>
                  <w:marBottom w:val="0"/>
                  <w:divBdr>
                    <w:top w:val="none" w:sz="0" w:space="0" w:color="auto"/>
                    <w:left w:val="none" w:sz="0" w:space="0" w:color="auto"/>
                    <w:bottom w:val="none" w:sz="0" w:space="0" w:color="auto"/>
                    <w:right w:val="none" w:sz="0" w:space="0" w:color="auto"/>
                  </w:divBdr>
                  <w:divsChild>
                    <w:div w:id="8509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270398">
      <w:bodyDiv w:val="1"/>
      <w:marLeft w:val="0"/>
      <w:marRight w:val="0"/>
      <w:marTop w:val="0"/>
      <w:marBottom w:val="0"/>
      <w:divBdr>
        <w:top w:val="none" w:sz="0" w:space="0" w:color="auto"/>
        <w:left w:val="none" w:sz="0" w:space="0" w:color="auto"/>
        <w:bottom w:val="none" w:sz="0" w:space="0" w:color="auto"/>
        <w:right w:val="none" w:sz="0" w:space="0" w:color="auto"/>
      </w:divBdr>
    </w:div>
    <w:div w:id="1094665961">
      <w:bodyDiv w:val="1"/>
      <w:marLeft w:val="0"/>
      <w:marRight w:val="0"/>
      <w:marTop w:val="0"/>
      <w:marBottom w:val="0"/>
      <w:divBdr>
        <w:top w:val="none" w:sz="0" w:space="0" w:color="auto"/>
        <w:left w:val="none" w:sz="0" w:space="0" w:color="auto"/>
        <w:bottom w:val="none" w:sz="0" w:space="0" w:color="auto"/>
        <w:right w:val="none" w:sz="0" w:space="0" w:color="auto"/>
      </w:divBdr>
      <w:divsChild>
        <w:div w:id="1304232748">
          <w:marLeft w:val="0"/>
          <w:marRight w:val="0"/>
          <w:marTop w:val="0"/>
          <w:marBottom w:val="0"/>
          <w:divBdr>
            <w:top w:val="none" w:sz="0" w:space="0" w:color="auto"/>
            <w:left w:val="none" w:sz="0" w:space="0" w:color="auto"/>
            <w:bottom w:val="none" w:sz="0" w:space="0" w:color="auto"/>
            <w:right w:val="none" w:sz="0" w:space="0" w:color="auto"/>
          </w:divBdr>
          <w:divsChild>
            <w:div w:id="616831497">
              <w:marLeft w:val="0"/>
              <w:marRight w:val="0"/>
              <w:marTop w:val="0"/>
              <w:marBottom w:val="0"/>
              <w:divBdr>
                <w:top w:val="none" w:sz="0" w:space="0" w:color="auto"/>
                <w:left w:val="none" w:sz="0" w:space="0" w:color="auto"/>
                <w:bottom w:val="none" w:sz="0" w:space="0" w:color="auto"/>
                <w:right w:val="none" w:sz="0" w:space="0" w:color="auto"/>
              </w:divBdr>
              <w:divsChild>
                <w:div w:id="2139446152">
                  <w:marLeft w:val="0"/>
                  <w:marRight w:val="0"/>
                  <w:marTop w:val="0"/>
                  <w:marBottom w:val="0"/>
                  <w:divBdr>
                    <w:top w:val="none" w:sz="0" w:space="0" w:color="auto"/>
                    <w:left w:val="none" w:sz="0" w:space="0" w:color="auto"/>
                    <w:bottom w:val="none" w:sz="0" w:space="0" w:color="auto"/>
                    <w:right w:val="none" w:sz="0" w:space="0" w:color="auto"/>
                  </w:divBdr>
                  <w:divsChild>
                    <w:div w:id="1349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3299">
      <w:bodyDiv w:val="1"/>
      <w:marLeft w:val="0"/>
      <w:marRight w:val="0"/>
      <w:marTop w:val="0"/>
      <w:marBottom w:val="0"/>
      <w:divBdr>
        <w:top w:val="none" w:sz="0" w:space="0" w:color="auto"/>
        <w:left w:val="none" w:sz="0" w:space="0" w:color="auto"/>
        <w:bottom w:val="none" w:sz="0" w:space="0" w:color="auto"/>
        <w:right w:val="none" w:sz="0" w:space="0" w:color="auto"/>
      </w:divBdr>
    </w:div>
    <w:div w:id="1193615826">
      <w:bodyDiv w:val="1"/>
      <w:marLeft w:val="0"/>
      <w:marRight w:val="0"/>
      <w:marTop w:val="0"/>
      <w:marBottom w:val="0"/>
      <w:divBdr>
        <w:top w:val="none" w:sz="0" w:space="0" w:color="auto"/>
        <w:left w:val="none" w:sz="0" w:space="0" w:color="auto"/>
        <w:bottom w:val="none" w:sz="0" w:space="0" w:color="auto"/>
        <w:right w:val="none" w:sz="0" w:space="0" w:color="auto"/>
      </w:divBdr>
      <w:divsChild>
        <w:div w:id="1117483428">
          <w:marLeft w:val="0"/>
          <w:marRight w:val="0"/>
          <w:marTop w:val="0"/>
          <w:marBottom w:val="0"/>
          <w:divBdr>
            <w:top w:val="none" w:sz="0" w:space="0" w:color="auto"/>
            <w:left w:val="none" w:sz="0" w:space="0" w:color="auto"/>
            <w:bottom w:val="none" w:sz="0" w:space="0" w:color="auto"/>
            <w:right w:val="none" w:sz="0" w:space="0" w:color="auto"/>
          </w:divBdr>
          <w:divsChild>
            <w:div w:id="1207912978">
              <w:marLeft w:val="0"/>
              <w:marRight w:val="0"/>
              <w:marTop w:val="0"/>
              <w:marBottom w:val="0"/>
              <w:divBdr>
                <w:top w:val="none" w:sz="0" w:space="0" w:color="auto"/>
                <w:left w:val="none" w:sz="0" w:space="0" w:color="auto"/>
                <w:bottom w:val="none" w:sz="0" w:space="0" w:color="auto"/>
                <w:right w:val="none" w:sz="0" w:space="0" w:color="auto"/>
              </w:divBdr>
              <w:divsChild>
                <w:div w:id="2337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7160">
      <w:bodyDiv w:val="1"/>
      <w:marLeft w:val="0"/>
      <w:marRight w:val="0"/>
      <w:marTop w:val="0"/>
      <w:marBottom w:val="0"/>
      <w:divBdr>
        <w:top w:val="none" w:sz="0" w:space="0" w:color="auto"/>
        <w:left w:val="none" w:sz="0" w:space="0" w:color="auto"/>
        <w:bottom w:val="none" w:sz="0" w:space="0" w:color="auto"/>
        <w:right w:val="none" w:sz="0" w:space="0" w:color="auto"/>
      </w:divBdr>
      <w:divsChild>
        <w:div w:id="1180655654">
          <w:marLeft w:val="0"/>
          <w:marRight w:val="0"/>
          <w:marTop w:val="0"/>
          <w:marBottom w:val="0"/>
          <w:divBdr>
            <w:top w:val="none" w:sz="0" w:space="0" w:color="auto"/>
            <w:left w:val="none" w:sz="0" w:space="0" w:color="auto"/>
            <w:bottom w:val="none" w:sz="0" w:space="0" w:color="auto"/>
            <w:right w:val="none" w:sz="0" w:space="0" w:color="auto"/>
          </w:divBdr>
          <w:divsChild>
            <w:div w:id="1341083298">
              <w:marLeft w:val="0"/>
              <w:marRight w:val="0"/>
              <w:marTop w:val="0"/>
              <w:marBottom w:val="0"/>
              <w:divBdr>
                <w:top w:val="none" w:sz="0" w:space="0" w:color="auto"/>
                <w:left w:val="none" w:sz="0" w:space="0" w:color="auto"/>
                <w:bottom w:val="none" w:sz="0" w:space="0" w:color="auto"/>
                <w:right w:val="none" w:sz="0" w:space="0" w:color="auto"/>
              </w:divBdr>
              <w:divsChild>
                <w:div w:id="888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9001">
      <w:bodyDiv w:val="1"/>
      <w:marLeft w:val="0"/>
      <w:marRight w:val="0"/>
      <w:marTop w:val="0"/>
      <w:marBottom w:val="0"/>
      <w:divBdr>
        <w:top w:val="none" w:sz="0" w:space="0" w:color="auto"/>
        <w:left w:val="none" w:sz="0" w:space="0" w:color="auto"/>
        <w:bottom w:val="none" w:sz="0" w:space="0" w:color="auto"/>
        <w:right w:val="none" w:sz="0" w:space="0" w:color="auto"/>
      </w:divBdr>
      <w:divsChild>
        <w:div w:id="776019355">
          <w:marLeft w:val="0"/>
          <w:marRight w:val="0"/>
          <w:marTop w:val="0"/>
          <w:marBottom w:val="0"/>
          <w:divBdr>
            <w:top w:val="none" w:sz="0" w:space="0" w:color="auto"/>
            <w:left w:val="none" w:sz="0" w:space="0" w:color="auto"/>
            <w:bottom w:val="none" w:sz="0" w:space="0" w:color="auto"/>
            <w:right w:val="none" w:sz="0" w:space="0" w:color="auto"/>
          </w:divBdr>
          <w:divsChild>
            <w:div w:id="1727603195">
              <w:marLeft w:val="0"/>
              <w:marRight w:val="0"/>
              <w:marTop w:val="0"/>
              <w:marBottom w:val="0"/>
              <w:divBdr>
                <w:top w:val="none" w:sz="0" w:space="0" w:color="auto"/>
                <w:left w:val="none" w:sz="0" w:space="0" w:color="auto"/>
                <w:bottom w:val="none" w:sz="0" w:space="0" w:color="auto"/>
                <w:right w:val="none" w:sz="0" w:space="0" w:color="auto"/>
              </w:divBdr>
              <w:divsChild>
                <w:div w:id="11307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5603">
      <w:bodyDiv w:val="1"/>
      <w:marLeft w:val="0"/>
      <w:marRight w:val="0"/>
      <w:marTop w:val="0"/>
      <w:marBottom w:val="0"/>
      <w:divBdr>
        <w:top w:val="none" w:sz="0" w:space="0" w:color="auto"/>
        <w:left w:val="none" w:sz="0" w:space="0" w:color="auto"/>
        <w:bottom w:val="none" w:sz="0" w:space="0" w:color="auto"/>
        <w:right w:val="none" w:sz="0" w:space="0" w:color="auto"/>
      </w:divBdr>
      <w:divsChild>
        <w:div w:id="1934049286">
          <w:marLeft w:val="0"/>
          <w:marRight w:val="0"/>
          <w:marTop w:val="0"/>
          <w:marBottom w:val="0"/>
          <w:divBdr>
            <w:top w:val="none" w:sz="0" w:space="0" w:color="auto"/>
            <w:left w:val="none" w:sz="0" w:space="0" w:color="auto"/>
            <w:bottom w:val="none" w:sz="0" w:space="0" w:color="auto"/>
            <w:right w:val="none" w:sz="0" w:space="0" w:color="auto"/>
          </w:divBdr>
          <w:divsChild>
            <w:div w:id="165948695">
              <w:marLeft w:val="0"/>
              <w:marRight w:val="0"/>
              <w:marTop w:val="0"/>
              <w:marBottom w:val="0"/>
              <w:divBdr>
                <w:top w:val="none" w:sz="0" w:space="0" w:color="auto"/>
                <w:left w:val="none" w:sz="0" w:space="0" w:color="auto"/>
                <w:bottom w:val="none" w:sz="0" w:space="0" w:color="auto"/>
                <w:right w:val="none" w:sz="0" w:space="0" w:color="auto"/>
              </w:divBdr>
              <w:divsChild>
                <w:div w:id="1492990520">
                  <w:marLeft w:val="0"/>
                  <w:marRight w:val="0"/>
                  <w:marTop w:val="0"/>
                  <w:marBottom w:val="0"/>
                  <w:divBdr>
                    <w:top w:val="none" w:sz="0" w:space="0" w:color="auto"/>
                    <w:left w:val="none" w:sz="0" w:space="0" w:color="auto"/>
                    <w:bottom w:val="none" w:sz="0" w:space="0" w:color="auto"/>
                    <w:right w:val="none" w:sz="0" w:space="0" w:color="auto"/>
                  </w:divBdr>
                  <w:divsChild>
                    <w:div w:id="4273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4941">
      <w:bodyDiv w:val="1"/>
      <w:marLeft w:val="0"/>
      <w:marRight w:val="0"/>
      <w:marTop w:val="0"/>
      <w:marBottom w:val="0"/>
      <w:divBdr>
        <w:top w:val="none" w:sz="0" w:space="0" w:color="auto"/>
        <w:left w:val="none" w:sz="0" w:space="0" w:color="auto"/>
        <w:bottom w:val="none" w:sz="0" w:space="0" w:color="auto"/>
        <w:right w:val="none" w:sz="0" w:space="0" w:color="auto"/>
      </w:divBdr>
      <w:divsChild>
        <w:div w:id="1132017560">
          <w:marLeft w:val="0"/>
          <w:marRight w:val="0"/>
          <w:marTop w:val="0"/>
          <w:marBottom w:val="0"/>
          <w:divBdr>
            <w:top w:val="none" w:sz="0" w:space="0" w:color="auto"/>
            <w:left w:val="none" w:sz="0" w:space="0" w:color="auto"/>
            <w:bottom w:val="none" w:sz="0" w:space="0" w:color="auto"/>
            <w:right w:val="none" w:sz="0" w:space="0" w:color="auto"/>
          </w:divBdr>
          <w:divsChild>
            <w:div w:id="37321855">
              <w:marLeft w:val="0"/>
              <w:marRight w:val="0"/>
              <w:marTop w:val="0"/>
              <w:marBottom w:val="0"/>
              <w:divBdr>
                <w:top w:val="none" w:sz="0" w:space="0" w:color="auto"/>
                <w:left w:val="none" w:sz="0" w:space="0" w:color="auto"/>
                <w:bottom w:val="none" w:sz="0" w:space="0" w:color="auto"/>
                <w:right w:val="none" w:sz="0" w:space="0" w:color="auto"/>
              </w:divBdr>
              <w:divsChild>
                <w:div w:id="7992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7026">
      <w:bodyDiv w:val="1"/>
      <w:marLeft w:val="0"/>
      <w:marRight w:val="0"/>
      <w:marTop w:val="0"/>
      <w:marBottom w:val="0"/>
      <w:divBdr>
        <w:top w:val="none" w:sz="0" w:space="0" w:color="auto"/>
        <w:left w:val="none" w:sz="0" w:space="0" w:color="auto"/>
        <w:bottom w:val="none" w:sz="0" w:space="0" w:color="auto"/>
        <w:right w:val="none" w:sz="0" w:space="0" w:color="auto"/>
      </w:divBdr>
      <w:divsChild>
        <w:div w:id="1287270612">
          <w:marLeft w:val="0"/>
          <w:marRight w:val="0"/>
          <w:marTop w:val="0"/>
          <w:marBottom w:val="0"/>
          <w:divBdr>
            <w:top w:val="none" w:sz="0" w:space="0" w:color="auto"/>
            <w:left w:val="none" w:sz="0" w:space="0" w:color="auto"/>
            <w:bottom w:val="none" w:sz="0" w:space="0" w:color="auto"/>
            <w:right w:val="none" w:sz="0" w:space="0" w:color="auto"/>
          </w:divBdr>
          <w:divsChild>
            <w:div w:id="1548950121">
              <w:marLeft w:val="0"/>
              <w:marRight w:val="0"/>
              <w:marTop w:val="0"/>
              <w:marBottom w:val="0"/>
              <w:divBdr>
                <w:top w:val="none" w:sz="0" w:space="0" w:color="auto"/>
                <w:left w:val="none" w:sz="0" w:space="0" w:color="auto"/>
                <w:bottom w:val="none" w:sz="0" w:space="0" w:color="auto"/>
                <w:right w:val="none" w:sz="0" w:space="0" w:color="auto"/>
              </w:divBdr>
              <w:divsChild>
                <w:div w:id="17890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1865">
      <w:bodyDiv w:val="1"/>
      <w:marLeft w:val="0"/>
      <w:marRight w:val="0"/>
      <w:marTop w:val="0"/>
      <w:marBottom w:val="0"/>
      <w:divBdr>
        <w:top w:val="none" w:sz="0" w:space="0" w:color="auto"/>
        <w:left w:val="none" w:sz="0" w:space="0" w:color="auto"/>
        <w:bottom w:val="none" w:sz="0" w:space="0" w:color="auto"/>
        <w:right w:val="none" w:sz="0" w:space="0" w:color="auto"/>
      </w:divBdr>
      <w:divsChild>
        <w:div w:id="1051617776">
          <w:marLeft w:val="0"/>
          <w:marRight w:val="0"/>
          <w:marTop w:val="0"/>
          <w:marBottom w:val="0"/>
          <w:divBdr>
            <w:top w:val="none" w:sz="0" w:space="0" w:color="auto"/>
            <w:left w:val="none" w:sz="0" w:space="0" w:color="auto"/>
            <w:bottom w:val="none" w:sz="0" w:space="0" w:color="auto"/>
            <w:right w:val="none" w:sz="0" w:space="0" w:color="auto"/>
          </w:divBdr>
          <w:divsChild>
            <w:div w:id="216089002">
              <w:marLeft w:val="0"/>
              <w:marRight w:val="0"/>
              <w:marTop w:val="0"/>
              <w:marBottom w:val="0"/>
              <w:divBdr>
                <w:top w:val="none" w:sz="0" w:space="0" w:color="auto"/>
                <w:left w:val="none" w:sz="0" w:space="0" w:color="auto"/>
                <w:bottom w:val="none" w:sz="0" w:space="0" w:color="auto"/>
                <w:right w:val="none" w:sz="0" w:space="0" w:color="auto"/>
              </w:divBdr>
              <w:divsChild>
                <w:div w:id="481510338">
                  <w:marLeft w:val="0"/>
                  <w:marRight w:val="0"/>
                  <w:marTop w:val="0"/>
                  <w:marBottom w:val="0"/>
                  <w:divBdr>
                    <w:top w:val="none" w:sz="0" w:space="0" w:color="auto"/>
                    <w:left w:val="none" w:sz="0" w:space="0" w:color="auto"/>
                    <w:bottom w:val="none" w:sz="0" w:space="0" w:color="auto"/>
                    <w:right w:val="none" w:sz="0" w:space="0" w:color="auto"/>
                  </w:divBdr>
                  <w:divsChild>
                    <w:div w:id="2775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1465">
      <w:bodyDiv w:val="1"/>
      <w:marLeft w:val="0"/>
      <w:marRight w:val="0"/>
      <w:marTop w:val="0"/>
      <w:marBottom w:val="0"/>
      <w:divBdr>
        <w:top w:val="none" w:sz="0" w:space="0" w:color="auto"/>
        <w:left w:val="none" w:sz="0" w:space="0" w:color="auto"/>
        <w:bottom w:val="none" w:sz="0" w:space="0" w:color="auto"/>
        <w:right w:val="none" w:sz="0" w:space="0" w:color="auto"/>
      </w:divBdr>
      <w:divsChild>
        <w:div w:id="1246262879">
          <w:marLeft w:val="0"/>
          <w:marRight w:val="0"/>
          <w:marTop w:val="0"/>
          <w:marBottom w:val="0"/>
          <w:divBdr>
            <w:top w:val="none" w:sz="0" w:space="0" w:color="auto"/>
            <w:left w:val="none" w:sz="0" w:space="0" w:color="auto"/>
            <w:bottom w:val="none" w:sz="0" w:space="0" w:color="auto"/>
            <w:right w:val="none" w:sz="0" w:space="0" w:color="auto"/>
          </w:divBdr>
          <w:divsChild>
            <w:div w:id="1664117773">
              <w:marLeft w:val="0"/>
              <w:marRight w:val="0"/>
              <w:marTop w:val="0"/>
              <w:marBottom w:val="0"/>
              <w:divBdr>
                <w:top w:val="none" w:sz="0" w:space="0" w:color="auto"/>
                <w:left w:val="none" w:sz="0" w:space="0" w:color="auto"/>
                <w:bottom w:val="none" w:sz="0" w:space="0" w:color="auto"/>
                <w:right w:val="none" w:sz="0" w:space="0" w:color="auto"/>
              </w:divBdr>
              <w:divsChild>
                <w:div w:id="6631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1845">
      <w:bodyDiv w:val="1"/>
      <w:marLeft w:val="0"/>
      <w:marRight w:val="0"/>
      <w:marTop w:val="0"/>
      <w:marBottom w:val="0"/>
      <w:divBdr>
        <w:top w:val="none" w:sz="0" w:space="0" w:color="auto"/>
        <w:left w:val="none" w:sz="0" w:space="0" w:color="auto"/>
        <w:bottom w:val="none" w:sz="0" w:space="0" w:color="auto"/>
        <w:right w:val="none" w:sz="0" w:space="0" w:color="auto"/>
      </w:divBdr>
      <w:divsChild>
        <w:div w:id="1417364557">
          <w:marLeft w:val="0"/>
          <w:marRight w:val="0"/>
          <w:marTop w:val="0"/>
          <w:marBottom w:val="0"/>
          <w:divBdr>
            <w:top w:val="none" w:sz="0" w:space="0" w:color="auto"/>
            <w:left w:val="none" w:sz="0" w:space="0" w:color="auto"/>
            <w:bottom w:val="none" w:sz="0" w:space="0" w:color="auto"/>
            <w:right w:val="none" w:sz="0" w:space="0" w:color="auto"/>
          </w:divBdr>
          <w:divsChild>
            <w:div w:id="1161194129">
              <w:marLeft w:val="0"/>
              <w:marRight w:val="0"/>
              <w:marTop w:val="0"/>
              <w:marBottom w:val="0"/>
              <w:divBdr>
                <w:top w:val="none" w:sz="0" w:space="0" w:color="auto"/>
                <w:left w:val="none" w:sz="0" w:space="0" w:color="auto"/>
                <w:bottom w:val="none" w:sz="0" w:space="0" w:color="auto"/>
                <w:right w:val="none" w:sz="0" w:space="0" w:color="auto"/>
              </w:divBdr>
              <w:divsChild>
                <w:div w:id="51857118">
                  <w:marLeft w:val="0"/>
                  <w:marRight w:val="0"/>
                  <w:marTop w:val="0"/>
                  <w:marBottom w:val="0"/>
                  <w:divBdr>
                    <w:top w:val="none" w:sz="0" w:space="0" w:color="auto"/>
                    <w:left w:val="none" w:sz="0" w:space="0" w:color="auto"/>
                    <w:bottom w:val="none" w:sz="0" w:space="0" w:color="auto"/>
                    <w:right w:val="none" w:sz="0" w:space="0" w:color="auto"/>
                  </w:divBdr>
                  <w:divsChild>
                    <w:div w:id="18720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16582">
      <w:bodyDiv w:val="1"/>
      <w:marLeft w:val="0"/>
      <w:marRight w:val="0"/>
      <w:marTop w:val="0"/>
      <w:marBottom w:val="0"/>
      <w:divBdr>
        <w:top w:val="none" w:sz="0" w:space="0" w:color="auto"/>
        <w:left w:val="none" w:sz="0" w:space="0" w:color="auto"/>
        <w:bottom w:val="none" w:sz="0" w:space="0" w:color="auto"/>
        <w:right w:val="none" w:sz="0" w:space="0" w:color="auto"/>
      </w:divBdr>
      <w:divsChild>
        <w:div w:id="421536219">
          <w:marLeft w:val="0"/>
          <w:marRight w:val="0"/>
          <w:marTop w:val="0"/>
          <w:marBottom w:val="0"/>
          <w:divBdr>
            <w:top w:val="none" w:sz="0" w:space="0" w:color="auto"/>
            <w:left w:val="none" w:sz="0" w:space="0" w:color="auto"/>
            <w:bottom w:val="none" w:sz="0" w:space="0" w:color="auto"/>
            <w:right w:val="none" w:sz="0" w:space="0" w:color="auto"/>
          </w:divBdr>
          <w:divsChild>
            <w:div w:id="1816682880">
              <w:marLeft w:val="0"/>
              <w:marRight w:val="0"/>
              <w:marTop w:val="0"/>
              <w:marBottom w:val="0"/>
              <w:divBdr>
                <w:top w:val="none" w:sz="0" w:space="0" w:color="auto"/>
                <w:left w:val="none" w:sz="0" w:space="0" w:color="auto"/>
                <w:bottom w:val="none" w:sz="0" w:space="0" w:color="auto"/>
                <w:right w:val="none" w:sz="0" w:space="0" w:color="auto"/>
              </w:divBdr>
              <w:divsChild>
                <w:div w:id="9905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81028">
      <w:bodyDiv w:val="1"/>
      <w:marLeft w:val="0"/>
      <w:marRight w:val="0"/>
      <w:marTop w:val="0"/>
      <w:marBottom w:val="0"/>
      <w:divBdr>
        <w:top w:val="none" w:sz="0" w:space="0" w:color="auto"/>
        <w:left w:val="none" w:sz="0" w:space="0" w:color="auto"/>
        <w:bottom w:val="none" w:sz="0" w:space="0" w:color="auto"/>
        <w:right w:val="none" w:sz="0" w:space="0" w:color="auto"/>
      </w:divBdr>
      <w:divsChild>
        <w:div w:id="317880601">
          <w:marLeft w:val="0"/>
          <w:marRight w:val="0"/>
          <w:marTop w:val="0"/>
          <w:marBottom w:val="0"/>
          <w:divBdr>
            <w:top w:val="none" w:sz="0" w:space="0" w:color="auto"/>
            <w:left w:val="none" w:sz="0" w:space="0" w:color="auto"/>
            <w:bottom w:val="none" w:sz="0" w:space="0" w:color="auto"/>
            <w:right w:val="none" w:sz="0" w:space="0" w:color="auto"/>
          </w:divBdr>
          <w:divsChild>
            <w:div w:id="878322858">
              <w:marLeft w:val="0"/>
              <w:marRight w:val="0"/>
              <w:marTop w:val="0"/>
              <w:marBottom w:val="0"/>
              <w:divBdr>
                <w:top w:val="none" w:sz="0" w:space="0" w:color="auto"/>
                <w:left w:val="none" w:sz="0" w:space="0" w:color="auto"/>
                <w:bottom w:val="none" w:sz="0" w:space="0" w:color="auto"/>
                <w:right w:val="none" w:sz="0" w:space="0" w:color="auto"/>
              </w:divBdr>
              <w:divsChild>
                <w:div w:id="261299954">
                  <w:marLeft w:val="0"/>
                  <w:marRight w:val="0"/>
                  <w:marTop w:val="0"/>
                  <w:marBottom w:val="0"/>
                  <w:divBdr>
                    <w:top w:val="none" w:sz="0" w:space="0" w:color="auto"/>
                    <w:left w:val="none" w:sz="0" w:space="0" w:color="auto"/>
                    <w:bottom w:val="none" w:sz="0" w:space="0" w:color="auto"/>
                    <w:right w:val="none" w:sz="0" w:space="0" w:color="auto"/>
                  </w:divBdr>
                  <w:divsChild>
                    <w:div w:id="10825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543910">
      <w:bodyDiv w:val="1"/>
      <w:marLeft w:val="0"/>
      <w:marRight w:val="0"/>
      <w:marTop w:val="0"/>
      <w:marBottom w:val="0"/>
      <w:divBdr>
        <w:top w:val="none" w:sz="0" w:space="0" w:color="auto"/>
        <w:left w:val="none" w:sz="0" w:space="0" w:color="auto"/>
        <w:bottom w:val="none" w:sz="0" w:space="0" w:color="auto"/>
        <w:right w:val="none" w:sz="0" w:space="0" w:color="auto"/>
      </w:divBdr>
      <w:divsChild>
        <w:div w:id="558396483">
          <w:marLeft w:val="0"/>
          <w:marRight w:val="0"/>
          <w:marTop w:val="0"/>
          <w:marBottom w:val="0"/>
          <w:divBdr>
            <w:top w:val="none" w:sz="0" w:space="0" w:color="auto"/>
            <w:left w:val="none" w:sz="0" w:space="0" w:color="auto"/>
            <w:bottom w:val="none" w:sz="0" w:space="0" w:color="auto"/>
            <w:right w:val="none" w:sz="0" w:space="0" w:color="auto"/>
          </w:divBdr>
          <w:divsChild>
            <w:div w:id="7341748">
              <w:marLeft w:val="0"/>
              <w:marRight w:val="0"/>
              <w:marTop w:val="0"/>
              <w:marBottom w:val="0"/>
              <w:divBdr>
                <w:top w:val="none" w:sz="0" w:space="0" w:color="auto"/>
                <w:left w:val="none" w:sz="0" w:space="0" w:color="auto"/>
                <w:bottom w:val="none" w:sz="0" w:space="0" w:color="auto"/>
                <w:right w:val="none" w:sz="0" w:space="0" w:color="auto"/>
              </w:divBdr>
              <w:divsChild>
                <w:div w:id="5705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2216">
      <w:bodyDiv w:val="1"/>
      <w:marLeft w:val="0"/>
      <w:marRight w:val="0"/>
      <w:marTop w:val="0"/>
      <w:marBottom w:val="0"/>
      <w:divBdr>
        <w:top w:val="none" w:sz="0" w:space="0" w:color="auto"/>
        <w:left w:val="none" w:sz="0" w:space="0" w:color="auto"/>
        <w:bottom w:val="none" w:sz="0" w:space="0" w:color="auto"/>
        <w:right w:val="none" w:sz="0" w:space="0" w:color="auto"/>
      </w:divBdr>
      <w:divsChild>
        <w:div w:id="589120762">
          <w:marLeft w:val="0"/>
          <w:marRight w:val="0"/>
          <w:marTop w:val="0"/>
          <w:marBottom w:val="0"/>
          <w:divBdr>
            <w:top w:val="none" w:sz="0" w:space="0" w:color="auto"/>
            <w:left w:val="none" w:sz="0" w:space="0" w:color="auto"/>
            <w:bottom w:val="none" w:sz="0" w:space="0" w:color="auto"/>
            <w:right w:val="none" w:sz="0" w:space="0" w:color="auto"/>
          </w:divBdr>
          <w:divsChild>
            <w:div w:id="42296271">
              <w:marLeft w:val="0"/>
              <w:marRight w:val="0"/>
              <w:marTop w:val="0"/>
              <w:marBottom w:val="0"/>
              <w:divBdr>
                <w:top w:val="none" w:sz="0" w:space="0" w:color="auto"/>
                <w:left w:val="none" w:sz="0" w:space="0" w:color="auto"/>
                <w:bottom w:val="none" w:sz="0" w:space="0" w:color="auto"/>
                <w:right w:val="none" w:sz="0" w:space="0" w:color="auto"/>
              </w:divBdr>
              <w:divsChild>
                <w:div w:id="16934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4925">
      <w:bodyDiv w:val="1"/>
      <w:marLeft w:val="0"/>
      <w:marRight w:val="0"/>
      <w:marTop w:val="0"/>
      <w:marBottom w:val="0"/>
      <w:divBdr>
        <w:top w:val="none" w:sz="0" w:space="0" w:color="auto"/>
        <w:left w:val="none" w:sz="0" w:space="0" w:color="auto"/>
        <w:bottom w:val="none" w:sz="0" w:space="0" w:color="auto"/>
        <w:right w:val="none" w:sz="0" w:space="0" w:color="auto"/>
      </w:divBdr>
      <w:divsChild>
        <w:div w:id="2103528872">
          <w:marLeft w:val="0"/>
          <w:marRight w:val="0"/>
          <w:marTop w:val="0"/>
          <w:marBottom w:val="0"/>
          <w:divBdr>
            <w:top w:val="none" w:sz="0" w:space="0" w:color="auto"/>
            <w:left w:val="none" w:sz="0" w:space="0" w:color="auto"/>
            <w:bottom w:val="none" w:sz="0" w:space="0" w:color="auto"/>
            <w:right w:val="none" w:sz="0" w:space="0" w:color="auto"/>
          </w:divBdr>
          <w:divsChild>
            <w:div w:id="636493806">
              <w:marLeft w:val="0"/>
              <w:marRight w:val="0"/>
              <w:marTop w:val="0"/>
              <w:marBottom w:val="0"/>
              <w:divBdr>
                <w:top w:val="none" w:sz="0" w:space="0" w:color="auto"/>
                <w:left w:val="none" w:sz="0" w:space="0" w:color="auto"/>
                <w:bottom w:val="none" w:sz="0" w:space="0" w:color="auto"/>
                <w:right w:val="none" w:sz="0" w:space="0" w:color="auto"/>
              </w:divBdr>
              <w:divsChild>
                <w:div w:id="1165629946">
                  <w:marLeft w:val="0"/>
                  <w:marRight w:val="0"/>
                  <w:marTop w:val="0"/>
                  <w:marBottom w:val="0"/>
                  <w:divBdr>
                    <w:top w:val="none" w:sz="0" w:space="0" w:color="auto"/>
                    <w:left w:val="none" w:sz="0" w:space="0" w:color="auto"/>
                    <w:bottom w:val="none" w:sz="0" w:space="0" w:color="auto"/>
                    <w:right w:val="none" w:sz="0" w:space="0" w:color="auto"/>
                  </w:divBdr>
                  <w:divsChild>
                    <w:div w:id="10074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05846">
      <w:bodyDiv w:val="1"/>
      <w:marLeft w:val="0"/>
      <w:marRight w:val="0"/>
      <w:marTop w:val="0"/>
      <w:marBottom w:val="0"/>
      <w:divBdr>
        <w:top w:val="none" w:sz="0" w:space="0" w:color="auto"/>
        <w:left w:val="none" w:sz="0" w:space="0" w:color="auto"/>
        <w:bottom w:val="none" w:sz="0" w:space="0" w:color="auto"/>
        <w:right w:val="none" w:sz="0" w:space="0" w:color="auto"/>
      </w:divBdr>
      <w:divsChild>
        <w:div w:id="673193131">
          <w:marLeft w:val="0"/>
          <w:marRight w:val="0"/>
          <w:marTop w:val="0"/>
          <w:marBottom w:val="0"/>
          <w:divBdr>
            <w:top w:val="none" w:sz="0" w:space="0" w:color="auto"/>
            <w:left w:val="none" w:sz="0" w:space="0" w:color="auto"/>
            <w:bottom w:val="none" w:sz="0" w:space="0" w:color="auto"/>
            <w:right w:val="none" w:sz="0" w:space="0" w:color="auto"/>
          </w:divBdr>
          <w:divsChild>
            <w:div w:id="1086734231">
              <w:marLeft w:val="0"/>
              <w:marRight w:val="0"/>
              <w:marTop w:val="0"/>
              <w:marBottom w:val="0"/>
              <w:divBdr>
                <w:top w:val="none" w:sz="0" w:space="0" w:color="auto"/>
                <w:left w:val="none" w:sz="0" w:space="0" w:color="auto"/>
                <w:bottom w:val="none" w:sz="0" w:space="0" w:color="auto"/>
                <w:right w:val="none" w:sz="0" w:space="0" w:color="auto"/>
              </w:divBdr>
              <w:divsChild>
                <w:div w:id="1193346494">
                  <w:marLeft w:val="0"/>
                  <w:marRight w:val="0"/>
                  <w:marTop w:val="0"/>
                  <w:marBottom w:val="0"/>
                  <w:divBdr>
                    <w:top w:val="none" w:sz="0" w:space="0" w:color="auto"/>
                    <w:left w:val="none" w:sz="0" w:space="0" w:color="auto"/>
                    <w:bottom w:val="none" w:sz="0" w:space="0" w:color="auto"/>
                    <w:right w:val="none" w:sz="0" w:space="0" w:color="auto"/>
                  </w:divBdr>
                  <w:divsChild>
                    <w:div w:id="15710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41296">
      <w:bodyDiv w:val="1"/>
      <w:marLeft w:val="0"/>
      <w:marRight w:val="0"/>
      <w:marTop w:val="0"/>
      <w:marBottom w:val="0"/>
      <w:divBdr>
        <w:top w:val="none" w:sz="0" w:space="0" w:color="auto"/>
        <w:left w:val="none" w:sz="0" w:space="0" w:color="auto"/>
        <w:bottom w:val="none" w:sz="0" w:space="0" w:color="auto"/>
        <w:right w:val="none" w:sz="0" w:space="0" w:color="auto"/>
      </w:divBdr>
      <w:divsChild>
        <w:div w:id="1676420458">
          <w:marLeft w:val="0"/>
          <w:marRight w:val="0"/>
          <w:marTop w:val="0"/>
          <w:marBottom w:val="0"/>
          <w:divBdr>
            <w:top w:val="none" w:sz="0" w:space="0" w:color="auto"/>
            <w:left w:val="none" w:sz="0" w:space="0" w:color="auto"/>
            <w:bottom w:val="none" w:sz="0" w:space="0" w:color="auto"/>
            <w:right w:val="none" w:sz="0" w:space="0" w:color="auto"/>
          </w:divBdr>
          <w:divsChild>
            <w:div w:id="1905876190">
              <w:marLeft w:val="0"/>
              <w:marRight w:val="0"/>
              <w:marTop w:val="0"/>
              <w:marBottom w:val="0"/>
              <w:divBdr>
                <w:top w:val="none" w:sz="0" w:space="0" w:color="auto"/>
                <w:left w:val="none" w:sz="0" w:space="0" w:color="auto"/>
                <w:bottom w:val="none" w:sz="0" w:space="0" w:color="auto"/>
                <w:right w:val="none" w:sz="0" w:space="0" w:color="auto"/>
              </w:divBdr>
              <w:divsChild>
                <w:div w:id="10101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97978">
      <w:bodyDiv w:val="1"/>
      <w:marLeft w:val="0"/>
      <w:marRight w:val="0"/>
      <w:marTop w:val="0"/>
      <w:marBottom w:val="0"/>
      <w:divBdr>
        <w:top w:val="none" w:sz="0" w:space="0" w:color="auto"/>
        <w:left w:val="none" w:sz="0" w:space="0" w:color="auto"/>
        <w:bottom w:val="none" w:sz="0" w:space="0" w:color="auto"/>
        <w:right w:val="none" w:sz="0" w:space="0" w:color="auto"/>
      </w:divBdr>
      <w:divsChild>
        <w:div w:id="350575451">
          <w:marLeft w:val="0"/>
          <w:marRight w:val="0"/>
          <w:marTop w:val="0"/>
          <w:marBottom w:val="0"/>
          <w:divBdr>
            <w:top w:val="none" w:sz="0" w:space="0" w:color="auto"/>
            <w:left w:val="none" w:sz="0" w:space="0" w:color="auto"/>
            <w:bottom w:val="none" w:sz="0" w:space="0" w:color="auto"/>
            <w:right w:val="none" w:sz="0" w:space="0" w:color="auto"/>
          </w:divBdr>
          <w:divsChild>
            <w:div w:id="1322925411">
              <w:marLeft w:val="0"/>
              <w:marRight w:val="0"/>
              <w:marTop w:val="0"/>
              <w:marBottom w:val="0"/>
              <w:divBdr>
                <w:top w:val="none" w:sz="0" w:space="0" w:color="auto"/>
                <w:left w:val="none" w:sz="0" w:space="0" w:color="auto"/>
                <w:bottom w:val="none" w:sz="0" w:space="0" w:color="auto"/>
                <w:right w:val="none" w:sz="0" w:space="0" w:color="auto"/>
              </w:divBdr>
              <w:divsChild>
                <w:div w:id="18796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2569">
      <w:bodyDiv w:val="1"/>
      <w:marLeft w:val="0"/>
      <w:marRight w:val="0"/>
      <w:marTop w:val="0"/>
      <w:marBottom w:val="0"/>
      <w:divBdr>
        <w:top w:val="none" w:sz="0" w:space="0" w:color="auto"/>
        <w:left w:val="none" w:sz="0" w:space="0" w:color="auto"/>
        <w:bottom w:val="none" w:sz="0" w:space="0" w:color="auto"/>
        <w:right w:val="none" w:sz="0" w:space="0" w:color="auto"/>
      </w:divBdr>
      <w:divsChild>
        <w:div w:id="2122534332">
          <w:marLeft w:val="0"/>
          <w:marRight w:val="0"/>
          <w:marTop w:val="0"/>
          <w:marBottom w:val="0"/>
          <w:divBdr>
            <w:top w:val="none" w:sz="0" w:space="0" w:color="auto"/>
            <w:left w:val="none" w:sz="0" w:space="0" w:color="auto"/>
            <w:bottom w:val="none" w:sz="0" w:space="0" w:color="auto"/>
            <w:right w:val="none" w:sz="0" w:space="0" w:color="auto"/>
          </w:divBdr>
          <w:divsChild>
            <w:div w:id="1321423120">
              <w:marLeft w:val="0"/>
              <w:marRight w:val="0"/>
              <w:marTop w:val="0"/>
              <w:marBottom w:val="0"/>
              <w:divBdr>
                <w:top w:val="none" w:sz="0" w:space="0" w:color="auto"/>
                <w:left w:val="none" w:sz="0" w:space="0" w:color="auto"/>
                <w:bottom w:val="none" w:sz="0" w:space="0" w:color="auto"/>
                <w:right w:val="none" w:sz="0" w:space="0" w:color="auto"/>
              </w:divBdr>
              <w:divsChild>
                <w:div w:id="1340158451">
                  <w:marLeft w:val="0"/>
                  <w:marRight w:val="0"/>
                  <w:marTop w:val="0"/>
                  <w:marBottom w:val="0"/>
                  <w:divBdr>
                    <w:top w:val="none" w:sz="0" w:space="0" w:color="auto"/>
                    <w:left w:val="none" w:sz="0" w:space="0" w:color="auto"/>
                    <w:bottom w:val="none" w:sz="0" w:space="0" w:color="auto"/>
                    <w:right w:val="none" w:sz="0" w:space="0" w:color="auto"/>
                  </w:divBdr>
                  <w:divsChild>
                    <w:div w:id="18048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8000">
      <w:bodyDiv w:val="1"/>
      <w:marLeft w:val="0"/>
      <w:marRight w:val="0"/>
      <w:marTop w:val="0"/>
      <w:marBottom w:val="0"/>
      <w:divBdr>
        <w:top w:val="none" w:sz="0" w:space="0" w:color="auto"/>
        <w:left w:val="none" w:sz="0" w:space="0" w:color="auto"/>
        <w:bottom w:val="none" w:sz="0" w:space="0" w:color="auto"/>
        <w:right w:val="none" w:sz="0" w:space="0" w:color="auto"/>
      </w:divBdr>
    </w:div>
    <w:div w:id="1455324300">
      <w:bodyDiv w:val="1"/>
      <w:marLeft w:val="0"/>
      <w:marRight w:val="0"/>
      <w:marTop w:val="0"/>
      <w:marBottom w:val="0"/>
      <w:divBdr>
        <w:top w:val="none" w:sz="0" w:space="0" w:color="auto"/>
        <w:left w:val="none" w:sz="0" w:space="0" w:color="auto"/>
        <w:bottom w:val="none" w:sz="0" w:space="0" w:color="auto"/>
        <w:right w:val="none" w:sz="0" w:space="0" w:color="auto"/>
      </w:divBdr>
      <w:divsChild>
        <w:div w:id="1790515234">
          <w:marLeft w:val="0"/>
          <w:marRight w:val="0"/>
          <w:marTop w:val="0"/>
          <w:marBottom w:val="0"/>
          <w:divBdr>
            <w:top w:val="none" w:sz="0" w:space="0" w:color="auto"/>
            <w:left w:val="none" w:sz="0" w:space="0" w:color="auto"/>
            <w:bottom w:val="none" w:sz="0" w:space="0" w:color="auto"/>
            <w:right w:val="none" w:sz="0" w:space="0" w:color="auto"/>
          </w:divBdr>
          <w:divsChild>
            <w:div w:id="1177038744">
              <w:marLeft w:val="0"/>
              <w:marRight w:val="0"/>
              <w:marTop w:val="0"/>
              <w:marBottom w:val="0"/>
              <w:divBdr>
                <w:top w:val="none" w:sz="0" w:space="0" w:color="auto"/>
                <w:left w:val="none" w:sz="0" w:space="0" w:color="auto"/>
                <w:bottom w:val="none" w:sz="0" w:space="0" w:color="auto"/>
                <w:right w:val="none" w:sz="0" w:space="0" w:color="auto"/>
              </w:divBdr>
              <w:divsChild>
                <w:div w:id="13079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1742">
      <w:bodyDiv w:val="1"/>
      <w:marLeft w:val="0"/>
      <w:marRight w:val="0"/>
      <w:marTop w:val="0"/>
      <w:marBottom w:val="0"/>
      <w:divBdr>
        <w:top w:val="none" w:sz="0" w:space="0" w:color="auto"/>
        <w:left w:val="none" w:sz="0" w:space="0" w:color="auto"/>
        <w:bottom w:val="none" w:sz="0" w:space="0" w:color="auto"/>
        <w:right w:val="none" w:sz="0" w:space="0" w:color="auto"/>
      </w:divBdr>
    </w:div>
    <w:div w:id="1471821063">
      <w:bodyDiv w:val="1"/>
      <w:marLeft w:val="0"/>
      <w:marRight w:val="0"/>
      <w:marTop w:val="0"/>
      <w:marBottom w:val="0"/>
      <w:divBdr>
        <w:top w:val="none" w:sz="0" w:space="0" w:color="auto"/>
        <w:left w:val="none" w:sz="0" w:space="0" w:color="auto"/>
        <w:bottom w:val="none" w:sz="0" w:space="0" w:color="auto"/>
        <w:right w:val="none" w:sz="0" w:space="0" w:color="auto"/>
      </w:divBdr>
      <w:divsChild>
        <w:div w:id="1452900106">
          <w:marLeft w:val="0"/>
          <w:marRight w:val="0"/>
          <w:marTop w:val="0"/>
          <w:marBottom w:val="0"/>
          <w:divBdr>
            <w:top w:val="none" w:sz="0" w:space="0" w:color="auto"/>
            <w:left w:val="none" w:sz="0" w:space="0" w:color="auto"/>
            <w:bottom w:val="none" w:sz="0" w:space="0" w:color="auto"/>
            <w:right w:val="none" w:sz="0" w:space="0" w:color="auto"/>
          </w:divBdr>
          <w:divsChild>
            <w:div w:id="155927322">
              <w:marLeft w:val="0"/>
              <w:marRight w:val="0"/>
              <w:marTop w:val="0"/>
              <w:marBottom w:val="0"/>
              <w:divBdr>
                <w:top w:val="none" w:sz="0" w:space="0" w:color="auto"/>
                <w:left w:val="none" w:sz="0" w:space="0" w:color="auto"/>
                <w:bottom w:val="none" w:sz="0" w:space="0" w:color="auto"/>
                <w:right w:val="none" w:sz="0" w:space="0" w:color="auto"/>
              </w:divBdr>
              <w:divsChild>
                <w:div w:id="11240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6158">
      <w:bodyDiv w:val="1"/>
      <w:marLeft w:val="0"/>
      <w:marRight w:val="0"/>
      <w:marTop w:val="0"/>
      <w:marBottom w:val="0"/>
      <w:divBdr>
        <w:top w:val="none" w:sz="0" w:space="0" w:color="auto"/>
        <w:left w:val="none" w:sz="0" w:space="0" w:color="auto"/>
        <w:bottom w:val="none" w:sz="0" w:space="0" w:color="auto"/>
        <w:right w:val="none" w:sz="0" w:space="0" w:color="auto"/>
      </w:divBdr>
      <w:divsChild>
        <w:div w:id="841775248">
          <w:marLeft w:val="0"/>
          <w:marRight w:val="0"/>
          <w:marTop w:val="0"/>
          <w:marBottom w:val="0"/>
          <w:divBdr>
            <w:top w:val="none" w:sz="0" w:space="0" w:color="auto"/>
            <w:left w:val="none" w:sz="0" w:space="0" w:color="auto"/>
            <w:bottom w:val="none" w:sz="0" w:space="0" w:color="auto"/>
            <w:right w:val="none" w:sz="0" w:space="0" w:color="auto"/>
          </w:divBdr>
          <w:divsChild>
            <w:div w:id="1311593362">
              <w:marLeft w:val="0"/>
              <w:marRight w:val="0"/>
              <w:marTop w:val="0"/>
              <w:marBottom w:val="0"/>
              <w:divBdr>
                <w:top w:val="none" w:sz="0" w:space="0" w:color="auto"/>
                <w:left w:val="none" w:sz="0" w:space="0" w:color="auto"/>
                <w:bottom w:val="none" w:sz="0" w:space="0" w:color="auto"/>
                <w:right w:val="none" w:sz="0" w:space="0" w:color="auto"/>
              </w:divBdr>
              <w:divsChild>
                <w:div w:id="805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4075">
      <w:bodyDiv w:val="1"/>
      <w:marLeft w:val="0"/>
      <w:marRight w:val="0"/>
      <w:marTop w:val="0"/>
      <w:marBottom w:val="0"/>
      <w:divBdr>
        <w:top w:val="none" w:sz="0" w:space="0" w:color="auto"/>
        <w:left w:val="none" w:sz="0" w:space="0" w:color="auto"/>
        <w:bottom w:val="none" w:sz="0" w:space="0" w:color="auto"/>
        <w:right w:val="none" w:sz="0" w:space="0" w:color="auto"/>
      </w:divBdr>
      <w:divsChild>
        <w:div w:id="1832136513">
          <w:marLeft w:val="0"/>
          <w:marRight w:val="0"/>
          <w:marTop w:val="0"/>
          <w:marBottom w:val="0"/>
          <w:divBdr>
            <w:top w:val="none" w:sz="0" w:space="0" w:color="auto"/>
            <w:left w:val="none" w:sz="0" w:space="0" w:color="auto"/>
            <w:bottom w:val="none" w:sz="0" w:space="0" w:color="auto"/>
            <w:right w:val="none" w:sz="0" w:space="0" w:color="auto"/>
          </w:divBdr>
          <w:divsChild>
            <w:div w:id="1356417275">
              <w:marLeft w:val="0"/>
              <w:marRight w:val="0"/>
              <w:marTop w:val="0"/>
              <w:marBottom w:val="0"/>
              <w:divBdr>
                <w:top w:val="none" w:sz="0" w:space="0" w:color="auto"/>
                <w:left w:val="none" w:sz="0" w:space="0" w:color="auto"/>
                <w:bottom w:val="none" w:sz="0" w:space="0" w:color="auto"/>
                <w:right w:val="none" w:sz="0" w:space="0" w:color="auto"/>
              </w:divBdr>
              <w:divsChild>
                <w:div w:id="279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82393">
      <w:bodyDiv w:val="1"/>
      <w:marLeft w:val="0"/>
      <w:marRight w:val="0"/>
      <w:marTop w:val="0"/>
      <w:marBottom w:val="0"/>
      <w:divBdr>
        <w:top w:val="none" w:sz="0" w:space="0" w:color="auto"/>
        <w:left w:val="none" w:sz="0" w:space="0" w:color="auto"/>
        <w:bottom w:val="none" w:sz="0" w:space="0" w:color="auto"/>
        <w:right w:val="none" w:sz="0" w:space="0" w:color="auto"/>
      </w:divBdr>
      <w:divsChild>
        <w:div w:id="1679581049">
          <w:marLeft w:val="0"/>
          <w:marRight w:val="0"/>
          <w:marTop w:val="0"/>
          <w:marBottom w:val="0"/>
          <w:divBdr>
            <w:top w:val="none" w:sz="0" w:space="0" w:color="auto"/>
            <w:left w:val="none" w:sz="0" w:space="0" w:color="auto"/>
            <w:bottom w:val="none" w:sz="0" w:space="0" w:color="auto"/>
            <w:right w:val="none" w:sz="0" w:space="0" w:color="auto"/>
          </w:divBdr>
          <w:divsChild>
            <w:div w:id="134642816">
              <w:marLeft w:val="0"/>
              <w:marRight w:val="0"/>
              <w:marTop w:val="0"/>
              <w:marBottom w:val="0"/>
              <w:divBdr>
                <w:top w:val="none" w:sz="0" w:space="0" w:color="auto"/>
                <w:left w:val="none" w:sz="0" w:space="0" w:color="auto"/>
                <w:bottom w:val="none" w:sz="0" w:space="0" w:color="auto"/>
                <w:right w:val="none" w:sz="0" w:space="0" w:color="auto"/>
              </w:divBdr>
              <w:divsChild>
                <w:div w:id="1612742555">
                  <w:marLeft w:val="0"/>
                  <w:marRight w:val="0"/>
                  <w:marTop w:val="0"/>
                  <w:marBottom w:val="0"/>
                  <w:divBdr>
                    <w:top w:val="none" w:sz="0" w:space="0" w:color="auto"/>
                    <w:left w:val="none" w:sz="0" w:space="0" w:color="auto"/>
                    <w:bottom w:val="none" w:sz="0" w:space="0" w:color="auto"/>
                    <w:right w:val="none" w:sz="0" w:space="0" w:color="auto"/>
                  </w:divBdr>
                  <w:divsChild>
                    <w:div w:id="14050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79048">
      <w:bodyDiv w:val="1"/>
      <w:marLeft w:val="0"/>
      <w:marRight w:val="0"/>
      <w:marTop w:val="0"/>
      <w:marBottom w:val="0"/>
      <w:divBdr>
        <w:top w:val="none" w:sz="0" w:space="0" w:color="auto"/>
        <w:left w:val="none" w:sz="0" w:space="0" w:color="auto"/>
        <w:bottom w:val="none" w:sz="0" w:space="0" w:color="auto"/>
        <w:right w:val="none" w:sz="0" w:space="0" w:color="auto"/>
      </w:divBdr>
      <w:divsChild>
        <w:div w:id="544371482">
          <w:marLeft w:val="0"/>
          <w:marRight w:val="0"/>
          <w:marTop w:val="0"/>
          <w:marBottom w:val="0"/>
          <w:divBdr>
            <w:top w:val="none" w:sz="0" w:space="0" w:color="auto"/>
            <w:left w:val="none" w:sz="0" w:space="0" w:color="auto"/>
            <w:bottom w:val="none" w:sz="0" w:space="0" w:color="auto"/>
            <w:right w:val="none" w:sz="0" w:space="0" w:color="auto"/>
          </w:divBdr>
          <w:divsChild>
            <w:div w:id="1642072486">
              <w:marLeft w:val="0"/>
              <w:marRight w:val="0"/>
              <w:marTop w:val="0"/>
              <w:marBottom w:val="0"/>
              <w:divBdr>
                <w:top w:val="none" w:sz="0" w:space="0" w:color="auto"/>
                <w:left w:val="none" w:sz="0" w:space="0" w:color="auto"/>
                <w:bottom w:val="none" w:sz="0" w:space="0" w:color="auto"/>
                <w:right w:val="none" w:sz="0" w:space="0" w:color="auto"/>
              </w:divBdr>
              <w:divsChild>
                <w:div w:id="724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70604">
      <w:bodyDiv w:val="1"/>
      <w:marLeft w:val="0"/>
      <w:marRight w:val="0"/>
      <w:marTop w:val="0"/>
      <w:marBottom w:val="0"/>
      <w:divBdr>
        <w:top w:val="none" w:sz="0" w:space="0" w:color="auto"/>
        <w:left w:val="none" w:sz="0" w:space="0" w:color="auto"/>
        <w:bottom w:val="none" w:sz="0" w:space="0" w:color="auto"/>
        <w:right w:val="none" w:sz="0" w:space="0" w:color="auto"/>
      </w:divBdr>
      <w:divsChild>
        <w:div w:id="1159272045">
          <w:marLeft w:val="0"/>
          <w:marRight w:val="0"/>
          <w:marTop w:val="0"/>
          <w:marBottom w:val="0"/>
          <w:divBdr>
            <w:top w:val="none" w:sz="0" w:space="0" w:color="auto"/>
            <w:left w:val="none" w:sz="0" w:space="0" w:color="auto"/>
            <w:bottom w:val="none" w:sz="0" w:space="0" w:color="auto"/>
            <w:right w:val="none" w:sz="0" w:space="0" w:color="auto"/>
          </w:divBdr>
          <w:divsChild>
            <w:div w:id="427316892">
              <w:marLeft w:val="0"/>
              <w:marRight w:val="0"/>
              <w:marTop w:val="0"/>
              <w:marBottom w:val="0"/>
              <w:divBdr>
                <w:top w:val="none" w:sz="0" w:space="0" w:color="auto"/>
                <w:left w:val="none" w:sz="0" w:space="0" w:color="auto"/>
                <w:bottom w:val="none" w:sz="0" w:space="0" w:color="auto"/>
                <w:right w:val="none" w:sz="0" w:space="0" w:color="auto"/>
              </w:divBdr>
              <w:divsChild>
                <w:div w:id="410127858">
                  <w:marLeft w:val="0"/>
                  <w:marRight w:val="0"/>
                  <w:marTop w:val="0"/>
                  <w:marBottom w:val="0"/>
                  <w:divBdr>
                    <w:top w:val="none" w:sz="0" w:space="0" w:color="auto"/>
                    <w:left w:val="none" w:sz="0" w:space="0" w:color="auto"/>
                    <w:bottom w:val="none" w:sz="0" w:space="0" w:color="auto"/>
                    <w:right w:val="none" w:sz="0" w:space="0" w:color="auto"/>
                  </w:divBdr>
                  <w:divsChild>
                    <w:div w:id="2451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4322">
      <w:bodyDiv w:val="1"/>
      <w:marLeft w:val="0"/>
      <w:marRight w:val="0"/>
      <w:marTop w:val="0"/>
      <w:marBottom w:val="0"/>
      <w:divBdr>
        <w:top w:val="none" w:sz="0" w:space="0" w:color="auto"/>
        <w:left w:val="none" w:sz="0" w:space="0" w:color="auto"/>
        <w:bottom w:val="none" w:sz="0" w:space="0" w:color="auto"/>
        <w:right w:val="none" w:sz="0" w:space="0" w:color="auto"/>
      </w:divBdr>
      <w:divsChild>
        <w:div w:id="487207258">
          <w:marLeft w:val="0"/>
          <w:marRight w:val="0"/>
          <w:marTop w:val="0"/>
          <w:marBottom w:val="0"/>
          <w:divBdr>
            <w:top w:val="none" w:sz="0" w:space="0" w:color="auto"/>
            <w:left w:val="none" w:sz="0" w:space="0" w:color="auto"/>
            <w:bottom w:val="none" w:sz="0" w:space="0" w:color="auto"/>
            <w:right w:val="none" w:sz="0" w:space="0" w:color="auto"/>
          </w:divBdr>
          <w:divsChild>
            <w:div w:id="1836219488">
              <w:marLeft w:val="0"/>
              <w:marRight w:val="0"/>
              <w:marTop w:val="0"/>
              <w:marBottom w:val="0"/>
              <w:divBdr>
                <w:top w:val="none" w:sz="0" w:space="0" w:color="auto"/>
                <w:left w:val="none" w:sz="0" w:space="0" w:color="auto"/>
                <w:bottom w:val="none" w:sz="0" w:space="0" w:color="auto"/>
                <w:right w:val="none" w:sz="0" w:space="0" w:color="auto"/>
              </w:divBdr>
              <w:divsChild>
                <w:div w:id="519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78655">
      <w:bodyDiv w:val="1"/>
      <w:marLeft w:val="0"/>
      <w:marRight w:val="0"/>
      <w:marTop w:val="0"/>
      <w:marBottom w:val="0"/>
      <w:divBdr>
        <w:top w:val="none" w:sz="0" w:space="0" w:color="auto"/>
        <w:left w:val="none" w:sz="0" w:space="0" w:color="auto"/>
        <w:bottom w:val="none" w:sz="0" w:space="0" w:color="auto"/>
        <w:right w:val="none" w:sz="0" w:space="0" w:color="auto"/>
      </w:divBdr>
    </w:div>
    <w:div w:id="1534265977">
      <w:bodyDiv w:val="1"/>
      <w:marLeft w:val="0"/>
      <w:marRight w:val="0"/>
      <w:marTop w:val="0"/>
      <w:marBottom w:val="0"/>
      <w:divBdr>
        <w:top w:val="none" w:sz="0" w:space="0" w:color="auto"/>
        <w:left w:val="none" w:sz="0" w:space="0" w:color="auto"/>
        <w:bottom w:val="none" w:sz="0" w:space="0" w:color="auto"/>
        <w:right w:val="none" w:sz="0" w:space="0" w:color="auto"/>
      </w:divBdr>
      <w:divsChild>
        <w:div w:id="578297463">
          <w:marLeft w:val="0"/>
          <w:marRight w:val="0"/>
          <w:marTop w:val="0"/>
          <w:marBottom w:val="0"/>
          <w:divBdr>
            <w:top w:val="none" w:sz="0" w:space="0" w:color="auto"/>
            <w:left w:val="none" w:sz="0" w:space="0" w:color="auto"/>
            <w:bottom w:val="none" w:sz="0" w:space="0" w:color="auto"/>
            <w:right w:val="none" w:sz="0" w:space="0" w:color="auto"/>
          </w:divBdr>
          <w:divsChild>
            <w:div w:id="1237085186">
              <w:marLeft w:val="0"/>
              <w:marRight w:val="0"/>
              <w:marTop w:val="0"/>
              <w:marBottom w:val="0"/>
              <w:divBdr>
                <w:top w:val="none" w:sz="0" w:space="0" w:color="auto"/>
                <w:left w:val="none" w:sz="0" w:space="0" w:color="auto"/>
                <w:bottom w:val="none" w:sz="0" w:space="0" w:color="auto"/>
                <w:right w:val="none" w:sz="0" w:space="0" w:color="auto"/>
              </w:divBdr>
              <w:divsChild>
                <w:div w:id="11098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6182">
      <w:bodyDiv w:val="1"/>
      <w:marLeft w:val="0"/>
      <w:marRight w:val="0"/>
      <w:marTop w:val="0"/>
      <w:marBottom w:val="0"/>
      <w:divBdr>
        <w:top w:val="none" w:sz="0" w:space="0" w:color="auto"/>
        <w:left w:val="none" w:sz="0" w:space="0" w:color="auto"/>
        <w:bottom w:val="none" w:sz="0" w:space="0" w:color="auto"/>
        <w:right w:val="none" w:sz="0" w:space="0" w:color="auto"/>
      </w:divBdr>
      <w:divsChild>
        <w:div w:id="1374571588">
          <w:marLeft w:val="0"/>
          <w:marRight w:val="0"/>
          <w:marTop w:val="0"/>
          <w:marBottom w:val="0"/>
          <w:divBdr>
            <w:top w:val="none" w:sz="0" w:space="0" w:color="auto"/>
            <w:left w:val="none" w:sz="0" w:space="0" w:color="auto"/>
            <w:bottom w:val="none" w:sz="0" w:space="0" w:color="auto"/>
            <w:right w:val="none" w:sz="0" w:space="0" w:color="auto"/>
          </w:divBdr>
          <w:divsChild>
            <w:div w:id="289092624">
              <w:marLeft w:val="0"/>
              <w:marRight w:val="0"/>
              <w:marTop w:val="0"/>
              <w:marBottom w:val="0"/>
              <w:divBdr>
                <w:top w:val="none" w:sz="0" w:space="0" w:color="auto"/>
                <w:left w:val="none" w:sz="0" w:space="0" w:color="auto"/>
                <w:bottom w:val="none" w:sz="0" w:space="0" w:color="auto"/>
                <w:right w:val="none" w:sz="0" w:space="0" w:color="auto"/>
              </w:divBdr>
              <w:divsChild>
                <w:div w:id="6028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2987">
      <w:bodyDiv w:val="1"/>
      <w:marLeft w:val="0"/>
      <w:marRight w:val="0"/>
      <w:marTop w:val="0"/>
      <w:marBottom w:val="0"/>
      <w:divBdr>
        <w:top w:val="none" w:sz="0" w:space="0" w:color="auto"/>
        <w:left w:val="none" w:sz="0" w:space="0" w:color="auto"/>
        <w:bottom w:val="none" w:sz="0" w:space="0" w:color="auto"/>
        <w:right w:val="none" w:sz="0" w:space="0" w:color="auto"/>
      </w:divBdr>
    </w:div>
    <w:div w:id="1590187652">
      <w:bodyDiv w:val="1"/>
      <w:marLeft w:val="0"/>
      <w:marRight w:val="0"/>
      <w:marTop w:val="0"/>
      <w:marBottom w:val="0"/>
      <w:divBdr>
        <w:top w:val="none" w:sz="0" w:space="0" w:color="auto"/>
        <w:left w:val="none" w:sz="0" w:space="0" w:color="auto"/>
        <w:bottom w:val="none" w:sz="0" w:space="0" w:color="auto"/>
        <w:right w:val="none" w:sz="0" w:space="0" w:color="auto"/>
      </w:divBdr>
      <w:divsChild>
        <w:div w:id="2034569650">
          <w:marLeft w:val="0"/>
          <w:marRight w:val="0"/>
          <w:marTop w:val="0"/>
          <w:marBottom w:val="0"/>
          <w:divBdr>
            <w:top w:val="none" w:sz="0" w:space="0" w:color="auto"/>
            <w:left w:val="none" w:sz="0" w:space="0" w:color="auto"/>
            <w:bottom w:val="none" w:sz="0" w:space="0" w:color="auto"/>
            <w:right w:val="none" w:sz="0" w:space="0" w:color="auto"/>
          </w:divBdr>
          <w:divsChild>
            <w:div w:id="461769425">
              <w:marLeft w:val="0"/>
              <w:marRight w:val="0"/>
              <w:marTop w:val="0"/>
              <w:marBottom w:val="0"/>
              <w:divBdr>
                <w:top w:val="none" w:sz="0" w:space="0" w:color="auto"/>
                <w:left w:val="none" w:sz="0" w:space="0" w:color="auto"/>
                <w:bottom w:val="none" w:sz="0" w:space="0" w:color="auto"/>
                <w:right w:val="none" w:sz="0" w:space="0" w:color="auto"/>
              </w:divBdr>
              <w:divsChild>
                <w:div w:id="969478326">
                  <w:marLeft w:val="0"/>
                  <w:marRight w:val="0"/>
                  <w:marTop w:val="0"/>
                  <w:marBottom w:val="0"/>
                  <w:divBdr>
                    <w:top w:val="none" w:sz="0" w:space="0" w:color="auto"/>
                    <w:left w:val="none" w:sz="0" w:space="0" w:color="auto"/>
                    <w:bottom w:val="none" w:sz="0" w:space="0" w:color="auto"/>
                    <w:right w:val="none" w:sz="0" w:space="0" w:color="auto"/>
                  </w:divBdr>
                  <w:divsChild>
                    <w:div w:id="1065299999">
                      <w:marLeft w:val="0"/>
                      <w:marRight w:val="0"/>
                      <w:marTop w:val="0"/>
                      <w:marBottom w:val="0"/>
                      <w:divBdr>
                        <w:top w:val="none" w:sz="0" w:space="0" w:color="auto"/>
                        <w:left w:val="none" w:sz="0" w:space="0" w:color="auto"/>
                        <w:bottom w:val="none" w:sz="0" w:space="0" w:color="auto"/>
                        <w:right w:val="none" w:sz="0" w:space="0" w:color="auto"/>
                      </w:divBdr>
                    </w:div>
                    <w:div w:id="15323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81289">
      <w:bodyDiv w:val="1"/>
      <w:marLeft w:val="0"/>
      <w:marRight w:val="0"/>
      <w:marTop w:val="0"/>
      <w:marBottom w:val="0"/>
      <w:divBdr>
        <w:top w:val="none" w:sz="0" w:space="0" w:color="auto"/>
        <w:left w:val="none" w:sz="0" w:space="0" w:color="auto"/>
        <w:bottom w:val="none" w:sz="0" w:space="0" w:color="auto"/>
        <w:right w:val="none" w:sz="0" w:space="0" w:color="auto"/>
      </w:divBdr>
    </w:div>
    <w:div w:id="1646668179">
      <w:bodyDiv w:val="1"/>
      <w:marLeft w:val="0"/>
      <w:marRight w:val="0"/>
      <w:marTop w:val="0"/>
      <w:marBottom w:val="0"/>
      <w:divBdr>
        <w:top w:val="none" w:sz="0" w:space="0" w:color="auto"/>
        <w:left w:val="none" w:sz="0" w:space="0" w:color="auto"/>
        <w:bottom w:val="none" w:sz="0" w:space="0" w:color="auto"/>
        <w:right w:val="none" w:sz="0" w:space="0" w:color="auto"/>
      </w:divBdr>
      <w:divsChild>
        <w:div w:id="1610548937">
          <w:marLeft w:val="0"/>
          <w:marRight w:val="0"/>
          <w:marTop w:val="0"/>
          <w:marBottom w:val="0"/>
          <w:divBdr>
            <w:top w:val="none" w:sz="0" w:space="0" w:color="auto"/>
            <w:left w:val="none" w:sz="0" w:space="0" w:color="auto"/>
            <w:bottom w:val="none" w:sz="0" w:space="0" w:color="auto"/>
            <w:right w:val="none" w:sz="0" w:space="0" w:color="auto"/>
          </w:divBdr>
          <w:divsChild>
            <w:div w:id="1489440838">
              <w:marLeft w:val="0"/>
              <w:marRight w:val="0"/>
              <w:marTop w:val="0"/>
              <w:marBottom w:val="0"/>
              <w:divBdr>
                <w:top w:val="none" w:sz="0" w:space="0" w:color="auto"/>
                <w:left w:val="none" w:sz="0" w:space="0" w:color="auto"/>
                <w:bottom w:val="none" w:sz="0" w:space="0" w:color="auto"/>
                <w:right w:val="none" w:sz="0" w:space="0" w:color="auto"/>
              </w:divBdr>
              <w:divsChild>
                <w:div w:id="16655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9413">
      <w:bodyDiv w:val="1"/>
      <w:marLeft w:val="0"/>
      <w:marRight w:val="0"/>
      <w:marTop w:val="0"/>
      <w:marBottom w:val="0"/>
      <w:divBdr>
        <w:top w:val="none" w:sz="0" w:space="0" w:color="auto"/>
        <w:left w:val="none" w:sz="0" w:space="0" w:color="auto"/>
        <w:bottom w:val="none" w:sz="0" w:space="0" w:color="auto"/>
        <w:right w:val="none" w:sz="0" w:space="0" w:color="auto"/>
      </w:divBdr>
      <w:divsChild>
        <w:div w:id="3676508">
          <w:marLeft w:val="0"/>
          <w:marRight w:val="0"/>
          <w:marTop w:val="0"/>
          <w:marBottom w:val="0"/>
          <w:divBdr>
            <w:top w:val="none" w:sz="0" w:space="0" w:color="auto"/>
            <w:left w:val="none" w:sz="0" w:space="0" w:color="auto"/>
            <w:bottom w:val="none" w:sz="0" w:space="0" w:color="auto"/>
            <w:right w:val="none" w:sz="0" w:space="0" w:color="auto"/>
          </w:divBdr>
          <w:divsChild>
            <w:div w:id="13501393">
              <w:marLeft w:val="0"/>
              <w:marRight w:val="0"/>
              <w:marTop w:val="0"/>
              <w:marBottom w:val="0"/>
              <w:divBdr>
                <w:top w:val="none" w:sz="0" w:space="0" w:color="auto"/>
                <w:left w:val="none" w:sz="0" w:space="0" w:color="auto"/>
                <w:bottom w:val="none" w:sz="0" w:space="0" w:color="auto"/>
                <w:right w:val="none" w:sz="0" w:space="0" w:color="auto"/>
              </w:divBdr>
              <w:divsChild>
                <w:div w:id="13097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0395">
      <w:bodyDiv w:val="1"/>
      <w:marLeft w:val="0"/>
      <w:marRight w:val="0"/>
      <w:marTop w:val="0"/>
      <w:marBottom w:val="0"/>
      <w:divBdr>
        <w:top w:val="none" w:sz="0" w:space="0" w:color="auto"/>
        <w:left w:val="none" w:sz="0" w:space="0" w:color="auto"/>
        <w:bottom w:val="none" w:sz="0" w:space="0" w:color="auto"/>
        <w:right w:val="none" w:sz="0" w:space="0" w:color="auto"/>
      </w:divBdr>
    </w:div>
    <w:div w:id="1684436335">
      <w:bodyDiv w:val="1"/>
      <w:marLeft w:val="0"/>
      <w:marRight w:val="0"/>
      <w:marTop w:val="0"/>
      <w:marBottom w:val="0"/>
      <w:divBdr>
        <w:top w:val="none" w:sz="0" w:space="0" w:color="auto"/>
        <w:left w:val="none" w:sz="0" w:space="0" w:color="auto"/>
        <w:bottom w:val="none" w:sz="0" w:space="0" w:color="auto"/>
        <w:right w:val="none" w:sz="0" w:space="0" w:color="auto"/>
      </w:divBdr>
      <w:divsChild>
        <w:div w:id="898368188">
          <w:marLeft w:val="0"/>
          <w:marRight w:val="0"/>
          <w:marTop w:val="0"/>
          <w:marBottom w:val="0"/>
          <w:divBdr>
            <w:top w:val="none" w:sz="0" w:space="0" w:color="auto"/>
            <w:left w:val="none" w:sz="0" w:space="0" w:color="auto"/>
            <w:bottom w:val="none" w:sz="0" w:space="0" w:color="auto"/>
            <w:right w:val="none" w:sz="0" w:space="0" w:color="auto"/>
          </w:divBdr>
          <w:divsChild>
            <w:div w:id="1574200542">
              <w:marLeft w:val="0"/>
              <w:marRight w:val="0"/>
              <w:marTop w:val="0"/>
              <w:marBottom w:val="0"/>
              <w:divBdr>
                <w:top w:val="none" w:sz="0" w:space="0" w:color="auto"/>
                <w:left w:val="none" w:sz="0" w:space="0" w:color="auto"/>
                <w:bottom w:val="none" w:sz="0" w:space="0" w:color="auto"/>
                <w:right w:val="none" w:sz="0" w:space="0" w:color="auto"/>
              </w:divBdr>
              <w:divsChild>
                <w:div w:id="1424767172">
                  <w:marLeft w:val="0"/>
                  <w:marRight w:val="0"/>
                  <w:marTop w:val="0"/>
                  <w:marBottom w:val="0"/>
                  <w:divBdr>
                    <w:top w:val="none" w:sz="0" w:space="0" w:color="auto"/>
                    <w:left w:val="none" w:sz="0" w:space="0" w:color="auto"/>
                    <w:bottom w:val="none" w:sz="0" w:space="0" w:color="auto"/>
                    <w:right w:val="none" w:sz="0" w:space="0" w:color="auto"/>
                  </w:divBdr>
                  <w:divsChild>
                    <w:div w:id="20531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23043">
      <w:bodyDiv w:val="1"/>
      <w:marLeft w:val="0"/>
      <w:marRight w:val="0"/>
      <w:marTop w:val="0"/>
      <w:marBottom w:val="0"/>
      <w:divBdr>
        <w:top w:val="none" w:sz="0" w:space="0" w:color="auto"/>
        <w:left w:val="none" w:sz="0" w:space="0" w:color="auto"/>
        <w:bottom w:val="none" w:sz="0" w:space="0" w:color="auto"/>
        <w:right w:val="none" w:sz="0" w:space="0" w:color="auto"/>
      </w:divBdr>
      <w:divsChild>
        <w:div w:id="305161943">
          <w:marLeft w:val="0"/>
          <w:marRight w:val="0"/>
          <w:marTop w:val="0"/>
          <w:marBottom w:val="0"/>
          <w:divBdr>
            <w:top w:val="none" w:sz="0" w:space="0" w:color="auto"/>
            <w:left w:val="none" w:sz="0" w:space="0" w:color="auto"/>
            <w:bottom w:val="none" w:sz="0" w:space="0" w:color="auto"/>
            <w:right w:val="none" w:sz="0" w:space="0" w:color="auto"/>
          </w:divBdr>
          <w:divsChild>
            <w:div w:id="10113731">
              <w:marLeft w:val="0"/>
              <w:marRight w:val="0"/>
              <w:marTop w:val="0"/>
              <w:marBottom w:val="0"/>
              <w:divBdr>
                <w:top w:val="none" w:sz="0" w:space="0" w:color="auto"/>
                <w:left w:val="none" w:sz="0" w:space="0" w:color="auto"/>
                <w:bottom w:val="none" w:sz="0" w:space="0" w:color="auto"/>
                <w:right w:val="none" w:sz="0" w:space="0" w:color="auto"/>
              </w:divBdr>
              <w:divsChild>
                <w:div w:id="20848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2440">
      <w:bodyDiv w:val="1"/>
      <w:marLeft w:val="0"/>
      <w:marRight w:val="0"/>
      <w:marTop w:val="0"/>
      <w:marBottom w:val="0"/>
      <w:divBdr>
        <w:top w:val="none" w:sz="0" w:space="0" w:color="auto"/>
        <w:left w:val="none" w:sz="0" w:space="0" w:color="auto"/>
        <w:bottom w:val="none" w:sz="0" w:space="0" w:color="auto"/>
        <w:right w:val="none" w:sz="0" w:space="0" w:color="auto"/>
      </w:divBdr>
    </w:div>
    <w:div w:id="1739857678">
      <w:bodyDiv w:val="1"/>
      <w:marLeft w:val="0"/>
      <w:marRight w:val="0"/>
      <w:marTop w:val="0"/>
      <w:marBottom w:val="0"/>
      <w:divBdr>
        <w:top w:val="none" w:sz="0" w:space="0" w:color="auto"/>
        <w:left w:val="none" w:sz="0" w:space="0" w:color="auto"/>
        <w:bottom w:val="none" w:sz="0" w:space="0" w:color="auto"/>
        <w:right w:val="none" w:sz="0" w:space="0" w:color="auto"/>
      </w:divBdr>
    </w:div>
    <w:div w:id="1770663623">
      <w:bodyDiv w:val="1"/>
      <w:marLeft w:val="0"/>
      <w:marRight w:val="0"/>
      <w:marTop w:val="0"/>
      <w:marBottom w:val="0"/>
      <w:divBdr>
        <w:top w:val="none" w:sz="0" w:space="0" w:color="auto"/>
        <w:left w:val="none" w:sz="0" w:space="0" w:color="auto"/>
        <w:bottom w:val="none" w:sz="0" w:space="0" w:color="auto"/>
        <w:right w:val="none" w:sz="0" w:space="0" w:color="auto"/>
      </w:divBdr>
    </w:div>
    <w:div w:id="1817801412">
      <w:bodyDiv w:val="1"/>
      <w:marLeft w:val="0"/>
      <w:marRight w:val="0"/>
      <w:marTop w:val="0"/>
      <w:marBottom w:val="0"/>
      <w:divBdr>
        <w:top w:val="none" w:sz="0" w:space="0" w:color="auto"/>
        <w:left w:val="none" w:sz="0" w:space="0" w:color="auto"/>
        <w:bottom w:val="none" w:sz="0" w:space="0" w:color="auto"/>
        <w:right w:val="none" w:sz="0" w:space="0" w:color="auto"/>
      </w:divBdr>
    </w:div>
    <w:div w:id="1818297928">
      <w:bodyDiv w:val="1"/>
      <w:marLeft w:val="0"/>
      <w:marRight w:val="0"/>
      <w:marTop w:val="0"/>
      <w:marBottom w:val="0"/>
      <w:divBdr>
        <w:top w:val="none" w:sz="0" w:space="0" w:color="auto"/>
        <w:left w:val="none" w:sz="0" w:space="0" w:color="auto"/>
        <w:bottom w:val="none" w:sz="0" w:space="0" w:color="auto"/>
        <w:right w:val="none" w:sz="0" w:space="0" w:color="auto"/>
      </w:divBdr>
      <w:divsChild>
        <w:div w:id="461658151">
          <w:marLeft w:val="0"/>
          <w:marRight w:val="0"/>
          <w:marTop w:val="0"/>
          <w:marBottom w:val="0"/>
          <w:divBdr>
            <w:top w:val="none" w:sz="0" w:space="0" w:color="auto"/>
            <w:left w:val="none" w:sz="0" w:space="0" w:color="auto"/>
            <w:bottom w:val="none" w:sz="0" w:space="0" w:color="auto"/>
            <w:right w:val="none" w:sz="0" w:space="0" w:color="auto"/>
          </w:divBdr>
          <w:divsChild>
            <w:div w:id="190263290">
              <w:marLeft w:val="0"/>
              <w:marRight w:val="0"/>
              <w:marTop w:val="0"/>
              <w:marBottom w:val="0"/>
              <w:divBdr>
                <w:top w:val="none" w:sz="0" w:space="0" w:color="auto"/>
                <w:left w:val="none" w:sz="0" w:space="0" w:color="auto"/>
                <w:bottom w:val="none" w:sz="0" w:space="0" w:color="auto"/>
                <w:right w:val="none" w:sz="0" w:space="0" w:color="auto"/>
              </w:divBdr>
              <w:divsChild>
                <w:div w:id="13693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0966">
      <w:bodyDiv w:val="1"/>
      <w:marLeft w:val="0"/>
      <w:marRight w:val="0"/>
      <w:marTop w:val="0"/>
      <w:marBottom w:val="0"/>
      <w:divBdr>
        <w:top w:val="none" w:sz="0" w:space="0" w:color="auto"/>
        <w:left w:val="none" w:sz="0" w:space="0" w:color="auto"/>
        <w:bottom w:val="none" w:sz="0" w:space="0" w:color="auto"/>
        <w:right w:val="none" w:sz="0" w:space="0" w:color="auto"/>
      </w:divBdr>
      <w:divsChild>
        <w:div w:id="1768889609">
          <w:marLeft w:val="0"/>
          <w:marRight w:val="0"/>
          <w:marTop w:val="0"/>
          <w:marBottom w:val="0"/>
          <w:divBdr>
            <w:top w:val="none" w:sz="0" w:space="0" w:color="auto"/>
            <w:left w:val="none" w:sz="0" w:space="0" w:color="auto"/>
            <w:bottom w:val="none" w:sz="0" w:space="0" w:color="auto"/>
            <w:right w:val="none" w:sz="0" w:space="0" w:color="auto"/>
          </w:divBdr>
          <w:divsChild>
            <w:div w:id="157581013">
              <w:marLeft w:val="0"/>
              <w:marRight w:val="0"/>
              <w:marTop w:val="0"/>
              <w:marBottom w:val="0"/>
              <w:divBdr>
                <w:top w:val="none" w:sz="0" w:space="0" w:color="auto"/>
                <w:left w:val="none" w:sz="0" w:space="0" w:color="auto"/>
                <w:bottom w:val="none" w:sz="0" w:space="0" w:color="auto"/>
                <w:right w:val="none" w:sz="0" w:space="0" w:color="auto"/>
              </w:divBdr>
              <w:divsChild>
                <w:div w:id="11206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0920">
      <w:bodyDiv w:val="1"/>
      <w:marLeft w:val="0"/>
      <w:marRight w:val="0"/>
      <w:marTop w:val="0"/>
      <w:marBottom w:val="0"/>
      <w:divBdr>
        <w:top w:val="none" w:sz="0" w:space="0" w:color="auto"/>
        <w:left w:val="none" w:sz="0" w:space="0" w:color="auto"/>
        <w:bottom w:val="none" w:sz="0" w:space="0" w:color="auto"/>
        <w:right w:val="none" w:sz="0" w:space="0" w:color="auto"/>
      </w:divBdr>
      <w:divsChild>
        <w:div w:id="240991659">
          <w:marLeft w:val="0"/>
          <w:marRight w:val="0"/>
          <w:marTop w:val="0"/>
          <w:marBottom w:val="0"/>
          <w:divBdr>
            <w:top w:val="none" w:sz="0" w:space="0" w:color="auto"/>
            <w:left w:val="none" w:sz="0" w:space="0" w:color="auto"/>
            <w:bottom w:val="none" w:sz="0" w:space="0" w:color="auto"/>
            <w:right w:val="none" w:sz="0" w:space="0" w:color="auto"/>
          </w:divBdr>
          <w:divsChild>
            <w:div w:id="1886404439">
              <w:marLeft w:val="0"/>
              <w:marRight w:val="0"/>
              <w:marTop w:val="0"/>
              <w:marBottom w:val="0"/>
              <w:divBdr>
                <w:top w:val="none" w:sz="0" w:space="0" w:color="auto"/>
                <w:left w:val="none" w:sz="0" w:space="0" w:color="auto"/>
                <w:bottom w:val="none" w:sz="0" w:space="0" w:color="auto"/>
                <w:right w:val="none" w:sz="0" w:space="0" w:color="auto"/>
              </w:divBdr>
              <w:divsChild>
                <w:div w:id="4360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9240">
      <w:bodyDiv w:val="1"/>
      <w:marLeft w:val="0"/>
      <w:marRight w:val="0"/>
      <w:marTop w:val="0"/>
      <w:marBottom w:val="0"/>
      <w:divBdr>
        <w:top w:val="none" w:sz="0" w:space="0" w:color="auto"/>
        <w:left w:val="none" w:sz="0" w:space="0" w:color="auto"/>
        <w:bottom w:val="none" w:sz="0" w:space="0" w:color="auto"/>
        <w:right w:val="none" w:sz="0" w:space="0" w:color="auto"/>
      </w:divBdr>
      <w:divsChild>
        <w:div w:id="581379147">
          <w:marLeft w:val="0"/>
          <w:marRight w:val="0"/>
          <w:marTop w:val="0"/>
          <w:marBottom w:val="0"/>
          <w:divBdr>
            <w:top w:val="none" w:sz="0" w:space="0" w:color="auto"/>
            <w:left w:val="none" w:sz="0" w:space="0" w:color="auto"/>
            <w:bottom w:val="none" w:sz="0" w:space="0" w:color="auto"/>
            <w:right w:val="none" w:sz="0" w:space="0" w:color="auto"/>
          </w:divBdr>
          <w:divsChild>
            <w:div w:id="659504396">
              <w:marLeft w:val="0"/>
              <w:marRight w:val="0"/>
              <w:marTop w:val="0"/>
              <w:marBottom w:val="0"/>
              <w:divBdr>
                <w:top w:val="none" w:sz="0" w:space="0" w:color="auto"/>
                <w:left w:val="none" w:sz="0" w:space="0" w:color="auto"/>
                <w:bottom w:val="none" w:sz="0" w:space="0" w:color="auto"/>
                <w:right w:val="none" w:sz="0" w:space="0" w:color="auto"/>
              </w:divBdr>
              <w:divsChild>
                <w:div w:id="11704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49697">
      <w:bodyDiv w:val="1"/>
      <w:marLeft w:val="0"/>
      <w:marRight w:val="0"/>
      <w:marTop w:val="0"/>
      <w:marBottom w:val="0"/>
      <w:divBdr>
        <w:top w:val="none" w:sz="0" w:space="0" w:color="auto"/>
        <w:left w:val="none" w:sz="0" w:space="0" w:color="auto"/>
        <w:bottom w:val="none" w:sz="0" w:space="0" w:color="auto"/>
        <w:right w:val="none" w:sz="0" w:space="0" w:color="auto"/>
      </w:divBdr>
      <w:divsChild>
        <w:div w:id="187643610">
          <w:marLeft w:val="0"/>
          <w:marRight w:val="0"/>
          <w:marTop w:val="0"/>
          <w:marBottom w:val="0"/>
          <w:divBdr>
            <w:top w:val="none" w:sz="0" w:space="0" w:color="auto"/>
            <w:left w:val="none" w:sz="0" w:space="0" w:color="auto"/>
            <w:bottom w:val="none" w:sz="0" w:space="0" w:color="auto"/>
            <w:right w:val="none" w:sz="0" w:space="0" w:color="auto"/>
          </w:divBdr>
          <w:divsChild>
            <w:div w:id="405495378">
              <w:marLeft w:val="0"/>
              <w:marRight w:val="0"/>
              <w:marTop w:val="0"/>
              <w:marBottom w:val="0"/>
              <w:divBdr>
                <w:top w:val="none" w:sz="0" w:space="0" w:color="auto"/>
                <w:left w:val="none" w:sz="0" w:space="0" w:color="auto"/>
                <w:bottom w:val="none" w:sz="0" w:space="0" w:color="auto"/>
                <w:right w:val="none" w:sz="0" w:space="0" w:color="auto"/>
              </w:divBdr>
              <w:divsChild>
                <w:div w:id="1259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4462">
      <w:bodyDiv w:val="1"/>
      <w:marLeft w:val="0"/>
      <w:marRight w:val="0"/>
      <w:marTop w:val="0"/>
      <w:marBottom w:val="0"/>
      <w:divBdr>
        <w:top w:val="none" w:sz="0" w:space="0" w:color="auto"/>
        <w:left w:val="none" w:sz="0" w:space="0" w:color="auto"/>
        <w:bottom w:val="none" w:sz="0" w:space="0" w:color="auto"/>
        <w:right w:val="none" w:sz="0" w:space="0" w:color="auto"/>
      </w:divBdr>
    </w:div>
    <w:div w:id="1882787018">
      <w:bodyDiv w:val="1"/>
      <w:marLeft w:val="0"/>
      <w:marRight w:val="0"/>
      <w:marTop w:val="0"/>
      <w:marBottom w:val="0"/>
      <w:divBdr>
        <w:top w:val="none" w:sz="0" w:space="0" w:color="auto"/>
        <w:left w:val="none" w:sz="0" w:space="0" w:color="auto"/>
        <w:bottom w:val="none" w:sz="0" w:space="0" w:color="auto"/>
        <w:right w:val="none" w:sz="0" w:space="0" w:color="auto"/>
      </w:divBdr>
      <w:divsChild>
        <w:div w:id="1652754138">
          <w:marLeft w:val="0"/>
          <w:marRight w:val="0"/>
          <w:marTop w:val="0"/>
          <w:marBottom w:val="0"/>
          <w:divBdr>
            <w:top w:val="none" w:sz="0" w:space="0" w:color="auto"/>
            <w:left w:val="none" w:sz="0" w:space="0" w:color="auto"/>
            <w:bottom w:val="none" w:sz="0" w:space="0" w:color="auto"/>
            <w:right w:val="none" w:sz="0" w:space="0" w:color="auto"/>
          </w:divBdr>
          <w:divsChild>
            <w:div w:id="2070760903">
              <w:marLeft w:val="0"/>
              <w:marRight w:val="0"/>
              <w:marTop w:val="0"/>
              <w:marBottom w:val="0"/>
              <w:divBdr>
                <w:top w:val="none" w:sz="0" w:space="0" w:color="auto"/>
                <w:left w:val="none" w:sz="0" w:space="0" w:color="auto"/>
                <w:bottom w:val="none" w:sz="0" w:space="0" w:color="auto"/>
                <w:right w:val="none" w:sz="0" w:space="0" w:color="auto"/>
              </w:divBdr>
              <w:divsChild>
                <w:div w:id="932784761">
                  <w:marLeft w:val="0"/>
                  <w:marRight w:val="0"/>
                  <w:marTop w:val="0"/>
                  <w:marBottom w:val="0"/>
                  <w:divBdr>
                    <w:top w:val="none" w:sz="0" w:space="0" w:color="auto"/>
                    <w:left w:val="none" w:sz="0" w:space="0" w:color="auto"/>
                    <w:bottom w:val="none" w:sz="0" w:space="0" w:color="auto"/>
                    <w:right w:val="none" w:sz="0" w:space="0" w:color="auto"/>
                  </w:divBdr>
                  <w:divsChild>
                    <w:div w:id="12419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242">
      <w:bodyDiv w:val="1"/>
      <w:marLeft w:val="0"/>
      <w:marRight w:val="0"/>
      <w:marTop w:val="0"/>
      <w:marBottom w:val="0"/>
      <w:divBdr>
        <w:top w:val="none" w:sz="0" w:space="0" w:color="auto"/>
        <w:left w:val="none" w:sz="0" w:space="0" w:color="auto"/>
        <w:bottom w:val="none" w:sz="0" w:space="0" w:color="auto"/>
        <w:right w:val="none" w:sz="0" w:space="0" w:color="auto"/>
      </w:divBdr>
    </w:div>
    <w:div w:id="1938756079">
      <w:bodyDiv w:val="1"/>
      <w:marLeft w:val="0"/>
      <w:marRight w:val="0"/>
      <w:marTop w:val="0"/>
      <w:marBottom w:val="0"/>
      <w:divBdr>
        <w:top w:val="none" w:sz="0" w:space="0" w:color="auto"/>
        <w:left w:val="none" w:sz="0" w:space="0" w:color="auto"/>
        <w:bottom w:val="none" w:sz="0" w:space="0" w:color="auto"/>
        <w:right w:val="none" w:sz="0" w:space="0" w:color="auto"/>
      </w:divBdr>
      <w:divsChild>
        <w:div w:id="1471365611">
          <w:marLeft w:val="0"/>
          <w:marRight w:val="0"/>
          <w:marTop w:val="0"/>
          <w:marBottom w:val="0"/>
          <w:divBdr>
            <w:top w:val="none" w:sz="0" w:space="0" w:color="auto"/>
            <w:left w:val="none" w:sz="0" w:space="0" w:color="auto"/>
            <w:bottom w:val="none" w:sz="0" w:space="0" w:color="auto"/>
            <w:right w:val="none" w:sz="0" w:space="0" w:color="auto"/>
          </w:divBdr>
          <w:divsChild>
            <w:div w:id="779909261">
              <w:marLeft w:val="0"/>
              <w:marRight w:val="0"/>
              <w:marTop w:val="0"/>
              <w:marBottom w:val="0"/>
              <w:divBdr>
                <w:top w:val="none" w:sz="0" w:space="0" w:color="auto"/>
                <w:left w:val="none" w:sz="0" w:space="0" w:color="auto"/>
                <w:bottom w:val="none" w:sz="0" w:space="0" w:color="auto"/>
                <w:right w:val="none" w:sz="0" w:space="0" w:color="auto"/>
              </w:divBdr>
              <w:divsChild>
                <w:div w:id="6529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6817">
      <w:bodyDiv w:val="1"/>
      <w:marLeft w:val="0"/>
      <w:marRight w:val="0"/>
      <w:marTop w:val="0"/>
      <w:marBottom w:val="0"/>
      <w:divBdr>
        <w:top w:val="none" w:sz="0" w:space="0" w:color="auto"/>
        <w:left w:val="none" w:sz="0" w:space="0" w:color="auto"/>
        <w:bottom w:val="none" w:sz="0" w:space="0" w:color="auto"/>
        <w:right w:val="none" w:sz="0" w:space="0" w:color="auto"/>
      </w:divBdr>
    </w:div>
    <w:div w:id="1974553725">
      <w:bodyDiv w:val="1"/>
      <w:marLeft w:val="0"/>
      <w:marRight w:val="0"/>
      <w:marTop w:val="0"/>
      <w:marBottom w:val="0"/>
      <w:divBdr>
        <w:top w:val="none" w:sz="0" w:space="0" w:color="auto"/>
        <w:left w:val="none" w:sz="0" w:space="0" w:color="auto"/>
        <w:bottom w:val="none" w:sz="0" w:space="0" w:color="auto"/>
        <w:right w:val="none" w:sz="0" w:space="0" w:color="auto"/>
      </w:divBdr>
      <w:divsChild>
        <w:div w:id="970747318">
          <w:marLeft w:val="0"/>
          <w:marRight w:val="0"/>
          <w:marTop w:val="0"/>
          <w:marBottom w:val="0"/>
          <w:divBdr>
            <w:top w:val="none" w:sz="0" w:space="0" w:color="auto"/>
            <w:left w:val="none" w:sz="0" w:space="0" w:color="auto"/>
            <w:bottom w:val="none" w:sz="0" w:space="0" w:color="auto"/>
            <w:right w:val="none" w:sz="0" w:space="0" w:color="auto"/>
          </w:divBdr>
          <w:divsChild>
            <w:div w:id="20397846">
              <w:marLeft w:val="0"/>
              <w:marRight w:val="0"/>
              <w:marTop w:val="0"/>
              <w:marBottom w:val="0"/>
              <w:divBdr>
                <w:top w:val="none" w:sz="0" w:space="0" w:color="auto"/>
                <w:left w:val="none" w:sz="0" w:space="0" w:color="auto"/>
                <w:bottom w:val="none" w:sz="0" w:space="0" w:color="auto"/>
                <w:right w:val="none" w:sz="0" w:space="0" w:color="auto"/>
              </w:divBdr>
              <w:divsChild>
                <w:div w:id="20613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20037">
      <w:bodyDiv w:val="1"/>
      <w:marLeft w:val="0"/>
      <w:marRight w:val="0"/>
      <w:marTop w:val="0"/>
      <w:marBottom w:val="0"/>
      <w:divBdr>
        <w:top w:val="none" w:sz="0" w:space="0" w:color="auto"/>
        <w:left w:val="none" w:sz="0" w:space="0" w:color="auto"/>
        <w:bottom w:val="none" w:sz="0" w:space="0" w:color="auto"/>
        <w:right w:val="none" w:sz="0" w:space="0" w:color="auto"/>
      </w:divBdr>
      <w:divsChild>
        <w:div w:id="1021783496">
          <w:marLeft w:val="0"/>
          <w:marRight w:val="0"/>
          <w:marTop w:val="0"/>
          <w:marBottom w:val="0"/>
          <w:divBdr>
            <w:top w:val="none" w:sz="0" w:space="0" w:color="auto"/>
            <w:left w:val="none" w:sz="0" w:space="0" w:color="auto"/>
            <w:bottom w:val="none" w:sz="0" w:space="0" w:color="auto"/>
            <w:right w:val="none" w:sz="0" w:space="0" w:color="auto"/>
          </w:divBdr>
          <w:divsChild>
            <w:div w:id="160855780">
              <w:marLeft w:val="0"/>
              <w:marRight w:val="0"/>
              <w:marTop w:val="0"/>
              <w:marBottom w:val="0"/>
              <w:divBdr>
                <w:top w:val="none" w:sz="0" w:space="0" w:color="auto"/>
                <w:left w:val="none" w:sz="0" w:space="0" w:color="auto"/>
                <w:bottom w:val="none" w:sz="0" w:space="0" w:color="auto"/>
                <w:right w:val="none" w:sz="0" w:space="0" w:color="auto"/>
              </w:divBdr>
              <w:divsChild>
                <w:div w:id="20617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6748">
      <w:bodyDiv w:val="1"/>
      <w:marLeft w:val="0"/>
      <w:marRight w:val="0"/>
      <w:marTop w:val="0"/>
      <w:marBottom w:val="0"/>
      <w:divBdr>
        <w:top w:val="none" w:sz="0" w:space="0" w:color="auto"/>
        <w:left w:val="none" w:sz="0" w:space="0" w:color="auto"/>
        <w:bottom w:val="none" w:sz="0" w:space="0" w:color="auto"/>
        <w:right w:val="none" w:sz="0" w:space="0" w:color="auto"/>
      </w:divBdr>
      <w:divsChild>
        <w:div w:id="1577785229">
          <w:marLeft w:val="0"/>
          <w:marRight w:val="0"/>
          <w:marTop w:val="0"/>
          <w:marBottom w:val="0"/>
          <w:divBdr>
            <w:top w:val="none" w:sz="0" w:space="0" w:color="auto"/>
            <w:left w:val="none" w:sz="0" w:space="0" w:color="auto"/>
            <w:bottom w:val="none" w:sz="0" w:space="0" w:color="auto"/>
            <w:right w:val="none" w:sz="0" w:space="0" w:color="auto"/>
          </w:divBdr>
          <w:divsChild>
            <w:div w:id="640964350">
              <w:marLeft w:val="0"/>
              <w:marRight w:val="0"/>
              <w:marTop w:val="0"/>
              <w:marBottom w:val="0"/>
              <w:divBdr>
                <w:top w:val="none" w:sz="0" w:space="0" w:color="auto"/>
                <w:left w:val="none" w:sz="0" w:space="0" w:color="auto"/>
                <w:bottom w:val="none" w:sz="0" w:space="0" w:color="auto"/>
                <w:right w:val="none" w:sz="0" w:space="0" w:color="auto"/>
              </w:divBdr>
              <w:divsChild>
                <w:div w:id="10658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4048">
      <w:bodyDiv w:val="1"/>
      <w:marLeft w:val="0"/>
      <w:marRight w:val="0"/>
      <w:marTop w:val="0"/>
      <w:marBottom w:val="0"/>
      <w:divBdr>
        <w:top w:val="none" w:sz="0" w:space="0" w:color="auto"/>
        <w:left w:val="none" w:sz="0" w:space="0" w:color="auto"/>
        <w:bottom w:val="none" w:sz="0" w:space="0" w:color="auto"/>
        <w:right w:val="none" w:sz="0" w:space="0" w:color="auto"/>
      </w:divBdr>
    </w:div>
    <w:div w:id="2057728811">
      <w:bodyDiv w:val="1"/>
      <w:marLeft w:val="0"/>
      <w:marRight w:val="0"/>
      <w:marTop w:val="0"/>
      <w:marBottom w:val="0"/>
      <w:divBdr>
        <w:top w:val="none" w:sz="0" w:space="0" w:color="auto"/>
        <w:left w:val="none" w:sz="0" w:space="0" w:color="auto"/>
        <w:bottom w:val="none" w:sz="0" w:space="0" w:color="auto"/>
        <w:right w:val="none" w:sz="0" w:space="0" w:color="auto"/>
      </w:divBdr>
    </w:div>
    <w:div w:id="2060666472">
      <w:bodyDiv w:val="1"/>
      <w:marLeft w:val="0"/>
      <w:marRight w:val="0"/>
      <w:marTop w:val="0"/>
      <w:marBottom w:val="0"/>
      <w:divBdr>
        <w:top w:val="none" w:sz="0" w:space="0" w:color="auto"/>
        <w:left w:val="none" w:sz="0" w:space="0" w:color="auto"/>
        <w:bottom w:val="none" w:sz="0" w:space="0" w:color="auto"/>
        <w:right w:val="none" w:sz="0" w:space="0" w:color="auto"/>
      </w:divBdr>
      <w:divsChild>
        <w:div w:id="1990817607">
          <w:marLeft w:val="0"/>
          <w:marRight w:val="0"/>
          <w:marTop w:val="0"/>
          <w:marBottom w:val="0"/>
          <w:divBdr>
            <w:top w:val="none" w:sz="0" w:space="0" w:color="auto"/>
            <w:left w:val="none" w:sz="0" w:space="0" w:color="auto"/>
            <w:bottom w:val="none" w:sz="0" w:space="0" w:color="auto"/>
            <w:right w:val="none" w:sz="0" w:space="0" w:color="auto"/>
          </w:divBdr>
          <w:divsChild>
            <w:div w:id="305164122">
              <w:marLeft w:val="0"/>
              <w:marRight w:val="0"/>
              <w:marTop w:val="0"/>
              <w:marBottom w:val="0"/>
              <w:divBdr>
                <w:top w:val="none" w:sz="0" w:space="0" w:color="auto"/>
                <w:left w:val="none" w:sz="0" w:space="0" w:color="auto"/>
                <w:bottom w:val="none" w:sz="0" w:space="0" w:color="auto"/>
                <w:right w:val="none" w:sz="0" w:space="0" w:color="auto"/>
              </w:divBdr>
              <w:divsChild>
                <w:div w:id="475299826">
                  <w:marLeft w:val="0"/>
                  <w:marRight w:val="0"/>
                  <w:marTop w:val="0"/>
                  <w:marBottom w:val="0"/>
                  <w:divBdr>
                    <w:top w:val="none" w:sz="0" w:space="0" w:color="auto"/>
                    <w:left w:val="none" w:sz="0" w:space="0" w:color="auto"/>
                    <w:bottom w:val="none" w:sz="0" w:space="0" w:color="auto"/>
                    <w:right w:val="none" w:sz="0" w:space="0" w:color="auto"/>
                  </w:divBdr>
                  <w:divsChild>
                    <w:div w:id="257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33421">
      <w:bodyDiv w:val="1"/>
      <w:marLeft w:val="0"/>
      <w:marRight w:val="0"/>
      <w:marTop w:val="0"/>
      <w:marBottom w:val="0"/>
      <w:divBdr>
        <w:top w:val="none" w:sz="0" w:space="0" w:color="auto"/>
        <w:left w:val="none" w:sz="0" w:space="0" w:color="auto"/>
        <w:bottom w:val="none" w:sz="0" w:space="0" w:color="auto"/>
        <w:right w:val="none" w:sz="0" w:space="0" w:color="auto"/>
      </w:divBdr>
      <w:divsChild>
        <w:div w:id="623274261">
          <w:marLeft w:val="0"/>
          <w:marRight w:val="0"/>
          <w:marTop w:val="0"/>
          <w:marBottom w:val="0"/>
          <w:divBdr>
            <w:top w:val="none" w:sz="0" w:space="0" w:color="auto"/>
            <w:left w:val="none" w:sz="0" w:space="0" w:color="auto"/>
            <w:bottom w:val="none" w:sz="0" w:space="0" w:color="auto"/>
            <w:right w:val="none" w:sz="0" w:space="0" w:color="auto"/>
          </w:divBdr>
          <w:divsChild>
            <w:div w:id="513887835">
              <w:marLeft w:val="0"/>
              <w:marRight w:val="0"/>
              <w:marTop w:val="0"/>
              <w:marBottom w:val="0"/>
              <w:divBdr>
                <w:top w:val="none" w:sz="0" w:space="0" w:color="auto"/>
                <w:left w:val="none" w:sz="0" w:space="0" w:color="auto"/>
                <w:bottom w:val="none" w:sz="0" w:space="0" w:color="auto"/>
                <w:right w:val="none" w:sz="0" w:space="0" w:color="auto"/>
              </w:divBdr>
              <w:divsChild>
                <w:div w:id="20864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5039">
      <w:bodyDiv w:val="1"/>
      <w:marLeft w:val="0"/>
      <w:marRight w:val="0"/>
      <w:marTop w:val="0"/>
      <w:marBottom w:val="0"/>
      <w:divBdr>
        <w:top w:val="none" w:sz="0" w:space="0" w:color="auto"/>
        <w:left w:val="none" w:sz="0" w:space="0" w:color="auto"/>
        <w:bottom w:val="none" w:sz="0" w:space="0" w:color="auto"/>
        <w:right w:val="none" w:sz="0" w:space="0" w:color="auto"/>
      </w:divBdr>
      <w:divsChild>
        <w:div w:id="2042704159">
          <w:marLeft w:val="0"/>
          <w:marRight w:val="0"/>
          <w:marTop w:val="0"/>
          <w:marBottom w:val="0"/>
          <w:divBdr>
            <w:top w:val="none" w:sz="0" w:space="0" w:color="auto"/>
            <w:left w:val="none" w:sz="0" w:space="0" w:color="auto"/>
            <w:bottom w:val="none" w:sz="0" w:space="0" w:color="auto"/>
            <w:right w:val="none" w:sz="0" w:space="0" w:color="auto"/>
          </w:divBdr>
          <w:divsChild>
            <w:div w:id="1442260374">
              <w:marLeft w:val="0"/>
              <w:marRight w:val="0"/>
              <w:marTop w:val="0"/>
              <w:marBottom w:val="0"/>
              <w:divBdr>
                <w:top w:val="none" w:sz="0" w:space="0" w:color="auto"/>
                <w:left w:val="none" w:sz="0" w:space="0" w:color="auto"/>
                <w:bottom w:val="none" w:sz="0" w:space="0" w:color="auto"/>
                <w:right w:val="none" w:sz="0" w:space="0" w:color="auto"/>
              </w:divBdr>
              <w:divsChild>
                <w:div w:id="7461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658">
      <w:bodyDiv w:val="1"/>
      <w:marLeft w:val="0"/>
      <w:marRight w:val="0"/>
      <w:marTop w:val="0"/>
      <w:marBottom w:val="0"/>
      <w:divBdr>
        <w:top w:val="none" w:sz="0" w:space="0" w:color="auto"/>
        <w:left w:val="none" w:sz="0" w:space="0" w:color="auto"/>
        <w:bottom w:val="none" w:sz="0" w:space="0" w:color="auto"/>
        <w:right w:val="none" w:sz="0" w:space="0" w:color="auto"/>
      </w:divBdr>
      <w:divsChild>
        <w:div w:id="335348880">
          <w:marLeft w:val="0"/>
          <w:marRight w:val="0"/>
          <w:marTop w:val="0"/>
          <w:marBottom w:val="0"/>
          <w:divBdr>
            <w:top w:val="none" w:sz="0" w:space="0" w:color="auto"/>
            <w:left w:val="none" w:sz="0" w:space="0" w:color="auto"/>
            <w:bottom w:val="none" w:sz="0" w:space="0" w:color="auto"/>
            <w:right w:val="none" w:sz="0" w:space="0" w:color="auto"/>
          </w:divBdr>
          <w:divsChild>
            <w:div w:id="370694234">
              <w:marLeft w:val="0"/>
              <w:marRight w:val="0"/>
              <w:marTop w:val="0"/>
              <w:marBottom w:val="0"/>
              <w:divBdr>
                <w:top w:val="none" w:sz="0" w:space="0" w:color="auto"/>
                <w:left w:val="none" w:sz="0" w:space="0" w:color="auto"/>
                <w:bottom w:val="none" w:sz="0" w:space="0" w:color="auto"/>
                <w:right w:val="none" w:sz="0" w:space="0" w:color="auto"/>
              </w:divBdr>
              <w:divsChild>
                <w:div w:id="617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12103</Words>
  <Characters>68992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80934</CharactersWithSpaces>
  <SharedDoc>false</SharedDoc>
  <HLinks>
    <vt:vector size="18" baseType="variant">
      <vt:variant>
        <vt:i4>7995456</vt:i4>
      </vt:variant>
      <vt:variant>
        <vt:i4>273</vt:i4>
      </vt:variant>
      <vt:variant>
        <vt:i4>0</vt:i4>
      </vt:variant>
      <vt:variant>
        <vt:i4>5</vt:i4>
      </vt:variant>
      <vt:variant>
        <vt:lpwstr>https://dx.doi.org/10.1053/j.gastro.2013.06.052</vt:lpwstr>
      </vt:variant>
      <vt:variant>
        <vt:lpwstr/>
      </vt:variant>
      <vt:variant>
        <vt:i4>196703</vt:i4>
      </vt:variant>
      <vt:variant>
        <vt:i4>9</vt:i4>
      </vt:variant>
      <vt:variant>
        <vt:i4>0</vt:i4>
      </vt:variant>
      <vt:variant>
        <vt:i4>5</vt:i4>
      </vt:variant>
      <vt:variant>
        <vt:lpwstr>https://www.uptodate.com/contents/indigo-carmine-drug-information?source=see_link</vt:lpwstr>
      </vt:variant>
      <vt:variant>
        <vt:lpwstr/>
      </vt:variant>
      <vt:variant>
        <vt:i4>6094861</vt:i4>
      </vt:variant>
      <vt:variant>
        <vt:i4>6</vt:i4>
      </vt:variant>
      <vt:variant>
        <vt:i4>0</vt:i4>
      </vt:variant>
      <vt:variant>
        <vt:i4>5</vt:i4>
      </vt:variant>
      <vt:variant>
        <vt:lpwstr>https://www.uptodate.com/contents/methylene-blue-drug-information?source=see_link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Jerka</dc:creator>
  <cp:keywords/>
  <cp:lastModifiedBy>Na Ma</cp:lastModifiedBy>
  <cp:revision>2</cp:revision>
  <dcterms:created xsi:type="dcterms:W3CDTF">2017-04-20T22:21:00Z</dcterms:created>
  <dcterms:modified xsi:type="dcterms:W3CDTF">2017-04-20T22:21:00Z</dcterms:modified>
</cp:coreProperties>
</file>