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33C60" w14:textId="77777777" w:rsidR="00E62B06" w:rsidRPr="007B6732" w:rsidRDefault="00E62B06" w:rsidP="0056175D">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bookmarkStart w:id="3" w:name="OLE_LINK543"/>
      <w:bookmarkStart w:id="4" w:name="OLE_LINK544"/>
      <w:r w:rsidRPr="007B6732">
        <w:rPr>
          <w:rFonts w:ascii="Book Antiqua" w:eastAsia="Times New Roman" w:hAnsi="Book Antiqua" w:cs="SimSun"/>
          <w:b/>
          <w:color w:val="000000"/>
        </w:rPr>
        <w:t xml:space="preserve">Name of journal: </w:t>
      </w:r>
      <w:bookmarkStart w:id="5" w:name="OLE_LINK718"/>
      <w:bookmarkStart w:id="6" w:name="OLE_LINK719"/>
      <w:bookmarkStart w:id="7" w:name="OLE_LINK645"/>
      <w:bookmarkStart w:id="8" w:name="OLE_LINK661"/>
      <w:bookmarkStart w:id="9" w:name="OLE_LINK1068"/>
      <w:r w:rsidRPr="007B6732">
        <w:rPr>
          <w:rFonts w:ascii="Book Antiqua" w:eastAsia="Times New Roman" w:hAnsi="Book Antiqua" w:cs="SimSun"/>
          <w:b/>
          <w:i/>
          <w:color w:val="000000"/>
        </w:rPr>
        <w:t xml:space="preserve">World Journal of </w:t>
      </w:r>
      <w:bookmarkStart w:id="10" w:name="OLE_LINK1222"/>
      <w:bookmarkStart w:id="11" w:name="OLE_LINK1223"/>
      <w:r w:rsidRPr="007B6732">
        <w:rPr>
          <w:rFonts w:ascii="Book Antiqua" w:eastAsia="Times New Roman" w:hAnsi="Book Antiqua" w:cs="SimSun"/>
          <w:b/>
          <w:i/>
          <w:color w:val="000000"/>
        </w:rPr>
        <w:t>Gastroenterology</w:t>
      </w:r>
      <w:bookmarkEnd w:id="5"/>
      <w:bookmarkEnd w:id="6"/>
      <w:bookmarkEnd w:id="7"/>
      <w:bookmarkEnd w:id="8"/>
      <w:bookmarkEnd w:id="9"/>
      <w:bookmarkEnd w:id="10"/>
      <w:bookmarkEnd w:id="11"/>
    </w:p>
    <w:p w14:paraId="251FD876" w14:textId="40BF4378" w:rsidR="00E62B06" w:rsidRPr="007B6732" w:rsidRDefault="00E62B06" w:rsidP="0056175D">
      <w:pPr>
        <w:adjustRightInd w:val="0"/>
        <w:snapToGrid w:val="0"/>
        <w:spacing w:line="360" w:lineRule="auto"/>
        <w:jc w:val="both"/>
        <w:rPr>
          <w:rFonts w:ascii="Book Antiqua" w:eastAsia="SimSun" w:hAnsi="Book Antiqua" w:cs="Arial"/>
          <w:color w:val="000000"/>
          <w:lang w:val="en" w:eastAsia="zh-CN"/>
        </w:rPr>
      </w:pPr>
      <w:r w:rsidRPr="007B6732">
        <w:rPr>
          <w:rFonts w:ascii="Book Antiqua" w:hAnsi="Book Antiqua" w:cs="Arial"/>
          <w:b/>
          <w:color w:val="000000"/>
          <w:lang w:val="en"/>
        </w:rPr>
        <w:t xml:space="preserve">Manuscript NO: </w:t>
      </w:r>
      <w:r w:rsidRPr="007B6732">
        <w:rPr>
          <w:rFonts w:ascii="Book Antiqua" w:eastAsia="SimSun" w:hAnsi="Book Antiqua" w:cs="Arial" w:hint="eastAsia"/>
          <w:b/>
          <w:color w:val="000000"/>
          <w:lang w:val="en" w:eastAsia="zh-CN"/>
        </w:rPr>
        <w:t>33579</w:t>
      </w:r>
    </w:p>
    <w:p w14:paraId="51BFF970" w14:textId="01A33777" w:rsidR="00E62B06" w:rsidRPr="007B6732" w:rsidRDefault="00E62B06" w:rsidP="0056175D">
      <w:pPr>
        <w:spacing w:line="360" w:lineRule="auto"/>
        <w:jc w:val="both"/>
        <w:rPr>
          <w:rFonts w:ascii="Book Antiqua" w:hAnsi="Book Antiqua"/>
          <w:b/>
        </w:rPr>
      </w:pPr>
      <w:r w:rsidRPr="007B6732">
        <w:rPr>
          <w:rFonts w:ascii="Book Antiqua" w:hAnsi="Book Antiqua"/>
          <w:b/>
        </w:rPr>
        <w:t>Manuscript Type</w:t>
      </w:r>
      <w:r w:rsidRPr="007B6732">
        <w:rPr>
          <w:rFonts w:ascii="Book Antiqua" w:hAnsi="Book Antiqua" w:hint="eastAsia"/>
          <w:b/>
        </w:rPr>
        <w:t xml:space="preserve">: </w:t>
      </w:r>
      <w:r w:rsidR="0056175D" w:rsidRPr="007B6732">
        <w:rPr>
          <w:rFonts w:ascii="Book Antiqua" w:hAnsi="Book Antiqua"/>
          <w:b/>
        </w:rPr>
        <w:t>ORIGINAL ARTICLE</w:t>
      </w:r>
    </w:p>
    <w:p w14:paraId="1360A117" w14:textId="77777777" w:rsidR="00E21528" w:rsidRPr="008E0D17" w:rsidRDefault="00E21528" w:rsidP="0056175D">
      <w:pPr>
        <w:spacing w:line="360" w:lineRule="auto"/>
        <w:jc w:val="both"/>
        <w:rPr>
          <w:rFonts w:ascii="Book Antiqua" w:eastAsia="SimSun" w:hAnsi="Book Antiqua"/>
          <w:b/>
          <w:lang w:eastAsia="zh-CN"/>
        </w:rPr>
      </w:pPr>
    </w:p>
    <w:bookmarkEnd w:id="0"/>
    <w:bookmarkEnd w:id="1"/>
    <w:bookmarkEnd w:id="2"/>
    <w:p w14:paraId="5E22F812" w14:textId="00091B3F" w:rsidR="00E21528" w:rsidRPr="007B6732" w:rsidRDefault="00E21528" w:rsidP="0056175D">
      <w:pPr>
        <w:spacing w:line="360" w:lineRule="auto"/>
        <w:jc w:val="both"/>
        <w:rPr>
          <w:rFonts w:ascii="Book Antiqua" w:eastAsia="SimSun" w:hAnsi="Book Antiqua"/>
          <w:b/>
          <w:lang w:eastAsia="zh-CN"/>
        </w:rPr>
      </w:pPr>
      <w:r w:rsidRPr="007B6732">
        <w:rPr>
          <w:rFonts w:ascii="Book Antiqua" w:hAnsi="Book Antiqua"/>
          <w:b/>
          <w:i/>
        </w:rPr>
        <w:t>Observational Study</w:t>
      </w:r>
      <w:bookmarkEnd w:id="3"/>
      <w:bookmarkEnd w:id="4"/>
      <w:r w:rsidR="00E62B06" w:rsidRPr="007B6732">
        <w:rPr>
          <w:rFonts w:ascii="Book Antiqua" w:eastAsia="SimSun" w:hAnsi="Book Antiqua" w:hint="eastAsia"/>
          <w:b/>
          <w:i/>
          <w:lang w:eastAsia="zh-CN"/>
        </w:rPr>
        <w:t xml:space="preserve"> </w:t>
      </w:r>
    </w:p>
    <w:p w14:paraId="160E5609" w14:textId="6FC60595" w:rsidR="00217D89" w:rsidRPr="007B6732" w:rsidRDefault="00217D89" w:rsidP="0056175D">
      <w:pPr>
        <w:spacing w:line="360" w:lineRule="auto"/>
        <w:jc w:val="both"/>
        <w:rPr>
          <w:rFonts w:ascii="Book Antiqua" w:eastAsia="SimSun" w:hAnsi="Book Antiqua" w:cs="Arial"/>
          <w:b/>
          <w:lang w:eastAsia="zh-CN"/>
        </w:rPr>
      </w:pPr>
      <w:r w:rsidRPr="007B6732">
        <w:rPr>
          <w:rFonts w:ascii="Book Antiqua" w:hAnsi="Book Antiqua" w:cs="Arial"/>
          <w:b/>
        </w:rPr>
        <w:t>Transition care in inflammatory bowel disease: A needs assessment survey</w:t>
      </w:r>
      <w:r w:rsidR="00C6599D" w:rsidRPr="007B6732">
        <w:rPr>
          <w:rFonts w:ascii="Book Antiqua" w:hAnsi="Book Antiqua" w:cs="Arial"/>
          <w:b/>
        </w:rPr>
        <w:t xml:space="preserve"> of Quebec </w:t>
      </w:r>
      <w:r w:rsidR="006D66A3" w:rsidRPr="007B6732">
        <w:rPr>
          <w:rFonts w:ascii="Book Antiqua" w:hAnsi="Book Antiqua" w:cs="Arial"/>
          <w:b/>
        </w:rPr>
        <w:t>gastroenterologists and allied nurses</w:t>
      </w:r>
    </w:p>
    <w:p w14:paraId="43789212" w14:textId="77777777" w:rsidR="0056175D" w:rsidRPr="007B6732" w:rsidRDefault="0056175D" w:rsidP="0056175D">
      <w:pPr>
        <w:spacing w:line="360" w:lineRule="auto"/>
        <w:jc w:val="both"/>
        <w:rPr>
          <w:rFonts w:ascii="Book Antiqua" w:eastAsia="SimSun" w:hAnsi="Book Antiqua" w:cs="Arial"/>
          <w:b/>
          <w:lang w:eastAsia="zh-CN"/>
        </w:rPr>
      </w:pPr>
    </w:p>
    <w:p w14:paraId="3F074A99" w14:textId="6B1298B0" w:rsidR="00217D89" w:rsidRPr="007B6732" w:rsidRDefault="0056175D" w:rsidP="0056175D">
      <w:pPr>
        <w:spacing w:line="360" w:lineRule="auto"/>
        <w:jc w:val="both"/>
        <w:rPr>
          <w:rFonts w:ascii="Book Antiqua" w:eastAsia="SimSun" w:hAnsi="Book Antiqua" w:cs="Arial"/>
          <w:lang w:val="en-CA" w:eastAsia="zh-CN"/>
        </w:rPr>
      </w:pPr>
      <w:r w:rsidRPr="007B6732">
        <w:rPr>
          <w:rFonts w:ascii="Book Antiqua" w:hAnsi="Book Antiqua" w:cs="Arial"/>
          <w:lang w:val="en-CA"/>
        </w:rPr>
        <w:t xml:space="preserve">Strohl </w:t>
      </w:r>
      <w:r w:rsidRPr="007B6732">
        <w:rPr>
          <w:rFonts w:ascii="Book Antiqua" w:eastAsia="SimSun" w:hAnsi="Book Antiqua" w:cs="Arial" w:hint="eastAsia"/>
          <w:lang w:val="en-CA" w:eastAsia="zh-CN"/>
        </w:rPr>
        <w:t>M</w:t>
      </w:r>
      <w:r w:rsidRPr="007B6732">
        <w:rPr>
          <w:rFonts w:ascii="Book Antiqua" w:eastAsia="SimSun" w:hAnsi="Book Antiqua" w:cs="Arial" w:hint="eastAsia"/>
          <w:i/>
          <w:lang w:val="en-CA" w:eastAsia="zh-CN"/>
        </w:rPr>
        <w:t xml:space="preserve"> et al</w:t>
      </w:r>
      <w:r w:rsidRPr="007B6732">
        <w:rPr>
          <w:rFonts w:ascii="Book Antiqua" w:eastAsia="SimSun" w:hAnsi="Book Antiqua" w:cs="Arial" w:hint="eastAsia"/>
          <w:lang w:val="en-CA" w:eastAsia="zh-CN"/>
        </w:rPr>
        <w:t xml:space="preserve">. </w:t>
      </w:r>
      <w:r w:rsidR="00E21528" w:rsidRPr="007B6732">
        <w:rPr>
          <w:rFonts w:ascii="Book Antiqua" w:hAnsi="Book Antiqua" w:cs="Arial"/>
          <w:lang w:val="en-CA"/>
        </w:rPr>
        <w:t>Transition in IBD</w:t>
      </w:r>
    </w:p>
    <w:p w14:paraId="0388993B" w14:textId="77777777" w:rsidR="0056175D" w:rsidRPr="007B6732" w:rsidRDefault="0056175D" w:rsidP="0056175D">
      <w:pPr>
        <w:spacing w:line="360" w:lineRule="auto"/>
        <w:jc w:val="both"/>
        <w:rPr>
          <w:rFonts w:ascii="Book Antiqua" w:eastAsia="SimSun" w:hAnsi="Book Antiqua" w:cs="Arial"/>
          <w:lang w:val="en-CA" w:eastAsia="zh-CN"/>
        </w:rPr>
      </w:pPr>
    </w:p>
    <w:p w14:paraId="15C59352" w14:textId="07D812EA" w:rsidR="00217D89" w:rsidRPr="007B6732" w:rsidRDefault="00217D89" w:rsidP="0056175D">
      <w:pPr>
        <w:widowControl w:val="0"/>
        <w:autoSpaceDE w:val="0"/>
        <w:autoSpaceDN w:val="0"/>
        <w:adjustRightInd w:val="0"/>
        <w:spacing w:line="360" w:lineRule="auto"/>
        <w:jc w:val="both"/>
        <w:rPr>
          <w:rFonts w:ascii="Book Antiqua" w:hAnsi="Book Antiqua" w:cs="Arial"/>
          <w:vertAlign w:val="superscript"/>
          <w:lang w:val="en-CA"/>
        </w:rPr>
      </w:pPr>
      <w:r w:rsidRPr="007B6732">
        <w:rPr>
          <w:rFonts w:ascii="Book Antiqua" w:hAnsi="Book Antiqua" w:cs="Arial"/>
          <w:lang w:val="en-CA"/>
        </w:rPr>
        <w:t xml:space="preserve">Matthew Strohl, </w:t>
      </w:r>
      <w:r w:rsidR="00CB3E94" w:rsidRPr="007B6732">
        <w:rPr>
          <w:rFonts w:ascii="Book Antiqua" w:hAnsi="Book Antiqua" w:cs="Arial"/>
          <w:bCs/>
          <w:lang w:val="en-GB"/>
        </w:rPr>
        <w:t>Xun Z</w:t>
      </w:r>
      <w:r w:rsidRPr="007B6732">
        <w:rPr>
          <w:rFonts w:ascii="Book Antiqua" w:hAnsi="Book Antiqua" w:cs="Arial"/>
          <w:bCs/>
          <w:lang w:val="en-GB"/>
        </w:rPr>
        <w:t>hang, Dominique Lévesque, Talat Bessisow</w:t>
      </w:r>
    </w:p>
    <w:p w14:paraId="2DCCD7CF" w14:textId="77777777" w:rsidR="00992097" w:rsidRPr="007B6732" w:rsidRDefault="00992097" w:rsidP="0056175D">
      <w:pPr>
        <w:widowControl w:val="0"/>
        <w:autoSpaceDE w:val="0"/>
        <w:autoSpaceDN w:val="0"/>
        <w:adjustRightInd w:val="0"/>
        <w:spacing w:line="360" w:lineRule="auto"/>
        <w:jc w:val="both"/>
        <w:rPr>
          <w:rFonts w:ascii="Book Antiqua" w:hAnsi="Book Antiqua" w:cs="Arial"/>
          <w:lang w:val="en-CA"/>
        </w:rPr>
      </w:pPr>
    </w:p>
    <w:p w14:paraId="34979062" w14:textId="0A564BC0" w:rsidR="00992097" w:rsidRPr="007B6732" w:rsidRDefault="00992097" w:rsidP="0056175D">
      <w:pPr>
        <w:widowControl w:val="0"/>
        <w:autoSpaceDE w:val="0"/>
        <w:autoSpaceDN w:val="0"/>
        <w:adjustRightInd w:val="0"/>
        <w:spacing w:line="360" w:lineRule="auto"/>
        <w:jc w:val="both"/>
        <w:rPr>
          <w:rFonts w:ascii="Book Antiqua" w:eastAsia="SimSun" w:hAnsi="Book Antiqua" w:cs="Arial"/>
          <w:lang w:val="en-CA" w:eastAsia="zh-CN"/>
        </w:rPr>
      </w:pPr>
      <w:r w:rsidRPr="007B6732">
        <w:rPr>
          <w:rFonts w:ascii="Book Antiqua" w:hAnsi="Book Antiqua" w:cs="Arial"/>
          <w:b/>
          <w:lang w:val="en-CA"/>
        </w:rPr>
        <w:t>Matthew Strohl,</w:t>
      </w:r>
      <w:r w:rsidRPr="007B6732">
        <w:rPr>
          <w:rFonts w:ascii="Book Antiqua" w:hAnsi="Book Antiqua" w:cs="Arial"/>
          <w:lang w:val="en-CA"/>
        </w:rPr>
        <w:t xml:space="preserve"> D</w:t>
      </w:r>
      <w:r w:rsidR="00217D89" w:rsidRPr="007B6732">
        <w:rPr>
          <w:rFonts w:ascii="Book Antiqua" w:hAnsi="Book Antiqua" w:cs="Arial"/>
          <w:lang w:val="en-CA"/>
        </w:rPr>
        <w:t xml:space="preserve">epartment of </w:t>
      </w:r>
      <w:r w:rsidRPr="007B6732">
        <w:rPr>
          <w:rFonts w:ascii="Book Antiqua" w:hAnsi="Book Antiqua" w:cs="Arial"/>
          <w:lang w:val="en-CA"/>
        </w:rPr>
        <w:t>Internal Medicine</w:t>
      </w:r>
      <w:r w:rsidR="00217D89" w:rsidRPr="007B6732">
        <w:rPr>
          <w:rFonts w:ascii="Book Antiqua" w:hAnsi="Book Antiqua" w:cs="Arial"/>
          <w:lang w:val="en-CA"/>
        </w:rPr>
        <w:t xml:space="preserve">, McGill University Health Center, </w:t>
      </w:r>
      <w:r w:rsidR="0056175D" w:rsidRPr="007B6732">
        <w:rPr>
          <w:rFonts w:ascii="Book Antiqua" w:hAnsi="Book Antiqua" w:cs="Arial"/>
          <w:lang w:val="en-CA"/>
        </w:rPr>
        <w:t>Montreal, Québec</w:t>
      </w:r>
      <w:r w:rsidR="005D14A5" w:rsidRPr="007B6732">
        <w:rPr>
          <w:rFonts w:ascii="Book Antiqua" w:hAnsi="Book Antiqua" w:cs="Arial"/>
          <w:lang w:val="en-CA"/>
        </w:rPr>
        <w:t xml:space="preserve"> H4A 3J1, Canada</w:t>
      </w:r>
    </w:p>
    <w:p w14:paraId="075A5741" w14:textId="77777777" w:rsidR="0056175D" w:rsidRPr="007B6732" w:rsidRDefault="0056175D" w:rsidP="0056175D">
      <w:pPr>
        <w:widowControl w:val="0"/>
        <w:autoSpaceDE w:val="0"/>
        <w:autoSpaceDN w:val="0"/>
        <w:adjustRightInd w:val="0"/>
        <w:spacing w:line="360" w:lineRule="auto"/>
        <w:jc w:val="both"/>
        <w:rPr>
          <w:rFonts w:ascii="Book Antiqua" w:eastAsia="SimSun" w:hAnsi="Book Antiqua" w:cs="Arial"/>
          <w:lang w:val="en-CA" w:eastAsia="zh-CN"/>
        </w:rPr>
      </w:pPr>
    </w:p>
    <w:p w14:paraId="148E2951" w14:textId="689E41DA" w:rsidR="005D14A5" w:rsidRPr="007B6732" w:rsidRDefault="00CB3E94" w:rsidP="0056175D">
      <w:pPr>
        <w:widowControl w:val="0"/>
        <w:autoSpaceDE w:val="0"/>
        <w:autoSpaceDN w:val="0"/>
        <w:adjustRightInd w:val="0"/>
        <w:spacing w:line="360" w:lineRule="auto"/>
        <w:jc w:val="both"/>
        <w:rPr>
          <w:rFonts w:ascii="Book Antiqua" w:eastAsia="SimSun" w:hAnsi="Book Antiqua" w:cs="Arial"/>
          <w:b/>
          <w:bCs/>
          <w:lang w:val="en-GB" w:eastAsia="zh-CN"/>
        </w:rPr>
      </w:pPr>
      <w:r w:rsidRPr="007B6732">
        <w:rPr>
          <w:rFonts w:ascii="Book Antiqua" w:hAnsi="Book Antiqua" w:cs="Arial"/>
          <w:b/>
          <w:bCs/>
          <w:lang w:val="en-GB"/>
        </w:rPr>
        <w:t>Xun Zhang</w:t>
      </w:r>
      <w:r w:rsidR="00992097" w:rsidRPr="007B6732">
        <w:rPr>
          <w:rFonts w:ascii="Book Antiqua" w:hAnsi="Book Antiqua" w:cs="Arial"/>
          <w:b/>
          <w:bCs/>
          <w:lang w:val="en-GB"/>
        </w:rPr>
        <w:t xml:space="preserve">, </w:t>
      </w:r>
      <w:r w:rsidRPr="007B6732">
        <w:rPr>
          <w:rFonts w:ascii="Book Antiqua" w:hAnsi="Book Antiqua" w:cs="Arial"/>
          <w:bCs/>
          <w:lang w:val="en-GB"/>
        </w:rPr>
        <w:t>Research Institute</w:t>
      </w:r>
      <w:r w:rsidR="00992097" w:rsidRPr="007B6732">
        <w:rPr>
          <w:rFonts w:ascii="Book Antiqua" w:hAnsi="Book Antiqua" w:cs="Arial"/>
          <w:bCs/>
          <w:lang w:val="en-GB"/>
        </w:rPr>
        <w:t xml:space="preserve">, </w:t>
      </w:r>
      <w:r w:rsidR="00217D89" w:rsidRPr="007B6732">
        <w:rPr>
          <w:rFonts w:ascii="Book Antiqua" w:hAnsi="Book Antiqua" w:cs="Arial"/>
          <w:bCs/>
          <w:lang w:val="en-GB"/>
        </w:rPr>
        <w:t>McGill University</w:t>
      </w:r>
      <w:r w:rsidR="0007693E" w:rsidRPr="007B6732">
        <w:rPr>
          <w:rFonts w:ascii="Book Antiqua" w:hAnsi="Book Antiqua" w:cs="Arial"/>
          <w:bCs/>
          <w:lang w:val="en-GB"/>
        </w:rPr>
        <w:t xml:space="preserve"> Health Centre</w:t>
      </w:r>
      <w:r w:rsidR="00217D89" w:rsidRPr="007B6732">
        <w:rPr>
          <w:rFonts w:ascii="Book Antiqua" w:hAnsi="Book Antiqua" w:cs="Arial"/>
          <w:bCs/>
          <w:lang w:val="en-GB"/>
        </w:rPr>
        <w:t>,</w:t>
      </w:r>
      <w:r w:rsidR="00992097" w:rsidRPr="007B6732">
        <w:rPr>
          <w:rFonts w:ascii="Book Antiqua" w:hAnsi="Book Antiqua" w:cs="Arial"/>
          <w:lang w:val="en-CA"/>
        </w:rPr>
        <w:t xml:space="preserve"> </w:t>
      </w:r>
      <w:r w:rsidR="0056175D" w:rsidRPr="007B6732">
        <w:rPr>
          <w:rFonts w:ascii="Book Antiqua" w:hAnsi="Book Antiqua" w:cs="Arial"/>
          <w:lang w:val="en-CA"/>
        </w:rPr>
        <w:t>Montreal, Québec</w:t>
      </w:r>
      <w:r w:rsidR="005D14A5" w:rsidRPr="007B6732">
        <w:rPr>
          <w:rFonts w:ascii="Book Antiqua" w:hAnsi="Book Antiqua" w:cs="Arial"/>
          <w:lang w:val="en-CA"/>
        </w:rPr>
        <w:t xml:space="preserve"> H4A 3J1, Canada</w:t>
      </w:r>
      <w:r w:rsidR="005D14A5" w:rsidRPr="007B6732">
        <w:rPr>
          <w:rFonts w:ascii="Book Antiqua" w:hAnsi="Book Antiqua" w:cs="Arial"/>
          <w:b/>
          <w:bCs/>
          <w:lang w:val="en-GB"/>
        </w:rPr>
        <w:t xml:space="preserve"> </w:t>
      </w:r>
    </w:p>
    <w:p w14:paraId="2FD20D97" w14:textId="77777777" w:rsidR="0056175D" w:rsidRPr="007B6732" w:rsidRDefault="0056175D" w:rsidP="0056175D">
      <w:pPr>
        <w:widowControl w:val="0"/>
        <w:autoSpaceDE w:val="0"/>
        <w:autoSpaceDN w:val="0"/>
        <w:adjustRightInd w:val="0"/>
        <w:spacing w:line="360" w:lineRule="auto"/>
        <w:jc w:val="both"/>
        <w:rPr>
          <w:rFonts w:ascii="Book Antiqua" w:eastAsia="SimSun" w:hAnsi="Book Antiqua" w:cs="Arial"/>
          <w:b/>
          <w:bCs/>
          <w:lang w:val="en-GB" w:eastAsia="zh-CN"/>
        </w:rPr>
      </w:pPr>
    </w:p>
    <w:p w14:paraId="563131D3" w14:textId="2F9FC6C2" w:rsidR="00112EB8" w:rsidRPr="007B6732" w:rsidRDefault="00992097" w:rsidP="0056175D">
      <w:pPr>
        <w:widowControl w:val="0"/>
        <w:autoSpaceDE w:val="0"/>
        <w:autoSpaceDN w:val="0"/>
        <w:adjustRightInd w:val="0"/>
        <w:spacing w:line="360" w:lineRule="auto"/>
        <w:jc w:val="both"/>
        <w:rPr>
          <w:rFonts w:ascii="Book Antiqua" w:eastAsia="SimSun" w:hAnsi="Book Antiqua" w:cs="Arial"/>
          <w:lang w:val="en-CA" w:eastAsia="zh-CN"/>
        </w:rPr>
      </w:pPr>
      <w:r w:rsidRPr="007B6732">
        <w:rPr>
          <w:rFonts w:ascii="Book Antiqua" w:hAnsi="Book Antiqua" w:cs="Arial"/>
          <w:b/>
          <w:bCs/>
          <w:lang w:val="en-GB"/>
        </w:rPr>
        <w:t>Dominique Lévesque</w:t>
      </w:r>
      <w:r w:rsidRPr="007B6732">
        <w:rPr>
          <w:rFonts w:ascii="Book Antiqua" w:hAnsi="Book Antiqua" w:cs="Arial"/>
          <w:bCs/>
          <w:lang w:val="en-GB"/>
        </w:rPr>
        <w:t xml:space="preserve">, </w:t>
      </w:r>
      <w:r w:rsidR="00217D89" w:rsidRPr="007B6732">
        <w:rPr>
          <w:rFonts w:ascii="Book Antiqua" w:hAnsi="Book Antiqua" w:cs="Arial"/>
          <w:bCs/>
          <w:lang w:val="en-GB"/>
        </w:rPr>
        <w:t>Departmen</w:t>
      </w:r>
      <w:r w:rsidRPr="007B6732">
        <w:rPr>
          <w:rFonts w:ascii="Book Antiqua" w:hAnsi="Book Antiqua" w:cs="Arial"/>
          <w:bCs/>
          <w:lang w:val="en-GB"/>
        </w:rPr>
        <w:t xml:space="preserve">t of Pediatric Gastroenterology, </w:t>
      </w:r>
      <w:r w:rsidR="00217D89" w:rsidRPr="007B6732">
        <w:rPr>
          <w:rFonts w:ascii="Book Antiqua" w:hAnsi="Book Antiqua" w:cs="Arial"/>
          <w:bCs/>
          <w:lang w:val="en-GB"/>
        </w:rPr>
        <w:t xml:space="preserve">McGill University Health </w:t>
      </w:r>
      <w:r w:rsidR="0007693E" w:rsidRPr="007B6732">
        <w:rPr>
          <w:rFonts w:ascii="Book Antiqua" w:hAnsi="Book Antiqua" w:cs="Arial"/>
          <w:bCs/>
          <w:lang w:val="en-GB"/>
        </w:rPr>
        <w:t>Center</w:t>
      </w:r>
      <w:r w:rsidRPr="007B6732">
        <w:rPr>
          <w:rFonts w:ascii="Book Antiqua" w:hAnsi="Book Antiqua" w:cs="Arial"/>
          <w:bCs/>
          <w:lang w:val="en-GB"/>
        </w:rPr>
        <w:t>,</w:t>
      </w:r>
      <w:r w:rsidRPr="007B6732">
        <w:rPr>
          <w:rFonts w:ascii="Book Antiqua" w:hAnsi="Book Antiqua" w:cs="Arial"/>
          <w:lang w:val="en-CA"/>
        </w:rPr>
        <w:t xml:space="preserve"> </w:t>
      </w:r>
      <w:r w:rsidR="0056175D" w:rsidRPr="007B6732">
        <w:rPr>
          <w:rFonts w:ascii="Book Antiqua" w:hAnsi="Book Antiqua" w:cs="Arial"/>
          <w:lang w:val="en-CA"/>
        </w:rPr>
        <w:t>Montreal, Québec</w:t>
      </w:r>
      <w:r w:rsidR="005D14A5" w:rsidRPr="007B6732">
        <w:rPr>
          <w:rFonts w:ascii="Book Antiqua" w:hAnsi="Book Antiqua" w:cs="Arial"/>
          <w:lang w:val="en-CA"/>
        </w:rPr>
        <w:t xml:space="preserve"> H4A 3J1, </w:t>
      </w:r>
      <w:r w:rsidRPr="007B6732">
        <w:rPr>
          <w:rFonts w:ascii="Book Antiqua" w:hAnsi="Book Antiqua" w:cs="Arial"/>
          <w:lang w:val="en-CA"/>
        </w:rPr>
        <w:t>Canada</w:t>
      </w:r>
    </w:p>
    <w:p w14:paraId="1A51446E" w14:textId="77777777" w:rsidR="0056175D" w:rsidRPr="007B6732" w:rsidRDefault="0056175D" w:rsidP="0056175D">
      <w:pPr>
        <w:widowControl w:val="0"/>
        <w:autoSpaceDE w:val="0"/>
        <w:autoSpaceDN w:val="0"/>
        <w:adjustRightInd w:val="0"/>
        <w:spacing w:line="360" w:lineRule="auto"/>
        <w:jc w:val="both"/>
        <w:rPr>
          <w:rFonts w:ascii="Times" w:eastAsia="SimSun" w:hAnsi="Times" w:hint="eastAsia"/>
          <w:sz w:val="20"/>
          <w:szCs w:val="20"/>
          <w:lang w:val="en-CA" w:eastAsia="zh-CN"/>
        </w:rPr>
      </w:pPr>
    </w:p>
    <w:p w14:paraId="4E05E604" w14:textId="4144DD6A" w:rsidR="00217D89" w:rsidRPr="007B6732" w:rsidRDefault="00992097" w:rsidP="0056175D">
      <w:pPr>
        <w:widowControl w:val="0"/>
        <w:autoSpaceDE w:val="0"/>
        <w:autoSpaceDN w:val="0"/>
        <w:adjustRightInd w:val="0"/>
        <w:spacing w:line="360" w:lineRule="auto"/>
        <w:jc w:val="both"/>
        <w:rPr>
          <w:rFonts w:ascii="Book Antiqua" w:eastAsia="SimSun" w:hAnsi="Book Antiqua" w:cs="Arial"/>
          <w:lang w:val="en-CA" w:eastAsia="zh-CN"/>
        </w:rPr>
      </w:pPr>
      <w:r w:rsidRPr="007B6732">
        <w:rPr>
          <w:rFonts w:ascii="Book Antiqua" w:hAnsi="Book Antiqua" w:cs="Arial"/>
          <w:b/>
          <w:bCs/>
          <w:lang w:val="en-GB"/>
        </w:rPr>
        <w:t xml:space="preserve">Talat Bessissow, </w:t>
      </w:r>
      <w:r w:rsidR="00217D89" w:rsidRPr="007B6732">
        <w:rPr>
          <w:rFonts w:ascii="Book Antiqua" w:hAnsi="Book Antiqua" w:cs="Arial"/>
          <w:bCs/>
          <w:lang w:val="en-GB"/>
        </w:rPr>
        <w:t>Department of Gastroenterology</w:t>
      </w:r>
      <w:r w:rsidRPr="007B6732">
        <w:rPr>
          <w:rFonts w:ascii="Book Antiqua" w:hAnsi="Book Antiqua" w:cs="Arial"/>
          <w:bCs/>
          <w:lang w:val="en-GB"/>
        </w:rPr>
        <w:t>,</w:t>
      </w:r>
      <w:r w:rsidR="00217D89" w:rsidRPr="007B6732">
        <w:rPr>
          <w:rFonts w:ascii="Book Antiqua" w:hAnsi="Book Antiqua" w:cs="Arial"/>
          <w:bCs/>
          <w:lang w:val="en-GB"/>
        </w:rPr>
        <w:t xml:space="preserve"> McGill University Health Center</w:t>
      </w:r>
      <w:r w:rsidRPr="007B6732">
        <w:rPr>
          <w:rFonts w:ascii="Book Antiqua" w:hAnsi="Book Antiqua" w:cs="Arial"/>
          <w:bCs/>
          <w:lang w:val="en-GB"/>
        </w:rPr>
        <w:t xml:space="preserve">, </w:t>
      </w:r>
      <w:r w:rsidR="0056175D" w:rsidRPr="007B6732">
        <w:rPr>
          <w:rFonts w:ascii="Book Antiqua" w:hAnsi="Book Antiqua" w:cs="Arial"/>
          <w:lang w:val="en-CA"/>
        </w:rPr>
        <w:t>Montreal, Québec</w:t>
      </w:r>
      <w:r w:rsidR="005D14A5" w:rsidRPr="007B6732">
        <w:rPr>
          <w:rFonts w:ascii="Book Antiqua" w:hAnsi="Book Antiqua" w:cs="Arial"/>
          <w:lang w:val="en-CA"/>
        </w:rPr>
        <w:t xml:space="preserve"> </w:t>
      </w:r>
      <w:r w:rsidR="0007693E" w:rsidRPr="007B6732">
        <w:rPr>
          <w:rFonts w:ascii="Book Antiqua" w:hAnsi="Book Antiqua" w:cs="Arial"/>
          <w:lang w:val="en-CA"/>
        </w:rPr>
        <w:t xml:space="preserve">H4A 3J1, </w:t>
      </w:r>
      <w:r w:rsidR="005D14A5" w:rsidRPr="007B6732">
        <w:rPr>
          <w:rFonts w:ascii="Book Antiqua" w:hAnsi="Book Antiqua" w:cs="Arial"/>
          <w:lang w:val="en-CA"/>
        </w:rPr>
        <w:t>Canada</w:t>
      </w:r>
    </w:p>
    <w:p w14:paraId="1D2304AC" w14:textId="77777777" w:rsidR="00E21528" w:rsidRPr="007B6732" w:rsidRDefault="00E21528" w:rsidP="0056175D">
      <w:pPr>
        <w:widowControl w:val="0"/>
        <w:autoSpaceDE w:val="0"/>
        <w:autoSpaceDN w:val="0"/>
        <w:adjustRightInd w:val="0"/>
        <w:spacing w:line="360" w:lineRule="auto"/>
        <w:jc w:val="both"/>
        <w:rPr>
          <w:rFonts w:ascii="Book Antiqua" w:eastAsia="SimSun" w:hAnsi="Book Antiqua" w:cs="Arial"/>
          <w:bCs/>
          <w:lang w:val="en-GB" w:eastAsia="zh-CN"/>
        </w:rPr>
      </w:pPr>
    </w:p>
    <w:p w14:paraId="797335E2" w14:textId="370938C9" w:rsidR="00E21528" w:rsidRPr="007B6732" w:rsidRDefault="00E21528" w:rsidP="0056175D">
      <w:pPr>
        <w:spacing w:line="360" w:lineRule="auto"/>
        <w:jc w:val="both"/>
        <w:rPr>
          <w:rFonts w:ascii="Book Antiqua" w:hAnsi="Book Antiqua"/>
          <w:b/>
          <w:lang w:eastAsia="ja-JP"/>
        </w:rPr>
      </w:pPr>
      <w:bookmarkStart w:id="12" w:name="OLE_LINK231"/>
      <w:bookmarkStart w:id="13" w:name="OLE_LINK234"/>
      <w:bookmarkStart w:id="14" w:name="OLE_LINK342"/>
      <w:bookmarkStart w:id="15" w:name="OLE_LINK473"/>
      <w:r w:rsidRPr="007B6732">
        <w:rPr>
          <w:rFonts w:ascii="Book Antiqua" w:hAnsi="Book Antiqua"/>
          <w:b/>
          <w:lang w:eastAsia="ja-JP"/>
        </w:rPr>
        <w:t>Author contributions:</w:t>
      </w:r>
      <w:r w:rsidR="0056175D" w:rsidRPr="007B6732">
        <w:rPr>
          <w:rFonts w:ascii="Book Antiqua" w:eastAsia="SimSun" w:hAnsi="Book Antiqua" w:hint="eastAsia"/>
          <w:b/>
          <w:lang w:eastAsia="zh-CN"/>
        </w:rPr>
        <w:t xml:space="preserve"> </w:t>
      </w:r>
      <w:r w:rsidR="00BF1B4E" w:rsidRPr="007B6732">
        <w:rPr>
          <w:rFonts w:ascii="Book Antiqua" w:hAnsi="Book Antiqua" w:cs="Arial"/>
        </w:rPr>
        <w:t>Strohl M initially compiled all the data from completed surveys, partook in statistical analysis and interpretation of data</w:t>
      </w:r>
      <w:r w:rsidR="0056175D" w:rsidRPr="007B6732">
        <w:rPr>
          <w:rFonts w:ascii="Book Antiqua" w:eastAsia="SimSun" w:hAnsi="Book Antiqua" w:cs="Arial" w:hint="eastAsia"/>
          <w:lang w:eastAsia="zh-CN"/>
        </w:rPr>
        <w:t>;</w:t>
      </w:r>
      <w:r w:rsidR="00BF1B4E" w:rsidRPr="007B6732">
        <w:rPr>
          <w:rFonts w:ascii="Book Antiqua" w:hAnsi="Book Antiqua" w:cs="Arial"/>
        </w:rPr>
        <w:t xml:space="preserve"> </w:t>
      </w:r>
      <w:r w:rsidR="0056175D" w:rsidRPr="007B6732">
        <w:rPr>
          <w:rFonts w:ascii="Book Antiqua" w:hAnsi="Book Antiqua" w:cs="Arial"/>
        </w:rPr>
        <w:t>additionally</w:t>
      </w:r>
      <w:r w:rsidR="00570696" w:rsidRPr="007B6732">
        <w:rPr>
          <w:rFonts w:ascii="Book Antiqua" w:hAnsi="Book Antiqua" w:cs="Arial"/>
        </w:rPr>
        <w:t>,</w:t>
      </w:r>
      <w:r w:rsidR="00BF1B4E" w:rsidRPr="007B6732">
        <w:rPr>
          <w:rFonts w:ascii="Book Antiqua" w:hAnsi="Book Antiqua" w:cs="Arial"/>
        </w:rPr>
        <w:t xml:space="preserve"> wrote draft and was the first author of manuscript</w:t>
      </w:r>
      <w:r w:rsidR="0056175D" w:rsidRPr="007B6732">
        <w:rPr>
          <w:rFonts w:ascii="Book Antiqua" w:eastAsia="SimSun" w:hAnsi="Book Antiqua" w:cs="Arial" w:hint="eastAsia"/>
          <w:lang w:eastAsia="zh-CN"/>
        </w:rPr>
        <w:t>;</w:t>
      </w:r>
      <w:r w:rsidR="00BF1B4E" w:rsidRPr="007B6732">
        <w:rPr>
          <w:rFonts w:ascii="Book Antiqua" w:hAnsi="Book Antiqua" w:cs="Arial"/>
        </w:rPr>
        <w:t xml:space="preserve"> </w:t>
      </w:r>
      <w:r w:rsidR="00570696" w:rsidRPr="007B6732">
        <w:rPr>
          <w:rFonts w:ascii="Book Antiqua" w:hAnsi="Book Antiqua" w:cs="Arial"/>
        </w:rPr>
        <w:t>Jhang X</w:t>
      </w:r>
      <w:r w:rsidR="00BF1B4E" w:rsidRPr="007B6732">
        <w:rPr>
          <w:rFonts w:ascii="Book Antiqua" w:hAnsi="Book Antiqua" w:cs="Arial"/>
        </w:rPr>
        <w:t xml:space="preserve"> was responsible for statistical analysis of the manuscript and deriving summary descriptive data</w:t>
      </w:r>
      <w:r w:rsidR="0056175D" w:rsidRPr="007B6732">
        <w:rPr>
          <w:rFonts w:ascii="Book Antiqua" w:eastAsia="SimSun" w:hAnsi="Book Antiqua" w:cs="Arial" w:hint="eastAsia"/>
          <w:lang w:eastAsia="zh-CN"/>
        </w:rPr>
        <w:t>;</w:t>
      </w:r>
      <w:r w:rsidR="00BF1B4E" w:rsidRPr="007B6732">
        <w:rPr>
          <w:rFonts w:ascii="Book Antiqua" w:hAnsi="Book Antiqua" w:cs="Arial"/>
        </w:rPr>
        <w:t xml:space="preserve"> </w:t>
      </w:r>
      <w:r w:rsidR="00570696" w:rsidRPr="007B6732">
        <w:rPr>
          <w:rFonts w:ascii="Book Antiqua" w:hAnsi="Book Antiqua" w:cs="Arial"/>
        </w:rPr>
        <w:t xml:space="preserve">Lévesque D </w:t>
      </w:r>
      <w:r w:rsidR="00BF1B4E" w:rsidRPr="007B6732">
        <w:rPr>
          <w:rFonts w:ascii="Book Antiqua" w:hAnsi="Book Antiqua" w:cs="Arial"/>
        </w:rPr>
        <w:t xml:space="preserve">conceived the idea of the survey, took part in designing the survey </w:t>
      </w:r>
      <w:r w:rsidR="00BF1B4E" w:rsidRPr="007B6732">
        <w:rPr>
          <w:rFonts w:ascii="Book Antiqua" w:hAnsi="Book Antiqua" w:cs="Arial"/>
        </w:rPr>
        <w:lastRenderedPageBreak/>
        <w:t>and assisted in draft revision and editing</w:t>
      </w:r>
      <w:r w:rsidR="0056175D" w:rsidRPr="007B6732">
        <w:rPr>
          <w:rFonts w:ascii="Book Antiqua" w:eastAsia="SimSun" w:hAnsi="Book Antiqua" w:cs="Arial" w:hint="eastAsia"/>
          <w:lang w:eastAsia="zh-CN"/>
        </w:rPr>
        <w:t>;</w:t>
      </w:r>
      <w:r w:rsidR="00BF1B4E" w:rsidRPr="007B6732">
        <w:rPr>
          <w:rFonts w:ascii="Book Antiqua" w:hAnsi="Book Antiqua" w:cs="Arial"/>
        </w:rPr>
        <w:t xml:space="preserve"> Bessissow </w:t>
      </w:r>
      <w:r w:rsidR="00570696" w:rsidRPr="007B6732">
        <w:rPr>
          <w:rFonts w:ascii="Book Antiqua" w:hAnsi="Book Antiqua" w:cs="Arial"/>
        </w:rPr>
        <w:t xml:space="preserve">T </w:t>
      </w:r>
      <w:r w:rsidR="00BF1B4E" w:rsidRPr="007B6732">
        <w:rPr>
          <w:rFonts w:ascii="Book Antiqua" w:hAnsi="Book Antiqua" w:cs="Arial"/>
        </w:rPr>
        <w:t xml:space="preserve">was a major contributor to multiple revisions and edits and assisted significantly with fine-tuning the final draft. </w:t>
      </w:r>
      <w:bookmarkEnd w:id="12"/>
      <w:bookmarkEnd w:id="13"/>
      <w:bookmarkEnd w:id="14"/>
      <w:bookmarkEnd w:id="15"/>
    </w:p>
    <w:p w14:paraId="6C44A29B" w14:textId="77777777" w:rsidR="00992097" w:rsidRPr="007B6732" w:rsidRDefault="00992097" w:rsidP="0056175D">
      <w:pPr>
        <w:widowControl w:val="0"/>
        <w:autoSpaceDE w:val="0"/>
        <w:autoSpaceDN w:val="0"/>
        <w:adjustRightInd w:val="0"/>
        <w:spacing w:line="360" w:lineRule="auto"/>
        <w:jc w:val="both"/>
        <w:rPr>
          <w:rFonts w:ascii="Book Antiqua" w:hAnsi="Book Antiqua" w:cs="Arial"/>
        </w:rPr>
      </w:pPr>
    </w:p>
    <w:p w14:paraId="1A7D603B" w14:textId="65F850E4" w:rsidR="00E21528" w:rsidRPr="007B6732" w:rsidRDefault="00E21528" w:rsidP="0056175D">
      <w:pPr>
        <w:autoSpaceDE w:val="0"/>
        <w:autoSpaceDN w:val="0"/>
        <w:adjustRightInd w:val="0"/>
        <w:spacing w:line="360" w:lineRule="auto"/>
        <w:jc w:val="both"/>
        <w:rPr>
          <w:rFonts w:ascii="Book Antiqua" w:eastAsia="SimSun" w:hAnsi="Book Antiqua" w:cs="Book Antiqua"/>
          <w:lang w:eastAsia="zh-CN"/>
        </w:rPr>
      </w:pPr>
      <w:bookmarkStart w:id="16" w:name="OLE_LINK4"/>
      <w:bookmarkStart w:id="17" w:name="OLE_LINK5"/>
      <w:bookmarkStart w:id="18" w:name="OLE_LINK379"/>
      <w:bookmarkStart w:id="19" w:name="OLE_LINK380"/>
      <w:bookmarkStart w:id="20" w:name="OLE_LINK534"/>
      <w:bookmarkStart w:id="21" w:name="OLE_LINK91"/>
      <w:bookmarkStart w:id="22" w:name="OLE_LINK498"/>
      <w:bookmarkStart w:id="23" w:name="OLE_LINK499"/>
      <w:bookmarkStart w:id="24" w:name="OLE_LINK513"/>
      <w:bookmarkStart w:id="25" w:name="OLE_LINK521"/>
      <w:bookmarkStart w:id="26" w:name="OLE_LINK20"/>
      <w:bookmarkStart w:id="27" w:name="OLE_LINK21"/>
      <w:bookmarkStart w:id="28" w:name="OLE_LINK208"/>
      <w:bookmarkStart w:id="29" w:name="OLE_LINK209"/>
      <w:r w:rsidRPr="007B6732">
        <w:rPr>
          <w:rFonts w:ascii="Book Antiqua" w:hAnsi="Book Antiqua" w:hint="eastAsia"/>
          <w:b/>
          <w:bCs/>
          <w:iCs/>
          <w:color w:val="000000"/>
        </w:rPr>
        <w:t>Institutional review board</w:t>
      </w:r>
      <w:r w:rsidRPr="007B6732">
        <w:rPr>
          <w:rFonts w:ascii="Book Antiqua" w:hAnsi="Book Antiqua"/>
          <w:b/>
          <w:bCs/>
          <w:iCs/>
        </w:rPr>
        <w:t xml:space="preserve"> statement</w:t>
      </w:r>
      <w:r w:rsidRPr="007B6732">
        <w:rPr>
          <w:rFonts w:ascii="Book Antiqua" w:hAnsi="Book Antiqua" w:hint="eastAsia"/>
          <w:b/>
          <w:bCs/>
          <w:iCs/>
          <w:color w:val="000000"/>
        </w:rPr>
        <w:t>:</w:t>
      </w:r>
      <w:r w:rsidR="0056175D" w:rsidRPr="007B6732">
        <w:rPr>
          <w:rFonts w:ascii="Book Antiqua" w:eastAsia="SimSun" w:hAnsi="Book Antiqua" w:hint="eastAsia"/>
          <w:b/>
          <w:bCs/>
          <w:iCs/>
          <w:color w:val="000000"/>
          <w:lang w:eastAsia="zh-CN"/>
        </w:rPr>
        <w:t xml:space="preserve"> </w:t>
      </w:r>
      <w:r w:rsidR="00570696" w:rsidRPr="007B6732">
        <w:rPr>
          <w:rFonts w:ascii="Book Antiqua" w:eastAsiaTheme="minorEastAsia" w:hAnsi="Book Antiqua" w:cs="Book Antiqua"/>
        </w:rPr>
        <w:t>The McGill University Health Center research ethics board approved this study</w:t>
      </w:r>
      <w:r w:rsidR="00570696" w:rsidRPr="007B6732">
        <w:rPr>
          <w:rFonts w:ascii="Book Antiqua" w:hAnsi="Book Antiqua" w:cs="Book Antiqua"/>
        </w:rPr>
        <w:t>.</w:t>
      </w:r>
      <w:r w:rsidR="00570696" w:rsidRPr="007B6732">
        <w:rPr>
          <w:rFonts w:ascii="Book Antiqua" w:eastAsiaTheme="minorEastAsia" w:hAnsi="Book Antiqua" w:cs="Book Antiqua"/>
        </w:rPr>
        <w:t xml:space="preserve"> </w:t>
      </w:r>
      <w:bookmarkEnd w:id="16"/>
      <w:bookmarkEnd w:id="17"/>
    </w:p>
    <w:p w14:paraId="6EA9D54C" w14:textId="77777777" w:rsidR="0056175D" w:rsidRPr="007B6732" w:rsidRDefault="0056175D" w:rsidP="0056175D">
      <w:pPr>
        <w:autoSpaceDE w:val="0"/>
        <w:autoSpaceDN w:val="0"/>
        <w:adjustRightInd w:val="0"/>
        <w:spacing w:line="360" w:lineRule="auto"/>
        <w:jc w:val="both"/>
        <w:rPr>
          <w:rFonts w:ascii="Book Antiqua" w:eastAsia="SimSun" w:hAnsi="Book Antiqua"/>
          <w:b/>
          <w:bCs/>
          <w:iCs/>
          <w:color w:val="000000"/>
          <w:lang w:eastAsia="zh-CN"/>
        </w:rPr>
      </w:pPr>
    </w:p>
    <w:p w14:paraId="7DFDC109" w14:textId="35E6B490" w:rsidR="00E83F6D" w:rsidRPr="007B6732" w:rsidRDefault="00E83F6D" w:rsidP="0056175D">
      <w:pPr>
        <w:autoSpaceDE w:val="0"/>
        <w:autoSpaceDN w:val="0"/>
        <w:adjustRightInd w:val="0"/>
        <w:spacing w:line="360" w:lineRule="auto"/>
        <w:jc w:val="both"/>
        <w:rPr>
          <w:rFonts w:ascii="Book Antiqua" w:eastAsia="SimSun" w:hAnsi="Book Antiqua" w:cs="Book Antiqua"/>
          <w:lang w:eastAsia="zh-CN"/>
        </w:rPr>
      </w:pPr>
      <w:bookmarkStart w:id="30" w:name="OLE_LINK526"/>
      <w:bookmarkStart w:id="31" w:name="OLE_LINK527"/>
      <w:r w:rsidRPr="007B6732">
        <w:rPr>
          <w:rFonts w:ascii="Book Antiqua" w:hAnsi="Book Antiqua"/>
          <w:b/>
          <w:bCs/>
          <w:iCs/>
          <w:color w:val="000000"/>
        </w:rPr>
        <w:t>Clinical trial registration</w:t>
      </w:r>
      <w:r w:rsidRPr="007B6732">
        <w:rPr>
          <w:rFonts w:ascii="Book Antiqua" w:hAnsi="Book Antiqua"/>
          <w:b/>
          <w:bCs/>
          <w:iCs/>
        </w:rPr>
        <w:t xml:space="preserve"> statement</w:t>
      </w:r>
      <w:r w:rsidRPr="007B6732">
        <w:rPr>
          <w:rFonts w:ascii="Book Antiqua" w:hAnsi="Book Antiqua"/>
          <w:b/>
          <w:bCs/>
          <w:iCs/>
          <w:color w:val="000000"/>
        </w:rPr>
        <w:t>:</w:t>
      </w:r>
      <w:r w:rsidR="0056175D" w:rsidRPr="007B6732">
        <w:rPr>
          <w:rFonts w:ascii="Book Antiqua" w:eastAsia="SimSun" w:hAnsi="Book Antiqua" w:hint="eastAsia"/>
          <w:b/>
          <w:bCs/>
          <w:iCs/>
          <w:color w:val="000000"/>
          <w:lang w:eastAsia="zh-CN"/>
        </w:rPr>
        <w:t xml:space="preserve"> </w:t>
      </w:r>
      <w:r w:rsidRPr="007B6732">
        <w:rPr>
          <w:rFonts w:ascii="Book Antiqua" w:eastAsiaTheme="minorEastAsia" w:hAnsi="Book Antiqua" w:cs="Book Antiqua"/>
        </w:rPr>
        <w:t>This does not apply to this study, as it was not a registered clinical trial</w:t>
      </w:r>
      <w:r w:rsidR="0056175D" w:rsidRPr="007B6732">
        <w:rPr>
          <w:rFonts w:ascii="Book Antiqua" w:eastAsia="SimSun" w:hAnsi="Book Antiqua" w:cs="Book Antiqua" w:hint="eastAsia"/>
          <w:lang w:eastAsia="zh-CN"/>
        </w:rPr>
        <w:t>.</w:t>
      </w:r>
    </w:p>
    <w:p w14:paraId="6349E709" w14:textId="77777777" w:rsidR="0056175D" w:rsidRPr="007B6732" w:rsidRDefault="0056175D" w:rsidP="0056175D">
      <w:pPr>
        <w:autoSpaceDE w:val="0"/>
        <w:autoSpaceDN w:val="0"/>
        <w:adjustRightInd w:val="0"/>
        <w:spacing w:line="360" w:lineRule="auto"/>
        <w:jc w:val="both"/>
        <w:rPr>
          <w:rFonts w:ascii="Book Antiqua" w:eastAsia="SimSun" w:hAnsi="Book Antiqua"/>
          <w:b/>
          <w:bCs/>
          <w:iCs/>
          <w:color w:val="000000"/>
          <w:lang w:eastAsia="zh-CN"/>
        </w:rPr>
      </w:pPr>
    </w:p>
    <w:p w14:paraId="43918E50" w14:textId="68D2C48A" w:rsidR="00992097" w:rsidRPr="007B6732" w:rsidRDefault="00992097" w:rsidP="0056175D">
      <w:pPr>
        <w:widowControl w:val="0"/>
        <w:autoSpaceDE w:val="0"/>
        <w:autoSpaceDN w:val="0"/>
        <w:adjustRightInd w:val="0"/>
        <w:spacing w:line="360" w:lineRule="auto"/>
        <w:jc w:val="both"/>
        <w:rPr>
          <w:rFonts w:ascii="Book Antiqua" w:eastAsia="SimSun" w:hAnsi="Book Antiqua" w:cs="Book Antiqua"/>
          <w:lang w:eastAsia="zh-CN"/>
        </w:rPr>
      </w:pPr>
      <w:r w:rsidRPr="007B6732">
        <w:rPr>
          <w:rFonts w:ascii="Book Antiqua" w:eastAsiaTheme="minorEastAsia" w:hAnsi="Book Antiqua" w:cs="Book Antiqua"/>
          <w:b/>
        </w:rPr>
        <w:t>Informed consent statement:</w:t>
      </w:r>
      <w:r w:rsidR="0056175D" w:rsidRPr="007B6732">
        <w:rPr>
          <w:rFonts w:ascii="Book Antiqua" w:eastAsia="SimSun" w:hAnsi="Book Antiqua" w:cs="Book Antiqua" w:hint="eastAsia"/>
          <w:b/>
          <w:lang w:eastAsia="zh-CN"/>
        </w:rPr>
        <w:t xml:space="preserve"> </w:t>
      </w:r>
      <w:r w:rsidRPr="007B6732">
        <w:rPr>
          <w:rFonts w:ascii="Book Antiqua" w:hAnsi="Book Antiqua" w:cs="Book Antiqua"/>
        </w:rPr>
        <w:t>There was implicit consent upon filling out the questionnaire by the health care professionals that participated in our survey.</w:t>
      </w:r>
    </w:p>
    <w:p w14:paraId="78CAD25F" w14:textId="77777777" w:rsidR="0056175D" w:rsidRPr="007B6732" w:rsidRDefault="0056175D" w:rsidP="0056175D">
      <w:pPr>
        <w:widowControl w:val="0"/>
        <w:autoSpaceDE w:val="0"/>
        <w:autoSpaceDN w:val="0"/>
        <w:adjustRightInd w:val="0"/>
        <w:spacing w:line="360" w:lineRule="auto"/>
        <w:jc w:val="both"/>
        <w:rPr>
          <w:rFonts w:ascii="Book Antiqua" w:eastAsia="SimSun" w:hAnsi="Book Antiqua" w:cs="Book Antiqua"/>
          <w:b/>
          <w:lang w:eastAsia="zh-CN"/>
        </w:rPr>
      </w:pPr>
    </w:p>
    <w:p w14:paraId="1D8EDD7D" w14:textId="4F3AE934" w:rsidR="00E21528" w:rsidRPr="007B6732" w:rsidRDefault="00E21528" w:rsidP="0056175D">
      <w:pPr>
        <w:autoSpaceDE w:val="0"/>
        <w:autoSpaceDN w:val="0"/>
        <w:adjustRightInd w:val="0"/>
        <w:spacing w:line="360" w:lineRule="auto"/>
        <w:jc w:val="both"/>
        <w:rPr>
          <w:rFonts w:ascii="Book Antiqua" w:eastAsia="SimSun" w:hAnsi="Book Antiqua" w:cs="TimesNewRomanPS-BoldItalicMT"/>
          <w:bCs/>
          <w:iCs/>
          <w:color w:val="000000"/>
          <w:lang w:eastAsia="zh-CN"/>
        </w:rPr>
      </w:pPr>
      <w:r w:rsidRPr="007B6732">
        <w:rPr>
          <w:rFonts w:ascii="Book Antiqua" w:hAnsi="Book Antiqua" w:cs="TimesNewRomanPS-BoldItalicMT"/>
          <w:b/>
          <w:bCs/>
          <w:iCs/>
          <w:color w:val="000000"/>
        </w:rPr>
        <w:t>Conflict-of-interest</w:t>
      </w:r>
      <w:r w:rsidRPr="007B6732">
        <w:rPr>
          <w:rFonts w:ascii="Book Antiqua" w:hAnsi="Book Antiqua"/>
          <w:b/>
          <w:bCs/>
          <w:iCs/>
        </w:rPr>
        <w:t xml:space="preserve"> statement</w:t>
      </w:r>
      <w:r w:rsidRPr="007B6732">
        <w:rPr>
          <w:rFonts w:ascii="Book Antiqua" w:hAnsi="Book Antiqua" w:cs="TimesNewRomanPS-BoldItalicMT" w:hint="eastAsia"/>
          <w:b/>
          <w:bCs/>
          <w:iCs/>
          <w:color w:val="000000"/>
        </w:rPr>
        <w:t>:</w:t>
      </w:r>
      <w:r w:rsidR="0056175D" w:rsidRPr="007B6732">
        <w:rPr>
          <w:rFonts w:ascii="Book Antiqua" w:eastAsia="SimSun" w:hAnsi="Book Antiqua" w:cs="TimesNewRomanPS-BoldItalicMT" w:hint="eastAsia"/>
          <w:b/>
          <w:bCs/>
          <w:iCs/>
          <w:color w:val="000000"/>
          <w:lang w:eastAsia="zh-CN"/>
        </w:rPr>
        <w:t xml:space="preserve"> </w:t>
      </w:r>
      <w:r w:rsidR="00570696" w:rsidRPr="007B6732">
        <w:rPr>
          <w:rFonts w:ascii="Book Antiqua" w:hAnsi="Book Antiqua" w:cs="TimesNewRomanPS-BoldItalicMT"/>
          <w:bCs/>
          <w:iCs/>
          <w:color w:val="000000"/>
        </w:rPr>
        <w:t>There are no conflicts of interest to report</w:t>
      </w:r>
      <w:bookmarkEnd w:id="18"/>
      <w:bookmarkEnd w:id="19"/>
      <w:bookmarkEnd w:id="20"/>
      <w:bookmarkEnd w:id="21"/>
      <w:bookmarkEnd w:id="30"/>
      <w:bookmarkEnd w:id="31"/>
      <w:r w:rsidR="007A4FEC" w:rsidRPr="007B6732">
        <w:rPr>
          <w:rFonts w:ascii="Book Antiqua" w:hAnsi="Book Antiqua" w:cs="TimesNewRomanPS-BoldItalicMT"/>
          <w:bCs/>
          <w:iCs/>
          <w:color w:val="000000"/>
        </w:rPr>
        <w:t xml:space="preserve"> from any of the study’s authors. </w:t>
      </w:r>
    </w:p>
    <w:p w14:paraId="22114BC1" w14:textId="77777777" w:rsidR="0056175D" w:rsidRPr="007B6732" w:rsidRDefault="0056175D" w:rsidP="0056175D">
      <w:pPr>
        <w:autoSpaceDE w:val="0"/>
        <w:autoSpaceDN w:val="0"/>
        <w:adjustRightInd w:val="0"/>
        <w:spacing w:line="360" w:lineRule="auto"/>
        <w:jc w:val="both"/>
        <w:rPr>
          <w:rFonts w:ascii="Book Antiqua" w:eastAsia="SimSun" w:hAnsi="Book Antiqua" w:cs="TimesNewRomanPS-BoldItalicMT"/>
          <w:b/>
          <w:bCs/>
          <w:iCs/>
          <w:color w:val="000000"/>
          <w:lang w:eastAsia="zh-CN"/>
        </w:rPr>
      </w:pPr>
    </w:p>
    <w:p w14:paraId="2F1EDA81" w14:textId="54659999" w:rsidR="00484BB5" w:rsidRPr="007B6732" w:rsidRDefault="00E21528" w:rsidP="0056175D">
      <w:pPr>
        <w:autoSpaceDE w:val="0"/>
        <w:autoSpaceDN w:val="0"/>
        <w:adjustRightInd w:val="0"/>
        <w:spacing w:line="360" w:lineRule="auto"/>
        <w:jc w:val="both"/>
        <w:rPr>
          <w:rFonts w:ascii="Book Antiqua" w:hAnsi="Book Antiqua" w:cs="TimesNewRomanPS-BoldItalicMT"/>
          <w:bCs/>
          <w:iCs/>
          <w:color w:val="000000"/>
        </w:rPr>
      </w:pPr>
      <w:r w:rsidRPr="007B6732">
        <w:rPr>
          <w:rFonts w:ascii="Book Antiqua" w:hAnsi="Book Antiqua" w:cs="TimesNewRomanPS-BoldItalicMT"/>
          <w:b/>
          <w:bCs/>
          <w:iCs/>
          <w:color w:val="000000"/>
        </w:rPr>
        <w:t>Data sharing</w:t>
      </w:r>
      <w:r w:rsidRPr="007B6732">
        <w:rPr>
          <w:rFonts w:ascii="Book Antiqua" w:hAnsi="Book Antiqua"/>
          <w:b/>
          <w:bCs/>
          <w:iCs/>
        </w:rPr>
        <w:t xml:space="preserve"> statement</w:t>
      </w:r>
      <w:r w:rsidRPr="007B6732">
        <w:rPr>
          <w:rFonts w:ascii="Book Antiqua" w:hAnsi="Book Antiqua" w:cs="TimesNewRomanPS-BoldItalicMT" w:hint="eastAsia"/>
          <w:b/>
          <w:bCs/>
          <w:iCs/>
          <w:color w:val="000000"/>
        </w:rPr>
        <w:t>:</w:t>
      </w:r>
      <w:bookmarkEnd w:id="22"/>
      <w:bookmarkEnd w:id="23"/>
      <w:bookmarkEnd w:id="24"/>
      <w:bookmarkEnd w:id="25"/>
      <w:r w:rsidR="0056175D" w:rsidRPr="007B6732">
        <w:rPr>
          <w:rFonts w:ascii="Book Antiqua" w:eastAsia="SimSun" w:hAnsi="Book Antiqua" w:cs="TimesNewRomanPS-BoldItalicMT" w:hint="eastAsia"/>
          <w:bCs/>
          <w:iCs/>
          <w:color w:val="000000"/>
          <w:lang w:eastAsia="zh-CN"/>
        </w:rPr>
        <w:t xml:space="preserve"> </w:t>
      </w:r>
      <w:r w:rsidR="00570696" w:rsidRPr="007B6732">
        <w:rPr>
          <w:rFonts w:ascii="Book Antiqua" w:eastAsia="SimSun" w:hAnsi="Book Antiqua"/>
          <w:color w:val="000000"/>
          <w:lang w:eastAsia="zh-CN"/>
        </w:rPr>
        <w:t xml:space="preserve">No additional data are available. </w:t>
      </w:r>
      <w:bookmarkEnd w:id="26"/>
      <w:bookmarkEnd w:id="27"/>
    </w:p>
    <w:p w14:paraId="581BA9BB" w14:textId="77777777" w:rsidR="00484BB5" w:rsidRPr="007B6732" w:rsidRDefault="00484BB5" w:rsidP="0056175D">
      <w:pPr>
        <w:spacing w:line="360" w:lineRule="auto"/>
        <w:jc w:val="both"/>
        <w:rPr>
          <w:rFonts w:ascii="Book Antiqua" w:hAnsi="Book Antiqua"/>
          <w:b/>
        </w:rPr>
      </w:pPr>
      <w:bookmarkStart w:id="32" w:name="OLE_LINK589"/>
      <w:bookmarkStart w:id="33" w:name="OLE_LINK590"/>
      <w:bookmarkEnd w:id="28"/>
      <w:bookmarkEnd w:id="29"/>
    </w:p>
    <w:p w14:paraId="2A3A998B" w14:textId="34A09575" w:rsidR="00E21528" w:rsidRPr="007B6732" w:rsidRDefault="00E21528" w:rsidP="0056175D">
      <w:pPr>
        <w:spacing w:line="360" w:lineRule="auto"/>
        <w:jc w:val="both"/>
        <w:rPr>
          <w:rFonts w:ascii="Book Antiqua" w:hAnsi="Book Antiqua"/>
          <w:b/>
          <w:color w:val="000000"/>
        </w:rPr>
      </w:pPr>
      <w:bookmarkStart w:id="34" w:name="OLE_LINK155"/>
      <w:bookmarkStart w:id="35" w:name="OLE_LINK183"/>
      <w:bookmarkStart w:id="36" w:name="OLE_LINK441"/>
      <w:bookmarkEnd w:id="32"/>
      <w:bookmarkEnd w:id="33"/>
      <w:r w:rsidRPr="007B6732">
        <w:rPr>
          <w:rFonts w:ascii="Book Antiqua" w:hAnsi="Book Antiqua"/>
          <w:b/>
          <w:color w:val="000000"/>
        </w:rPr>
        <w:t xml:space="preserve">Open-Access: </w:t>
      </w:r>
      <w:r w:rsidRPr="007B6732">
        <w:rPr>
          <w:rFonts w:ascii="Book Antiqua" w:hAnsi="Book Antiqua"/>
          <w:color w:val="000000"/>
        </w:rPr>
        <w:t xml:space="preserve">This article is an open-access </w:t>
      </w:r>
      <w:r w:rsidR="00AB7031" w:rsidRPr="007B6732">
        <w:rPr>
          <w:rFonts w:ascii="Book Antiqua" w:hAnsi="Book Antiqua"/>
          <w:color w:val="000000"/>
        </w:rPr>
        <w:t>article, which</w:t>
      </w:r>
      <w:r w:rsidRPr="007B6732">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4"/>
    <w:bookmarkEnd w:id="35"/>
    <w:bookmarkEnd w:id="36"/>
    <w:p w14:paraId="65B1392F" w14:textId="65B61AFA" w:rsidR="00E21528" w:rsidRPr="007B6732" w:rsidRDefault="00E21528" w:rsidP="0056175D">
      <w:pPr>
        <w:spacing w:line="360" w:lineRule="auto"/>
        <w:jc w:val="both"/>
        <w:rPr>
          <w:rFonts w:ascii="Book Antiqua" w:eastAsia="SimSun" w:hAnsi="Book Antiqua" w:cs="Arial Unicode MS"/>
          <w:color w:val="000000"/>
          <w:lang w:eastAsia="zh-CN"/>
        </w:rPr>
      </w:pPr>
    </w:p>
    <w:p w14:paraId="5AEBA4ED" w14:textId="77777777" w:rsidR="00E21528" w:rsidRPr="007B6732" w:rsidRDefault="00E21528" w:rsidP="0056175D">
      <w:pPr>
        <w:spacing w:line="360" w:lineRule="auto"/>
        <w:jc w:val="both"/>
        <w:rPr>
          <w:rFonts w:ascii="Book Antiqua" w:hAnsi="Book Antiqua" w:cs="Arial Unicode MS"/>
          <w:color w:val="000000"/>
        </w:rPr>
      </w:pPr>
      <w:r w:rsidRPr="007B6732">
        <w:rPr>
          <w:rFonts w:ascii="Book Antiqua" w:hAnsi="Book Antiqua" w:cs="Arial Unicode MS"/>
          <w:b/>
          <w:color w:val="000000"/>
        </w:rPr>
        <w:t xml:space="preserve">Manuscript source: </w:t>
      </w:r>
      <w:r w:rsidRPr="007B6732">
        <w:rPr>
          <w:rFonts w:ascii="Book Antiqua" w:hAnsi="Book Antiqua" w:cs="Arial Unicode MS"/>
          <w:color w:val="000000"/>
        </w:rPr>
        <w:t>Unsolicited manuscript</w:t>
      </w:r>
    </w:p>
    <w:p w14:paraId="2C77F76D" w14:textId="77777777" w:rsidR="00E21528" w:rsidRPr="007B6732" w:rsidRDefault="00E21528" w:rsidP="0056175D">
      <w:pPr>
        <w:widowControl w:val="0"/>
        <w:autoSpaceDE w:val="0"/>
        <w:autoSpaceDN w:val="0"/>
        <w:adjustRightInd w:val="0"/>
        <w:spacing w:line="360" w:lineRule="auto"/>
        <w:jc w:val="both"/>
        <w:rPr>
          <w:rFonts w:ascii="Book Antiqua" w:eastAsia="SimSun" w:hAnsi="Book Antiqua" w:cs="Arial"/>
          <w:bCs/>
          <w:lang w:val="en-GB" w:eastAsia="zh-CN"/>
        </w:rPr>
      </w:pPr>
    </w:p>
    <w:p w14:paraId="4996262D" w14:textId="1D33B206" w:rsidR="00217D89" w:rsidRPr="007B6732" w:rsidRDefault="00E21528" w:rsidP="00943E57">
      <w:pPr>
        <w:spacing w:line="360" w:lineRule="auto"/>
        <w:jc w:val="both"/>
        <w:rPr>
          <w:rFonts w:ascii="Book Antiqua" w:eastAsia="SimSun" w:hAnsi="Book Antiqua"/>
          <w:b/>
          <w:color w:val="000000"/>
          <w:lang w:eastAsia="zh-CN"/>
        </w:rPr>
      </w:pPr>
      <w:bookmarkStart w:id="37" w:name="OLE_LINK535"/>
      <w:bookmarkStart w:id="38" w:name="OLE_LINK536"/>
      <w:r w:rsidRPr="007B6732">
        <w:rPr>
          <w:rFonts w:ascii="Book Antiqua" w:hAnsi="Book Antiqua"/>
          <w:b/>
          <w:color w:val="000000"/>
        </w:rPr>
        <w:lastRenderedPageBreak/>
        <w:t>Correspondence to:</w:t>
      </w:r>
      <w:bookmarkEnd w:id="37"/>
      <w:bookmarkEnd w:id="38"/>
      <w:r w:rsidRPr="007B6732">
        <w:rPr>
          <w:rFonts w:ascii="Book Antiqua" w:eastAsia="SimSun" w:hAnsi="Book Antiqua" w:hint="eastAsia"/>
          <w:b/>
          <w:color w:val="000000"/>
          <w:lang w:eastAsia="zh-CN"/>
        </w:rPr>
        <w:t xml:space="preserve"> </w:t>
      </w:r>
      <w:r w:rsidR="002A6B78">
        <w:rPr>
          <w:rFonts w:ascii="Book Antiqua" w:eastAsia="SimSun" w:hAnsi="Book Antiqua" w:hint="eastAsia"/>
          <w:b/>
          <w:color w:val="000000"/>
          <w:lang w:eastAsia="zh-CN"/>
        </w:rPr>
        <w:t xml:space="preserve">Dr. </w:t>
      </w:r>
      <w:r w:rsidR="00217D89" w:rsidRPr="007B6732">
        <w:rPr>
          <w:rFonts w:ascii="Book Antiqua" w:eastAsiaTheme="minorEastAsia" w:hAnsi="Book Antiqua" w:cs="Arial"/>
          <w:b/>
        </w:rPr>
        <w:t>Talat Bessissow,</w:t>
      </w:r>
      <w:r w:rsidRPr="007B6732">
        <w:rPr>
          <w:rFonts w:ascii="Book Antiqua" w:eastAsia="SimSun" w:hAnsi="Book Antiqua" w:hint="eastAsia"/>
          <w:b/>
          <w:color w:val="000000"/>
          <w:lang w:eastAsia="zh-CN"/>
        </w:rPr>
        <w:t xml:space="preserve"> </w:t>
      </w:r>
      <w:r w:rsidR="00217D89" w:rsidRPr="007B6732">
        <w:rPr>
          <w:rFonts w:ascii="Book Antiqua" w:eastAsiaTheme="minorEastAsia" w:hAnsi="Book Antiqua" w:cs="Arial"/>
        </w:rPr>
        <w:t>Division of Gastroenterology</w:t>
      </w:r>
      <w:r w:rsidRPr="007B6732">
        <w:rPr>
          <w:rFonts w:ascii="Book Antiqua" w:eastAsia="SimSun" w:hAnsi="Book Antiqua" w:hint="eastAsia"/>
          <w:b/>
          <w:color w:val="000000"/>
          <w:lang w:eastAsia="zh-CN"/>
        </w:rPr>
        <w:t xml:space="preserve">, </w:t>
      </w:r>
      <w:r w:rsidR="00217D89" w:rsidRPr="007B6732">
        <w:rPr>
          <w:rFonts w:ascii="Book Antiqua" w:eastAsiaTheme="minorEastAsia" w:hAnsi="Book Antiqua" w:cs="Arial"/>
        </w:rPr>
        <w:t>Montreal General Hospital C7-200</w:t>
      </w:r>
      <w:r w:rsidRPr="007B6732">
        <w:rPr>
          <w:rFonts w:ascii="Book Antiqua" w:eastAsia="SimSun" w:hAnsi="Book Antiqua" w:hint="eastAsia"/>
          <w:color w:val="000000"/>
          <w:lang w:eastAsia="zh-CN"/>
        </w:rPr>
        <w:t>,</w:t>
      </w:r>
      <w:r w:rsidRPr="007B6732">
        <w:rPr>
          <w:rFonts w:ascii="Book Antiqua" w:eastAsia="SimSun" w:hAnsi="Book Antiqua" w:hint="eastAsia"/>
          <w:b/>
          <w:color w:val="000000"/>
          <w:lang w:eastAsia="zh-CN"/>
        </w:rPr>
        <w:t xml:space="preserve"> </w:t>
      </w:r>
      <w:r w:rsidR="00217D89" w:rsidRPr="007B6732">
        <w:rPr>
          <w:rFonts w:ascii="Book Antiqua" w:eastAsiaTheme="minorEastAsia" w:hAnsi="Book Antiqua" w:cs="Arial"/>
        </w:rPr>
        <w:t>McGill University Health Center</w:t>
      </w:r>
      <w:r w:rsidRPr="007B6732">
        <w:rPr>
          <w:rFonts w:ascii="Book Antiqua" w:eastAsia="SimSun" w:hAnsi="Book Antiqua" w:hint="eastAsia"/>
          <w:color w:val="000000"/>
          <w:lang w:eastAsia="zh-CN"/>
        </w:rPr>
        <w:t>,</w:t>
      </w:r>
      <w:r w:rsidRPr="007B6732">
        <w:rPr>
          <w:rFonts w:ascii="Book Antiqua" w:eastAsia="SimSun" w:hAnsi="Book Antiqua" w:hint="eastAsia"/>
          <w:b/>
          <w:color w:val="000000"/>
          <w:lang w:eastAsia="zh-CN"/>
        </w:rPr>
        <w:t xml:space="preserve"> </w:t>
      </w:r>
      <w:r w:rsidR="00217D89" w:rsidRPr="007B6732">
        <w:rPr>
          <w:rFonts w:ascii="Book Antiqua" w:eastAsiaTheme="minorEastAsia" w:hAnsi="Book Antiqua" w:cs="Arial"/>
        </w:rPr>
        <w:t>1650 Avenue Cedar</w:t>
      </w:r>
      <w:r w:rsidR="00943E57" w:rsidRPr="007B6732">
        <w:rPr>
          <w:rFonts w:ascii="Book Antiqua" w:eastAsia="SimSun" w:hAnsi="Book Antiqua" w:cs="Arial" w:hint="eastAsia"/>
          <w:lang w:eastAsia="zh-CN"/>
        </w:rPr>
        <w:t>,</w:t>
      </w:r>
      <w:r w:rsidR="00943E57" w:rsidRPr="007B6732">
        <w:rPr>
          <w:rFonts w:ascii="Book Antiqua" w:eastAsia="SimSun" w:hAnsi="Book Antiqua" w:hint="eastAsia"/>
          <w:b/>
          <w:color w:val="000000"/>
          <w:lang w:eastAsia="zh-CN"/>
        </w:rPr>
        <w:t xml:space="preserve"> </w:t>
      </w:r>
      <w:r w:rsidR="00217D89" w:rsidRPr="007B6732">
        <w:rPr>
          <w:rFonts w:ascii="Book Antiqua" w:eastAsiaTheme="minorEastAsia" w:hAnsi="Book Antiqua" w:cs="Arial"/>
        </w:rPr>
        <w:t>Montreal, Quebec</w:t>
      </w:r>
      <w:r w:rsidR="0056175D" w:rsidRPr="007B6732">
        <w:rPr>
          <w:rFonts w:ascii="Book Antiqua" w:eastAsia="SimSun" w:hAnsi="Book Antiqua" w:cs="Arial" w:hint="eastAsia"/>
          <w:lang w:eastAsia="zh-CN"/>
        </w:rPr>
        <w:t xml:space="preserve"> </w:t>
      </w:r>
      <w:r w:rsidR="00217D89" w:rsidRPr="007B6732">
        <w:rPr>
          <w:rFonts w:ascii="Book Antiqua" w:eastAsiaTheme="minorEastAsia" w:hAnsi="Book Antiqua" w:cs="Arial"/>
        </w:rPr>
        <w:t>H3G 1A4</w:t>
      </w:r>
      <w:r w:rsidR="0056175D" w:rsidRPr="007B6732">
        <w:rPr>
          <w:rFonts w:ascii="Book Antiqua" w:eastAsia="SimSun" w:hAnsi="Book Antiqua" w:cs="Arial" w:hint="eastAsia"/>
          <w:lang w:eastAsia="zh-CN"/>
        </w:rPr>
        <w:t xml:space="preserve">, </w:t>
      </w:r>
      <w:r w:rsidR="0056175D" w:rsidRPr="007B6732">
        <w:rPr>
          <w:rFonts w:ascii="Book Antiqua" w:eastAsiaTheme="minorEastAsia" w:hAnsi="Book Antiqua" w:cs="Arial"/>
        </w:rPr>
        <w:t>Canada</w:t>
      </w:r>
      <w:r w:rsidRPr="007B6732">
        <w:rPr>
          <w:rFonts w:ascii="Book Antiqua" w:eastAsia="SimSun" w:hAnsi="Book Antiqua" w:cs="Arial" w:hint="eastAsia"/>
          <w:lang w:eastAsia="zh-CN"/>
        </w:rPr>
        <w:t>.</w:t>
      </w:r>
      <w:r w:rsidRPr="007B6732">
        <w:rPr>
          <w:rFonts w:ascii="Book Antiqua" w:eastAsiaTheme="minorEastAsia" w:hAnsi="Book Antiqua" w:cs="Arial"/>
        </w:rPr>
        <w:t xml:space="preserve"> talat.bessissow@mcgill.ca</w:t>
      </w:r>
    </w:p>
    <w:p w14:paraId="20435BB3" w14:textId="283C95FC" w:rsidR="00217D89" w:rsidRPr="007B6732" w:rsidRDefault="00943E57" w:rsidP="0056175D">
      <w:pPr>
        <w:widowControl w:val="0"/>
        <w:autoSpaceDE w:val="0"/>
        <w:autoSpaceDN w:val="0"/>
        <w:adjustRightInd w:val="0"/>
        <w:spacing w:line="360" w:lineRule="auto"/>
        <w:jc w:val="both"/>
        <w:rPr>
          <w:rFonts w:ascii="Book Antiqua" w:eastAsiaTheme="minorEastAsia" w:hAnsi="Book Antiqua" w:cs="Arial"/>
        </w:rPr>
      </w:pPr>
      <w:r w:rsidRPr="007B6732">
        <w:rPr>
          <w:rFonts w:ascii="Book Antiqua" w:eastAsia="SimSun" w:hAnsi="Book Antiqua" w:cs="Arial" w:hint="eastAsia"/>
          <w:b/>
          <w:lang w:eastAsia="zh-CN"/>
        </w:rPr>
        <w:t>Telephone</w:t>
      </w:r>
      <w:r w:rsidR="00217D89" w:rsidRPr="007B6732">
        <w:rPr>
          <w:rFonts w:ascii="Book Antiqua" w:eastAsiaTheme="minorEastAsia" w:hAnsi="Book Antiqua" w:cs="Arial"/>
        </w:rPr>
        <w:t xml:space="preserve">: </w:t>
      </w:r>
      <w:r w:rsidR="0056175D" w:rsidRPr="007B6732">
        <w:rPr>
          <w:rFonts w:ascii="Book Antiqua" w:eastAsia="SimSun" w:hAnsi="Book Antiqua" w:cs="Arial" w:hint="eastAsia"/>
          <w:lang w:eastAsia="zh-CN"/>
        </w:rPr>
        <w:t>+1-</w:t>
      </w:r>
      <w:r w:rsidR="00217D89" w:rsidRPr="007B6732">
        <w:rPr>
          <w:rFonts w:ascii="Book Antiqua" w:eastAsiaTheme="minorEastAsia" w:hAnsi="Book Antiqua" w:cs="Arial"/>
        </w:rPr>
        <w:t>514-934-8531</w:t>
      </w:r>
    </w:p>
    <w:p w14:paraId="5321A337" w14:textId="0CC312E0" w:rsidR="00217D89" w:rsidRPr="007B6732" w:rsidRDefault="00943E57" w:rsidP="0056175D">
      <w:pPr>
        <w:widowControl w:val="0"/>
        <w:autoSpaceDE w:val="0"/>
        <w:autoSpaceDN w:val="0"/>
        <w:adjustRightInd w:val="0"/>
        <w:spacing w:line="360" w:lineRule="auto"/>
        <w:jc w:val="both"/>
        <w:rPr>
          <w:rFonts w:ascii="Book Antiqua" w:eastAsia="SimSun" w:hAnsi="Book Antiqua" w:cs="Arial"/>
          <w:lang w:eastAsia="zh-CN"/>
        </w:rPr>
      </w:pPr>
      <w:r w:rsidRPr="007B6732">
        <w:rPr>
          <w:rFonts w:ascii="Book Antiqua" w:eastAsia="SimSun" w:hAnsi="Book Antiqua" w:cs="Arial" w:hint="eastAsia"/>
          <w:b/>
          <w:lang w:eastAsia="zh-CN"/>
        </w:rPr>
        <w:t>Fax</w:t>
      </w:r>
      <w:r w:rsidRPr="007B6732">
        <w:rPr>
          <w:rFonts w:ascii="Book Antiqua" w:eastAsia="SimSun" w:hAnsi="Book Antiqua" w:cs="Arial" w:hint="eastAsia"/>
          <w:lang w:eastAsia="zh-CN"/>
        </w:rPr>
        <w:t>: +1-</w:t>
      </w:r>
      <w:r w:rsidRPr="007B6732">
        <w:rPr>
          <w:rFonts w:ascii="Book Antiqua" w:eastAsiaTheme="minorEastAsia" w:hAnsi="Book Antiqua" w:cs="Arial"/>
        </w:rPr>
        <w:t>514-934-8531</w:t>
      </w:r>
    </w:p>
    <w:p w14:paraId="32B7CF60" w14:textId="77777777" w:rsidR="00943E57" w:rsidRPr="007B6732" w:rsidRDefault="00943E57" w:rsidP="0056175D">
      <w:pPr>
        <w:widowControl w:val="0"/>
        <w:autoSpaceDE w:val="0"/>
        <w:autoSpaceDN w:val="0"/>
        <w:adjustRightInd w:val="0"/>
        <w:spacing w:line="360" w:lineRule="auto"/>
        <w:jc w:val="both"/>
        <w:rPr>
          <w:rFonts w:ascii="Book Antiqua" w:eastAsia="SimSun" w:hAnsi="Book Antiqua" w:cs="Arial"/>
          <w:lang w:eastAsia="zh-CN"/>
        </w:rPr>
      </w:pPr>
    </w:p>
    <w:p w14:paraId="713C9D09" w14:textId="525D8D02" w:rsidR="00E21528" w:rsidRPr="007B6732" w:rsidRDefault="00E21528" w:rsidP="0056175D">
      <w:pPr>
        <w:spacing w:line="360" w:lineRule="auto"/>
        <w:jc w:val="both"/>
        <w:rPr>
          <w:rFonts w:ascii="Book Antiqua" w:eastAsia="SimSun" w:hAnsi="Book Antiqua"/>
          <w:b/>
          <w:lang w:eastAsia="zh-CN"/>
        </w:rPr>
      </w:pPr>
      <w:bookmarkStart w:id="39" w:name="OLE_LINK476"/>
      <w:bookmarkStart w:id="40" w:name="OLE_LINK477"/>
      <w:bookmarkStart w:id="41" w:name="OLE_LINK117"/>
      <w:bookmarkStart w:id="42" w:name="OLE_LINK528"/>
      <w:bookmarkStart w:id="43" w:name="OLE_LINK557"/>
      <w:r w:rsidRPr="007B6732">
        <w:rPr>
          <w:rFonts w:ascii="Book Antiqua" w:hAnsi="Book Antiqua"/>
          <w:b/>
        </w:rPr>
        <w:t>Received:</w:t>
      </w:r>
      <w:r w:rsidR="00484BB5" w:rsidRPr="007B6732">
        <w:rPr>
          <w:rFonts w:ascii="Book Antiqua" w:hAnsi="Book Antiqua"/>
          <w:b/>
        </w:rPr>
        <w:t xml:space="preserve"> </w:t>
      </w:r>
      <w:r w:rsidR="00B610E5" w:rsidRPr="007B6732">
        <w:rPr>
          <w:rFonts w:ascii="Book Antiqua" w:eastAsia="SimSun" w:hAnsi="Book Antiqua" w:hint="eastAsia"/>
          <w:lang w:eastAsia="zh-CN"/>
        </w:rPr>
        <w:t>February 17, 2017</w:t>
      </w:r>
    </w:p>
    <w:p w14:paraId="3D614EB1" w14:textId="7B54E376" w:rsidR="00E21528" w:rsidRPr="007B6732" w:rsidRDefault="00E21528" w:rsidP="0056175D">
      <w:pPr>
        <w:spacing w:line="360" w:lineRule="auto"/>
        <w:jc w:val="both"/>
        <w:rPr>
          <w:rFonts w:ascii="Book Antiqua" w:hAnsi="Book Antiqua"/>
          <w:b/>
        </w:rPr>
      </w:pPr>
      <w:r w:rsidRPr="007B6732">
        <w:rPr>
          <w:rFonts w:ascii="Book Antiqua" w:hAnsi="Book Antiqua" w:hint="eastAsia"/>
          <w:b/>
        </w:rPr>
        <w:t>Peer-review started</w:t>
      </w:r>
      <w:r w:rsidRPr="007B6732">
        <w:rPr>
          <w:rFonts w:ascii="Book Antiqua" w:hAnsi="Book Antiqua"/>
          <w:b/>
        </w:rPr>
        <w:t>:</w:t>
      </w:r>
      <w:r w:rsidR="00B610E5" w:rsidRPr="007B6732">
        <w:rPr>
          <w:rFonts w:ascii="Book Antiqua" w:eastAsia="SimSun" w:hAnsi="Book Antiqua" w:hint="eastAsia"/>
          <w:lang w:eastAsia="zh-CN"/>
        </w:rPr>
        <w:t xml:space="preserve"> February 18, 2017</w:t>
      </w:r>
    </w:p>
    <w:p w14:paraId="5914AFD8" w14:textId="62AB63DB" w:rsidR="00E21528" w:rsidRPr="007B6732" w:rsidRDefault="00E21528" w:rsidP="0056175D">
      <w:pPr>
        <w:spacing w:line="360" w:lineRule="auto"/>
        <w:jc w:val="both"/>
        <w:rPr>
          <w:rFonts w:ascii="Book Antiqua" w:eastAsia="SimSun" w:hAnsi="Book Antiqua"/>
          <w:b/>
          <w:lang w:eastAsia="zh-CN"/>
        </w:rPr>
      </w:pPr>
      <w:r w:rsidRPr="007B6732">
        <w:rPr>
          <w:rFonts w:ascii="Book Antiqua" w:hAnsi="Book Antiqua"/>
          <w:b/>
        </w:rPr>
        <w:t>First decision:</w:t>
      </w:r>
      <w:r w:rsidR="00B610E5" w:rsidRPr="007B6732">
        <w:rPr>
          <w:rFonts w:ascii="Book Antiqua" w:eastAsia="SimSun" w:hAnsi="Book Antiqua" w:hint="eastAsia"/>
          <w:b/>
          <w:lang w:eastAsia="zh-CN"/>
        </w:rPr>
        <w:t xml:space="preserve"> </w:t>
      </w:r>
      <w:r w:rsidR="00B610E5" w:rsidRPr="007B6732">
        <w:rPr>
          <w:rFonts w:ascii="Book Antiqua" w:eastAsia="SimSun" w:hAnsi="Book Antiqua" w:hint="eastAsia"/>
          <w:lang w:eastAsia="zh-CN"/>
        </w:rPr>
        <w:t>March 3, 2017</w:t>
      </w:r>
    </w:p>
    <w:p w14:paraId="09AADF9E" w14:textId="6E74C594" w:rsidR="00E21528" w:rsidRPr="007B6732" w:rsidRDefault="00E21528" w:rsidP="0056175D">
      <w:pPr>
        <w:spacing w:line="360" w:lineRule="auto"/>
        <w:jc w:val="both"/>
        <w:rPr>
          <w:rFonts w:ascii="Book Antiqua" w:hAnsi="Book Antiqua"/>
          <w:b/>
        </w:rPr>
      </w:pPr>
      <w:r w:rsidRPr="007B6732">
        <w:rPr>
          <w:rFonts w:ascii="Book Antiqua" w:hAnsi="Book Antiqua"/>
          <w:b/>
        </w:rPr>
        <w:t>Revised:</w:t>
      </w:r>
      <w:r w:rsidR="00B610E5" w:rsidRPr="007B6732">
        <w:rPr>
          <w:rFonts w:ascii="Book Antiqua" w:eastAsia="SimSun" w:hAnsi="Book Antiqua" w:hint="eastAsia"/>
          <w:lang w:eastAsia="zh-CN"/>
        </w:rPr>
        <w:t xml:space="preserve"> March 28, 2017</w:t>
      </w:r>
    </w:p>
    <w:p w14:paraId="7B516452" w14:textId="2DBA5F08" w:rsidR="00E21528" w:rsidRPr="007A7526" w:rsidRDefault="00E21528" w:rsidP="007A7526">
      <w:pPr>
        <w:spacing w:line="360" w:lineRule="auto"/>
        <w:rPr>
          <w:rFonts w:ascii="Book Antiqua" w:hAnsi="Book Antiqua"/>
          <w:color w:val="000000"/>
        </w:rPr>
      </w:pPr>
      <w:r w:rsidRPr="007B6732">
        <w:rPr>
          <w:rFonts w:ascii="Book Antiqua" w:hAnsi="Book Antiqua"/>
          <w:b/>
        </w:rPr>
        <w:t>Accepted:</w:t>
      </w:r>
      <w:bookmarkStart w:id="44" w:name="OLE_LINK118"/>
      <w:r w:rsidR="007A7526" w:rsidRPr="007A7526">
        <w:rPr>
          <w:rFonts w:ascii="Book Antiqua" w:hAnsi="Book Antiqua"/>
          <w:color w:val="000000"/>
        </w:rPr>
        <w:t xml:space="preserve"> </w:t>
      </w:r>
      <w:r w:rsidR="007A7526">
        <w:rPr>
          <w:rFonts w:ascii="Book Antiqua" w:hAnsi="Book Antiqua"/>
          <w:color w:val="000000"/>
        </w:rPr>
        <w:t>May 9, 2017</w:t>
      </w:r>
      <w:bookmarkStart w:id="45" w:name="_GoBack"/>
      <w:bookmarkEnd w:id="44"/>
      <w:bookmarkEnd w:id="45"/>
      <w:r w:rsidRPr="007B6732">
        <w:rPr>
          <w:rFonts w:ascii="Book Antiqua" w:hAnsi="Book Antiqua" w:hint="eastAsia"/>
          <w:b/>
        </w:rPr>
        <w:t xml:space="preserve">  </w:t>
      </w:r>
    </w:p>
    <w:p w14:paraId="7C829944" w14:textId="77777777" w:rsidR="00E21528" w:rsidRPr="007B6732" w:rsidRDefault="00E21528" w:rsidP="0056175D">
      <w:pPr>
        <w:spacing w:line="360" w:lineRule="auto"/>
        <w:jc w:val="both"/>
        <w:rPr>
          <w:rFonts w:ascii="Book Antiqua" w:hAnsi="Book Antiqua"/>
          <w:b/>
        </w:rPr>
      </w:pPr>
      <w:r w:rsidRPr="007B6732">
        <w:rPr>
          <w:rFonts w:ascii="Book Antiqua" w:hAnsi="Book Antiqua"/>
          <w:b/>
        </w:rPr>
        <w:t>Article in press:</w:t>
      </w:r>
    </w:p>
    <w:p w14:paraId="393ED318" w14:textId="77777777" w:rsidR="00E21528" w:rsidRPr="007B6732" w:rsidRDefault="00E21528" w:rsidP="0056175D">
      <w:pPr>
        <w:spacing w:line="360" w:lineRule="auto"/>
        <w:jc w:val="both"/>
        <w:rPr>
          <w:rFonts w:ascii="Book Antiqua" w:hAnsi="Book Antiqua"/>
          <w:b/>
        </w:rPr>
      </w:pPr>
      <w:r w:rsidRPr="007B6732">
        <w:rPr>
          <w:rFonts w:ascii="Book Antiqua" w:hAnsi="Book Antiqua"/>
          <w:b/>
        </w:rPr>
        <w:t>Published online:</w:t>
      </w:r>
    </w:p>
    <w:bookmarkEnd w:id="39"/>
    <w:bookmarkEnd w:id="40"/>
    <w:bookmarkEnd w:id="41"/>
    <w:bookmarkEnd w:id="42"/>
    <w:bookmarkEnd w:id="43"/>
    <w:p w14:paraId="462527D0" w14:textId="40B873BB" w:rsidR="00217D89" w:rsidRPr="007B6732" w:rsidRDefault="00217D89" w:rsidP="0056175D">
      <w:pPr>
        <w:widowControl w:val="0"/>
        <w:autoSpaceDE w:val="0"/>
        <w:autoSpaceDN w:val="0"/>
        <w:adjustRightInd w:val="0"/>
        <w:spacing w:line="360" w:lineRule="auto"/>
        <w:jc w:val="both"/>
        <w:rPr>
          <w:rFonts w:ascii="Book Antiqua" w:eastAsia="SimSun" w:hAnsi="Book Antiqua" w:cs="Arial"/>
          <w:lang w:eastAsia="zh-CN"/>
        </w:rPr>
      </w:pPr>
    </w:p>
    <w:p w14:paraId="1A7532A7" w14:textId="77777777" w:rsidR="00217D89" w:rsidRPr="007B6732" w:rsidRDefault="00217D89" w:rsidP="0056175D">
      <w:pPr>
        <w:widowControl w:val="0"/>
        <w:autoSpaceDE w:val="0"/>
        <w:autoSpaceDN w:val="0"/>
        <w:adjustRightInd w:val="0"/>
        <w:spacing w:line="360" w:lineRule="auto"/>
        <w:jc w:val="both"/>
        <w:rPr>
          <w:rFonts w:ascii="Book Antiqua" w:hAnsi="Book Antiqua" w:cs="Arial"/>
        </w:rPr>
      </w:pPr>
    </w:p>
    <w:p w14:paraId="20BDE4A9" w14:textId="77777777" w:rsidR="00E21528" w:rsidRPr="007B6732" w:rsidRDefault="00E21528" w:rsidP="0056175D">
      <w:pPr>
        <w:spacing w:line="360" w:lineRule="auto"/>
        <w:jc w:val="both"/>
        <w:rPr>
          <w:rFonts w:ascii="Book Antiqua" w:hAnsi="Book Antiqua" w:cs="Arial"/>
          <w:b/>
        </w:rPr>
      </w:pPr>
      <w:r w:rsidRPr="007B6732">
        <w:rPr>
          <w:rFonts w:ascii="Book Antiqua" w:hAnsi="Book Antiqua" w:cs="Arial"/>
          <w:b/>
        </w:rPr>
        <w:br w:type="page"/>
      </w:r>
    </w:p>
    <w:p w14:paraId="1D24ED36" w14:textId="5AB7B090" w:rsidR="00217D89" w:rsidRPr="007B6732" w:rsidRDefault="00B610E5" w:rsidP="0056175D">
      <w:pPr>
        <w:widowControl w:val="0"/>
        <w:autoSpaceDE w:val="0"/>
        <w:autoSpaceDN w:val="0"/>
        <w:adjustRightInd w:val="0"/>
        <w:spacing w:line="360" w:lineRule="auto"/>
        <w:jc w:val="both"/>
        <w:rPr>
          <w:rFonts w:ascii="Book Antiqua" w:eastAsia="SimSun" w:hAnsi="Book Antiqua" w:cs="Arial"/>
          <w:b/>
          <w:lang w:eastAsia="zh-CN"/>
        </w:rPr>
      </w:pPr>
      <w:r w:rsidRPr="007B6732">
        <w:rPr>
          <w:rFonts w:ascii="Book Antiqua" w:hAnsi="Book Antiqua" w:cs="Arial"/>
          <w:b/>
        </w:rPr>
        <w:lastRenderedPageBreak/>
        <w:t>Abstract</w:t>
      </w:r>
    </w:p>
    <w:p w14:paraId="1814F54C" w14:textId="77777777" w:rsidR="00B610E5" w:rsidRPr="007B6732" w:rsidRDefault="00B610E5" w:rsidP="00B610E5">
      <w:pPr>
        <w:widowControl w:val="0"/>
        <w:autoSpaceDE w:val="0"/>
        <w:autoSpaceDN w:val="0"/>
        <w:adjustRightInd w:val="0"/>
        <w:spacing w:line="360" w:lineRule="auto"/>
        <w:jc w:val="both"/>
        <w:rPr>
          <w:rFonts w:ascii="Book Antiqua" w:eastAsia="SimSun" w:hAnsi="Book Antiqua" w:cs="Arial"/>
          <w:b/>
          <w:i/>
          <w:lang w:eastAsia="zh-CN"/>
        </w:rPr>
      </w:pPr>
      <w:r w:rsidRPr="007B6732">
        <w:rPr>
          <w:rFonts w:ascii="Book Antiqua" w:eastAsia="SimSun" w:hAnsi="Book Antiqua" w:cs="Arial" w:hint="eastAsia"/>
          <w:b/>
          <w:i/>
          <w:lang w:eastAsia="zh-CN"/>
        </w:rPr>
        <w:t>AIM</w:t>
      </w:r>
    </w:p>
    <w:p w14:paraId="041E0BB3" w14:textId="66C1AEEF" w:rsidR="00217D89" w:rsidRPr="007B6732" w:rsidRDefault="00B610E5" w:rsidP="00B610E5">
      <w:pPr>
        <w:widowControl w:val="0"/>
        <w:autoSpaceDE w:val="0"/>
        <w:autoSpaceDN w:val="0"/>
        <w:adjustRightInd w:val="0"/>
        <w:spacing w:line="360" w:lineRule="auto"/>
        <w:jc w:val="both"/>
        <w:rPr>
          <w:rFonts w:ascii="Book Antiqua" w:hAnsi="Book Antiqua" w:cs="Arial"/>
        </w:rPr>
      </w:pPr>
      <w:r w:rsidRPr="007B6732">
        <w:rPr>
          <w:rFonts w:ascii="Book Antiqua" w:hAnsi="Book Antiqua" w:cs="Arial"/>
        </w:rPr>
        <w:t xml:space="preserve">To </w:t>
      </w:r>
      <w:r w:rsidR="00217D89" w:rsidRPr="007B6732">
        <w:rPr>
          <w:rFonts w:ascii="Book Antiqua" w:hAnsi="Book Antiqua" w:cs="Arial"/>
        </w:rPr>
        <w:t xml:space="preserve">determine the tools needed and problems encountered during the transition of </w:t>
      </w:r>
      <w:r w:rsidRPr="007B6732">
        <w:rPr>
          <w:rFonts w:ascii="Book Antiqua" w:eastAsia="SimSun" w:hAnsi="Book Antiqua" w:cs="Arial"/>
          <w:lang w:eastAsia="zh-CN"/>
        </w:rPr>
        <w:t>i</w:t>
      </w:r>
      <w:r w:rsidRPr="007B6732">
        <w:rPr>
          <w:rFonts w:ascii="Book Antiqua" w:hAnsi="Book Antiqua" w:cs="Arial"/>
        </w:rPr>
        <w:t>nflammatory bowel disease (IBD</w:t>
      </w:r>
      <w:r w:rsidRPr="007B6732">
        <w:rPr>
          <w:rFonts w:ascii="Book Antiqua" w:eastAsia="SimSun" w:hAnsi="Book Antiqua" w:cs="Arial" w:hint="eastAsia"/>
          <w:lang w:eastAsia="zh-CN"/>
        </w:rPr>
        <w:t>)</w:t>
      </w:r>
      <w:r w:rsidRPr="007B6732">
        <w:rPr>
          <w:rFonts w:ascii="Book Antiqua" w:hAnsi="Book Antiqua" w:cs="Arial"/>
        </w:rPr>
        <w:t xml:space="preserve"> </w:t>
      </w:r>
      <w:r w:rsidR="00217D89" w:rsidRPr="007B6732">
        <w:rPr>
          <w:rFonts w:ascii="Book Antiqua" w:hAnsi="Book Antiqua" w:cs="Arial"/>
        </w:rPr>
        <w:t>patients from pediatric to adult gastroenterologists (GIs) in Québec, Canada.</w:t>
      </w:r>
    </w:p>
    <w:p w14:paraId="0FB380DC" w14:textId="77777777" w:rsidR="00217D89" w:rsidRPr="007B6732" w:rsidRDefault="00217D89" w:rsidP="0056175D">
      <w:pPr>
        <w:widowControl w:val="0"/>
        <w:autoSpaceDE w:val="0"/>
        <w:autoSpaceDN w:val="0"/>
        <w:adjustRightInd w:val="0"/>
        <w:spacing w:line="360" w:lineRule="auto"/>
        <w:jc w:val="both"/>
        <w:rPr>
          <w:rFonts w:ascii="Book Antiqua" w:hAnsi="Book Antiqua" w:cs="Arial"/>
        </w:rPr>
      </w:pPr>
    </w:p>
    <w:p w14:paraId="74633F8D" w14:textId="701E4B35" w:rsidR="00217D89" w:rsidRPr="007B6732" w:rsidRDefault="00B610E5" w:rsidP="0056175D">
      <w:pPr>
        <w:widowControl w:val="0"/>
        <w:autoSpaceDE w:val="0"/>
        <w:autoSpaceDN w:val="0"/>
        <w:adjustRightInd w:val="0"/>
        <w:spacing w:line="360" w:lineRule="auto"/>
        <w:jc w:val="both"/>
        <w:rPr>
          <w:rFonts w:ascii="Book Antiqua" w:eastAsia="SimSun" w:hAnsi="Book Antiqua" w:cs="Arial"/>
          <w:b/>
          <w:i/>
          <w:lang w:eastAsia="zh-CN"/>
        </w:rPr>
      </w:pPr>
      <w:r w:rsidRPr="007B6732">
        <w:rPr>
          <w:rFonts w:ascii="Book Antiqua" w:hAnsi="Book Antiqua" w:cs="Arial"/>
          <w:b/>
          <w:i/>
        </w:rPr>
        <w:t>METHODS</w:t>
      </w:r>
    </w:p>
    <w:p w14:paraId="1E89F6F1" w14:textId="77777777" w:rsidR="00217D89" w:rsidRPr="007B6732" w:rsidRDefault="00217D89" w:rsidP="0056175D">
      <w:pPr>
        <w:widowControl w:val="0"/>
        <w:autoSpaceDE w:val="0"/>
        <w:autoSpaceDN w:val="0"/>
        <w:adjustRightInd w:val="0"/>
        <w:spacing w:line="360" w:lineRule="auto"/>
        <w:jc w:val="both"/>
        <w:rPr>
          <w:rFonts w:ascii="Book Antiqua" w:hAnsi="Book Antiqua" w:cs="Arial"/>
        </w:rPr>
      </w:pPr>
      <w:r w:rsidRPr="007B6732">
        <w:rPr>
          <w:rFonts w:ascii="Book Antiqua" w:hAnsi="Book Antiqua" w:cs="Arial"/>
        </w:rPr>
        <w:t>We conducted a needs assessment survey of Quebec health care professionals (HCPs). The survey was handed out to 136 Québec HCPs at a local conference in 2013. Additionally</w:t>
      </w:r>
      <w:r w:rsidR="003652DD" w:rsidRPr="007B6732">
        <w:rPr>
          <w:rFonts w:ascii="Book Antiqua" w:hAnsi="Book Antiqua" w:cs="Arial"/>
        </w:rPr>
        <w:t>,</w:t>
      </w:r>
      <w:r w:rsidRPr="007B6732">
        <w:rPr>
          <w:rFonts w:ascii="Book Antiqua" w:hAnsi="Book Antiqua" w:cs="Arial"/>
        </w:rPr>
        <w:t xml:space="preserve"> it was emailed to any other HCPs in Quebec involved in caring for IBD patients. The completed surveys were compiled to derive descriptive data. Further specific subgroup analysis was then conducted. </w:t>
      </w:r>
    </w:p>
    <w:p w14:paraId="2DD332A0" w14:textId="77777777" w:rsidR="00217D89" w:rsidRPr="007B6732" w:rsidRDefault="00217D89" w:rsidP="0056175D">
      <w:pPr>
        <w:widowControl w:val="0"/>
        <w:autoSpaceDE w:val="0"/>
        <w:autoSpaceDN w:val="0"/>
        <w:adjustRightInd w:val="0"/>
        <w:spacing w:line="360" w:lineRule="auto"/>
        <w:jc w:val="both"/>
        <w:rPr>
          <w:rFonts w:ascii="Book Antiqua" w:hAnsi="Book Antiqua" w:cs="Arial"/>
        </w:rPr>
      </w:pPr>
    </w:p>
    <w:p w14:paraId="1A49EB03" w14:textId="3061B21B" w:rsidR="00217D89" w:rsidRPr="007B6732" w:rsidRDefault="00B610E5" w:rsidP="0056175D">
      <w:pPr>
        <w:widowControl w:val="0"/>
        <w:autoSpaceDE w:val="0"/>
        <w:autoSpaceDN w:val="0"/>
        <w:adjustRightInd w:val="0"/>
        <w:spacing w:line="360" w:lineRule="auto"/>
        <w:jc w:val="both"/>
        <w:rPr>
          <w:rFonts w:ascii="Book Antiqua" w:eastAsia="SimSun" w:hAnsi="Book Antiqua" w:cs="Arial"/>
          <w:b/>
          <w:i/>
          <w:lang w:eastAsia="zh-CN"/>
        </w:rPr>
      </w:pPr>
      <w:r w:rsidRPr="007B6732">
        <w:rPr>
          <w:rFonts w:ascii="Book Antiqua" w:hAnsi="Book Antiqua" w:cs="Arial"/>
          <w:b/>
          <w:i/>
        </w:rPr>
        <w:t>RESULTS</w:t>
      </w:r>
    </w:p>
    <w:p w14:paraId="20C97F20" w14:textId="1AF7B7C3" w:rsidR="00217D89" w:rsidRPr="007B6732" w:rsidRDefault="00217D89" w:rsidP="0056175D">
      <w:pPr>
        <w:widowControl w:val="0"/>
        <w:autoSpaceDE w:val="0"/>
        <w:autoSpaceDN w:val="0"/>
        <w:adjustRightInd w:val="0"/>
        <w:spacing w:line="360" w:lineRule="auto"/>
        <w:jc w:val="both"/>
        <w:rPr>
          <w:rFonts w:ascii="Book Antiqua" w:hAnsi="Book Antiqua" w:cs="Arial"/>
        </w:rPr>
      </w:pPr>
      <w:r w:rsidRPr="007B6732">
        <w:rPr>
          <w:rFonts w:ascii="Book Antiqua" w:hAnsi="Book Antiqua" w:cs="Arial"/>
        </w:rPr>
        <w:t>Among the conference atten</w:t>
      </w:r>
      <w:r w:rsidR="003652DD" w:rsidRPr="007B6732">
        <w:rPr>
          <w:rFonts w:ascii="Book Antiqua" w:hAnsi="Book Antiqua" w:cs="Arial"/>
        </w:rPr>
        <w:t xml:space="preserve">dees and individuals emailed </w:t>
      </w:r>
      <w:r w:rsidR="00F400B5" w:rsidRPr="007B6732">
        <w:rPr>
          <w:rFonts w:ascii="Book Antiqua" w:hAnsi="Book Antiqua" w:cs="Arial"/>
        </w:rPr>
        <w:t>77</w:t>
      </w:r>
      <w:r w:rsidR="003C61FD" w:rsidRPr="007B6732">
        <w:rPr>
          <w:rFonts w:ascii="Book Antiqua" w:hAnsi="Book Antiqua" w:cs="Arial"/>
        </w:rPr>
        <w:t xml:space="preserve"> </w:t>
      </w:r>
      <w:r w:rsidR="00776F59" w:rsidRPr="007B6732">
        <w:rPr>
          <w:rFonts w:ascii="Book Antiqua" w:hAnsi="Book Antiqua" w:cs="Arial"/>
        </w:rPr>
        <w:t>(28.2</w:t>
      </w:r>
      <w:r w:rsidRPr="007B6732">
        <w:rPr>
          <w:rFonts w:ascii="Book Antiqua" w:hAnsi="Book Antiqua" w:cs="Arial"/>
        </w:rPr>
        <w:t xml:space="preserve">%) completed the questionnaire. </w:t>
      </w:r>
      <w:r w:rsidR="0092293F" w:rsidRPr="007B6732">
        <w:rPr>
          <w:rFonts w:ascii="Book Antiqua" w:hAnsi="Book Antiqua" w:cs="Arial"/>
        </w:rPr>
        <w:t>Respondents included adult GIs</w:t>
      </w:r>
      <w:r w:rsidR="003C61FD" w:rsidRPr="007B6732">
        <w:rPr>
          <w:rFonts w:ascii="Book Antiqua" w:hAnsi="Book Antiqua" w:cs="Arial"/>
        </w:rPr>
        <w:t xml:space="preserve"> </w:t>
      </w:r>
      <w:r w:rsidRPr="007B6732">
        <w:rPr>
          <w:rFonts w:ascii="Book Antiqua" w:hAnsi="Book Antiqua" w:cs="Arial"/>
        </w:rPr>
        <w:t>(</w:t>
      </w:r>
      <w:r w:rsidR="00F400B5" w:rsidRPr="007B6732">
        <w:rPr>
          <w:rFonts w:ascii="Book Antiqua" w:hAnsi="Book Antiqua" w:cs="Arial"/>
        </w:rPr>
        <w:t>61.3</w:t>
      </w:r>
      <w:r w:rsidRPr="007B6732">
        <w:rPr>
          <w:rFonts w:ascii="Book Antiqua" w:hAnsi="Book Antiqua" w:cs="Arial"/>
        </w:rPr>
        <w:t xml:space="preserve">%), </w:t>
      </w:r>
      <w:r w:rsidR="0092293F" w:rsidRPr="007B6732">
        <w:rPr>
          <w:rFonts w:ascii="Book Antiqua" w:hAnsi="Book Antiqua" w:cs="Arial"/>
        </w:rPr>
        <w:t>pediatric GIs</w:t>
      </w:r>
      <w:r w:rsidR="003C61FD" w:rsidRPr="007B6732">
        <w:rPr>
          <w:rFonts w:ascii="Book Antiqua" w:hAnsi="Book Antiqua" w:cs="Arial"/>
        </w:rPr>
        <w:t xml:space="preserve"> </w:t>
      </w:r>
      <w:r w:rsidR="00F400B5" w:rsidRPr="007B6732">
        <w:rPr>
          <w:rFonts w:ascii="Book Antiqua" w:hAnsi="Book Antiqua" w:cs="Arial"/>
        </w:rPr>
        <w:t>(20.8</w:t>
      </w:r>
      <w:r w:rsidR="00FC09E6" w:rsidRPr="007B6732">
        <w:rPr>
          <w:rFonts w:ascii="Book Antiqua" w:hAnsi="Book Antiqua" w:cs="Arial"/>
        </w:rPr>
        <w:t xml:space="preserve">%) and </w:t>
      </w:r>
      <w:r w:rsidR="0092293F" w:rsidRPr="007B6732">
        <w:rPr>
          <w:rFonts w:ascii="Book Antiqua" w:hAnsi="Book Antiqua" w:cs="Arial"/>
        </w:rPr>
        <w:t>IBD nurses</w:t>
      </w:r>
      <w:r w:rsidR="003C61FD" w:rsidRPr="007B6732">
        <w:rPr>
          <w:rFonts w:ascii="Book Antiqua" w:hAnsi="Book Antiqua" w:cs="Arial"/>
        </w:rPr>
        <w:t xml:space="preserve"> </w:t>
      </w:r>
      <w:r w:rsidR="00F400B5" w:rsidRPr="007B6732">
        <w:rPr>
          <w:rFonts w:ascii="Book Antiqua" w:hAnsi="Book Antiqua" w:cs="Arial"/>
        </w:rPr>
        <w:t>(18.3</w:t>
      </w:r>
      <w:r w:rsidR="0092293F" w:rsidRPr="007B6732">
        <w:rPr>
          <w:rFonts w:ascii="Book Antiqua" w:hAnsi="Book Antiqua" w:cs="Arial"/>
        </w:rPr>
        <w:t>%)</w:t>
      </w:r>
      <w:r w:rsidRPr="007B6732">
        <w:rPr>
          <w:rFonts w:ascii="Book Antiqua" w:hAnsi="Book Antiqua" w:cs="Arial"/>
        </w:rPr>
        <w:t xml:space="preserve">. </w:t>
      </w:r>
      <w:r w:rsidR="0092293F" w:rsidRPr="007B6732">
        <w:rPr>
          <w:rFonts w:ascii="Book Antiqua" w:hAnsi="Book Antiqua" w:cs="Arial"/>
        </w:rPr>
        <w:t xml:space="preserve">The majority of respondents </w:t>
      </w:r>
      <w:r w:rsidRPr="007B6732">
        <w:rPr>
          <w:rFonts w:ascii="Book Antiqua" w:hAnsi="Book Antiqua" w:cs="Arial"/>
        </w:rPr>
        <w:t xml:space="preserve">believed that a standardized structure is important for a successful transition. </w:t>
      </w:r>
      <w:r w:rsidR="00F400B5" w:rsidRPr="007B6732">
        <w:rPr>
          <w:rFonts w:ascii="Book Antiqua" w:hAnsi="Book Antiqua" w:cs="Arial"/>
        </w:rPr>
        <w:t>Adult</w:t>
      </w:r>
      <w:r w:rsidRPr="007B6732">
        <w:rPr>
          <w:rFonts w:ascii="Book Antiqua" w:hAnsi="Book Antiqua" w:cs="Arial"/>
        </w:rPr>
        <w:t xml:space="preserve"> </w:t>
      </w:r>
      <w:r w:rsidR="00B511A6" w:rsidRPr="007B6732">
        <w:rPr>
          <w:rFonts w:ascii="Book Antiqua" w:hAnsi="Book Antiqua" w:cs="Arial"/>
        </w:rPr>
        <w:t xml:space="preserve">and </w:t>
      </w:r>
      <w:r w:rsidR="00F400B5" w:rsidRPr="007B6732">
        <w:rPr>
          <w:rFonts w:ascii="Book Antiqua" w:hAnsi="Book Antiqua" w:cs="Arial"/>
        </w:rPr>
        <w:t>pediatric</w:t>
      </w:r>
      <w:r w:rsidR="00B511A6" w:rsidRPr="007B6732">
        <w:rPr>
          <w:rFonts w:ascii="Book Antiqua" w:hAnsi="Book Antiqua" w:cs="Arial"/>
        </w:rPr>
        <w:t xml:space="preserve"> GIs </w:t>
      </w:r>
      <w:r w:rsidRPr="007B6732">
        <w:rPr>
          <w:rFonts w:ascii="Book Antiqua" w:hAnsi="Book Antiqua" w:cs="Arial"/>
        </w:rPr>
        <w:t>equally felt that patients were inadequately prepared for the transition (</w:t>
      </w:r>
      <w:r w:rsidRPr="007B6732">
        <w:rPr>
          <w:rFonts w:ascii="Book Antiqua" w:hAnsi="Book Antiqua" w:cs="Arial"/>
          <w:i/>
        </w:rPr>
        <w:t>P</w:t>
      </w:r>
      <w:r w:rsidR="00B610E5" w:rsidRPr="007B6732">
        <w:rPr>
          <w:rFonts w:ascii="Book Antiqua" w:eastAsia="SimSun" w:hAnsi="Book Antiqua" w:cs="Arial" w:hint="eastAsia"/>
          <w:i/>
          <w:lang w:eastAsia="zh-CN"/>
        </w:rPr>
        <w:t xml:space="preserve"> </w:t>
      </w:r>
      <w:r w:rsidRPr="007B6732">
        <w:rPr>
          <w:rFonts w:ascii="Book Antiqua" w:hAnsi="Book Antiqua" w:cs="Arial"/>
          <w:i/>
        </w:rPr>
        <w:t>=</w:t>
      </w:r>
      <w:r w:rsidR="00B610E5" w:rsidRPr="007B6732">
        <w:rPr>
          <w:rFonts w:ascii="Book Antiqua" w:eastAsia="SimSun" w:hAnsi="Book Antiqua" w:cs="Arial" w:hint="eastAsia"/>
          <w:i/>
          <w:lang w:eastAsia="zh-CN"/>
        </w:rPr>
        <w:t xml:space="preserve"> </w:t>
      </w:r>
      <w:r w:rsidRPr="007B6732">
        <w:rPr>
          <w:rFonts w:ascii="Book Antiqua" w:hAnsi="Book Antiqua" w:cs="Arial"/>
        </w:rPr>
        <w:t>0.6)</w:t>
      </w:r>
      <w:r w:rsidR="0092293F" w:rsidRPr="007B6732">
        <w:rPr>
          <w:rFonts w:ascii="Book Antiqua" w:hAnsi="Book Antiqua" w:cs="Arial"/>
        </w:rPr>
        <w:t>.</w:t>
      </w:r>
      <w:r w:rsidRPr="007B6732">
        <w:rPr>
          <w:rFonts w:ascii="Book Antiqua" w:hAnsi="Book Antiqua" w:cs="Arial"/>
        </w:rPr>
        <w:t xml:space="preserve"> There were significant differences between adult and pediatric GIs when it came to resource availability (55.6% </w:t>
      </w:r>
      <w:r w:rsidRPr="007B6732">
        <w:rPr>
          <w:rFonts w:ascii="Book Antiqua" w:hAnsi="Book Antiqua" w:cs="Arial"/>
          <w:i/>
        </w:rPr>
        <w:t>vs</w:t>
      </w:r>
      <w:r w:rsidR="00B610E5" w:rsidRPr="007B6732">
        <w:rPr>
          <w:rFonts w:ascii="Book Antiqua" w:eastAsia="SimSun" w:hAnsi="Book Antiqua" w:cs="Arial" w:hint="eastAsia"/>
          <w:lang w:eastAsia="zh-CN"/>
        </w:rPr>
        <w:t xml:space="preserve"> </w:t>
      </w:r>
      <w:r w:rsidRPr="007B6732">
        <w:rPr>
          <w:rFonts w:ascii="Book Antiqua" w:hAnsi="Book Antiqua" w:cs="Arial"/>
        </w:rPr>
        <w:t>90.9%</w:t>
      </w:r>
      <w:r w:rsidR="00B610E5" w:rsidRPr="007B6732">
        <w:rPr>
          <w:rFonts w:ascii="Book Antiqua" w:eastAsia="SimSun" w:hAnsi="Book Antiqua" w:cs="Arial" w:hint="eastAsia"/>
          <w:lang w:eastAsia="zh-CN"/>
        </w:rPr>
        <w:t>,</w:t>
      </w:r>
      <w:r w:rsidRPr="007B6732">
        <w:rPr>
          <w:rFonts w:ascii="Book Antiqua" w:hAnsi="Book Antiqua" w:cs="Arial"/>
        </w:rPr>
        <w:t xml:space="preserve"> </w:t>
      </w:r>
      <w:r w:rsidRPr="007B6732">
        <w:rPr>
          <w:rFonts w:ascii="Book Antiqua" w:hAnsi="Book Antiqua" w:cs="Arial"/>
          <w:i/>
        </w:rPr>
        <w:t>P</w:t>
      </w:r>
      <w:r w:rsidR="00B610E5" w:rsidRPr="007B6732">
        <w:rPr>
          <w:rFonts w:ascii="Book Antiqua" w:eastAsia="SimSun" w:hAnsi="Book Antiqua" w:cs="Arial" w:hint="eastAsia"/>
          <w:i/>
          <w:lang w:eastAsia="zh-CN"/>
        </w:rPr>
        <w:t xml:space="preserve"> </w:t>
      </w:r>
      <w:r w:rsidRPr="007B6732">
        <w:rPr>
          <w:rFonts w:ascii="Book Antiqua" w:hAnsi="Book Antiqua" w:cs="Arial"/>
          <w:i/>
        </w:rPr>
        <w:t>=</w:t>
      </w:r>
      <w:r w:rsidR="00B610E5" w:rsidRPr="007B6732">
        <w:rPr>
          <w:rFonts w:ascii="Book Antiqua" w:eastAsia="SimSun" w:hAnsi="Book Antiqua" w:cs="Arial" w:hint="eastAsia"/>
          <w:i/>
          <w:lang w:eastAsia="zh-CN"/>
        </w:rPr>
        <w:t xml:space="preserve"> </w:t>
      </w:r>
      <w:r w:rsidRPr="007B6732">
        <w:rPr>
          <w:rFonts w:ascii="Book Antiqua" w:hAnsi="Book Antiqua" w:cs="Arial"/>
        </w:rPr>
        <w:t xml:space="preserve">0.002) and perceived need of a formal transition clinic (21.7% </w:t>
      </w:r>
      <w:r w:rsidR="00B610E5" w:rsidRPr="007B6732">
        <w:rPr>
          <w:rFonts w:ascii="Book Antiqua" w:hAnsi="Book Antiqua" w:cs="Arial"/>
          <w:i/>
        </w:rPr>
        <w:t>vs</w:t>
      </w:r>
      <w:r w:rsidRPr="007B6732">
        <w:rPr>
          <w:rFonts w:ascii="Book Antiqua" w:hAnsi="Book Antiqua" w:cs="Arial"/>
        </w:rPr>
        <w:t xml:space="preserve"> 68.8%</w:t>
      </w:r>
      <w:r w:rsidR="00B610E5" w:rsidRPr="007B6732">
        <w:rPr>
          <w:rFonts w:ascii="Book Antiqua" w:eastAsia="SimSun" w:hAnsi="Book Antiqua" w:cs="Arial" w:hint="eastAsia"/>
          <w:lang w:eastAsia="zh-CN"/>
        </w:rPr>
        <w:t>,</w:t>
      </w:r>
      <w:r w:rsidRPr="007B6732">
        <w:rPr>
          <w:rFonts w:ascii="Book Antiqua" w:hAnsi="Book Antiqua" w:cs="Arial"/>
        </w:rPr>
        <w:t xml:space="preserve"> </w:t>
      </w:r>
      <w:r w:rsidR="00B610E5" w:rsidRPr="007B6732">
        <w:rPr>
          <w:rFonts w:ascii="Book Antiqua" w:hAnsi="Book Antiqua" w:cs="Arial"/>
          <w:i/>
        </w:rPr>
        <w:t>P</w:t>
      </w:r>
      <w:r w:rsidR="00B610E5" w:rsidRPr="007B6732">
        <w:rPr>
          <w:rFonts w:ascii="Book Antiqua" w:eastAsia="SimSun" w:hAnsi="Book Antiqua" w:cs="Arial" w:hint="eastAsia"/>
          <w:i/>
          <w:lang w:eastAsia="zh-CN"/>
        </w:rPr>
        <w:t xml:space="preserve"> </w:t>
      </w:r>
      <w:r w:rsidRPr="007B6732">
        <w:rPr>
          <w:rFonts w:ascii="Book Antiqua" w:hAnsi="Book Antiqua" w:cs="Arial"/>
          <w:i/>
        </w:rPr>
        <w:t>=</w:t>
      </w:r>
      <w:r w:rsidR="00B610E5" w:rsidRPr="007B6732">
        <w:rPr>
          <w:rFonts w:ascii="Book Antiqua" w:eastAsia="SimSun" w:hAnsi="Book Antiqua" w:cs="Arial" w:hint="eastAsia"/>
          <w:i/>
          <w:lang w:eastAsia="zh-CN"/>
        </w:rPr>
        <w:t xml:space="preserve"> </w:t>
      </w:r>
      <w:r w:rsidRPr="007B6732">
        <w:rPr>
          <w:rFonts w:ascii="Book Antiqua" w:hAnsi="Book Antiqua" w:cs="Arial"/>
          <w:i/>
        </w:rPr>
        <w:t xml:space="preserve">0.0006). </w:t>
      </w:r>
      <w:r w:rsidRPr="007B6732">
        <w:rPr>
          <w:rFonts w:ascii="Book Antiqua" w:hAnsi="Book Antiqua" w:cs="Arial"/>
        </w:rPr>
        <w:t xml:space="preserve">Both transition program </w:t>
      </w:r>
      <w:r w:rsidR="00B511A6" w:rsidRPr="007B6732">
        <w:rPr>
          <w:rFonts w:ascii="Book Antiqua" w:hAnsi="Book Antiqua" w:cs="Arial"/>
        </w:rPr>
        <w:t xml:space="preserve">and medical summaries </w:t>
      </w:r>
      <w:r w:rsidRPr="007B6732">
        <w:rPr>
          <w:rFonts w:ascii="Book Antiqua" w:hAnsi="Book Antiqua" w:cs="Arial"/>
        </w:rPr>
        <w:t xml:space="preserve">were identified as the most valuable tools to improve transition. </w:t>
      </w:r>
    </w:p>
    <w:p w14:paraId="6D1EA878" w14:textId="77777777" w:rsidR="00217D89" w:rsidRPr="007B6732" w:rsidRDefault="00217D89" w:rsidP="0056175D">
      <w:pPr>
        <w:widowControl w:val="0"/>
        <w:autoSpaceDE w:val="0"/>
        <w:autoSpaceDN w:val="0"/>
        <w:adjustRightInd w:val="0"/>
        <w:spacing w:line="360" w:lineRule="auto"/>
        <w:jc w:val="both"/>
        <w:rPr>
          <w:rFonts w:ascii="Book Antiqua" w:hAnsi="Book Antiqua" w:cs="Arial"/>
        </w:rPr>
      </w:pPr>
    </w:p>
    <w:p w14:paraId="4C31E620" w14:textId="7C99051A" w:rsidR="00217D89" w:rsidRPr="007B6732" w:rsidRDefault="00B610E5" w:rsidP="0056175D">
      <w:pPr>
        <w:widowControl w:val="0"/>
        <w:autoSpaceDE w:val="0"/>
        <w:autoSpaceDN w:val="0"/>
        <w:adjustRightInd w:val="0"/>
        <w:spacing w:line="360" w:lineRule="auto"/>
        <w:jc w:val="both"/>
        <w:rPr>
          <w:rFonts w:ascii="Book Antiqua" w:eastAsia="SimSun" w:hAnsi="Book Antiqua" w:cs="Arial"/>
          <w:b/>
          <w:i/>
          <w:lang w:eastAsia="zh-CN"/>
        </w:rPr>
      </w:pPr>
      <w:r w:rsidRPr="007B6732">
        <w:rPr>
          <w:rFonts w:ascii="Book Antiqua" w:hAnsi="Book Antiqua" w:cs="Arial"/>
          <w:b/>
          <w:i/>
        </w:rPr>
        <w:t>CONCLUSION</w:t>
      </w:r>
      <w:r w:rsidRPr="007B6732">
        <w:rPr>
          <w:rFonts w:ascii="Book Antiqua" w:eastAsia="SimSun" w:hAnsi="Book Antiqua" w:cs="Arial"/>
          <w:b/>
          <w:i/>
          <w:lang w:eastAsia="zh-CN"/>
        </w:rPr>
        <w:t xml:space="preserve"> </w:t>
      </w:r>
    </w:p>
    <w:p w14:paraId="31562E12" w14:textId="77777777" w:rsidR="00217D89" w:rsidRPr="007B6732" w:rsidRDefault="00217D89" w:rsidP="0056175D">
      <w:pPr>
        <w:spacing w:line="360" w:lineRule="auto"/>
        <w:jc w:val="both"/>
        <w:rPr>
          <w:rFonts w:ascii="Book Antiqua" w:hAnsi="Book Antiqua" w:cs="Arial"/>
        </w:rPr>
      </w:pPr>
      <w:r w:rsidRPr="007B6732">
        <w:rPr>
          <w:rFonts w:ascii="Book Antiqua" w:hAnsi="Book Antiqua" w:cs="Arial"/>
        </w:rPr>
        <w:t>As described in previous studies, our survey reinforces the importance of a transition program, education for young adult IBD patients and the need to improve communication between adult and pediatric GIs.</w:t>
      </w:r>
    </w:p>
    <w:p w14:paraId="52323737" w14:textId="77777777" w:rsidR="00217D89" w:rsidRPr="007B6732" w:rsidRDefault="00217D89" w:rsidP="0056175D">
      <w:pPr>
        <w:spacing w:line="360" w:lineRule="auto"/>
        <w:jc w:val="both"/>
        <w:rPr>
          <w:rFonts w:ascii="Book Antiqua" w:hAnsi="Book Antiqua"/>
        </w:rPr>
      </w:pPr>
    </w:p>
    <w:p w14:paraId="0B8CA149" w14:textId="47070FFE" w:rsidR="0092293F" w:rsidRPr="007B6732" w:rsidRDefault="00E21528" w:rsidP="0056175D">
      <w:pPr>
        <w:spacing w:line="360" w:lineRule="auto"/>
        <w:jc w:val="both"/>
        <w:rPr>
          <w:rFonts w:ascii="Book Antiqua" w:eastAsia="SimSun" w:hAnsi="Book Antiqua" w:cs="Arial"/>
          <w:lang w:eastAsia="zh-CN"/>
        </w:rPr>
      </w:pPr>
      <w:r w:rsidRPr="007B6732">
        <w:rPr>
          <w:rFonts w:ascii="Book Antiqua" w:eastAsia="Times New Roman" w:hAnsi="Book Antiqua" w:cs="Arial Unicode MS"/>
          <w:b/>
        </w:rPr>
        <w:t>Key</w:t>
      </w:r>
      <w:r w:rsidR="00B610E5" w:rsidRPr="007B6732">
        <w:rPr>
          <w:rFonts w:ascii="Book Antiqua" w:eastAsia="SimSun" w:hAnsi="Book Antiqua" w:cs="Arial Unicode MS" w:hint="eastAsia"/>
          <w:b/>
          <w:lang w:eastAsia="zh-CN"/>
        </w:rPr>
        <w:t xml:space="preserve"> </w:t>
      </w:r>
      <w:r w:rsidRPr="007B6732">
        <w:rPr>
          <w:rFonts w:ascii="Book Antiqua" w:eastAsia="Times New Roman" w:hAnsi="Book Antiqua" w:cs="Arial Unicode MS"/>
          <w:b/>
        </w:rPr>
        <w:t>words</w:t>
      </w:r>
      <w:r w:rsidR="00B610E5" w:rsidRPr="007B6732">
        <w:rPr>
          <w:rFonts w:ascii="Book Antiqua" w:eastAsia="SimSun" w:hAnsi="Book Antiqua" w:cs="Arial Unicode MS" w:hint="eastAsia"/>
          <w:b/>
          <w:lang w:eastAsia="zh-CN"/>
        </w:rPr>
        <w:t xml:space="preserve">: </w:t>
      </w:r>
      <w:r w:rsidR="00341233" w:rsidRPr="007B6732">
        <w:rPr>
          <w:rFonts w:ascii="Book Antiqua" w:hAnsi="Book Antiqua" w:cs="Arial"/>
        </w:rPr>
        <w:t xml:space="preserve">Inflammatory </w:t>
      </w:r>
      <w:r w:rsidR="005328AD" w:rsidRPr="007B6732">
        <w:rPr>
          <w:rFonts w:ascii="Book Antiqua" w:hAnsi="Book Antiqua" w:cs="Arial"/>
        </w:rPr>
        <w:t>bowel disease</w:t>
      </w:r>
      <w:r w:rsidR="00341233" w:rsidRPr="007B6732">
        <w:rPr>
          <w:rFonts w:ascii="Book Antiqua" w:hAnsi="Book Antiqua" w:cs="Arial"/>
        </w:rPr>
        <w:t>; Transition; Paediatric; Canada; To</w:t>
      </w:r>
      <w:r w:rsidR="00B610E5" w:rsidRPr="007B6732">
        <w:rPr>
          <w:rFonts w:ascii="Book Antiqua" w:hAnsi="Book Antiqua" w:cs="Arial"/>
        </w:rPr>
        <w:t xml:space="preserve">ols; Health </w:t>
      </w:r>
      <w:r w:rsidR="005328AD" w:rsidRPr="007B6732">
        <w:rPr>
          <w:rFonts w:ascii="Book Antiqua" w:hAnsi="Book Antiqua" w:cs="Arial"/>
        </w:rPr>
        <w:t>care professionals</w:t>
      </w:r>
    </w:p>
    <w:p w14:paraId="108E9728" w14:textId="77777777" w:rsidR="00B610E5" w:rsidRPr="007B6732" w:rsidRDefault="00B610E5" w:rsidP="0056175D">
      <w:pPr>
        <w:spacing w:line="360" w:lineRule="auto"/>
        <w:jc w:val="both"/>
        <w:rPr>
          <w:rFonts w:ascii="Book Antiqua" w:eastAsia="SimSun" w:hAnsi="Book Antiqua" w:cs="Arial Unicode MS"/>
          <w:b/>
          <w:lang w:eastAsia="zh-CN"/>
        </w:rPr>
      </w:pPr>
    </w:p>
    <w:p w14:paraId="77D73F27" w14:textId="317B8FD9" w:rsidR="00E21528" w:rsidRPr="007B6732" w:rsidRDefault="00E21528" w:rsidP="0056175D">
      <w:pPr>
        <w:spacing w:line="360" w:lineRule="auto"/>
        <w:jc w:val="both"/>
        <w:rPr>
          <w:rFonts w:ascii="Book Antiqua" w:eastAsia="SimSun" w:hAnsi="Book Antiqua" w:cs="Arial"/>
          <w:lang w:eastAsia="zh-CN"/>
        </w:rPr>
      </w:pPr>
      <w:bookmarkStart w:id="46" w:name="OLE_LINK55"/>
      <w:bookmarkStart w:id="47" w:name="OLE_LINK56"/>
      <w:bookmarkStart w:id="48" w:name="OLE_LINK105"/>
      <w:bookmarkStart w:id="49" w:name="OLE_LINK116"/>
      <w:bookmarkStart w:id="50" w:name="OLE_LINK89"/>
      <w:bookmarkStart w:id="51" w:name="OLE_LINK489"/>
      <w:bookmarkStart w:id="52" w:name="OLE_LINK490"/>
      <w:bookmarkStart w:id="53" w:name="OLE_LINK101"/>
      <w:bookmarkStart w:id="54" w:name="OLE_LINK107"/>
      <w:bookmarkStart w:id="55" w:name="OLE_LINK412"/>
      <w:bookmarkStart w:id="56" w:name="OLE_LINK413"/>
      <w:bookmarkStart w:id="57" w:name="OLE_LINK434"/>
      <w:bookmarkStart w:id="58" w:name="OLE_LINK442"/>
      <w:bookmarkStart w:id="59" w:name="OLE_LINK504"/>
      <w:bookmarkStart w:id="60" w:name="OLE_LINK350"/>
      <w:bookmarkStart w:id="61" w:name="OLE_LINK351"/>
      <w:bookmarkStart w:id="62" w:name="OLE_LINK408"/>
      <w:bookmarkStart w:id="63" w:name="OLE_LINK481"/>
      <w:bookmarkStart w:id="64" w:name="OLE_LINK482"/>
      <w:bookmarkStart w:id="65" w:name="OLE_LINK509"/>
      <w:bookmarkStart w:id="66" w:name="OLE_LINK575"/>
      <w:bookmarkStart w:id="67" w:name="OLE_LINK88"/>
      <w:r w:rsidRPr="007B6732">
        <w:rPr>
          <w:rFonts w:ascii="Book Antiqua" w:hAnsi="Book Antiqua"/>
          <w:b/>
        </w:rPr>
        <w:t>©</w:t>
      </w:r>
      <w:bookmarkEnd w:id="46"/>
      <w:bookmarkEnd w:id="47"/>
      <w:r w:rsidRPr="007B6732">
        <w:rPr>
          <w:rFonts w:ascii="Book Antiqua" w:hAnsi="Book Antiqua" w:hint="eastAsia"/>
          <w:b/>
        </w:rPr>
        <w:t xml:space="preserve"> </w:t>
      </w:r>
      <w:r w:rsidRPr="007B6732">
        <w:rPr>
          <w:rFonts w:ascii="Book Antiqua" w:hAnsi="Book Antiqua" w:cs="Arial"/>
          <w:b/>
        </w:rPr>
        <w:t>The Author(s) 201</w:t>
      </w:r>
      <w:r w:rsidRPr="007B6732">
        <w:rPr>
          <w:rFonts w:ascii="Book Antiqua" w:hAnsi="Book Antiqua" w:cs="Arial" w:hint="eastAsia"/>
          <w:b/>
        </w:rPr>
        <w:t>7</w:t>
      </w:r>
      <w:r w:rsidRPr="007B6732">
        <w:rPr>
          <w:rFonts w:ascii="Book Antiqua" w:hAnsi="Book Antiqua" w:cs="Arial"/>
          <w:b/>
        </w:rPr>
        <w:t xml:space="preserve">. </w:t>
      </w:r>
      <w:r w:rsidRPr="007B6732">
        <w:rPr>
          <w:rFonts w:ascii="Book Antiqua" w:hAnsi="Book Antiqua" w:cs="Arial"/>
        </w:rPr>
        <w:t>Published by Baishideng Publishing Group Inc. All rights reserved.</w:t>
      </w:r>
      <w:bookmarkEnd w:id="48"/>
      <w:bookmarkEnd w:id="49"/>
      <w:bookmarkEnd w:id="50"/>
    </w:p>
    <w:p w14:paraId="494992A0" w14:textId="77777777" w:rsidR="00B610E5" w:rsidRPr="007B6732" w:rsidRDefault="00B610E5" w:rsidP="0056175D">
      <w:pPr>
        <w:spacing w:line="360" w:lineRule="auto"/>
        <w:jc w:val="both"/>
        <w:rPr>
          <w:rFonts w:ascii="Book Antiqua" w:eastAsia="SimSun" w:hAnsi="Book Antiqua" w:cs="Arial"/>
          <w:lang w:eastAsia="zh-CN"/>
        </w:rPr>
      </w:pPr>
    </w:p>
    <w:bookmarkEnd w:id="51"/>
    <w:bookmarkEnd w:id="52"/>
    <w:p w14:paraId="179EA113" w14:textId="22D8A074" w:rsidR="00E21528" w:rsidRPr="007B6732" w:rsidRDefault="00E21528" w:rsidP="0056175D">
      <w:pPr>
        <w:spacing w:line="360" w:lineRule="auto"/>
        <w:jc w:val="both"/>
        <w:rPr>
          <w:rFonts w:ascii="Book Antiqua" w:eastAsia="Times New Roman" w:hAnsi="Book Antiqua" w:cs="Arial Unicode MS"/>
          <w:b/>
        </w:rPr>
      </w:pPr>
      <w:r w:rsidRPr="007B6732">
        <w:rPr>
          <w:rFonts w:ascii="Book Antiqua" w:eastAsia="Times New Roman" w:hAnsi="Book Antiqua" w:cs="Arial Unicode MS"/>
          <w:b/>
        </w:rPr>
        <w:t>Core tip:</w:t>
      </w:r>
      <w:bookmarkEnd w:id="53"/>
      <w:bookmarkEnd w:id="54"/>
      <w:r w:rsidR="00341233" w:rsidRPr="007B6732">
        <w:t xml:space="preserve"> </w:t>
      </w:r>
      <w:r w:rsidR="00341233" w:rsidRPr="007B6732">
        <w:rPr>
          <w:rFonts w:ascii="Book Antiqua" w:hAnsi="Book Antiqua" w:cs="Arial Unicode MS"/>
        </w:rPr>
        <w:t xml:space="preserve">Transition care and transfer of care from pediatric to adult realms is a major challenge with a paucity of published work in the </w:t>
      </w:r>
      <w:r w:rsidR="00B610E5" w:rsidRPr="007B6732">
        <w:rPr>
          <w:rFonts w:ascii="Book Antiqua" w:hAnsi="Book Antiqua" w:cs="Arial Unicode MS"/>
        </w:rPr>
        <w:t xml:space="preserve">inflammatory bowel disease </w:t>
      </w:r>
      <w:r w:rsidR="00B610E5" w:rsidRPr="007B6732">
        <w:rPr>
          <w:rFonts w:ascii="Book Antiqua" w:eastAsia="SimSun" w:hAnsi="Book Antiqua" w:cs="Arial Unicode MS" w:hint="eastAsia"/>
          <w:lang w:eastAsia="zh-CN"/>
        </w:rPr>
        <w:t>(</w:t>
      </w:r>
      <w:r w:rsidR="00341233" w:rsidRPr="007B6732">
        <w:rPr>
          <w:rFonts w:ascii="Book Antiqua" w:hAnsi="Book Antiqua" w:cs="Arial Unicode MS"/>
        </w:rPr>
        <w:t>IBD</w:t>
      </w:r>
      <w:r w:rsidR="00B610E5" w:rsidRPr="007B6732">
        <w:rPr>
          <w:rFonts w:ascii="Book Antiqua" w:eastAsia="SimSun" w:hAnsi="Book Antiqua" w:cs="Arial Unicode MS" w:hint="eastAsia"/>
          <w:lang w:eastAsia="zh-CN"/>
        </w:rPr>
        <w:t>)</w:t>
      </w:r>
      <w:r w:rsidR="00341233" w:rsidRPr="007B6732">
        <w:rPr>
          <w:rFonts w:ascii="Book Antiqua" w:hAnsi="Book Antiqua" w:cs="Arial Unicode MS"/>
        </w:rPr>
        <w:t xml:space="preserve"> domain. Transition care varies across different health care systems but from other pediatric entities improved objective outcomes have been demonstrated with more effective transfer of care. This is the first published survey on health care professionals (HCPs) opinion on transition care in IBD in Canada. Barriers related to the patients from the HCPs were identified as were tools that if implemented have potential to improve the effectiveness of transition care. Differences between pediatric and adult gastroenterologists were also identified.</w:t>
      </w:r>
    </w:p>
    <w:bookmarkEnd w:id="55"/>
    <w:bookmarkEnd w:id="56"/>
    <w:bookmarkEnd w:id="57"/>
    <w:bookmarkEnd w:id="58"/>
    <w:bookmarkEnd w:id="59"/>
    <w:p w14:paraId="2C542549" w14:textId="744895E2" w:rsidR="00E21528" w:rsidRPr="007B6732" w:rsidRDefault="00E21528" w:rsidP="0056175D">
      <w:pPr>
        <w:spacing w:line="360" w:lineRule="auto"/>
        <w:jc w:val="both"/>
        <w:rPr>
          <w:rFonts w:ascii="Book Antiqua" w:eastAsia="SimSun" w:hAnsi="Book Antiqua" w:cs="Arial Unicode MS"/>
          <w:b/>
          <w:lang w:eastAsia="zh-CN"/>
        </w:rPr>
      </w:pPr>
    </w:p>
    <w:p w14:paraId="1A20797A" w14:textId="310E8EB3" w:rsidR="00484BB5" w:rsidRPr="007B6732" w:rsidRDefault="00484BB5" w:rsidP="0056175D">
      <w:pPr>
        <w:spacing w:line="360" w:lineRule="auto"/>
        <w:jc w:val="both"/>
        <w:rPr>
          <w:rFonts w:ascii="Book Antiqua" w:hAnsi="Book Antiqua" w:cs="Arial"/>
        </w:rPr>
      </w:pPr>
      <w:bookmarkStart w:id="68" w:name="OLE_LINK130"/>
      <w:bookmarkStart w:id="69" w:name="OLE_LINK134"/>
      <w:bookmarkStart w:id="70" w:name="OLE_LINK455"/>
      <w:bookmarkStart w:id="71" w:name="OLE_LINK464"/>
      <w:bookmarkStart w:id="72" w:name="OLE_LINK73"/>
      <w:bookmarkStart w:id="73" w:name="OLE_LINK74"/>
      <w:bookmarkEnd w:id="60"/>
      <w:bookmarkEnd w:id="61"/>
      <w:bookmarkEnd w:id="62"/>
      <w:bookmarkEnd w:id="63"/>
      <w:bookmarkEnd w:id="64"/>
      <w:bookmarkEnd w:id="65"/>
      <w:bookmarkEnd w:id="66"/>
      <w:bookmarkEnd w:id="67"/>
      <w:r w:rsidRPr="007B6732">
        <w:rPr>
          <w:rFonts w:ascii="Book Antiqua" w:hAnsi="Book Antiqua" w:cs="Arial"/>
        </w:rPr>
        <w:t xml:space="preserve">Strohl M, Jhang X, Lévesque D, Bessissow T. Transition care in inflammatory bowel disease: A needs assessment survey of Quebec </w:t>
      </w:r>
      <w:r w:rsidR="005328AD" w:rsidRPr="007B6732">
        <w:rPr>
          <w:rFonts w:ascii="Book Antiqua" w:hAnsi="Book Antiqua" w:cs="Arial"/>
        </w:rPr>
        <w:t xml:space="preserve">gastroenterologists </w:t>
      </w:r>
      <w:r w:rsidRPr="007B6732">
        <w:rPr>
          <w:rFonts w:ascii="Book Antiqua" w:hAnsi="Book Antiqua" w:cs="Arial"/>
        </w:rPr>
        <w:t xml:space="preserve">and </w:t>
      </w:r>
      <w:r w:rsidR="005328AD" w:rsidRPr="007B6732">
        <w:rPr>
          <w:rFonts w:ascii="Book Antiqua" w:hAnsi="Book Antiqua" w:cs="Arial"/>
        </w:rPr>
        <w:t>allied nurses</w:t>
      </w:r>
      <w:bookmarkStart w:id="74" w:name="OLE_LINK424"/>
      <w:bookmarkStart w:id="75" w:name="OLE_LINK425"/>
      <w:r w:rsidRPr="007B6732">
        <w:rPr>
          <w:rFonts w:ascii="Book Antiqua" w:hAnsi="Book Antiqua" w:cs="Arial"/>
        </w:rPr>
        <w:t xml:space="preserve">. </w:t>
      </w:r>
      <w:r w:rsidRPr="007B6732">
        <w:rPr>
          <w:rFonts w:ascii="Book Antiqua" w:hAnsi="Book Antiqua"/>
          <w:i/>
        </w:rPr>
        <w:t>World J Gastroenterol</w:t>
      </w:r>
      <w:r w:rsidRPr="007B6732">
        <w:rPr>
          <w:rFonts w:ascii="Book Antiqua" w:hAnsi="Book Antiqua"/>
        </w:rPr>
        <w:t xml:space="preserve"> 201</w:t>
      </w:r>
      <w:r w:rsidRPr="007B6732">
        <w:rPr>
          <w:rFonts w:ascii="Book Antiqua" w:hAnsi="Book Antiqua" w:hint="eastAsia"/>
        </w:rPr>
        <w:t>7</w:t>
      </w:r>
      <w:r w:rsidRPr="007B6732">
        <w:rPr>
          <w:rFonts w:ascii="Book Antiqua" w:hAnsi="Book Antiqua"/>
        </w:rPr>
        <w:t xml:space="preserve">; </w:t>
      </w:r>
      <w:bookmarkStart w:id="76" w:name="OLE_LINK1689"/>
      <w:bookmarkStart w:id="77" w:name="OLE_LINK1298"/>
      <w:bookmarkStart w:id="78" w:name="OLE_LINK1297"/>
      <w:r w:rsidRPr="007B6732">
        <w:rPr>
          <w:rFonts w:ascii="Book Antiqua" w:hAnsi="Book Antiqua"/>
        </w:rPr>
        <w:t>In press</w:t>
      </w:r>
      <w:bookmarkEnd w:id="76"/>
      <w:bookmarkEnd w:id="77"/>
      <w:bookmarkEnd w:id="78"/>
    </w:p>
    <w:bookmarkEnd w:id="68"/>
    <w:bookmarkEnd w:id="69"/>
    <w:bookmarkEnd w:id="70"/>
    <w:bookmarkEnd w:id="71"/>
    <w:bookmarkEnd w:id="72"/>
    <w:bookmarkEnd w:id="73"/>
    <w:bookmarkEnd w:id="74"/>
    <w:bookmarkEnd w:id="75"/>
    <w:p w14:paraId="31CBF916" w14:textId="77777777" w:rsidR="0018172D" w:rsidRPr="007B6732" w:rsidRDefault="0018172D" w:rsidP="0056175D">
      <w:pPr>
        <w:spacing w:line="360" w:lineRule="auto"/>
        <w:jc w:val="both"/>
        <w:rPr>
          <w:rFonts w:ascii="Book Antiqua" w:hAnsi="Book Antiqua"/>
          <w:b/>
        </w:rPr>
      </w:pPr>
    </w:p>
    <w:p w14:paraId="2D142CE9" w14:textId="77777777" w:rsidR="0092293F" w:rsidRPr="007B6732" w:rsidRDefault="0092293F" w:rsidP="0056175D">
      <w:pPr>
        <w:spacing w:line="360" w:lineRule="auto"/>
        <w:jc w:val="both"/>
        <w:rPr>
          <w:rFonts w:ascii="Book Antiqua" w:hAnsi="Book Antiqua"/>
          <w:b/>
        </w:rPr>
      </w:pPr>
    </w:p>
    <w:p w14:paraId="7A0BB3BE" w14:textId="77777777" w:rsidR="0092293F" w:rsidRPr="007B6732" w:rsidRDefault="0092293F" w:rsidP="0056175D">
      <w:pPr>
        <w:spacing w:line="360" w:lineRule="auto"/>
        <w:jc w:val="both"/>
        <w:rPr>
          <w:rFonts w:ascii="Book Antiqua" w:hAnsi="Book Antiqua"/>
          <w:b/>
        </w:rPr>
      </w:pPr>
    </w:p>
    <w:p w14:paraId="2C4F9B8E" w14:textId="77777777" w:rsidR="003652DD" w:rsidRPr="007B6732" w:rsidRDefault="003652DD" w:rsidP="0056175D">
      <w:pPr>
        <w:spacing w:line="360" w:lineRule="auto"/>
        <w:jc w:val="both"/>
        <w:rPr>
          <w:rFonts w:ascii="Book Antiqua" w:hAnsi="Book Antiqua"/>
          <w:b/>
        </w:rPr>
      </w:pPr>
    </w:p>
    <w:p w14:paraId="7C45C67D" w14:textId="77777777" w:rsidR="00551B64" w:rsidRPr="007B6732" w:rsidRDefault="00551B64" w:rsidP="0056175D">
      <w:pPr>
        <w:spacing w:line="360" w:lineRule="auto"/>
        <w:jc w:val="both"/>
        <w:rPr>
          <w:rFonts w:ascii="Book Antiqua" w:hAnsi="Book Antiqua"/>
          <w:b/>
        </w:rPr>
      </w:pPr>
    </w:p>
    <w:p w14:paraId="4CEE309D" w14:textId="77777777" w:rsidR="00484BB5" w:rsidRPr="007B6732" w:rsidRDefault="00484BB5" w:rsidP="0056175D">
      <w:pPr>
        <w:spacing w:line="360" w:lineRule="auto"/>
        <w:jc w:val="both"/>
        <w:rPr>
          <w:rFonts w:ascii="Book Antiqua" w:hAnsi="Book Antiqua"/>
          <w:b/>
        </w:rPr>
      </w:pPr>
    </w:p>
    <w:p w14:paraId="7790319C" w14:textId="77777777" w:rsidR="00B610E5" w:rsidRPr="007B6732" w:rsidRDefault="00B610E5">
      <w:pPr>
        <w:rPr>
          <w:rFonts w:ascii="Book Antiqua" w:hAnsi="Book Antiqua"/>
          <w:b/>
        </w:rPr>
      </w:pPr>
      <w:r w:rsidRPr="007B6732">
        <w:rPr>
          <w:rFonts w:ascii="Book Antiqua" w:hAnsi="Book Antiqua"/>
          <w:b/>
        </w:rPr>
        <w:br w:type="page"/>
      </w:r>
    </w:p>
    <w:p w14:paraId="050F5335" w14:textId="7FE99834" w:rsidR="00217D89" w:rsidRPr="007B6732" w:rsidRDefault="00B610E5" w:rsidP="0056175D">
      <w:pPr>
        <w:spacing w:line="360" w:lineRule="auto"/>
        <w:jc w:val="both"/>
        <w:rPr>
          <w:rFonts w:ascii="Book Antiqua" w:eastAsia="SimSun" w:hAnsi="Book Antiqua"/>
          <w:b/>
          <w:lang w:eastAsia="zh-CN"/>
        </w:rPr>
      </w:pPr>
      <w:r w:rsidRPr="007B6732">
        <w:rPr>
          <w:rFonts w:ascii="Book Antiqua" w:hAnsi="Book Antiqua"/>
          <w:b/>
        </w:rPr>
        <w:lastRenderedPageBreak/>
        <w:t>INTRODUCTION</w:t>
      </w:r>
      <w:r w:rsidRPr="007B6732">
        <w:rPr>
          <w:rFonts w:ascii="Book Antiqua" w:eastAsia="SimSun" w:hAnsi="Book Antiqua"/>
          <w:b/>
          <w:lang w:eastAsia="zh-CN"/>
        </w:rPr>
        <w:t xml:space="preserve"> </w:t>
      </w:r>
    </w:p>
    <w:p w14:paraId="5FE54931" w14:textId="77777777" w:rsidR="00B610E5" w:rsidRPr="007B6732" w:rsidRDefault="00217D89" w:rsidP="00B610E5">
      <w:pPr>
        <w:spacing w:line="360" w:lineRule="auto"/>
        <w:jc w:val="both"/>
        <w:rPr>
          <w:rFonts w:ascii="Book Antiqua" w:eastAsia="SimSun" w:hAnsi="Book Antiqua"/>
          <w:lang w:eastAsia="zh-CN"/>
        </w:rPr>
      </w:pPr>
      <w:r w:rsidRPr="007B6732">
        <w:rPr>
          <w:rFonts w:ascii="Book Antiqua" w:hAnsi="Book Antiqua"/>
        </w:rPr>
        <w:t>Inflammatory bowel diseases (IBD), which encompasses both ulcerative colitis and Crohn’s disease are common pediatric idiopathic chronic diseases</w:t>
      </w:r>
      <w:r w:rsidR="00E21528" w:rsidRPr="007B6732">
        <w:rPr>
          <w:rFonts w:ascii="Book Antiqua" w:eastAsia="SimSun" w:hAnsi="Book Antiqua"/>
          <w:vertAlign w:val="superscript"/>
          <w:lang w:eastAsia="zh-CN"/>
        </w:rPr>
        <w:t>[</w:t>
      </w:r>
      <w:r w:rsidR="00E21528" w:rsidRPr="007B6732">
        <w:rPr>
          <w:rFonts w:ascii="Book Antiqua" w:hAnsi="Book Antiqua"/>
          <w:vertAlign w:val="superscript"/>
        </w:rPr>
        <w:t>1,</w:t>
      </w:r>
      <w:r w:rsidRPr="007B6732">
        <w:rPr>
          <w:rFonts w:ascii="Book Antiqua" w:hAnsi="Book Antiqua"/>
          <w:vertAlign w:val="superscript"/>
        </w:rPr>
        <w:t>2</w:t>
      </w:r>
      <w:r w:rsidR="00E21528" w:rsidRPr="007B6732">
        <w:rPr>
          <w:rFonts w:ascii="Book Antiqua" w:eastAsia="SimSun" w:hAnsi="Book Antiqua"/>
          <w:vertAlign w:val="superscript"/>
          <w:lang w:eastAsia="zh-CN"/>
        </w:rPr>
        <w:t>]</w:t>
      </w:r>
      <w:r w:rsidRPr="007B6732">
        <w:rPr>
          <w:rFonts w:ascii="Book Antiqua" w:hAnsi="Book Antiqua"/>
        </w:rPr>
        <w:t>. Estimates have shown that approximately 20</w:t>
      </w:r>
      <w:r w:rsidR="00B610E5" w:rsidRPr="007B6732">
        <w:rPr>
          <w:rFonts w:ascii="Book Antiqua" w:eastAsia="SimSun" w:hAnsi="Book Antiqua" w:hint="eastAsia"/>
          <w:lang w:eastAsia="zh-CN"/>
        </w:rPr>
        <w:t>%</w:t>
      </w:r>
      <w:r w:rsidRPr="007B6732">
        <w:rPr>
          <w:rFonts w:ascii="Book Antiqua" w:hAnsi="Book Antiqua"/>
        </w:rPr>
        <w:t>-30% of cases of IBD are diagnosed before the age of 18</w:t>
      </w:r>
      <w:r w:rsidR="00341233" w:rsidRPr="007B6732">
        <w:rPr>
          <w:rFonts w:ascii="Book Antiqua" w:hAnsi="Book Antiqua"/>
          <w:vertAlign w:val="superscript"/>
        </w:rPr>
        <w:t>[2,3]</w:t>
      </w:r>
      <w:r w:rsidR="00341233" w:rsidRPr="007B6732">
        <w:rPr>
          <w:rFonts w:ascii="Book Antiqua" w:hAnsi="Book Antiqua"/>
        </w:rPr>
        <w:t xml:space="preserve">. </w:t>
      </w:r>
      <w:r w:rsidRPr="007B6732">
        <w:rPr>
          <w:rFonts w:ascii="Book Antiqua" w:hAnsi="Book Antiqua"/>
        </w:rPr>
        <w:t xml:space="preserve">Data also indicate that the incidence and prevalence of IBD have </w:t>
      </w:r>
      <w:r w:rsidR="00341233" w:rsidRPr="007B6732">
        <w:rPr>
          <w:rFonts w:ascii="Book Antiqua" w:hAnsi="Book Antiqua"/>
        </w:rPr>
        <w:t>both been increasing over time</w:t>
      </w:r>
      <w:r w:rsidR="00CC25B3" w:rsidRPr="007B6732">
        <w:rPr>
          <w:rFonts w:ascii="Book Antiqua" w:hAnsi="Book Antiqua"/>
          <w:vertAlign w:val="superscript"/>
        </w:rPr>
        <w:t>[4,5]</w:t>
      </w:r>
      <w:r w:rsidR="00CC25B3" w:rsidRPr="007B6732">
        <w:rPr>
          <w:rFonts w:ascii="Book Antiqua" w:hAnsi="Book Antiqua"/>
        </w:rPr>
        <w:t xml:space="preserve"> </w:t>
      </w:r>
      <w:r w:rsidRPr="007B6732">
        <w:rPr>
          <w:rFonts w:ascii="Book Antiqua" w:hAnsi="Book Antiqua"/>
        </w:rPr>
        <w:t>and Canada has been shown to have one of</w:t>
      </w:r>
      <w:r w:rsidR="00CC25B3" w:rsidRPr="007B6732">
        <w:rPr>
          <w:rFonts w:ascii="Book Antiqua" w:hAnsi="Book Antiqua"/>
        </w:rPr>
        <w:t xml:space="preserve"> the highest rates worldwide</w:t>
      </w:r>
      <w:r w:rsidR="00CC25B3" w:rsidRPr="007B6732">
        <w:rPr>
          <w:rFonts w:ascii="Book Antiqua" w:hAnsi="Book Antiqua"/>
          <w:vertAlign w:val="superscript"/>
        </w:rPr>
        <w:t>[5]</w:t>
      </w:r>
      <w:r w:rsidRPr="007B6732">
        <w:rPr>
          <w:rFonts w:ascii="Book Antiqua" w:hAnsi="Book Antiqua"/>
        </w:rPr>
        <w:t>.  Hence there exists an inevitable need to manage this growing population and the chronic nature of the disease mandates to establish effective means of coordinating efficient transition care from the pediatric to the adult realm.</w:t>
      </w:r>
      <w:r w:rsidR="00B610E5" w:rsidRPr="007B6732">
        <w:rPr>
          <w:rFonts w:ascii="Book Antiqua" w:eastAsia="SimSun" w:hAnsi="Book Antiqua" w:hint="eastAsia"/>
          <w:lang w:eastAsia="zh-CN"/>
        </w:rPr>
        <w:t xml:space="preserve"> </w:t>
      </w:r>
    </w:p>
    <w:p w14:paraId="3EE466A7" w14:textId="51AE0170" w:rsidR="00217D89" w:rsidRPr="007B6732" w:rsidRDefault="00217D89" w:rsidP="00B610E5">
      <w:pPr>
        <w:spacing w:line="360" w:lineRule="auto"/>
        <w:ind w:firstLineChars="100" w:firstLine="240"/>
        <w:jc w:val="both"/>
        <w:rPr>
          <w:rFonts w:ascii="Book Antiqua" w:eastAsia="SimSun" w:hAnsi="Book Antiqua"/>
          <w:lang w:eastAsia="zh-CN"/>
        </w:rPr>
      </w:pPr>
      <w:r w:rsidRPr="007B6732">
        <w:rPr>
          <w:rFonts w:ascii="Book Antiqua" w:hAnsi="Book Antiqua"/>
        </w:rPr>
        <w:t>There are a number of significant differences between pediatric and adult systems most notably a paradigm shift from a dependent, multidisciplinary and family centered setting in pediatrics to an autonomous and self-reliant framework in the adult system</w:t>
      </w:r>
      <w:r w:rsidR="00B610E5" w:rsidRPr="007B6732">
        <w:rPr>
          <w:rFonts w:ascii="Book Antiqua" w:hAnsi="Book Antiqua"/>
          <w:vertAlign w:val="superscript"/>
        </w:rPr>
        <w:t>[6,</w:t>
      </w:r>
      <w:r w:rsidR="00CC25B3" w:rsidRPr="007B6732">
        <w:rPr>
          <w:rFonts w:ascii="Book Antiqua" w:hAnsi="Book Antiqua"/>
          <w:vertAlign w:val="superscript"/>
        </w:rPr>
        <w:t>11-13]</w:t>
      </w:r>
      <w:r w:rsidR="00CC25B3" w:rsidRPr="007B6732">
        <w:rPr>
          <w:rFonts w:ascii="Book Antiqua" w:hAnsi="Book Antiqua"/>
        </w:rPr>
        <w:t xml:space="preserve">. </w:t>
      </w:r>
      <w:r w:rsidRPr="007B6732">
        <w:rPr>
          <w:rFonts w:ascii="Book Antiqua" w:hAnsi="Book Antiqua" w:cs="Times"/>
        </w:rPr>
        <w:t>Transition care as defined by the Society for Adolescent Medicine is the “purposeful, planned movement of adolescents and young adults with chronic physical and medical conditions from child-centered to adult-oriented health-care systems”</w:t>
      </w:r>
      <w:r w:rsidR="00CC25B3" w:rsidRPr="007B6732">
        <w:rPr>
          <w:rFonts w:ascii="Book Antiqua" w:hAnsi="Book Antiqua"/>
          <w:vertAlign w:val="superscript"/>
        </w:rPr>
        <w:t>[7]</w:t>
      </w:r>
      <w:r w:rsidR="00CC25B3" w:rsidRPr="007B6732">
        <w:rPr>
          <w:rFonts w:ascii="Book Antiqua" w:hAnsi="Book Antiqua"/>
        </w:rPr>
        <w:t xml:space="preserve">.  </w:t>
      </w:r>
      <w:r w:rsidRPr="007B6732">
        <w:rPr>
          <w:rFonts w:ascii="Book Antiqua" w:hAnsi="Book Antiqua" w:cs="Times"/>
        </w:rPr>
        <w:t>Although lacking convincing objective evidence, there is expert consensus that a coordinated transition between the pediatric and adult realm is essential in the management of IBD</w:t>
      </w:r>
      <w:r w:rsidR="00CC25B3" w:rsidRPr="007B6732">
        <w:rPr>
          <w:rFonts w:ascii="Book Antiqua" w:hAnsi="Book Antiqua"/>
          <w:vertAlign w:val="superscript"/>
        </w:rPr>
        <w:t>[8-11]</w:t>
      </w:r>
      <w:r w:rsidR="00CC25B3" w:rsidRPr="007B6732">
        <w:rPr>
          <w:rFonts w:ascii="Book Antiqua" w:hAnsi="Book Antiqua"/>
        </w:rPr>
        <w:t xml:space="preserve">. </w:t>
      </w:r>
      <w:r w:rsidRPr="007B6732">
        <w:rPr>
          <w:rFonts w:ascii="Book Antiqua" w:hAnsi="Book Antiqua" w:cs="Times"/>
        </w:rPr>
        <w:t>Transition care provides adolescents the opportunity to acquire the set of skills required to succeed once they are integrated into the adult system. Numerous challenges, both patient and health care system related factors, currently exist making it difficult to consistently achieve successful transition care</w:t>
      </w:r>
      <w:r w:rsidR="00CC25B3" w:rsidRPr="007B6732">
        <w:rPr>
          <w:rFonts w:ascii="Book Antiqua" w:hAnsi="Book Antiqua"/>
          <w:vertAlign w:val="superscript"/>
        </w:rPr>
        <w:t>[13]</w:t>
      </w:r>
      <w:r w:rsidR="00CC25B3"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cs="Times"/>
        </w:rPr>
        <w:t xml:space="preserve">Particularly in Canada we face the challenge where patients are expected to become part of the adult system at the age of 18, as they are no longer eligible to be seen in a pediatric setting.  </w:t>
      </w:r>
    </w:p>
    <w:p w14:paraId="2E832867" w14:textId="3307874F" w:rsidR="00217D89" w:rsidRPr="007B6732" w:rsidRDefault="00AE2082" w:rsidP="00B610E5">
      <w:pPr>
        <w:spacing w:line="360" w:lineRule="auto"/>
        <w:ind w:firstLineChars="150" w:firstLine="360"/>
        <w:jc w:val="both"/>
        <w:rPr>
          <w:rFonts w:ascii="Book Antiqua" w:hAnsi="Book Antiqua" w:cs="Times"/>
        </w:rPr>
      </w:pPr>
      <w:r w:rsidRPr="007B6732">
        <w:rPr>
          <w:rFonts w:ascii="Book Antiqua" w:hAnsi="Book Antiqua" w:cs="Cambria"/>
        </w:rPr>
        <w:t>There</w:t>
      </w:r>
      <w:r w:rsidR="00217D89" w:rsidRPr="007B6732">
        <w:rPr>
          <w:rFonts w:ascii="Book Antiqua" w:hAnsi="Book Antiqua" w:cs="Cambria"/>
        </w:rPr>
        <w:t xml:space="preserve"> remains a paucity of published literature on IBD transition. A number of publications have focused on surveying transitioning pediatric patients focusing on their knowledge of their medication, ability to identify associated </w:t>
      </w:r>
      <w:r w:rsidR="00217D89" w:rsidRPr="007B6732">
        <w:rPr>
          <w:rFonts w:ascii="Book Antiqua" w:hAnsi="Book Antiqua" w:cs="Cambria"/>
        </w:rPr>
        <w:lastRenderedPageBreak/>
        <w:t>adverse events, quantifying medication adherence and evaluating their capacity to demonstrate independence</w:t>
      </w:r>
      <w:r w:rsidR="00CC25B3" w:rsidRPr="007B6732">
        <w:rPr>
          <w:rFonts w:ascii="Book Antiqua" w:hAnsi="Book Antiqua"/>
          <w:vertAlign w:val="superscript"/>
        </w:rPr>
        <w:t>[14-16]</w:t>
      </w:r>
      <w:r w:rsidR="00CC25B3" w:rsidRPr="007B6732">
        <w:rPr>
          <w:rFonts w:ascii="Book Antiqua" w:hAnsi="Book Antiqua"/>
        </w:rPr>
        <w:t xml:space="preserve">. </w:t>
      </w:r>
      <w:r w:rsidR="00217D89" w:rsidRPr="007B6732">
        <w:rPr>
          <w:rFonts w:ascii="Book Antiqua" w:hAnsi="Book Antiqua" w:cs="Cambria"/>
        </w:rPr>
        <w:t>Health care providers perception has also been a focus of research to aid in identifying domains to target f</w:t>
      </w:r>
      <w:r w:rsidR="00CC25B3" w:rsidRPr="007B6732">
        <w:rPr>
          <w:rFonts w:ascii="Book Antiqua" w:hAnsi="Book Antiqua" w:cs="Cambria"/>
        </w:rPr>
        <w:t>or transition care amelioration</w:t>
      </w:r>
      <w:r w:rsidR="00CC25B3" w:rsidRPr="007B6732">
        <w:rPr>
          <w:rFonts w:ascii="Book Antiqua" w:hAnsi="Book Antiqua"/>
          <w:vertAlign w:val="superscript"/>
        </w:rPr>
        <w:t>[8-10]</w:t>
      </w:r>
      <w:r w:rsidR="00CC25B3" w:rsidRPr="007B6732">
        <w:rPr>
          <w:rFonts w:ascii="Book Antiqua" w:hAnsi="Book Antiqua"/>
        </w:rPr>
        <w:t>.</w:t>
      </w:r>
      <w:r w:rsidR="00B610E5" w:rsidRPr="007B6732">
        <w:rPr>
          <w:rFonts w:ascii="Book Antiqua" w:eastAsia="SimSun" w:hAnsi="Book Antiqua" w:hint="eastAsia"/>
          <w:lang w:eastAsia="zh-CN"/>
        </w:rPr>
        <w:t xml:space="preserve"> </w:t>
      </w:r>
      <w:r w:rsidR="00217D89" w:rsidRPr="007B6732">
        <w:rPr>
          <w:rFonts w:ascii="Book Antiqua" w:hAnsi="Book Antiqua" w:cs="Cambria"/>
        </w:rPr>
        <w:t>Certain tools guided at improving transition have also been studied such as The MyHealth Passport from the University of Toronto and TR</w:t>
      </w:r>
      <w:r w:rsidR="00217D89" w:rsidRPr="007B6732">
        <w:rPr>
          <w:rFonts w:ascii="Book Antiqua" w:hAnsi="Book Antiqua" w:cs="Cambria"/>
          <w:vertAlign w:val="subscript"/>
        </w:rPr>
        <w:t>x</w:t>
      </w:r>
      <w:r w:rsidR="00217D89" w:rsidRPr="007B6732">
        <w:rPr>
          <w:rFonts w:ascii="Book Antiqua" w:hAnsi="Book Antiqua" w:cs="Cambria"/>
        </w:rPr>
        <w:t>ANSITION tool out N</w:t>
      </w:r>
      <w:r w:rsidR="00CC25B3" w:rsidRPr="007B6732">
        <w:rPr>
          <w:rFonts w:ascii="Book Antiqua" w:hAnsi="Book Antiqua" w:cs="Cambria"/>
        </w:rPr>
        <w:t>orth Carolina</w:t>
      </w:r>
      <w:r w:rsidR="00CC25B3" w:rsidRPr="007B6732">
        <w:rPr>
          <w:rFonts w:ascii="Book Antiqua" w:hAnsi="Book Antiqua"/>
          <w:vertAlign w:val="superscript"/>
        </w:rPr>
        <w:t>[17,18]</w:t>
      </w:r>
      <w:r w:rsidR="00CC25B3" w:rsidRPr="007B6732">
        <w:rPr>
          <w:rFonts w:ascii="Book Antiqua" w:hAnsi="Book Antiqua"/>
        </w:rPr>
        <w:t xml:space="preserve">. </w:t>
      </w:r>
      <w:r w:rsidR="00217D89" w:rsidRPr="007B6732">
        <w:rPr>
          <w:rFonts w:ascii="Book Antiqua" w:hAnsi="Book Antiqua" w:cs="Cambria"/>
        </w:rPr>
        <w:t xml:space="preserve">To date, no concrete data has been published demonstrating any improvement in a pre-determined objective outcome variable with a dedicated standardized transitional care network. </w:t>
      </w:r>
    </w:p>
    <w:p w14:paraId="59849956" w14:textId="5E22CD25" w:rsidR="00217D89" w:rsidRPr="007B6732" w:rsidRDefault="00217D89" w:rsidP="00B610E5">
      <w:pPr>
        <w:spacing w:line="360" w:lineRule="auto"/>
        <w:ind w:firstLineChars="150" w:firstLine="360"/>
        <w:jc w:val="both"/>
        <w:rPr>
          <w:rFonts w:ascii="Book Antiqua" w:hAnsi="Book Antiqua"/>
        </w:rPr>
      </w:pPr>
      <w:r w:rsidRPr="007B6732">
        <w:rPr>
          <w:rFonts w:ascii="Book Antiqua" w:hAnsi="Book Antiqua" w:cs="Times"/>
        </w:rPr>
        <w:t>In Quebec, the Transition to Adult care in patients with Crohn’s and Colitis (TRACC) program has been established in collaboration between adult and pediatric gastroenterologists with the aim of facilitating and improving transition care in patients with IBD while trying to overcome some of t</w:t>
      </w:r>
      <w:r w:rsidR="00397DCF" w:rsidRPr="007B6732">
        <w:rPr>
          <w:rFonts w:ascii="Book Antiqua" w:hAnsi="Book Antiqua" w:cs="Times"/>
        </w:rPr>
        <w:t>he common obstacles encountered. Currently, in Quebec the age to initiate transition is variable with no standardized age of initiation. On the other hand, the age of transfer of care is fixed at 18 across the province.</w:t>
      </w:r>
      <w:r w:rsidR="00027EC1" w:rsidRPr="007B6732">
        <w:rPr>
          <w:rFonts w:ascii="Book Antiqua" w:hAnsi="Book Antiqua" w:cs="Times"/>
        </w:rPr>
        <w:t xml:space="preserve"> </w:t>
      </w:r>
      <w:r w:rsidR="009B5D47" w:rsidRPr="007B6732">
        <w:rPr>
          <w:rFonts w:ascii="Book Antiqua" w:hAnsi="Book Antiqua" w:cs="Times"/>
        </w:rPr>
        <w:t>P</w:t>
      </w:r>
      <w:r w:rsidRPr="007B6732">
        <w:rPr>
          <w:rFonts w:ascii="Book Antiqua" w:hAnsi="Book Antiqua" w:cs="Times"/>
        </w:rPr>
        <w:t>revious studies have looked at adult and pediatric gastroenterologists (GIs) perspective of transition care, however no data exists on the perspective of adult and pediatric GIs in the Canadian health care system, more specifically from Quebec. Moreover all of the studies conducted have focused on the perception of transition and barriers to successful transition with none looking at specific tools that may be of used to yield more successful transition care</w:t>
      </w:r>
      <w:r w:rsidR="00CC25B3" w:rsidRPr="007B6732">
        <w:rPr>
          <w:rFonts w:ascii="Book Antiqua" w:hAnsi="Book Antiqua"/>
          <w:vertAlign w:val="superscript"/>
        </w:rPr>
        <w:t>[8-10]</w:t>
      </w:r>
      <w:r w:rsidR="00CC25B3" w:rsidRPr="007B6732">
        <w:rPr>
          <w:rFonts w:ascii="Book Antiqua" w:hAnsi="Book Antiqua"/>
        </w:rPr>
        <w:t xml:space="preserve">. </w:t>
      </w:r>
      <w:r w:rsidRPr="007B6732">
        <w:rPr>
          <w:rFonts w:ascii="Book Antiqua" w:hAnsi="Book Antiqua" w:cs="Times"/>
        </w:rPr>
        <w:t>To our knowledge none of the published conducted studies on surveys focused specifically on needs assessment.</w:t>
      </w:r>
    </w:p>
    <w:p w14:paraId="1C04303B" w14:textId="77777777" w:rsidR="00217D89" w:rsidRPr="007B6732" w:rsidRDefault="00217D89" w:rsidP="00B610E5">
      <w:pPr>
        <w:spacing w:line="360" w:lineRule="auto"/>
        <w:ind w:firstLineChars="100" w:firstLine="240"/>
        <w:jc w:val="both"/>
        <w:rPr>
          <w:rFonts w:ascii="Book Antiqua" w:hAnsi="Book Antiqua"/>
          <w:lang w:val="en-CA"/>
        </w:rPr>
      </w:pPr>
      <w:r w:rsidRPr="007B6732">
        <w:rPr>
          <w:rFonts w:ascii="Book Antiqua" w:hAnsi="Book Antiqua"/>
        </w:rPr>
        <w:t xml:space="preserve">The primary objective of our study </w:t>
      </w:r>
      <w:r w:rsidRPr="007B6732">
        <w:rPr>
          <w:rFonts w:ascii="Book Antiqua" w:hAnsi="Book Antiqua"/>
          <w:lang w:val="en-CA"/>
        </w:rPr>
        <w:t xml:space="preserve">was to determine the necessary tools and obstacles encountered during the transition of IBD patients from pediatric to adult care from the perspective of health care professionals (HCPs) in Quebec, Canada. The information obtained </w:t>
      </w:r>
      <w:r w:rsidRPr="007B6732">
        <w:rPr>
          <w:rFonts w:ascii="Book Antiqua" w:hAnsi="Book Antiqua"/>
          <w:i/>
          <w:lang w:val="en-CA"/>
        </w:rPr>
        <w:t>via</w:t>
      </w:r>
      <w:r w:rsidRPr="007B6732">
        <w:rPr>
          <w:rFonts w:ascii="Book Antiqua" w:hAnsi="Book Antiqua"/>
          <w:lang w:val="en-CA"/>
        </w:rPr>
        <w:t xml:space="preserve"> the survey will then serve as a basis for establishing methods to achieve more effective transition care. Secondary </w:t>
      </w:r>
      <w:r w:rsidRPr="007B6732">
        <w:rPr>
          <w:rFonts w:ascii="Book Antiqua" w:hAnsi="Book Antiqua"/>
          <w:lang w:val="en-CA"/>
        </w:rPr>
        <w:lastRenderedPageBreak/>
        <w:t xml:space="preserve">objectives included comparing pediatric and adult gastroenterologists and identifying any significant differences between the two groups. </w:t>
      </w:r>
    </w:p>
    <w:p w14:paraId="67BB19ED" w14:textId="77777777" w:rsidR="00217D89" w:rsidRPr="007B6732" w:rsidRDefault="00217D89" w:rsidP="0056175D">
      <w:pPr>
        <w:spacing w:line="360" w:lineRule="auto"/>
        <w:jc w:val="both"/>
        <w:rPr>
          <w:rFonts w:ascii="Book Antiqua" w:hAnsi="Book Antiqua"/>
          <w:b/>
        </w:rPr>
      </w:pPr>
    </w:p>
    <w:p w14:paraId="4E6132F3" w14:textId="77777777" w:rsidR="00E21528" w:rsidRPr="007B6732" w:rsidRDefault="00E21528" w:rsidP="0056175D">
      <w:pPr>
        <w:spacing w:line="360" w:lineRule="auto"/>
        <w:jc w:val="both"/>
        <w:rPr>
          <w:rFonts w:ascii="Book Antiqua" w:hAnsi="Book Antiqua"/>
          <w:b/>
        </w:rPr>
      </w:pPr>
      <w:bookmarkStart w:id="79" w:name="OLE_LINK337"/>
      <w:bookmarkStart w:id="80" w:name="OLE_LINK338"/>
      <w:bookmarkStart w:id="81" w:name="OLE_LINK378"/>
      <w:bookmarkStart w:id="82" w:name="OLE_LINK388"/>
      <w:bookmarkStart w:id="83" w:name="OLE_LINK394"/>
      <w:r w:rsidRPr="007B6732">
        <w:rPr>
          <w:rFonts w:ascii="Book Antiqua" w:hAnsi="Book Antiqua"/>
          <w:b/>
        </w:rPr>
        <w:t>MATERIALS AND METHODS</w:t>
      </w:r>
    </w:p>
    <w:bookmarkEnd w:id="79"/>
    <w:bookmarkEnd w:id="80"/>
    <w:bookmarkEnd w:id="81"/>
    <w:bookmarkEnd w:id="82"/>
    <w:bookmarkEnd w:id="83"/>
    <w:p w14:paraId="6997D18C" w14:textId="77777777" w:rsidR="00217D89" w:rsidRPr="007B6732" w:rsidRDefault="00217D89" w:rsidP="0056175D">
      <w:pPr>
        <w:spacing w:line="360" w:lineRule="auto"/>
        <w:jc w:val="both"/>
        <w:outlineLvl w:val="0"/>
        <w:rPr>
          <w:rFonts w:ascii="Book Antiqua" w:hAnsi="Book Antiqua"/>
          <w:b/>
          <w:i/>
        </w:rPr>
      </w:pPr>
      <w:r w:rsidRPr="007B6732">
        <w:rPr>
          <w:rFonts w:ascii="Book Antiqua" w:hAnsi="Book Antiqua"/>
          <w:b/>
          <w:i/>
        </w:rPr>
        <w:t>Study design</w:t>
      </w:r>
    </w:p>
    <w:p w14:paraId="004EDE1A" w14:textId="77777777" w:rsidR="00217D89" w:rsidRPr="007B6732" w:rsidRDefault="00217D89" w:rsidP="0056175D">
      <w:pPr>
        <w:spacing w:line="360" w:lineRule="auto"/>
        <w:jc w:val="both"/>
        <w:outlineLvl w:val="0"/>
        <w:rPr>
          <w:rFonts w:ascii="Book Antiqua" w:hAnsi="Book Antiqua"/>
        </w:rPr>
      </w:pPr>
      <w:r w:rsidRPr="007B6732">
        <w:rPr>
          <w:rFonts w:ascii="Book Antiqua" w:hAnsi="Book Antiqua"/>
        </w:rPr>
        <w:t xml:space="preserve">We performed a cross sectional needs assessment study that was conducted in the province of Quebec between November 2013 and August 2014. We intended to include all HCPs that care for pediatric and adult IBD patients. A total of 136 paper copies of the questionnaires were handed to all HCPs attending the annual association des gastroenterologues du Quebec (AGEQ) meeting in November 2013. In addition, through the contact list provided by the AGEQ, an email was sent to all members of the association (total of 206 individuals) of which included only board certified adult and pediatric gastroenterologists. Within this email it was specified to all members to not fill out and return the survey if they had attended the conference in November (a total of 96/206 members were at the conference).  Members were all required to print out the survey and either mail it to our office or bring it in by in person.  </w:t>
      </w:r>
    </w:p>
    <w:p w14:paraId="6CAB30AF" w14:textId="77777777" w:rsidR="00217D89" w:rsidRPr="007B6732" w:rsidRDefault="00217D89" w:rsidP="0056175D">
      <w:pPr>
        <w:spacing w:line="360" w:lineRule="auto"/>
        <w:jc w:val="both"/>
        <w:outlineLvl w:val="0"/>
        <w:rPr>
          <w:rFonts w:ascii="Book Antiqua" w:hAnsi="Book Antiqua"/>
          <w:b/>
        </w:rPr>
      </w:pPr>
    </w:p>
    <w:p w14:paraId="7E778DFA" w14:textId="77777777" w:rsidR="00217D89" w:rsidRPr="007B6732" w:rsidRDefault="00217D89" w:rsidP="0056175D">
      <w:pPr>
        <w:spacing w:line="360" w:lineRule="auto"/>
        <w:jc w:val="both"/>
        <w:outlineLvl w:val="0"/>
        <w:rPr>
          <w:rFonts w:ascii="Book Antiqua" w:hAnsi="Book Antiqua"/>
          <w:b/>
          <w:i/>
        </w:rPr>
      </w:pPr>
      <w:r w:rsidRPr="007B6732">
        <w:rPr>
          <w:rFonts w:ascii="Book Antiqua" w:hAnsi="Book Antiqua"/>
          <w:b/>
          <w:i/>
        </w:rPr>
        <w:t xml:space="preserve">Survey / Questionnaire </w:t>
      </w:r>
    </w:p>
    <w:p w14:paraId="4B8EA755" w14:textId="0226EAAA" w:rsidR="00217D89" w:rsidRPr="007B6732" w:rsidRDefault="00217D89" w:rsidP="0056175D">
      <w:pPr>
        <w:spacing w:line="360" w:lineRule="auto"/>
        <w:jc w:val="both"/>
        <w:rPr>
          <w:rFonts w:ascii="Book Antiqua" w:hAnsi="Book Antiqua"/>
        </w:rPr>
      </w:pPr>
      <w:r w:rsidRPr="007B6732">
        <w:rPr>
          <w:rFonts w:ascii="Book Antiqua" w:hAnsi="Book Antiqua"/>
        </w:rPr>
        <w:t>The questionnaire was intended to elicit the opinion of health care professionals on various aspects pertaining to transition care in pediatric patients with IBD. The questionnaire was developed by the TRACC committee, which is made up of adult and pediatric IBD specialists and expert IBD nurses. The questionnaire has not been previously validated but was developed to have a better understanding of the reality of transition care in Quebec. There is no validated questionnaire in existence geared at assessing health care provider perception of transition care in IBD. Certain components that were included in the two surveys previously published prior to our survey’s inception</w:t>
      </w:r>
      <w:r w:rsidR="00CC25B3" w:rsidRPr="007B6732">
        <w:rPr>
          <w:rFonts w:ascii="Book Antiqua" w:hAnsi="Book Antiqua"/>
          <w:vertAlign w:val="superscript"/>
        </w:rPr>
        <w:t>[8-9]</w:t>
      </w:r>
      <w:r w:rsidR="00CC25B3" w:rsidRPr="007B6732">
        <w:rPr>
          <w:rFonts w:ascii="Book Antiqua" w:hAnsi="Book Antiqua"/>
        </w:rPr>
        <w:t xml:space="preserve"> </w:t>
      </w:r>
      <w:r w:rsidRPr="007B6732">
        <w:rPr>
          <w:rFonts w:ascii="Book Antiqua" w:hAnsi="Book Antiqua"/>
        </w:rPr>
        <w:t xml:space="preserve">were also incorporated into our questionnaire. Basic demographic data was collected. With respect to </w:t>
      </w:r>
      <w:r w:rsidRPr="007B6732">
        <w:rPr>
          <w:rFonts w:ascii="Book Antiqua" w:hAnsi="Book Antiqua"/>
        </w:rPr>
        <w:lastRenderedPageBreak/>
        <w:t>age of transition care initiation and completion respondents were able to choose between different age choices (Initiation: 12,</w:t>
      </w:r>
      <w:r w:rsidR="007B6732">
        <w:rPr>
          <w:rFonts w:ascii="Book Antiqua" w:eastAsia="SimSun" w:hAnsi="Book Antiqua" w:hint="eastAsia"/>
          <w:lang w:eastAsia="zh-CN"/>
        </w:rPr>
        <w:t xml:space="preserve"> </w:t>
      </w:r>
      <w:r w:rsidRPr="007B6732">
        <w:rPr>
          <w:rFonts w:ascii="Book Antiqua" w:hAnsi="Book Antiqua"/>
        </w:rPr>
        <w:t>13,</w:t>
      </w:r>
      <w:r w:rsidR="007B6732">
        <w:rPr>
          <w:rFonts w:ascii="Book Antiqua" w:eastAsia="SimSun" w:hAnsi="Book Antiqua" w:hint="eastAsia"/>
          <w:lang w:eastAsia="zh-CN"/>
        </w:rPr>
        <w:t xml:space="preserve"> </w:t>
      </w:r>
      <w:r w:rsidRPr="007B6732">
        <w:rPr>
          <w:rFonts w:ascii="Book Antiqua" w:hAnsi="Book Antiqua"/>
        </w:rPr>
        <w:t>15,</w:t>
      </w:r>
      <w:r w:rsidR="007B6732">
        <w:rPr>
          <w:rFonts w:ascii="Book Antiqua" w:eastAsia="SimSun" w:hAnsi="Book Antiqua" w:hint="eastAsia"/>
          <w:lang w:eastAsia="zh-CN"/>
        </w:rPr>
        <w:t xml:space="preserve"> </w:t>
      </w:r>
      <w:r w:rsidRPr="007B6732">
        <w:rPr>
          <w:rFonts w:ascii="Book Antiqua" w:hAnsi="Book Antiqua"/>
        </w:rPr>
        <w:t>16, 18 Completion: 16,</w:t>
      </w:r>
      <w:r w:rsidR="007B6732">
        <w:rPr>
          <w:rFonts w:ascii="Book Antiqua" w:eastAsia="SimSun" w:hAnsi="Book Antiqua" w:hint="eastAsia"/>
          <w:lang w:eastAsia="zh-CN"/>
        </w:rPr>
        <w:t xml:space="preserve"> </w:t>
      </w:r>
      <w:r w:rsidRPr="007B6732">
        <w:rPr>
          <w:rFonts w:ascii="Book Antiqua" w:hAnsi="Book Antiqua"/>
        </w:rPr>
        <w:t>17,</w:t>
      </w:r>
      <w:r w:rsidR="007B6732">
        <w:rPr>
          <w:rFonts w:ascii="Book Antiqua" w:eastAsia="SimSun" w:hAnsi="Book Antiqua" w:hint="eastAsia"/>
          <w:lang w:eastAsia="zh-CN"/>
        </w:rPr>
        <w:t xml:space="preserve"> </w:t>
      </w:r>
      <w:r w:rsidRPr="007B6732">
        <w:rPr>
          <w:rFonts w:ascii="Book Antiqua" w:hAnsi="Book Antiqua"/>
        </w:rPr>
        <w:t>19,</w:t>
      </w:r>
      <w:r w:rsidR="007B6732">
        <w:rPr>
          <w:rFonts w:ascii="Book Antiqua" w:eastAsia="SimSun" w:hAnsi="Book Antiqua" w:hint="eastAsia"/>
          <w:lang w:eastAsia="zh-CN"/>
        </w:rPr>
        <w:t xml:space="preserve"> </w:t>
      </w:r>
      <w:r w:rsidRPr="007B6732">
        <w:rPr>
          <w:rFonts w:ascii="Book Antiqua" w:hAnsi="Book Antiqua"/>
        </w:rPr>
        <w:t>20)</w:t>
      </w:r>
      <w:r w:rsidR="00F940F5" w:rsidRPr="007B6732">
        <w:rPr>
          <w:rFonts w:ascii="Book Antiqua" w:hAnsi="Book Antiqua"/>
        </w:rPr>
        <w:t>.</w:t>
      </w:r>
      <w:r w:rsidRPr="007B6732">
        <w:rPr>
          <w:rFonts w:ascii="Book Antiqua" w:hAnsi="Book Antiqua"/>
        </w:rPr>
        <w:t xml:space="preserve"> In addition respondents were asked to rank the degree of importance of different statements describing certain factors related to transition on a Linkert scale from 1 to 5, in which 1 represents “not important” and 5 represents “very important and essential”. Additional questions were to investigate the current efficacy of transition through transmission of summary letters from the referring pediatricians what components should be included within the transfer note.  The latter section of the questionnaire inquired about what tools, if implemented, would be perceived as beneficial in improving the quality of transition in Quebec. </w:t>
      </w:r>
    </w:p>
    <w:p w14:paraId="3AB636EE" w14:textId="77777777" w:rsidR="00217D89" w:rsidRPr="007B6732" w:rsidRDefault="00217D89" w:rsidP="0056175D">
      <w:pPr>
        <w:spacing w:line="360" w:lineRule="auto"/>
        <w:jc w:val="both"/>
        <w:rPr>
          <w:rFonts w:ascii="Book Antiqua" w:hAnsi="Book Antiqua"/>
          <w:b/>
          <w:i/>
        </w:rPr>
      </w:pPr>
    </w:p>
    <w:p w14:paraId="7B661423" w14:textId="77777777" w:rsidR="00217D89" w:rsidRPr="007B6732" w:rsidRDefault="00217D89" w:rsidP="0056175D">
      <w:pPr>
        <w:spacing w:line="360" w:lineRule="auto"/>
        <w:jc w:val="both"/>
        <w:outlineLvl w:val="0"/>
        <w:rPr>
          <w:rFonts w:ascii="Book Antiqua" w:hAnsi="Book Antiqua"/>
          <w:b/>
          <w:i/>
        </w:rPr>
      </w:pPr>
      <w:r w:rsidRPr="007B6732">
        <w:rPr>
          <w:rFonts w:ascii="Book Antiqua" w:hAnsi="Book Antiqua"/>
          <w:b/>
          <w:i/>
        </w:rPr>
        <w:t>Statistical analysis</w:t>
      </w:r>
    </w:p>
    <w:p w14:paraId="161F6E17" w14:textId="75D60E6A" w:rsidR="00217D89" w:rsidRPr="007B6732" w:rsidRDefault="00217D89" w:rsidP="0056175D">
      <w:pPr>
        <w:spacing w:line="360" w:lineRule="auto"/>
        <w:jc w:val="both"/>
        <w:rPr>
          <w:rFonts w:ascii="Book Antiqua" w:hAnsi="Book Antiqua" w:cs="Times"/>
        </w:rPr>
      </w:pPr>
      <w:r w:rsidRPr="007B6732">
        <w:rPr>
          <w:rFonts w:ascii="Book Antiqua" w:hAnsi="Book Antiqua"/>
        </w:rPr>
        <w:t>All the completed surveys wer</w:t>
      </w:r>
      <w:r w:rsidR="00F400B5" w:rsidRPr="007B6732">
        <w:rPr>
          <w:rFonts w:ascii="Book Antiqua" w:hAnsi="Book Antiqua"/>
        </w:rPr>
        <w:t>e compiled and entered into an E</w:t>
      </w:r>
      <w:r w:rsidRPr="007B6732">
        <w:rPr>
          <w:rFonts w:ascii="Book Antiqua" w:hAnsi="Book Antiqua"/>
        </w:rPr>
        <w:t xml:space="preserve">xcel </w:t>
      </w:r>
      <w:r w:rsidR="00776F59" w:rsidRPr="007B6732">
        <w:rPr>
          <w:rFonts w:ascii="Book Antiqua" w:hAnsi="Book Antiqua"/>
        </w:rPr>
        <w:t>document, which</w:t>
      </w:r>
      <w:r w:rsidRPr="007B6732">
        <w:rPr>
          <w:rFonts w:ascii="Book Antiqua" w:hAnsi="Book Antiqua"/>
        </w:rPr>
        <w:t xml:space="preserve"> was then used to derive summary descriptive data. Included in the summary descriptive data was subgroup breakdown. The response rate of every question varies as not all respondents answered all the questions. A respondent was included in the analysis if &gt; 50% of the questions were answered (only 1 survey was excluded ultimately). Differences between subgroups on specific questions was explored using Chi-squared analysis with the threshold for significance set at a </w:t>
      </w:r>
      <w:r w:rsidR="00B610E5" w:rsidRPr="007B6732">
        <w:rPr>
          <w:rFonts w:ascii="Book Antiqua" w:hAnsi="Book Antiqua"/>
          <w:i/>
        </w:rPr>
        <w:t xml:space="preserve">P </w:t>
      </w:r>
      <w:r w:rsidRPr="007B6732">
        <w:rPr>
          <w:rFonts w:ascii="Book Antiqua" w:hAnsi="Book Antiqua"/>
          <w:i/>
        </w:rPr>
        <w:t>&lt; 0.05</w:t>
      </w:r>
      <w:r w:rsidRPr="007B6732">
        <w:rPr>
          <w:rFonts w:ascii="Book Antiqua" w:hAnsi="Book Antiqua"/>
        </w:rPr>
        <w:t xml:space="preserve">.  A two-tailed T-test analysis with the assumption of unequal variance was used when comparing means of two different groups for the two age-related questions. </w:t>
      </w:r>
    </w:p>
    <w:p w14:paraId="4ECF2712" w14:textId="77777777" w:rsidR="00217D89" w:rsidRPr="007B6732" w:rsidRDefault="00217D89" w:rsidP="0056175D">
      <w:pPr>
        <w:spacing w:line="360" w:lineRule="auto"/>
        <w:jc w:val="both"/>
        <w:rPr>
          <w:rFonts w:ascii="Book Antiqua" w:hAnsi="Book Antiqua"/>
          <w:b/>
        </w:rPr>
      </w:pPr>
    </w:p>
    <w:p w14:paraId="7C1AB8A6" w14:textId="52442C7F" w:rsidR="00217D89" w:rsidRPr="007B6732" w:rsidRDefault="00B610E5" w:rsidP="0056175D">
      <w:pPr>
        <w:spacing w:line="360" w:lineRule="auto"/>
        <w:jc w:val="both"/>
        <w:outlineLvl w:val="0"/>
        <w:rPr>
          <w:rFonts w:ascii="Book Antiqua" w:eastAsia="SimSun" w:hAnsi="Book Antiqua"/>
          <w:b/>
          <w:lang w:eastAsia="zh-CN"/>
        </w:rPr>
      </w:pPr>
      <w:r w:rsidRPr="007B6732">
        <w:rPr>
          <w:rFonts w:ascii="Book Antiqua" w:hAnsi="Book Antiqua"/>
          <w:b/>
        </w:rPr>
        <w:t>RESULTS</w:t>
      </w:r>
      <w:r w:rsidRPr="007B6732">
        <w:rPr>
          <w:rFonts w:ascii="Book Antiqua" w:eastAsia="SimSun" w:hAnsi="Book Antiqua"/>
          <w:b/>
          <w:lang w:eastAsia="zh-CN"/>
        </w:rPr>
        <w:t xml:space="preserve"> </w:t>
      </w:r>
    </w:p>
    <w:p w14:paraId="282AB3B7" w14:textId="703B3C7B" w:rsidR="00217D89" w:rsidRPr="007B6732" w:rsidRDefault="00B610E5" w:rsidP="0056175D">
      <w:pPr>
        <w:spacing w:line="360" w:lineRule="auto"/>
        <w:jc w:val="both"/>
        <w:outlineLvl w:val="0"/>
        <w:rPr>
          <w:rFonts w:ascii="Book Antiqua" w:eastAsia="SimSun" w:hAnsi="Book Antiqua"/>
          <w:b/>
          <w:i/>
          <w:lang w:eastAsia="zh-CN"/>
        </w:rPr>
      </w:pPr>
      <w:r w:rsidRPr="007B6732">
        <w:rPr>
          <w:rFonts w:ascii="Book Antiqua" w:hAnsi="Book Antiqua"/>
          <w:b/>
          <w:i/>
        </w:rPr>
        <w:t>Demographics of respondents</w:t>
      </w:r>
    </w:p>
    <w:p w14:paraId="093D2D41" w14:textId="21120395" w:rsidR="00217D89" w:rsidRPr="007B6732" w:rsidRDefault="00217D89" w:rsidP="0056175D">
      <w:pPr>
        <w:spacing w:line="360" w:lineRule="auto"/>
        <w:jc w:val="both"/>
        <w:rPr>
          <w:rFonts w:ascii="Book Antiqua" w:eastAsia="SimSun" w:hAnsi="Book Antiqua"/>
          <w:lang w:eastAsia="zh-CN"/>
        </w:rPr>
      </w:pPr>
      <w:r w:rsidRPr="007B6732">
        <w:rPr>
          <w:rFonts w:ascii="Book Antiqua" w:hAnsi="Book Antiqua"/>
        </w:rPr>
        <w:t xml:space="preserve">A total of </w:t>
      </w:r>
      <w:r w:rsidR="002F429F" w:rsidRPr="007B6732">
        <w:rPr>
          <w:rFonts w:ascii="Book Antiqua" w:hAnsi="Book Antiqua"/>
        </w:rPr>
        <w:t>273</w:t>
      </w:r>
      <w:r w:rsidRPr="007B6732">
        <w:rPr>
          <w:rFonts w:ascii="Book Antiqua" w:hAnsi="Book Antiqua"/>
        </w:rPr>
        <w:t xml:space="preserve"> surveys were handed and </w:t>
      </w:r>
      <w:r w:rsidR="001A4C27" w:rsidRPr="007B6732">
        <w:rPr>
          <w:rFonts w:ascii="Book Antiqua" w:hAnsi="Book Antiqua"/>
        </w:rPr>
        <w:t>77</w:t>
      </w:r>
      <w:r w:rsidRPr="007B6732">
        <w:rPr>
          <w:rFonts w:ascii="Book Antiqua" w:hAnsi="Book Antiqua"/>
        </w:rPr>
        <w:t xml:space="preserve"> were filled out yield</w:t>
      </w:r>
      <w:r w:rsidR="00776F59" w:rsidRPr="007B6732">
        <w:rPr>
          <w:rFonts w:ascii="Book Antiqua" w:hAnsi="Book Antiqua"/>
        </w:rPr>
        <w:t>ing a response rate of 28.2% (77/273</w:t>
      </w:r>
      <w:r w:rsidRPr="007B6732">
        <w:rPr>
          <w:rFonts w:ascii="Book Antiqua" w:hAnsi="Book Antiqua"/>
        </w:rPr>
        <w:t>).</w:t>
      </w:r>
      <w:r w:rsidRPr="007B6732">
        <w:rPr>
          <w:rFonts w:ascii="Book Antiqua" w:hAnsi="Book Antiqua"/>
          <w:b/>
        </w:rPr>
        <w:t xml:space="preserve"> </w:t>
      </w:r>
      <w:r w:rsidRPr="007B6732">
        <w:rPr>
          <w:rFonts w:ascii="Book Antiqua" w:hAnsi="Book Antiqua"/>
        </w:rPr>
        <w:t>Respondents included adult gastroenterologists (GIs) (</w:t>
      </w:r>
      <w:r w:rsidR="00B610E5" w:rsidRPr="007B6732">
        <w:rPr>
          <w:rFonts w:ascii="Book Antiqua" w:hAnsi="Book Antiqua"/>
          <w:i/>
        </w:rPr>
        <w:t>n</w:t>
      </w:r>
      <w:r w:rsidR="00B610E5" w:rsidRPr="007B6732">
        <w:rPr>
          <w:rFonts w:ascii="Book Antiqua" w:eastAsia="SimSun" w:hAnsi="Book Antiqua" w:hint="eastAsia"/>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47/</w:t>
      </w:r>
      <w:r w:rsidR="001A4C27" w:rsidRPr="007B6732">
        <w:rPr>
          <w:rFonts w:ascii="Book Antiqua" w:hAnsi="Book Antiqua"/>
        </w:rPr>
        <w:t>77</w:t>
      </w:r>
      <w:r w:rsidRPr="007B6732">
        <w:rPr>
          <w:rFonts w:ascii="Book Antiqua" w:hAnsi="Book Antiqua"/>
        </w:rPr>
        <w:t xml:space="preserve">, </w:t>
      </w:r>
      <w:r w:rsidR="001A4C27" w:rsidRPr="007B6732">
        <w:rPr>
          <w:rFonts w:ascii="Book Antiqua" w:hAnsi="Book Antiqua"/>
        </w:rPr>
        <w:t>61%</w:t>
      </w:r>
      <w:r w:rsidRPr="007B6732">
        <w:rPr>
          <w:rFonts w:ascii="Book Antiqua" w:hAnsi="Book Antiqua"/>
        </w:rPr>
        <w:t>), pediatric GIs (</w:t>
      </w:r>
      <w:r w:rsidRPr="007B6732">
        <w:rPr>
          <w:rFonts w:ascii="Book Antiqua" w:hAnsi="Book Antiqua"/>
          <w:i/>
        </w:rPr>
        <w:t>n</w:t>
      </w:r>
      <w:r w:rsidR="00B610E5" w:rsidRPr="007B6732">
        <w:rPr>
          <w:rFonts w:ascii="Book Antiqua" w:eastAsia="SimSun" w:hAnsi="Book Antiqua" w:hint="eastAsia"/>
          <w:i/>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16</w:t>
      </w:r>
      <w:r w:rsidR="001A4C27" w:rsidRPr="007B6732">
        <w:rPr>
          <w:rFonts w:ascii="Book Antiqua" w:hAnsi="Book Antiqua"/>
        </w:rPr>
        <w:t>/77</w:t>
      </w:r>
      <w:r w:rsidRPr="007B6732">
        <w:rPr>
          <w:rFonts w:ascii="Book Antiqua" w:hAnsi="Book Antiqua"/>
        </w:rPr>
        <w:t xml:space="preserve">, </w:t>
      </w:r>
      <w:r w:rsidR="001A4C27" w:rsidRPr="007B6732">
        <w:rPr>
          <w:rFonts w:ascii="Book Antiqua" w:hAnsi="Book Antiqua"/>
        </w:rPr>
        <w:t>20.8%), IBD nurses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001A4C27" w:rsidRPr="007B6732">
        <w:rPr>
          <w:rFonts w:ascii="Book Antiqua" w:hAnsi="Book Antiqua"/>
        </w:rPr>
        <w:t>=</w:t>
      </w:r>
      <w:r w:rsidR="00B610E5" w:rsidRPr="007B6732">
        <w:rPr>
          <w:rFonts w:ascii="Book Antiqua" w:eastAsia="SimSun" w:hAnsi="Book Antiqua" w:hint="eastAsia"/>
          <w:lang w:eastAsia="zh-CN"/>
        </w:rPr>
        <w:t xml:space="preserve"> </w:t>
      </w:r>
      <w:r w:rsidR="001A4C27" w:rsidRPr="007B6732">
        <w:rPr>
          <w:rFonts w:ascii="Book Antiqua" w:hAnsi="Book Antiqua"/>
        </w:rPr>
        <w:t>14/77, 18</w:t>
      </w:r>
      <w:r w:rsidR="00262B29" w:rsidRPr="007B6732">
        <w:rPr>
          <w:rFonts w:ascii="Book Antiqua" w:hAnsi="Book Antiqua"/>
        </w:rPr>
        <w:t>.3</w:t>
      </w:r>
      <w:r w:rsidR="001A4C27" w:rsidRPr="007B6732">
        <w:rPr>
          <w:rFonts w:ascii="Book Antiqua" w:hAnsi="Book Antiqua"/>
        </w:rPr>
        <w:t xml:space="preserve">). </w:t>
      </w:r>
      <w:r w:rsidRPr="007B6732">
        <w:rPr>
          <w:rFonts w:ascii="Book Antiqua" w:hAnsi="Book Antiqua"/>
        </w:rPr>
        <w:t xml:space="preserve">41.6% </w:t>
      </w:r>
      <w:r w:rsidRPr="007B6732">
        <w:rPr>
          <w:rFonts w:ascii="Book Antiqua" w:hAnsi="Book Antiqua"/>
        </w:rPr>
        <w:lastRenderedPageBreak/>
        <w:t>of individuals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 xml:space="preserve">32/77) worked in </w:t>
      </w:r>
      <w:r w:rsidR="00B610E5" w:rsidRPr="007B6732">
        <w:rPr>
          <w:rFonts w:ascii="Book Antiqua" w:hAnsi="Book Antiqua"/>
        </w:rPr>
        <w:t>non-academic</w:t>
      </w:r>
      <w:r w:rsidRPr="007B6732">
        <w:rPr>
          <w:rFonts w:ascii="Book Antiqua" w:hAnsi="Book Antiqua"/>
        </w:rPr>
        <w:t xml:space="preserve"> </w:t>
      </w:r>
      <w:r w:rsidR="001A4C27" w:rsidRPr="007B6732">
        <w:rPr>
          <w:rFonts w:ascii="Book Antiqua" w:hAnsi="Book Antiqua"/>
        </w:rPr>
        <w:t>hospital setting while 57.1</w:t>
      </w:r>
      <w:r w:rsidRPr="007B6732">
        <w:rPr>
          <w:rFonts w:ascii="Book Antiqua" w:hAnsi="Book Antiqua"/>
        </w:rPr>
        <w:t>%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44/77) work in academic centers while only 1 individual worked uniquely in an outpatient clinical setting.</w:t>
      </w:r>
      <w:r w:rsidR="00397DCF" w:rsidRPr="007B6732">
        <w:rPr>
          <w:rFonts w:ascii="Book Antiqua" w:hAnsi="Book Antiqua"/>
        </w:rPr>
        <w:t xml:space="preserve"> Looking at</w:t>
      </w:r>
      <w:r w:rsidR="00A92123" w:rsidRPr="007B6732">
        <w:rPr>
          <w:rFonts w:ascii="Book Antiqua" w:hAnsi="Book Antiqua"/>
        </w:rPr>
        <w:t xml:space="preserve"> respons</w:t>
      </w:r>
      <w:r w:rsidR="00FC09E6" w:rsidRPr="007B6732">
        <w:rPr>
          <w:rFonts w:ascii="Book Antiqua" w:hAnsi="Book Antiqua"/>
        </w:rPr>
        <w:t>e rates of demographic subgroup based on total number of professionals in Qu</w:t>
      </w:r>
      <w:r w:rsidR="009618C4" w:rsidRPr="007B6732">
        <w:rPr>
          <w:rFonts w:ascii="Book Antiqua" w:hAnsi="Book Antiqua"/>
        </w:rPr>
        <w:t xml:space="preserve">ébec </w:t>
      </w:r>
      <w:r w:rsidR="00776F59" w:rsidRPr="007B6732">
        <w:rPr>
          <w:rFonts w:ascii="Book Antiqua" w:hAnsi="Book Antiqua"/>
        </w:rPr>
        <w:t>25.5%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00776F59" w:rsidRPr="007B6732">
        <w:rPr>
          <w:rFonts w:ascii="Book Antiqua" w:hAnsi="Book Antiqua"/>
        </w:rPr>
        <w:t>=</w:t>
      </w:r>
      <w:r w:rsidR="00B610E5" w:rsidRPr="007B6732">
        <w:rPr>
          <w:rFonts w:ascii="Book Antiqua" w:eastAsia="SimSun" w:hAnsi="Book Antiqua" w:hint="eastAsia"/>
          <w:lang w:eastAsia="zh-CN"/>
        </w:rPr>
        <w:t xml:space="preserve"> </w:t>
      </w:r>
      <w:r w:rsidR="00776F59" w:rsidRPr="007B6732">
        <w:rPr>
          <w:rFonts w:ascii="Book Antiqua" w:hAnsi="Book Antiqua"/>
        </w:rPr>
        <w:t>47/184) of adult GIs and</w:t>
      </w:r>
      <w:r w:rsidR="00FC09E6" w:rsidRPr="007B6732">
        <w:rPr>
          <w:rFonts w:ascii="Book Antiqua" w:hAnsi="Book Antiqua"/>
        </w:rPr>
        <w:t xml:space="preserve"> </w:t>
      </w:r>
      <w:r w:rsidR="00A92123" w:rsidRPr="007B6732">
        <w:rPr>
          <w:rFonts w:ascii="Book Antiqua" w:hAnsi="Book Antiqua"/>
        </w:rPr>
        <w:t>72.7%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00A92123" w:rsidRPr="007B6732">
        <w:rPr>
          <w:rFonts w:ascii="Book Antiqua" w:hAnsi="Book Antiqua"/>
        </w:rPr>
        <w:t>=</w:t>
      </w:r>
      <w:r w:rsidR="00B610E5" w:rsidRPr="007B6732">
        <w:rPr>
          <w:rFonts w:ascii="Book Antiqua" w:eastAsia="SimSun" w:hAnsi="Book Antiqua" w:hint="eastAsia"/>
          <w:lang w:eastAsia="zh-CN"/>
        </w:rPr>
        <w:t xml:space="preserve"> </w:t>
      </w:r>
      <w:r w:rsidR="00A92123" w:rsidRPr="007B6732">
        <w:rPr>
          <w:rFonts w:ascii="Book Antiqua" w:hAnsi="Book Antiqua"/>
        </w:rPr>
        <w:t>16/22) of pediatric GIs</w:t>
      </w:r>
      <w:r w:rsidR="002F429F" w:rsidRPr="007B6732">
        <w:rPr>
          <w:rFonts w:ascii="Book Antiqua" w:hAnsi="Book Antiqua"/>
        </w:rPr>
        <w:t xml:space="preserve"> responded</w:t>
      </w:r>
      <w:r w:rsidR="00A92123" w:rsidRPr="007B6732">
        <w:rPr>
          <w:rFonts w:ascii="Book Antiqua" w:hAnsi="Book Antiqua"/>
        </w:rPr>
        <w:t xml:space="preserve">. </w:t>
      </w:r>
      <w:r w:rsidR="002F429F" w:rsidRPr="007B6732">
        <w:rPr>
          <w:rFonts w:ascii="Book Antiqua" w:hAnsi="Book Antiqua"/>
        </w:rPr>
        <w:t xml:space="preserve">With respect </w:t>
      </w:r>
      <w:r w:rsidRPr="007B6732">
        <w:rPr>
          <w:rFonts w:ascii="Book Antiqua" w:hAnsi="Book Antiqua"/>
        </w:rPr>
        <w:t>to experience</w:t>
      </w:r>
      <w:r w:rsidR="001A4C27" w:rsidRPr="007B6732">
        <w:rPr>
          <w:rFonts w:ascii="Book Antiqua" w:hAnsi="Book Antiqua"/>
        </w:rPr>
        <w:t xml:space="preserve"> </w:t>
      </w:r>
      <w:r w:rsidRPr="007B6732">
        <w:rPr>
          <w:rFonts w:ascii="Book Antiqua" w:hAnsi="Book Antiqua"/>
        </w:rPr>
        <w:t>52.6%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40/77) had greater than 10 years of experience, 23.7%</w:t>
      </w:r>
      <w:r w:rsidR="007B6732">
        <w:rPr>
          <w:rFonts w:ascii="Book Antiqua" w:eastAsia="SimSun" w:hAnsi="Book Antiqua" w:hint="eastAsia"/>
          <w:lang w:eastAsia="zh-CN"/>
        </w:rPr>
        <w:t xml:space="preserve"> </w:t>
      </w:r>
      <w:r w:rsidRPr="007B6732">
        <w:rPr>
          <w:rFonts w:ascii="Book Antiqua" w:hAnsi="Book Antiqua"/>
        </w:rPr>
        <w:t>(</w:t>
      </w:r>
      <w:r w:rsidR="00B610E5" w:rsidRPr="007B6732">
        <w:rPr>
          <w:rFonts w:ascii="Book Antiqua" w:hAnsi="Book Antiqua"/>
          <w:i/>
        </w:rPr>
        <w:t xml:space="preserve"> n</w:t>
      </w:r>
      <w:r w:rsidR="00B610E5" w:rsidRPr="007B6732">
        <w:rPr>
          <w:rFonts w:ascii="Book Antiqua" w:eastAsia="SimSun" w:hAnsi="Book Antiqua" w:hint="eastAsia"/>
          <w:i/>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18/77) had 5-10 years of experience and 23.7% had less than 5 years of experience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18/77)</w:t>
      </w:r>
      <w:r w:rsidR="000D65E1" w:rsidRPr="007B6732">
        <w:rPr>
          <w:rFonts w:ascii="Book Antiqua" w:eastAsia="SimSun" w:hAnsi="Book Antiqua" w:hint="eastAsia"/>
          <w:lang w:eastAsia="zh-CN"/>
        </w:rPr>
        <w:t xml:space="preserve"> </w:t>
      </w:r>
      <w:r w:rsidR="000D65E1" w:rsidRPr="007B6732">
        <w:rPr>
          <w:rFonts w:ascii="Book Antiqua" w:hAnsi="Book Antiqua"/>
        </w:rPr>
        <w:t>(Table 1)</w:t>
      </w:r>
      <w:r w:rsidR="000D65E1" w:rsidRPr="007B6732">
        <w:rPr>
          <w:rFonts w:ascii="Book Antiqua" w:eastAsia="SimSun" w:hAnsi="Book Antiqua" w:hint="eastAsia"/>
          <w:lang w:eastAsia="zh-CN"/>
        </w:rPr>
        <w:t>.</w:t>
      </w:r>
    </w:p>
    <w:p w14:paraId="0F9B90F8" w14:textId="77777777" w:rsidR="00397DCF" w:rsidRPr="007B6732" w:rsidRDefault="00397DCF" w:rsidP="0056175D">
      <w:pPr>
        <w:spacing w:line="360" w:lineRule="auto"/>
        <w:jc w:val="both"/>
        <w:rPr>
          <w:rFonts w:ascii="Book Antiqua" w:hAnsi="Book Antiqua"/>
        </w:rPr>
      </w:pPr>
    </w:p>
    <w:p w14:paraId="556668BD" w14:textId="77777777" w:rsidR="00932449" w:rsidRPr="007B6732" w:rsidRDefault="00217D89" w:rsidP="0056175D">
      <w:pPr>
        <w:spacing w:line="360" w:lineRule="auto"/>
        <w:jc w:val="both"/>
        <w:rPr>
          <w:rFonts w:ascii="Book Antiqua" w:hAnsi="Book Antiqua"/>
          <w:b/>
          <w:i/>
        </w:rPr>
      </w:pPr>
      <w:r w:rsidRPr="007B6732">
        <w:rPr>
          <w:rFonts w:ascii="Book Antiqua" w:hAnsi="Book Antiqua"/>
          <w:b/>
          <w:i/>
        </w:rPr>
        <w:t xml:space="preserve">Importance and age of transition </w:t>
      </w:r>
    </w:p>
    <w:p w14:paraId="77C7B76A" w14:textId="4BD3DEF0" w:rsidR="00217D89" w:rsidRPr="007B6732" w:rsidRDefault="00217D89" w:rsidP="0056175D">
      <w:pPr>
        <w:spacing w:line="360" w:lineRule="auto"/>
        <w:jc w:val="both"/>
        <w:rPr>
          <w:rFonts w:ascii="Book Antiqua" w:hAnsi="Book Antiqua"/>
          <w:b/>
        </w:rPr>
      </w:pPr>
      <w:r w:rsidRPr="007B6732">
        <w:rPr>
          <w:rFonts w:ascii="Book Antiqua" w:hAnsi="Book Antiqua"/>
        </w:rPr>
        <w:t>Almost all respondents felt that a standardized structure for transitioning patie</w:t>
      </w:r>
      <w:r w:rsidR="001A4C27" w:rsidRPr="007B6732">
        <w:rPr>
          <w:rFonts w:ascii="Book Antiqua" w:hAnsi="Book Antiqua"/>
        </w:rPr>
        <w:t>nts with IBD was important (97.4</w:t>
      </w:r>
      <w:r w:rsidRPr="007B6732">
        <w:rPr>
          <w:rFonts w:ascii="Book Antiqua" w:hAnsi="Book Antiqua"/>
        </w:rPr>
        <w:t xml:space="preserve">%,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001A4C27" w:rsidRPr="007B6732">
        <w:rPr>
          <w:rFonts w:ascii="Book Antiqua" w:hAnsi="Book Antiqua"/>
        </w:rPr>
        <w:t>75</w:t>
      </w:r>
      <w:r w:rsidRPr="007B6732">
        <w:rPr>
          <w:rFonts w:ascii="Book Antiqua" w:hAnsi="Book Antiqua"/>
        </w:rPr>
        <w:t>/</w:t>
      </w:r>
      <w:r w:rsidR="001A4C27" w:rsidRPr="007B6732">
        <w:rPr>
          <w:rFonts w:ascii="Book Antiqua" w:hAnsi="Book Antiqua"/>
        </w:rPr>
        <w:t>77</w:t>
      </w:r>
      <w:r w:rsidRPr="007B6732">
        <w:rPr>
          <w:rFonts w:ascii="Book Antiqua" w:hAnsi="Book Antiqua"/>
        </w:rPr>
        <w:t>). Out of these 6</w:t>
      </w:r>
      <w:r w:rsidR="001A4C27" w:rsidRPr="007B6732">
        <w:rPr>
          <w:rFonts w:ascii="Book Antiqua" w:hAnsi="Book Antiqua"/>
        </w:rPr>
        <w:t>2.</w:t>
      </w:r>
      <w:r w:rsidRPr="007B6732">
        <w:rPr>
          <w:rFonts w:ascii="Book Antiqua" w:hAnsi="Book Antiqua"/>
        </w:rPr>
        <w:t>3</w:t>
      </w:r>
      <w:r w:rsidR="001A4C27" w:rsidRPr="007B6732">
        <w:rPr>
          <w:rFonts w:ascii="Book Antiqua" w:hAnsi="Book Antiqua"/>
        </w:rPr>
        <w:t>%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001A4C27" w:rsidRPr="007B6732">
        <w:rPr>
          <w:rFonts w:ascii="Book Antiqua" w:hAnsi="Book Antiqua"/>
        </w:rPr>
        <w:t>=</w:t>
      </w:r>
      <w:r w:rsidR="00B610E5" w:rsidRPr="007B6732">
        <w:rPr>
          <w:rFonts w:ascii="Book Antiqua" w:eastAsia="SimSun" w:hAnsi="Book Antiqua" w:hint="eastAsia"/>
          <w:lang w:eastAsia="zh-CN"/>
        </w:rPr>
        <w:t xml:space="preserve"> </w:t>
      </w:r>
      <w:r w:rsidR="001A4C27" w:rsidRPr="007B6732">
        <w:rPr>
          <w:rFonts w:ascii="Book Antiqua" w:hAnsi="Book Antiqua"/>
        </w:rPr>
        <w:t>4</w:t>
      </w:r>
      <w:r w:rsidRPr="007B6732">
        <w:rPr>
          <w:rFonts w:ascii="Book Antiqua" w:hAnsi="Book Antiqua"/>
        </w:rPr>
        <w:t>8</w:t>
      </w:r>
      <w:r w:rsidR="001A4C27" w:rsidRPr="007B6732">
        <w:rPr>
          <w:rFonts w:ascii="Book Antiqua" w:hAnsi="Book Antiqua"/>
        </w:rPr>
        <w:t>/77</w:t>
      </w:r>
      <w:r w:rsidRPr="007B6732">
        <w:rPr>
          <w:rFonts w:ascii="Book Antiqua" w:hAnsi="Book Antiqua"/>
        </w:rPr>
        <w:t>) felt this was very important while 3</w:t>
      </w:r>
      <w:r w:rsidR="001A4C27" w:rsidRPr="007B6732">
        <w:rPr>
          <w:rFonts w:ascii="Book Antiqua" w:hAnsi="Book Antiqua"/>
        </w:rPr>
        <w:t>5.1%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001A4C27" w:rsidRPr="007B6732">
        <w:rPr>
          <w:rFonts w:ascii="Book Antiqua" w:hAnsi="Book Antiqua"/>
        </w:rPr>
        <w:t>=</w:t>
      </w:r>
      <w:r w:rsidR="00B610E5" w:rsidRPr="007B6732">
        <w:rPr>
          <w:rFonts w:ascii="Book Antiqua" w:eastAsia="SimSun" w:hAnsi="Book Antiqua" w:hint="eastAsia"/>
          <w:lang w:eastAsia="zh-CN"/>
        </w:rPr>
        <w:t xml:space="preserve"> </w:t>
      </w:r>
      <w:r w:rsidR="001A4C27" w:rsidRPr="007B6732">
        <w:rPr>
          <w:rFonts w:ascii="Book Antiqua" w:hAnsi="Book Antiqua"/>
        </w:rPr>
        <w:t>27/77</w:t>
      </w:r>
      <w:r w:rsidRPr="007B6732">
        <w:rPr>
          <w:rFonts w:ascii="Book Antiqua" w:hAnsi="Book Antiqua"/>
        </w:rPr>
        <w:t>) felt it was moderately important yet important enough to merit a standardized structure (Table S1). There was no significant difference on subgroup analysis comparing pediatric and adult GIs (</w:t>
      </w:r>
      <w:r w:rsidR="00B610E5" w:rsidRPr="007B6732">
        <w:rPr>
          <w:rFonts w:ascii="Book Antiqua" w:hAnsi="Book Antiqua"/>
          <w:i/>
        </w:rPr>
        <w:t>P</w:t>
      </w:r>
      <w:r w:rsidR="00B610E5" w:rsidRPr="007B6732">
        <w:rPr>
          <w:rFonts w:ascii="Book Antiqua" w:eastAsia="SimSun" w:hAnsi="Book Antiqua" w:hint="eastAsia"/>
          <w:i/>
          <w:lang w:eastAsia="zh-CN"/>
        </w:rPr>
        <w:t xml:space="preserve"> </w:t>
      </w:r>
      <w:r w:rsidRPr="007B6732">
        <w:rPr>
          <w:rFonts w:ascii="Book Antiqua" w:hAnsi="Book Antiqua"/>
          <w:i/>
        </w:rPr>
        <w:t>=</w:t>
      </w:r>
      <w:r w:rsidR="00B610E5" w:rsidRPr="007B6732">
        <w:rPr>
          <w:rFonts w:ascii="Book Antiqua" w:eastAsia="SimSun" w:hAnsi="Book Antiqua" w:hint="eastAsia"/>
          <w:i/>
          <w:lang w:eastAsia="zh-CN"/>
        </w:rPr>
        <w:t xml:space="preserve"> </w:t>
      </w:r>
      <w:r w:rsidRPr="007B6732">
        <w:rPr>
          <w:rFonts w:ascii="Book Antiqua" w:hAnsi="Book Antiqua"/>
        </w:rPr>
        <w:t>0.388</w:t>
      </w:r>
      <w:r w:rsidRPr="007B6732">
        <w:rPr>
          <w:rFonts w:ascii="Book Antiqua" w:hAnsi="Book Antiqua"/>
          <w:i/>
        </w:rPr>
        <w:t>)</w:t>
      </w:r>
      <w:r w:rsidRPr="007B6732">
        <w:rPr>
          <w:rFonts w:ascii="Book Antiqua" w:hAnsi="Book Antiqua"/>
        </w:rPr>
        <w:t>.</w:t>
      </w:r>
      <w:r w:rsidRPr="007B6732">
        <w:rPr>
          <w:rFonts w:ascii="Book Antiqua" w:hAnsi="Book Antiqua"/>
          <w:b/>
        </w:rPr>
        <w:t xml:space="preserve"> </w:t>
      </w:r>
      <w:r w:rsidRPr="007B6732">
        <w:rPr>
          <w:rFonts w:ascii="Book Antiqua" w:hAnsi="Book Antiqua"/>
        </w:rPr>
        <w:t>In terms of age to initiate</w:t>
      </w:r>
      <w:r w:rsidR="00F940F5" w:rsidRPr="007B6732">
        <w:rPr>
          <w:rFonts w:ascii="Book Antiqua" w:hAnsi="Book Antiqua"/>
        </w:rPr>
        <w:t xml:space="preserve"> transition </w:t>
      </w:r>
      <w:r w:rsidRPr="007B6732">
        <w:rPr>
          <w:rFonts w:ascii="Book Antiqua" w:hAnsi="Book Antiqua"/>
        </w:rPr>
        <w:t xml:space="preserve">and complete </w:t>
      </w:r>
      <w:r w:rsidR="00F940F5" w:rsidRPr="007B6732">
        <w:rPr>
          <w:rFonts w:ascii="Book Antiqua" w:hAnsi="Book Antiqua"/>
        </w:rPr>
        <w:t>transfer of care</w:t>
      </w:r>
      <w:r w:rsidRPr="007B6732">
        <w:rPr>
          <w:rFonts w:ascii="Book Antiqua" w:hAnsi="Book Antiqua"/>
        </w:rPr>
        <w:t xml:space="preserve"> from the pediatric to the adult domain the </w:t>
      </w:r>
      <w:r w:rsidR="00294C02" w:rsidRPr="007B6732">
        <w:rPr>
          <w:rFonts w:ascii="Book Antiqua" w:hAnsi="Book Antiqua"/>
        </w:rPr>
        <w:t>mean age was 16.2</w:t>
      </w:r>
      <w:r w:rsidR="007B6732" w:rsidRPr="007B6732">
        <w:rPr>
          <w:rFonts w:ascii="Book Antiqua" w:hAnsi="Book Antiqua"/>
        </w:rPr>
        <w:t xml:space="preserve"> </w:t>
      </w:r>
      <w:r w:rsidR="007B6732">
        <w:rPr>
          <w:rFonts w:ascii="Book Antiqua" w:hAnsi="Book Antiqua"/>
        </w:rPr>
        <w:sym w:font="Symbol" w:char="F0B1"/>
      </w:r>
      <w:r w:rsidR="007B6732">
        <w:rPr>
          <w:rFonts w:ascii="Book Antiqua" w:eastAsia="SimSun" w:hAnsi="Book Antiqua" w:hint="eastAsia"/>
          <w:lang w:eastAsia="zh-CN"/>
        </w:rPr>
        <w:t xml:space="preserve"> </w:t>
      </w:r>
      <w:r w:rsidR="00294C02" w:rsidRPr="007B6732">
        <w:rPr>
          <w:rFonts w:ascii="Book Antiqua" w:hAnsi="Book Antiqua"/>
        </w:rPr>
        <w:t>1.46</w:t>
      </w:r>
      <w:r w:rsidR="007B6732">
        <w:rPr>
          <w:rFonts w:ascii="Book Antiqua" w:eastAsia="SimSun" w:hAnsi="Book Antiqua" w:hint="eastAsia"/>
          <w:lang w:eastAsia="zh-CN"/>
        </w:rPr>
        <w:t xml:space="preserve"> </w:t>
      </w:r>
      <w:r w:rsidR="00294C02" w:rsidRPr="007B6732">
        <w:rPr>
          <w:rFonts w:ascii="Book Antiqua" w:hAnsi="Book Antiqua"/>
        </w:rPr>
        <w:t>years and 18.2</w:t>
      </w:r>
      <w:r w:rsidR="007B6732" w:rsidRPr="007B6732">
        <w:rPr>
          <w:rFonts w:ascii="Book Antiqua" w:hAnsi="Book Antiqua"/>
        </w:rPr>
        <w:t xml:space="preserve"> </w:t>
      </w:r>
      <w:r w:rsidR="007B6732">
        <w:rPr>
          <w:rFonts w:ascii="Book Antiqua" w:hAnsi="Book Antiqua"/>
        </w:rPr>
        <w:sym w:font="Symbol" w:char="F0B1"/>
      </w:r>
      <w:r w:rsidR="007B6732">
        <w:rPr>
          <w:rFonts w:ascii="Book Antiqua" w:eastAsia="SimSun" w:hAnsi="Book Antiqua" w:hint="eastAsia"/>
          <w:lang w:eastAsia="zh-CN"/>
        </w:rPr>
        <w:t xml:space="preserve"> </w:t>
      </w:r>
      <w:r w:rsidR="00294C02" w:rsidRPr="007B6732">
        <w:rPr>
          <w:rFonts w:ascii="Book Antiqua" w:hAnsi="Book Antiqua"/>
        </w:rPr>
        <w:t>SD</w:t>
      </w:r>
      <w:r w:rsidR="00B610E5" w:rsidRPr="007B6732">
        <w:rPr>
          <w:rFonts w:ascii="Book Antiqua" w:eastAsia="SimSun" w:hAnsi="Book Antiqua" w:hint="eastAsia"/>
          <w:lang w:eastAsia="zh-CN"/>
        </w:rPr>
        <w:t xml:space="preserve"> </w:t>
      </w:r>
      <w:r w:rsidR="00294C02" w:rsidRPr="007B6732">
        <w:rPr>
          <w:rFonts w:ascii="Book Antiqua" w:hAnsi="Book Antiqua"/>
        </w:rPr>
        <w:t>=</w:t>
      </w:r>
      <w:r w:rsidR="00B610E5" w:rsidRPr="007B6732">
        <w:rPr>
          <w:rFonts w:ascii="Book Antiqua" w:eastAsia="SimSun" w:hAnsi="Book Antiqua" w:hint="eastAsia"/>
          <w:lang w:eastAsia="zh-CN"/>
        </w:rPr>
        <w:t xml:space="preserve"> </w:t>
      </w:r>
      <w:r w:rsidR="00294C02" w:rsidRPr="007B6732">
        <w:rPr>
          <w:rFonts w:ascii="Book Antiqua" w:hAnsi="Book Antiqua"/>
        </w:rPr>
        <w:t>1.16</w:t>
      </w:r>
      <w:r w:rsidR="007B6732">
        <w:rPr>
          <w:rFonts w:ascii="Book Antiqua" w:eastAsia="SimSun" w:hAnsi="Book Antiqua" w:hint="eastAsia"/>
          <w:lang w:eastAsia="zh-CN"/>
        </w:rPr>
        <w:t xml:space="preserve"> </w:t>
      </w:r>
      <w:r w:rsidRPr="007B6732">
        <w:rPr>
          <w:rFonts w:ascii="Book Antiqua" w:hAnsi="Book Antiqua"/>
        </w:rPr>
        <w:t>respectively amongst all respondents (Table S2). On subgroup analysis, pediatric GI believed transition should start earlier than adult GI with mean ages of 15.4</w:t>
      </w:r>
      <w:r w:rsidR="007B6732" w:rsidRPr="007B6732">
        <w:rPr>
          <w:rFonts w:ascii="Book Antiqua" w:hAnsi="Book Antiqua"/>
        </w:rPr>
        <w:t xml:space="preserve"> </w:t>
      </w:r>
      <w:r w:rsidR="007B6732">
        <w:rPr>
          <w:rFonts w:ascii="Book Antiqua" w:hAnsi="Book Antiqua"/>
        </w:rPr>
        <w:sym w:font="Symbol" w:char="F0B1"/>
      </w:r>
      <w:r w:rsidR="007B6732">
        <w:rPr>
          <w:rFonts w:ascii="Book Antiqua" w:eastAsia="SimSun" w:hAnsi="Book Antiqua" w:hint="eastAsia"/>
          <w:lang w:eastAsia="zh-CN"/>
        </w:rPr>
        <w:t xml:space="preserve"> </w:t>
      </w:r>
      <w:r w:rsidRPr="007B6732">
        <w:rPr>
          <w:rFonts w:ascii="Book Antiqua" w:hAnsi="Book Antiqua"/>
        </w:rPr>
        <w:t>1.41</w:t>
      </w:r>
      <w:r w:rsidR="007B6732">
        <w:rPr>
          <w:rFonts w:ascii="Book Antiqua" w:eastAsia="SimSun" w:hAnsi="Book Antiqua" w:hint="eastAsia"/>
          <w:lang w:eastAsia="zh-CN"/>
        </w:rPr>
        <w:t xml:space="preserve"> </w:t>
      </w:r>
      <w:r w:rsidRPr="007B6732">
        <w:rPr>
          <w:rFonts w:ascii="Book Antiqua" w:hAnsi="Book Antiqua"/>
          <w:i/>
        </w:rPr>
        <w:t>vs</w:t>
      </w:r>
      <w:r w:rsidR="00B610E5" w:rsidRPr="007B6732">
        <w:rPr>
          <w:rFonts w:ascii="Book Antiqua" w:eastAsia="SimSun" w:hAnsi="Book Antiqua" w:hint="eastAsia"/>
          <w:lang w:eastAsia="zh-CN"/>
        </w:rPr>
        <w:t xml:space="preserve"> </w:t>
      </w:r>
      <w:r w:rsidRPr="007B6732">
        <w:rPr>
          <w:rFonts w:ascii="Book Antiqua" w:hAnsi="Book Antiqua"/>
        </w:rPr>
        <w:t>16.7</w:t>
      </w:r>
      <w:r w:rsidR="007B6732" w:rsidRPr="007B6732">
        <w:rPr>
          <w:rFonts w:ascii="Book Antiqua" w:hAnsi="Book Antiqua"/>
        </w:rPr>
        <w:t xml:space="preserve"> </w:t>
      </w:r>
      <w:r w:rsidR="007B6732">
        <w:rPr>
          <w:rFonts w:ascii="Book Antiqua" w:hAnsi="Book Antiqua"/>
        </w:rPr>
        <w:sym w:font="Symbol" w:char="F0B1"/>
      </w:r>
      <w:r w:rsidR="007B6732">
        <w:rPr>
          <w:rFonts w:ascii="Book Antiqua" w:eastAsia="SimSun" w:hAnsi="Book Antiqua" w:hint="eastAsia"/>
          <w:lang w:eastAsia="zh-CN"/>
        </w:rPr>
        <w:t xml:space="preserve"> </w:t>
      </w:r>
      <w:r w:rsidRPr="007B6732">
        <w:rPr>
          <w:rFonts w:ascii="Book Antiqua" w:hAnsi="Book Antiqua"/>
        </w:rPr>
        <w:t>1.27</w:t>
      </w:r>
      <w:r w:rsidR="007B6732">
        <w:rPr>
          <w:rFonts w:ascii="Book Antiqua" w:eastAsia="SimSun" w:hAnsi="Book Antiqua" w:hint="eastAsia"/>
          <w:lang w:eastAsia="zh-CN"/>
        </w:rPr>
        <w:t xml:space="preserve"> </w:t>
      </w:r>
      <w:r w:rsidRPr="007B6732">
        <w:rPr>
          <w:rFonts w:ascii="Book Antiqua" w:hAnsi="Book Antiqua"/>
        </w:rPr>
        <w:t>years (</w:t>
      </w:r>
      <w:r w:rsidR="00B610E5" w:rsidRPr="007B6732">
        <w:rPr>
          <w:rFonts w:ascii="Book Antiqua" w:hAnsi="Book Antiqua"/>
          <w:i/>
        </w:rPr>
        <w:t>P</w:t>
      </w:r>
      <w:r w:rsidR="00B610E5" w:rsidRPr="007B6732">
        <w:rPr>
          <w:rFonts w:ascii="Book Antiqua" w:eastAsia="SimSun" w:hAnsi="Book Antiqua" w:hint="eastAsia"/>
          <w:i/>
          <w:lang w:eastAsia="zh-CN"/>
        </w:rPr>
        <w:t xml:space="preserve"> </w:t>
      </w:r>
      <w:r w:rsidRPr="007B6732">
        <w:rPr>
          <w:rFonts w:ascii="Book Antiqua" w:hAnsi="Book Antiqua"/>
          <w:i/>
        </w:rPr>
        <w:t>=</w:t>
      </w:r>
      <w:r w:rsidR="00B610E5" w:rsidRPr="007B6732">
        <w:rPr>
          <w:rFonts w:ascii="Book Antiqua" w:eastAsia="SimSun" w:hAnsi="Book Antiqua" w:hint="eastAsia"/>
          <w:lang w:eastAsia="zh-CN"/>
        </w:rPr>
        <w:t xml:space="preserve"> </w:t>
      </w:r>
      <w:r w:rsidRPr="007B6732">
        <w:rPr>
          <w:rFonts w:ascii="Book Antiqua" w:hAnsi="Book Antiqua"/>
        </w:rPr>
        <w:t>0.003</w:t>
      </w:r>
      <w:r w:rsidRPr="007B6732">
        <w:rPr>
          <w:rFonts w:ascii="Book Antiqua" w:hAnsi="Book Antiqua"/>
          <w:i/>
        </w:rPr>
        <w:t>)</w:t>
      </w:r>
      <w:r w:rsidRPr="007B6732">
        <w:rPr>
          <w:rFonts w:ascii="Book Antiqua" w:hAnsi="Book Antiqua"/>
        </w:rPr>
        <w:t xml:space="preserve">. Age of </w:t>
      </w:r>
      <w:r w:rsidR="00F940F5" w:rsidRPr="007B6732">
        <w:rPr>
          <w:rFonts w:ascii="Book Antiqua" w:hAnsi="Book Antiqua"/>
        </w:rPr>
        <w:t>transfer</w:t>
      </w:r>
      <w:r w:rsidRPr="007B6732">
        <w:rPr>
          <w:rFonts w:ascii="Book Antiqua" w:hAnsi="Book Antiqua"/>
        </w:rPr>
        <w:t xml:space="preserve"> completion was similar between adult and pediatric GIs with mean ages of 18.2 </w:t>
      </w:r>
      <w:r w:rsidR="007B6732">
        <w:rPr>
          <w:rFonts w:ascii="Book Antiqua" w:hAnsi="Book Antiqua"/>
        </w:rPr>
        <w:sym w:font="Symbol" w:char="F0B1"/>
      </w:r>
      <w:r w:rsidR="007B6732">
        <w:rPr>
          <w:rFonts w:ascii="Book Antiqua" w:eastAsia="SimSun" w:hAnsi="Book Antiqua" w:hint="eastAsia"/>
          <w:lang w:eastAsia="zh-CN"/>
        </w:rPr>
        <w:t xml:space="preserve"> </w:t>
      </w:r>
      <w:r w:rsidRPr="007B6732">
        <w:rPr>
          <w:rFonts w:ascii="Book Antiqua" w:hAnsi="Book Antiqua"/>
        </w:rPr>
        <w:t>1.25</w:t>
      </w:r>
      <w:r w:rsidR="007B6732">
        <w:rPr>
          <w:rFonts w:ascii="Book Antiqua" w:eastAsia="SimSun" w:hAnsi="Book Antiqua" w:hint="eastAsia"/>
          <w:lang w:eastAsia="zh-CN"/>
        </w:rPr>
        <w:t xml:space="preserve"> </w:t>
      </w:r>
      <w:r w:rsidRPr="007B6732">
        <w:rPr>
          <w:rFonts w:ascii="Book Antiqua" w:hAnsi="Book Antiqua"/>
        </w:rPr>
        <w:t>and 18</w:t>
      </w:r>
      <w:r w:rsidR="007B6732" w:rsidRPr="007B6732">
        <w:rPr>
          <w:rFonts w:ascii="Book Antiqua" w:hAnsi="Book Antiqua"/>
        </w:rPr>
        <w:t xml:space="preserve"> </w:t>
      </w:r>
      <w:r w:rsidR="007B6732">
        <w:rPr>
          <w:rFonts w:ascii="Book Antiqua" w:hAnsi="Book Antiqua"/>
        </w:rPr>
        <w:sym w:font="Symbol" w:char="F0B1"/>
      </w:r>
      <w:r w:rsidR="007B6732">
        <w:rPr>
          <w:rFonts w:ascii="Book Antiqua" w:eastAsia="SimSun" w:hAnsi="Book Antiqua" w:hint="eastAsia"/>
          <w:lang w:eastAsia="zh-CN"/>
        </w:rPr>
        <w:t xml:space="preserve"> </w:t>
      </w:r>
      <w:r w:rsidR="00B610E5" w:rsidRPr="007B6732">
        <w:rPr>
          <w:rFonts w:ascii="Book Antiqua" w:eastAsia="SimSun" w:hAnsi="Book Antiqua" w:hint="eastAsia"/>
          <w:lang w:eastAsia="zh-CN"/>
        </w:rPr>
        <w:t xml:space="preserve"> </w:t>
      </w:r>
      <w:r w:rsidRPr="007B6732">
        <w:rPr>
          <w:rFonts w:ascii="Book Antiqua" w:hAnsi="Book Antiqua"/>
        </w:rPr>
        <w:t>1.1</w:t>
      </w:r>
      <w:r w:rsidR="007B6732">
        <w:rPr>
          <w:rFonts w:ascii="Book Antiqua" w:eastAsia="SimSun" w:hAnsi="Book Antiqua" w:hint="eastAsia"/>
          <w:lang w:eastAsia="zh-CN"/>
        </w:rPr>
        <w:t xml:space="preserve"> </w:t>
      </w:r>
      <w:r w:rsidRPr="007B6732">
        <w:rPr>
          <w:rFonts w:ascii="Book Antiqua" w:hAnsi="Book Antiqua"/>
        </w:rPr>
        <w:t>respectively (</w:t>
      </w:r>
      <w:r w:rsidR="00B610E5" w:rsidRPr="007B6732">
        <w:rPr>
          <w:rFonts w:ascii="Book Antiqua" w:hAnsi="Book Antiqua"/>
          <w:i/>
        </w:rPr>
        <w:t>P</w:t>
      </w:r>
      <w:r w:rsidR="00B610E5" w:rsidRPr="007B6732">
        <w:rPr>
          <w:rFonts w:ascii="Book Antiqua" w:eastAsia="SimSun" w:hAnsi="Book Antiqua" w:hint="eastAsia"/>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0.47</w:t>
      </w:r>
      <w:r w:rsidRPr="007B6732">
        <w:rPr>
          <w:rFonts w:ascii="Book Antiqua" w:hAnsi="Book Antiqua"/>
          <w:i/>
        </w:rPr>
        <w:t xml:space="preserve">). </w:t>
      </w:r>
    </w:p>
    <w:p w14:paraId="43D45AB7" w14:textId="77777777" w:rsidR="00217D89" w:rsidRPr="007B6732" w:rsidRDefault="00217D89" w:rsidP="0056175D">
      <w:pPr>
        <w:spacing w:line="360" w:lineRule="auto"/>
        <w:jc w:val="both"/>
        <w:rPr>
          <w:rFonts w:ascii="Book Antiqua" w:hAnsi="Book Antiqua"/>
        </w:rPr>
      </w:pPr>
    </w:p>
    <w:p w14:paraId="44A8E609" w14:textId="77777777" w:rsidR="00217D89" w:rsidRPr="007B6732" w:rsidRDefault="00217D89" w:rsidP="0056175D">
      <w:pPr>
        <w:spacing w:line="360" w:lineRule="auto"/>
        <w:jc w:val="both"/>
        <w:outlineLvl w:val="0"/>
        <w:rPr>
          <w:rFonts w:ascii="Book Antiqua" w:hAnsi="Book Antiqua"/>
          <w:b/>
          <w:i/>
        </w:rPr>
      </w:pPr>
      <w:r w:rsidRPr="007B6732">
        <w:rPr>
          <w:rFonts w:ascii="Book Antiqua" w:hAnsi="Book Antiqua"/>
          <w:b/>
          <w:i/>
        </w:rPr>
        <w:t>Adequate preparation for transition</w:t>
      </w:r>
    </w:p>
    <w:p w14:paraId="1E8DD305" w14:textId="541B01E2" w:rsidR="00217D89" w:rsidRPr="007B6732" w:rsidRDefault="00217D89" w:rsidP="0056175D">
      <w:pPr>
        <w:spacing w:line="360" w:lineRule="auto"/>
        <w:jc w:val="both"/>
        <w:rPr>
          <w:rFonts w:ascii="Book Antiqua" w:hAnsi="Book Antiqua"/>
        </w:rPr>
      </w:pPr>
      <w:r w:rsidRPr="007B6732">
        <w:rPr>
          <w:rFonts w:ascii="Book Antiqua" w:hAnsi="Book Antiqua"/>
        </w:rPr>
        <w:t>The majority of respondents (</w:t>
      </w:r>
      <w:r w:rsidR="00CA6D84" w:rsidRPr="007B6732">
        <w:rPr>
          <w:rFonts w:ascii="Book Antiqua" w:hAnsi="Book Antiqua"/>
        </w:rPr>
        <w:t>58</w:t>
      </w:r>
      <w:r w:rsidRPr="007B6732">
        <w:rPr>
          <w:rFonts w:ascii="Book Antiqua" w:hAnsi="Book Antiqua"/>
        </w:rPr>
        <w:t xml:space="preserve">%, </w:t>
      </w:r>
      <w:r w:rsidRPr="007B6732">
        <w:rPr>
          <w:rFonts w:ascii="Book Antiqua" w:hAnsi="Book Antiqua"/>
          <w:i/>
        </w:rPr>
        <w:t>n</w:t>
      </w:r>
      <w:r w:rsidR="00B610E5" w:rsidRPr="007B6732">
        <w:rPr>
          <w:rFonts w:ascii="Book Antiqua" w:eastAsia="SimSun" w:hAnsi="Book Antiqua" w:hint="eastAsia"/>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00CA6D84" w:rsidRPr="007B6732">
        <w:rPr>
          <w:rFonts w:ascii="Book Antiqua" w:hAnsi="Book Antiqua"/>
        </w:rPr>
        <w:t>45</w:t>
      </w:r>
      <w:r w:rsidRPr="007B6732">
        <w:rPr>
          <w:rFonts w:ascii="Book Antiqua" w:hAnsi="Book Antiqua"/>
        </w:rPr>
        <w:t xml:space="preserve">) felt that patients were inadequately prepared </w:t>
      </w:r>
      <w:r w:rsidR="004A4B43" w:rsidRPr="007B6732">
        <w:rPr>
          <w:rFonts w:ascii="Book Antiqua" w:hAnsi="Book Antiqua"/>
        </w:rPr>
        <w:t>prior to being transferred from the pediatric to the adult system</w:t>
      </w:r>
      <w:r w:rsidRPr="007B6732">
        <w:rPr>
          <w:rFonts w:ascii="Book Antiqua" w:hAnsi="Book Antiqua"/>
        </w:rPr>
        <w:t>. This held true with stratification as pediatric (</w:t>
      </w:r>
      <w:r w:rsidR="00B610E5" w:rsidRPr="007B6732">
        <w:rPr>
          <w:rFonts w:ascii="Book Antiqua" w:hAnsi="Book Antiqua"/>
          <w:i/>
        </w:rPr>
        <w:t>n</w:t>
      </w:r>
      <w:r w:rsidR="00B610E5" w:rsidRPr="007B6732">
        <w:rPr>
          <w:rFonts w:ascii="Book Antiqua" w:hAnsi="Book Antiqua"/>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11/16, 68.8%) and adult GIs (</w:t>
      </w:r>
      <w:r w:rsidR="00B610E5" w:rsidRPr="007B6732">
        <w:rPr>
          <w:rFonts w:ascii="Book Antiqua" w:hAnsi="Book Antiqua"/>
          <w:i/>
        </w:rPr>
        <w:t>n</w:t>
      </w:r>
      <w:r w:rsidR="00B610E5" w:rsidRPr="007B6732">
        <w:rPr>
          <w:rFonts w:ascii="Book Antiqua" w:hAnsi="Book Antiqua"/>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 xml:space="preserve">25/44, 56.8%) equally felt that patients were inadequately prepared </w:t>
      </w:r>
      <w:r w:rsidR="004A4B43" w:rsidRPr="007B6732">
        <w:rPr>
          <w:rFonts w:ascii="Book Antiqua" w:hAnsi="Book Antiqua"/>
        </w:rPr>
        <w:t xml:space="preserve">for </w:t>
      </w:r>
      <w:r w:rsidRPr="007B6732">
        <w:rPr>
          <w:rFonts w:ascii="Book Antiqua" w:hAnsi="Book Antiqua"/>
        </w:rPr>
        <w:t>(</w:t>
      </w:r>
      <w:r w:rsidR="00B610E5" w:rsidRPr="007B6732">
        <w:rPr>
          <w:rFonts w:ascii="Book Antiqua" w:hAnsi="Book Antiqua"/>
          <w:i/>
        </w:rPr>
        <w:t>P</w:t>
      </w:r>
      <w:r w:rsidR="00B610E5" w:rsidRPr="007B6732">
        <w:rPr>
          <w:rFonts w:ascii="Book Antiqua" w:eastAsia="SimSun" w:hAnsi="Book Antiqua" w:hint="eastAsia"/>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0.4). Amongst all res</w:t>
      </w:r>
      <w:r w:rsidR="00CA6D84" w:rsidRPr="007B6732">
        <w:rPr>
          <w:rFonts w:ascii="Book Antiqua" w:hAnsi="Book Antiqua"/>
        </w:rPr>
        <w:t>pondent’s lack of maturity (</w:t>
      </w:r>
      <w:r w:rsidR="00CA6D84" w:rsidRPr="007B6732">
        <w:rPr>
          <w:rFonts w:ascii="Book Antiqua" w:hAnsi="Book Antiqua"/>
          <w:i/>
        </w:rPr>
        <w:t>n</w:t>
      </w:r>
      <w:r w:rsidR="00B610E5" w:rsidRPr="007B6732">
        <w:rPr>
          <w:rFonts w:ascii="Book Antiqua" w:eastAsia="SimSun" w:hAnsi="Book Antiqua" w:hint="eastAsia"/>
          <w:lang w:eastAsia="zh-CN"/>
        </w:rPr>
        <w:t xml:space="preserve"> </w:t>
      </w:r>
      <w:r w:rsidR="00CA6D84" w:rsidRPr="007B6732">
        <w:rPr>
          <w:rFonts w:ascii="Book Antiqua" w:hAnsi="Book Antiqua"/>
        </w:rPr>
        <w:t>=</w:t>
      </w:r>
      <w:r w:rsidR="00B610E5" w:rsidRPr="007B6732">
        <w:rPr>
          <w:rFonts w:ascii="Book Antiqua" w:eastAsia="SimSun" w:hAnsi="Book Antiqua" w:hint="eastAsia"/>
          <w:lang w:eastAsia="zh-CN"/>
        </w:rPr>
        <w:t xml:space="preserve"> </w:t>
      </w:r>
      <w:r w:rsidR="00CA6D84" w:rsidRPr="007B6732">
        <w:rPr>
          <w:rFonts w:ascii="Book Antiqua" w:hAnsi="Book Antiqua"/>
        </w:rPr>
        <w:t>46</w:t>
      </w:r>
      <w:r w:rsidRPr="007B6732">
        <w:rPr>
          <w:rFonts w:ascii="Book Antiqua" w:hAnsi="Book Antiqua"/>
        </w:rPr>
        <w:t xml:space="preserve">, </w:t>
      </w:r>
      <w:r w:rsidR="00CA6D84" w:rsidRPr="007B6732">
        <w:rPr>
          <w:rFonts w:ascii="Book Antiqua" w:hAnsi="Book Antiqua"/>
        </w:rPr>
        <w:t>60</w:t>
      </w:r>
      <w:r w:rsidRPr="007B6732">
        <w:rPr>
          <w:rFonts w:ascii="Book Antiqua" w:hAnsi="Book Antiqua"/>
        </w:rPr>
        <w:t xml:space="preserve">%) and independence of the </w:t>
      </w:r>
      <w:r w:rsidRPr="007B6732">
        <w:rPr>
          <w:rFonts w:ascii="Book Antiqua" w:hAnsi="Book Antiqua"/>
        </w:rPr>
        <w:lastRenderedPageBreak/>
        <w:t>patient to advo</w:t>
      </w:r>
      <w:r w:rsidR="00314827" w:rsidRPr="007B6732">
        <w:rPr>
          <w:rFonts w:ascii="Book Antiqua" w:hAnsi="Book Antiqua"/>
        </w:rPr>
        <w:t>cate for their needs (</w:t>
      </w:r>
      <w:r w:rsidR="00314827" w:rsidRPr="007B6732">
        <w:rPr>
          <w:rFonts w:ascii="Book Antiqua" w:hAnsi="Book Antiqua"/>
          <w:i/>
        </w:rPr>
        <w:t>n</w:t>
      </w:r>
      <w:r w:rsidR="00B610E5" w:rsidRPr="007B6732">
        <w:rPr>
          <w:rFonts w:ascii="Book Antiqua" w:eastAsia="SimSun" w:hAnsi="Book Antiqua" w:hint="eastAsia"/>
          <w:lang w:eastAsia="zh-CN"/>
        </w:rPr>
        <w:t xml:space="preserve"> </w:t>
      </w:r>
      <w:r w:rsidR="00314827" w:rsidRPr="007B6732">
        <w:rPr>
          <w:rFonts w:ascii="Book Antiqua" w:hAnsi="Book Antiqua"/>
        </w:rPr>
        <w:t>=</w:t>
      </w:r>
      <w:r w:rsidR="00B610E5" w:rsidRPr="007B6732">
        <w:rPr>
          <w:rFonts w:ascii="Book Antiqua" w:eastAsia="SimSun" w:hAnsi="Book Antiqua" w:hint="eastAsia"/>
          <w:lang w:eastAsia="zh-CN"/>
        </w:rPr>
        <w:t xml:space="preserve"> </w:t>
      </w:r>
      <w:r w:rsidR="00314827" w:rsidRPr="007B6732">
        <w:rPr>
          <w:rFonts w:ascii="Book Antiqua" w:hAnsi="Book Antiqua"/>
        </w:rPr>
        <w:t>40, 51.9</w:t>
      </w:r>
      <w:r w:rsidRPr="007B6732">
        <w:rPr>
          <w:rFonts w:ascii="Book Antiqua" w:hAnsi="Book Antiqua"/>
        </w:rPr>
        <w:t xml:space="preserve">%) were the 2 general domains attributed to the perceived inadequate preparation. In terms of specific factors the following were rated as the most important on the Linkert scale (mean score &gt; 4.5): patient’s knowledge of IBD in general (mean = 4.6) and their particular disease (site affected, medication history, treatment side effects </w:t>
      </w:r>
      <w:r w:rsidRPr="007B6732">
        <w:rPr>
          <w:rFonts w:ascii="Book Antiqua" w:hAnsi="Book Antiqua"/>
          <w:i/>
        </w:rPr>
        <w:t>etc.</w:t>
      </w:r>
      <w:r w:rsidRPr="007B6732">
        <w:rPr>
          <w:rFonts w:ascii="Book Antiqua" w:hAnsi="Book Antiqua"/>
        </w:rPr>
        <w:t>) (</w:t>
      </w:r>
      <w:r w:rsidR="007B6732" w:rsidRPr="007B6732">
        <w:rPr>
          <w:rFonts w:ascii="Book Antiqua" w:hAnsi="Book Antiqua"/>
        </w:rPr>
        <w:t xml:space="preserve">mean </w:t>
      </w:r>
      <w:r w:rsidRPr="007B6732">
        <w:rPr>
          <w:rFonts w:ascii="Book Antiqua" w:hAnsi="Book Antiqua"/>
        </w:rPr>
        <w:t>= 4.6), patient responsibility in taking their medication (mean = 4.7), partaking in discussions during doctor visits (mean = 4.7), being able to recognize when their disease may be active and who to contact (mean = 4.8</w:t>
      </w:r>
      <w:r w:rsidR="00A41451" w:rsidRPr="007B6732">
        <w:rPr>
          <w:rFonts w:ascii="Book Antiqua" w:hAnsi="Book Antiqua"/>
        </w:rPr>
        <w:t>) and</w:t>
      </w:r>
      <w:r w:rsidRPr="007B6732">
        <w:rPr>
          <w:rFonts w:ascii="Book Antiqua" w:hAnsi="Book Antiqua"/>
        </w:rPr>
        <w:t xml:space="preserve"> understanding the impact of tobacco and drugs on their condition (mean = 4.6) (Table S3) </w:t>
      </w:r>
    </w:p>
    <w:p w14:paraId="41E521EF" w14:textId="77777777" w:rsidR="00217D89" w:rsidRPr="007B6732" w:rsidRDefault="00217D89" w:rsidP="0056175D">
      <w:pPr>
        <w:spacing w:line="360" w:lineRule="auto"/>
        <w:jc w:val="both"/>
        <w:rPr>
          <w:rFonts w:ascii="Book Antiqua" w:hAnsi="Book Antiqua"/>
        </w:rPr>
      </w:pPr>
    </w:p>
    <w:p w14:paraId="0E53B3BB" w14:textId="6CEC850C" w:rsidR="00217D89" w:rsidRPr="007B6732" w:rsidRDefault="00217D89" w:rsidP="0056175D">
      <w:pPr>
        <w:tabs>
          <w:tab w:val="center" w:pos="4320"/>
        </w:tabs>
        <w:spacing w:line="360" w:lineRule="auto"/>
        <w:jc w:val="both"/>
        <w:outlineLvl w:val="0"/>
        <w:rPr>
          <w:rFonts w:ascii="Book Antiqua" w:hAnsi="Book Antiqua"/>
          <w:b/>
          <w:i/>
        </w:rPr>
      </w:pPr>
      <w:r w:rsidRPr="007B6732">
        <w:rPr>
          <w:rFonts w:ascii="Book Antiqua" w:hAnsi="Book Antiqua"/>
          <w:b/>
          <w:i/>
        </w:rPr>
        <w:t>Tools to improve transition</w:t>
      </w:r>
      <w:r w:rsidR="00B610E5" w:rsidRPr="007B6732">
        <w:rPr>
          <w:rFonts w:ascii="Book Antiqua" w:eastAsia="SimSun" w:hAnsi="Book Antiqua" w:hint="eastAsia"/>
          <w:b/>
          <w:i/>
          <w:lang w:eastAsia="zh-CN"/>
        </w:rPr>
        <w:t xml:space="preserve"> </w:t>
      </w:r>
      <w:r w:rsidRPr="007B6732">
        <w:rPr>
          <w:rFonts w:ascii="Book Antiqua" w:hAnsi="Book Antiqua"/>
          <w:b/>
          <w:i/>
        </w:rPr>
        <w:tab/>
      </w:r>
    </w:p>
    <w:p w14:paraId="3C22C19C" w14:textId="7E76C8AA" w:rsidR="00217D89" w:rsidRPr="007B6732" w:rsidRDefault="00217D89" w:rsidP="0056175D">
      <w:pPr>
        <w:spacing w:line="360" w:lineRule="auto"/>
        <w:jc w:val="both"/>
        <w:rPr>
          <w:rFonts w:ascii="Book Antiqua" w:hAnsi="Book Antiqua"/>
          <w:b/>
        </w:rPr>
      </w:pPr>
      <w:r w:rsidRPr="007B6732">
        <w:rPr>
          <w:rFonts w:ascii="Book Antiqua" w:hAnsi="Book Antiqua"/>
        </w:rPr>
        <w:t xml:space="preserve">A significant amount of adult GIs (37%, </w:t>
      </w:r>
      <w:r w:rsidRPr="007B6732">
        <w:rPr>
          <w:rFonts w:ascii="Book Antiqua" w:hAnsi="Book Antiqua"/>
          <w:i/>
        </w:rPr>
        <w:t>n</w:t>
      </w:r>
      <w:r w:rsidR="00B610E5" w:rsidRPr="007B6732">
        <w:rPr>
          <w:rFonts w:ascii="Book Antiqua" w:eastAsia="SimSun" w:hAnsi="Book Antiqua" w:hint="eastAsia"/>
          <w:i/>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 xml:space="preserve">17/46) stated they do not receive enough information regarding new incoming IBD patients from the referring pediatric GIs. </w:t>
      </w:r>
    </w:p>
    <w:p w14:paraId="1C6A4BC0" w14:textId="5FD3B127" w:rsidR="00217D89" w:rsidRPr="007B6732" w:rsidRDefault="00217D89" w:rsidP="00B610E5">
      <w:pPr>
        <w:spacing w:line="360" w:lineRule="auto"/>
        <w:ind w:firstLineChars="150" w:firstLine="360"/>
        <w:jc w:val="both"/>
        <w:rPr>
          <w:rFonts w:ascii="Book Antiqua" w:hAnsi="Book Antiqua"/>
        </w:rPr>
      </w:pPr>
      <w:r w:rsidRPr="007B6732">
        <w:rPr>
          <w:rFonts w:ascii="Book Antiqua" w:hAnsi="Book Antiqua"/>
        </w:rPr>
        <w:t xml:space="preserve">The vast majority (82.6%, </w:t>
      </w:r>
      <w:r w:rsidRPr="007B6732">
        <w:rPr>
          <w:rFonts w:ascii="Book Antiqua" w:hAnsi="Book Antiqua"/>
          <w:i/>
        </w:rPr>
        <w:t>n</w:t>
      </w:r>
      <w:r w:rsidR="00B610E5" w:rsidRPr="007B6732">
        <w:rPr>
          <w:rFonts w:ascii="Book Antiqua" w:eastAsia="SimSun" w:hAnsi="Book Antiqua" w:hint="eastAsia"/>
          <w:i/>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 xml:space="preserve">38/46) of adults GIs prefer to obtain a chart summary prior to the first visit as opposed to at the moment of the first rendezvous. </w:t>
      </w:r>
    </w:p>
    <w:p w14:paraId="34E8C291" w14:textId="2B2410AC" w:rsidR="00217D89" w:rsidRPr="007B6732" w:rsidRDefault="00217D89" w:rsidP="00B610E5">
      <w:pPr>
        <w:spacing w:line="360" w:lineRule="auto"/>
        <w:ind w:firstLineChars="98" w:firstLine="235"/>
        <w:jc w:val="both"/>
        <w:rPr>
          <w:rFonts w:ascii="Book Antiqua" w:hAnsi="Book Antiqua"/>
        </w:rPr>
      </w:pPr>
      <w:r w:rsidRPr="007B6732">
        <w:rPr>
          <w:rFonts w:ascii="Book Antiqua" w:hAnsi="Book Antiqua"/>
        </w:rPr>
        <w:t>Among a variety of tools listed which could potentially be implemented by the transition network in Québec (TRACC),</w:t>
      </w:r>
      <w:r w:rsidR="00743230" w:rsidRPr="007B6732">
        <w:rPr>
          <w:rFonts w:ascii="Book Antiqua" w:hAnsi="Book Antiqua"/>
        </w:rPr>
        <w:t xml:space="preserve"> a transition program (77.3</w:t>
      </w:r>
      <w:r w:rsidRPr="007B6732">
        <w:rPr>
          <w:rFonts w:ascii="Book Antiqua" w:hAnsi="Book Antiqua"/>
        </w:rPr>
        <w:t xml:space="preserve">%, </w:t>
      </w:r>
      <w:r w:rsidR="00B610E5" w:rsidRPr="007B6732">
        <w:rPr>
          <w:rFonts w:ascii="Book Antiqua" w:hAnsi="Book Antiqua"/>
          <w:i/>
        </w:rPr>
        <w:t>n</w:t>
      </w:r>
      <w:r w:rsidR="00B610E5" w:rsidRPr="007B6732">
        <w:rPr>
          <w:rFonts w:ascii="Book Antiqua" w:eastAsia="SimSun" w:hAnsi="Book Antiqua" w:hint="eastAsia"/>
          <w:i/>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00D86028" w:rsidRPr="007B6732">
        <w:rPr>
          <w:rFonts w:ascii="Book Antiqua" w:hAnsi="Book Antiqua"/>
        </w:rPr>
        <w:t>59/76</w:t>
      </w:r>
      <w:r w:rsidRPr="007B6732">
        <w:rPr>
          <w:rFonts w:ascii="Book Antiqua" w:hAnsi="Book Antiqua"/>
        </w:rPr>
        <w:t xml:space="preserve">) and medical summaries </w:t>
      </w:r>
      <w:r w:rsidR="00743230" w:rsidRPr="007B6732">
        <w:rPr>
          <w:rFonts w:ascii="Book Antiqua" w:hAnsi="Book Antiqua"/>
        </w:rPr>
        <w:t xml:space="preserve">(76.2%, </w:t>
      </w:r>
      <w:r w:rsidR="00743230" w:rsidRPr="007B6732">
        <w:rPr>
          <w:rFonts w:ascii="Book Antiqua" w:hAnsi="Book Antiqua"/>
          <w:i/>
        </w:rPr>
        <w:t>n</w:t>
      </w:r>
      <w:r w:rsidR="00B610E5" w:rsidRPr="007B6732">
        <w:rPr>
          <w:rFonts w:ascii="Book Antiqua" w:eastAsia="SimSun" w:hAnsi="Book Antiqua" w:hint="eastAsia"/>
          <w:i/>
          <w:lang w:eastAsia="zh-CN"/>
        </w:rPr>
        <w:t xml:space="preserve"> </w:t>
      </w:r>
      <w:r w:rsidR="00743230" w:rsidRPr="007B6732">
        <w:rPr>
          <w:rFonts w:ascii="Book Antiqua" w:hAnsi="Book Antiqua"/>
        </w:rPr>
        <w:t>=</w:t>
      </w:r>
      <w:r w:rsidR="00B610E5" w:rsidRPr="007B6732">
        <w:rPr>
          <w:rFonts w:ascii="Book Antiqua" w:eastAsia="SimSun" w:hAnsi="Book Antiqua" w:hint="eastAsia"/>
          <w:lang w:eastAsia="zh-CN"/>
        </w:rPr>
        <w:t xml:space="preserve"> </w:t>
      </w:r>
      <w:r w:rsidR="00743230" w:rsidRPr="007B6732">
        <w:rPr>
          <w:rFonts w:ascii="Book Antiqua" w:hAnsi="Book Antiqua"/>
        </w:rPr>
        <w:t>58/76</w:t>
      </w:r>
      <w:r w:rsidRPr="007B6732">
        <w:rPr>
          <w:rFonts w:ascii="Book Antiqua" w:hAnsi="Book Antiqua"/>
        </w:rPr>
        <w:t>) were felt to be the most important. On subgroup analysis 71.7% of adult GIs and 93.8% of pediatric GIs felt that a transition program would be a useful tool (</w:t>
      </w:r>
      <w:r w:rsidR="00B610E5" w:rsidRPr="007B6732">
        <w:rPr>
          <w:rFonts w:ascii="Book Antiqua" w:hAnsi="Book Antiqua"/>
          <w:i/>
        </w:rPr>
        <w:t>P</w:t>
      </w:r>
      <w:r w:rsidR="00B610E5" w:rsidRPr="007B6732">
        <w:rPr>
          <w:rFonts w:ascii="Book Antiqua" w:eastAsia="SimSun" w:hAnsi="Book Antiqua" w:hint="eastAsia"/>
          <w:i/>
          <w:lang w:eastAsia="zh-CN"/>
        </w:rPr>
        <w:t xml:space="preserve"> </w:t>
      </w:r>
      <w:r w:rsidRPr="007B6732">
        <w:rPr>
          <w:rFonts w:ascii="Book Antiqua" w:hAnsi="Book Antiqua"/>
          <w:i/>
        </w:rPr>
        <w:t>=</w:t>
      </w:r>
      <w:r w:rsidR="00B610E5" w:rsidRPr="007B6732">
        <w:rPr>
          <w:rFonts w:ascii="Book Antiqua" w:eastAsia="SimSun" w:hAnsi="Book Antiqua" w:hint="eastAsia"/>
          <w:i/>
          <w:lang w:eastAsia="zh-CN"/>
        </w:rPr>
        <w:t xml:space="preserve"> </w:t>
      </w:r>
      <w:r w:rsidRPr="007B6732">
        <w:rPr>
          <w:rFonts w:ascii="Book Antiqua" w:hAnsi="Book Antiqua"/>
        </w:rPr>
        <w:t>0.07) with 84.7% and 62.5% respectively choosing medical summaries as important tools (</w:t>
      </w:r>
      <w:r w:rsidRPr="007B6732">
        <w:rPr>
          <w:rFonts w:ascii="Book Antiqua" w:hAnsi="Book Antiqua"/>
          <w:i/>
        </w:rPr>
        <w:t>P</w:t>
      </w:r>
      <w:r w:rsidR="00B610E5" w:rsidRPr="007B6732">
        <w:rPr>
          <w:rFonts w:ascii="Book Antiqua" w:eastAsia="SimSun" w:hAnsi="Book Antiqua" w:hint="eastAsia"/>
          <w:i/>
          <w:lang w:eastAsia="zh-CN"/>
        </w:rPr>
        <w:t xml:space="preserve"> </w:t>
      </w:r>
      <w:r w:rsidRPr="007B6732">
        <w:rPr>
          <w:rFonts w:ascii="Book Antiqua" w:hAnsi="Book Antiqua"/>
          <w:i/>
        </w:rPr>
        <w:t>=</w:t>
      </w:r>
      <w:r w:rsidR="00B610E5" w:rsidRPr="007B6732">
        <w:rPr>
          <w:rFonts w:ascii="Book Antiqua" w:eastAsia="SimSun" w:hAnsi="Book Antiqua" w:hint="eastAsia"/>
          <w:i/>
          <w:lang w:eastAsia="zh-CN"/>
        </w:rPr>
        <w:t xml:space="preserve"> </w:t>
      </w:r>
      <w:r w:rsidRPr="007B6732">
        <w:rPr>
          <w:rFonts w:ascii="Book Antiqua" w:hAnsi="Book Antiqua"/>
        </w:rPr>
        <w:t>0.06). A structured educational day on transition</w:t>
      </w:r>
      <w:r w:rsidR="00B7080A" w:rsidRPr="007B6732">
        <w:rPr>
          <w:rFonts w:ascii="Book Antiqua" w:hAnsi="Book Antiqua"/>
        </w:rPr>
        <w:t xml:space="preserve"> care</w:t>
      </w:r>
      <w:r w:rsidRPr="007B6732">
        <w:rPr>
          <w:rFonts w:ascii="Book Antiqua" w:hAnsi="Book Antiqua"/>
        </w:rPr>
        <w:t xml:space="preserve"> for</w:t>
      </w:r>
      <w:r w:rsidR="00743230" w:rsidRPr="007B6732">
        <w:rPr>
          <w:rFonts w:ascii="Book Antiqua" w:hAnsi="Book Antiqua"/>
        </w:rPr>
        <w:t xml:space="preserve"> patients and their families (47.4</w:t>
      </w:r>
      <w:r w:rsidR="00C55253" w:rsidRPr="007B6732">
        <w:rPr>
          <w:rFonts w:ascii="Book Antiqua" w:hAnsi="Book Antiqua"/>
        </w:rPr>
        <w:t xml:space="preserve">%, </w:t>
      </w:r>
      <w:r w:rsidR="00B610E5" w:rsidRPr="007B6732">
        <w:rPr>
          <w:rFonts w:ascii="Book Antiqua" w:hAnsi="Book Antiqua"/>
          <w:i/>
        </w:rPr>
        <w:t>n</w:t>
      </w:r>
      <w:r w:rsidR="00B610E5" w:rsidRPr="007B6732">
        <w:rPr>
          <w:rFonts w:ascii="Book Antiqua" w:hAnsi="Book Antiqua"/>
        </w:rPr>
        <w:t xml:space="preserve"> </w:t>
      </w:r>
      <w:r w:rsidR="00C55253" w:rsidRPr="007B6732">
        <w:rPr>
          <w:rFonts w:ascii="Book Antiqua" w:hAnsi="Book Antiqua"/>
        </w:rPr>
        <w:t>=</w:t>
      </w:r>
      <w:r w:rsidR="00B610E5" w:rsidRPr="007B6732">
        <w:rPr>
          <w:rFonts w:ascii="Book Antiqua" w:eastAsia="SimSun" w:hAnsi="Book Antiqua" w:hint="eastAsia"/>
          <w:lang w:eastAsia="zh-CN"/>
        </w:rPr>
        <w:t xml:space="preserve"> </w:t>
      </w:r>
      <w:r w:rsidR="00C55253" w:rsidRPr="007B6732">
        <w:rPr>
          <w:rFonts w:ascii="Book Antiqua" w:hAnsi="Book Antiqua"/>
        </w:rPr>
        <w:t>36/76</w:t>
      </w:r>
      <w:r w:rsidRPr="007B6732">
        <w:rPr>
          <w:rFonts w:ascii="Book Antiqua" w:hAnsi="Book Antiqua"/>
        </w:rPr>
        <w:t>) was also considered useful. A checklist prior to the first adult visit was also c</w:t>
      </w:r>
      <w:r w:rsidR="00C55253" w:rsidRPr="007B6732">
        <w:rPr>
          <w:rFonts w:ascii="Book Antiqua" w:hAnsi="Book Antiqua"/>
        </w:rPr>
        <w:t xml:space="preserve">onsidered important (54%, </w:t>
      </w:r>
      <w:r w:rsidR="00C55253" w:rsidRPr="007B6732">
        <w:rPr>
          <w:rFonts w:ascii="Book Antiqua" w:hAnsi="Book Antiqua"/>
          <w:i/>
        </w:rPr>
        <w:t>n</w:t>
      </w:r>
      <w:r w:rsidR="00B610E5" w:rsidRPr="007B6732">
        <w:rPr>
          <w:rFonts w:ascii="Book Antiqua" w:eastAsia="SimSun" w:hAnsi="Book Antiqua" w:hint="eastAsia"/>
          <w:lang w:eastAsia="zh-CN"/>
        </w:rPr>
        <w:t xml:space="preserve"> </w:t>
      </w:r>
      <w:r w:rsidR="00C55253" w:rsidRPr="007B6732">
        <w:rPr>
          <w:rFonts w:ascii="Book Antiqua" w:hAnsi="Book Antiqua"/>
        </w:rPr>
        <w:t>=</w:t>
      </w:r>
      <w:r w:rsidR="00B610E5" w:rsidRPr="007B6732">
        <w:rPr>
          <w:rFonts w:ascii="Book Antiqua" w:eastAsia="SimSun" w:hAnsi="Book Antiqua" w:hint="eastAsia"/>
          <w:lang w:eastAsia="zh-CN"/>
        </w:rPr>
        <w:t xml:space="preserve"> </w:t>
      </w:r>
      <w:r w:rsidR="00C55253" w:rsidRPr="007B6732">
        <w:rPr>
          <w:rFonts w:ascii="Book Antiqua" w:hAnsi="Book Antiqua"/>
        </w:rPr>
        <w:t>41/76</w:t>
      </w:r>
      <w:r w:rsidRPr="007B6732">
        <w:rPr>
          <w:rFonts w:ascii="Book Antiqua" w:hAnsi="Book Antiqua"/>
        </w:rPr>
        <w:t>).  Surprisingly a</w:t>
      </w:r>
      <w:r w:rsidR="00C55253" w:rsidRPr="007B6732">
        <w:rPr>
          <w:rFonts w:ascii="Book Antiqua" w:hAnsi="Book Antiqua"/>
        </w:rPr>
        <w:t xml:space="preserve"> dedicated transition clinic</w:t>
      </w:r>
      <w:r w:rsidR="009618C4" w:rsidRPr="007B6732">
        <w:rPr>
          <w:rFonts w:ascii="Book Antiqua" w:hAnsi="Book Antiqua"/>
        </w:rPr>
        <w:t xml:space="preserve">, which was not clearly defined to respondents but rather listed as a response, </w:t>
      </w:r>
      <w:r w:rsidR="00C55253" w:rsidRPr="007B6732">
        <w:rPr>
          <w:rFonts w:ascii="Book Antiqua" w:hAnsi="Book Antiqua"/>
        </w:rPr>
        <w:t xml:space="preserve">(32.9%, </w:t>
      </w:r>
      <w:r w:rsidR="00B610E5" w:rsidRPr="007B6732">
        <w:rPr>
          <w:rFonts w:ascii="Book Antiqua" w:hAnsi="Book Antiqua"/>
          <w:i/>
        </w:rPr>
        <w:t>n</w:t>
      </w:r>
      <w:r w:rsidR="00B610E5" w:rsidRPr="007B6732">
        <w:rPr>
          <w:rFonts w:ascii="Book Antiqua" w:hAnsi="Book Antiqua"/>
        </w:rPr>
        <w:t xml:space="preserve"> </w:t>
      </w:r>
      <w:r w:rsidR="00C55253" w:rsidRPr="007B6732">
        <w:rPr>
          <w:rFonts w:ascii="Book Antiqua" w:hAnsi="Book Antiqua"/>
        </w:rPr>
        <w:t>=</w:t>
      </w:r>
      <w:r w:rsidR="00B610E5" w:rsidRPr="007B6732">
        <w:rPr>
          <w:rFonts w:ascii="Book Antiqua" w:eastAsia="SimSun" w:hAnsi="Book Antiqua" w:hint="eastAsia"/>
          <w:lang w:eastAsia="zh-CN"/>
        </w:rPr>
        <w:t xml:space="preserve"> </w:t>
      </w:r>
      <w:r w:rsidR="00C55253" w:rsidRPr="007B6732">
        <w:rPr>
          <w:rFonts w:ascii="Book Antiqua" w:hAnsi="Book Antiqua"/>
        </w:rPr>
        <w:t>25/76</w:t>
      </w:r>
      <w:r w:rsidRPr="007B6732">
        <w:rPr>
          <w:rFonts w:ascii="Book Antiqua" w:hAnsi="Book Antiqua"/>
        </w:rPr>
        <w:t xml:space="preserve">) was not perceived to be as important as some of the other tools amongst all responders (Table S4). However on subgroup analysis </w:t>
      </w:r>
      <w:r w:rsidRPr="007B6732">
        <w:rPr>
          <w:rFonts w:ascii="Book Antiqua" w:hAnsi="Book Antiqua"/>
        </w:rPr>
        <w:lastRenderedPageBreak/>
        <w:t>it became apparent that this was a more important tool amongst pediatric GIs.</w:t>
      </w:r>
      <w:r w:rsidR="009618C4" w:rsidRPr="007B6732">
        <w:rPr>
          <w:rFonts w:ascii="Book Antiqua" w:hAnsi="Book Antiqua"/>
        </w:rPr>
        <w:t xml:space="preserve"> </w:t>
      </w:r>
      <w:r w:rsidRPr="007B6732">
        <w:rPr>
          <w:rFonts w:ascii="Book Antiqua" w:hAnsi="Book Antiqua"/>
        </w:rPr>
        <w:t xml:space="preserve"> Only 21.7% of adult GIs compared to 68.8% of pediatric GIs selected dedicated transition clinics as being important in transition (</w:t>
      </w:r>
      <w:r w:rsidR="00B610E5" w:rsidRPr="007B6732">
        <w:rPr>
          <w:rFonts w:ascii="Book Antiqua" w:hAnsi="Book Antiqua"/>
          <w:i/>
        </w:rPr>
        <w:t>P</w:t>
      </w:r>
      <w:r w:rsidR="00B610E5" w:rsidRPr="007B6732">
        <w:rPr>
          <w:rFonts w:ascii="Book Antiqua" w:eastAsia="SimSun" w:hAnsi="Book Antiqua" w:hint="eastAsia"/>
          <w:lang w:eastAsia="zh-CN"/>
        </w:rPr>
        <w:t xml:space="preserve"> </w:t>
      </w:r>
      <w:r w:rsidRPr="007B6732">
        <w:rPr>
          <w:rFonts w:ascii="Book Antiqua" w:hAnsi="Book Antiqua"/>
        </w:rPr>
        <w:t>=</w:t>
      </w:r>
      <w:r w:rsidR="00B610E5" w:rsidRPr="007B6732">
        <w:rPr>
          <w:rFonts w:ascii="Book Antiqua" w:eastAsia="SimSun" w:hAnsi="Book Antiqua" w:hint="eastAsia"/>
          <w:lang w:eastAsia="zh-CN"/>
        </w:rPr>
        <w:t xml:space="preserve"> </w:t>
      </w:r>
      <w:r w:rsidRPr="007B6732">
        <w:rPr>
          <w:rFonts w:ascii="Book Antiqua" w:hAnsi="Book Antiqua"/>
        </w:rPr>
        <w:t>0.00006</w:t>
      </w:r>
      <w:r w:rsidRPr="007B6732">
        <w:rPr>
          <w:rFonts w:ascii="Book Antiqua" w:hAnsi="Book Antiqua"/>
          <w:i/>
        </w:rPr>
        <w:t>)</w:t>
      </w:r>
      <w:r w:rsidRPr="007B6732">
        <w:rPr>
          <w:rFonts w:ascii="Book Antiqua" w:hAnsi="Book Antiqua"/>
        </w:rPr>
        <w:t xml:space="preserve"> (Table 2).</w:t>
      </w:r>
    </w:p>
    <w:p w14:paraId="607D08E5" w14:textId="77777777" w:rsidR="00217D89" w:rsidRPr="007B6732" w:rsidRDefault="00217D89" w:rsidP="0056175D">
      <w:pPr>
        <w:spacing w:line="360" w:lineRule="auto"/>
        <w:jc w:val="both"/>
        <w:rPr>
          <w:rFonts w:ascii="Book Antiqua" w:hAnsi="Book Antiqua"/>
        </w:rPr>
      </w:pPr>
    </w:p>
    <w:p w14:paraId="37CB1953" w14:textId="0F754D8B" w:rsidR="00217D89" w:rsidRPr="007B6732" w:rsidRDefault="00B610E5" w:rsidP="0056175D">
      <w:pPr>
        <w:spacing w:line="360" w:lineRule="auto"/>
        <w:jc w:val="both"/>
        <w:outlineLvl w:val="0"/>
        <w:rPr>
          <w:rFonts w:ascii="Book Antiqua" w:eastAsia="SimSun" w:hAnsi="Book Antiqua"/>
          <w:b/>
          <w:i/>
          <w:lang w:eastAsia="zh-CN"/>
        </w:rPr>
      </w:pPr>
      <w:r w:rsidRPr="007B6732">
        <w:rPr>
          <w:rFonts w:ascii="Book Antiqua" w:hAnsi="Book Antiqua"/>
          <w:b/>
          <w:i/>
        </w:rPr>
        <w:t>Training and resources</w:t>
      </w:r>
    </w:p>
    <w:p w14:paraId="059760B8" w14:textId="10924216" w:rsidR="00217D89" w:rsidRPr="007B6732" w:rsidRDefault="00217D89" w:rsidP="0056175D">
      <w:pPr>
        <w:spacing w:line="360" w:lineRule="auto"/>
        <w:jc w:val="both"/>
        <w:rPr>
          <w:rFonts w:ascii="Book Antiqua" w:hAnsi="Book Antiqua"/>
          <w:iCs/>
        </w:rPr>
      </w:pPr>
      <w:r w:rsidRPr="007B6732">
        <w:rPr>
          <w:rFonts w:ascii="Book Antiqua" w:hAnsi="Book Antiqua"/>
        </w:rPr>
        <w:t>The majority o</w:t>
      </w:r>
      <w:r w:rsidR="00C55253" w:rsidRPr="007B6732">
        <w:rPr>
          <w:rFonts w:ascii="Book Antiqua" w:hAnsi="Book Antiqua"/>
        </w:rPr>
        <w:t>f respondents (75.3%,</w:t>
      </w:r>
      <w:r w:rsidR="00C55253" w:rsidRPr="007B6732">
        <w:rPr>
          <w:rFonts w:ascii="Book Antiqua" w:hAnsi="Book Antiqua"/>
          <w:i/>
        </w:rPr>
        <w:t xml:space="preserve"> n</w:t>
      </w:r>
      <w:r w:rsidR="00B610E5" w:rsidRPr="007B6732">
        <w:rPr>
          <w:rFonts w:ascii="Book Antiqua" w:eastAsia="SimSun" w:hAnsi="Book Antiqua" w:hint="eastAsia"/>
          <w:i/>
          <w:lang w:eastAsia="zh-CN"/>
        </w:rPr>
        <w:t xml:space="preserve"> </w:t>
      </w:r>
      <w:r w:rsidR="00C55253" w:rsidRPr="007B6732">
        <w:rPr>
          <w:rFonts w:ascii="Book Antiqua" w:hAnsi="Book Antiqua"/>
        </w:rPr>
        <w:t>=</w:t>
      </w:r>
      <w:r w:rsidR="00B610E5" w:rsidRPr="007B6732">
        <w:rPr>
          <w:rFonts w:ascii="Book Antiqua" w:eastAsia="SimSun" w:hAnsi="Book Antiqua" w:hint="eastAsia"/>
          <w:lang w:eastAsia="zh-CN"/>
        </w:rPr>
        <w:t xml:space="preserve"> </w:t>
      </w:r>
      <w:r w:rsidR="00C55253" w:rsidRPr="007B6732">
        <w:rPr>
          <w:rFonts w:ascii="Book Antiqua" w:hAnsi="Book Antiqua"/>
        </w:rPr>
        <w:t xml:space="preserve">52/69) </w:t>
      </w:r>
      <w:r w:rsidRPr="007B6732">
        <w:rPr>
          <w:rFonts w:ascii="Book Antiqua" w:hAnsi="Book Antiqua"/>
        </w:rPr>
        <w:t>felt that they had adequate training to effectively deal with transitioning patients in IBD. On subgroup analysis it became apparent that IBD nurses felt less prepared compared to both pediatric and adult GIs (</w:t>
      </w:r>
      <w:r w:rsidR="000D65E1" w:rsidRPr="007B6732">
        <w:rPr>
          <w:rFonts w:ascii="Book Antiqua" w:hAnsi="Book Antiqua"/>
          <w:i/>
        </w:rPr>
        <w:t>P</w:t>
      </w:r>
      <w:r w:rsidR="000D65E1" w:rsidRPr="007B6732">
        <w:rPr>
          <w:rFonts w:ascii="Book Antiqua" w:eastAsia="SimSun" w:hAnsi="Book Antiqua" w:hint="eastAsia"/>
          <w:lang w:eastAsia="zh-CN"/>
        </w:rPr>
        <w:t xml:space="preserve"> </w:t>
      </w:r>
      <w:r w:rsidRPr="007B6732">
        <w:rPr>
          <w:rFonts w:ascii="Book Antiqua" w:hAnsi="Book Antiqua"/>
          <w:iCs/>
        </w:rPr>
        <w:t>=</w:t>
      </w:r>
      <w:r w:rsidR="000D65E1" w:rsidRPr="007B6732">
        <w:rPr>
          <w:rFonts w:ascii="Book Antiqua" w:eastAsia="SimSun" w:hAnsi="Book Antiqua" w:hint="eastAsia"/>
          <w:iCs/>
          <w:lang w:eastAsia="zh-CN"/>
        </w:rPr>
        <w:t xml:space="preserve"> </w:t>
      </w:r>
      <w:r w:rsidRPr="007B6732">
        <w:rPr>
          <w:rFonts w:ascii="Book Antiqua" w:hAnsi="Book Antiqua"/>
          <w:iCs/>
        </w:rPr>
        <w:t xml:space="preserve">0.005, </w:t>
      </w:r>
      <w:r w:rsidR="000D65E1" w:rsidRPr="007B6732">
        <w:rPr>
          <w:rFonts w:ascii="Book Antiqua" w:hAnsi="Book Antiqua"/>
          <w:i/>
        </w:rPr>
        <w:t>P</w:t>
      </w:r>
      <w:r w:rsidR="000D65E1" w:rsidRPr="007B6732">
        <w:rPr>
          <w:rFonts w:ascii="Book Antiqua" w:eastAsia="SimSun" w:hAnsi="Book Antiqua" w:hint="eastAsia"/>
          <w:lang w:eastAsia="zh-CN"/>
        </w:rPr>
        <w:t xml:space="preserve"> </w:t>
      </w:r>
      <w:r w:rsidRPr="007B6732">
        <w:rPr>
          <w:rFonts w:ascii="Book Antiqua" w:hAnsi="Book Antiqua"/>
          <w:iCs/>
        </w:rPr>
        <w:t>=</w:t>
      </w:r>
      <w:r w:rsidR="000D65E1" w:rsidRPr="007B6732">
        <w:rPr>
          <w:rFonts w:ascii="Book Antiqua" w:eastAsia="SimSun" w:hAnsi="Book Antiqua" w:hint="eastAsia"/>
          <w:iCs/>
          <w:lang w:eastAsia="zh-CN"/>
        </w:rPr>
        <w:t xml:space="preserve"> </w:t>
      </w:r>
      <w:r w:rsidRPr="007B6732">
        <w:rPr>
          <w:rFonts w:ascii="Book Antiqua" w:hAnsi="Book Antiqua"/>
          <w:iCs/>
        </w:rPr>
        <w:t xml:space="preserve">0.02 respectively). When looking at the adult GIs (78.3%, </w:t>
      </w:r>
      <w:r w:rsidR="000D65E1" w:rsidRPr="007B6732">
        <w:rPr>
          <w:rFonts w:ascii="Book Antiqua" w:hAnsi="Book Antiqua"/>
          <w:i/>
          <w:iCs/>
        </w:rPr>
        <w:t>n</w:t>
      </w:r>
      <w:r w:rsidR="000D65E1" w:rsidRPr="007B6732">
        <w:rPr>
          <w:rFonts w:ascii="Book Antiqua" w:eastAsia="SimSun" w:hAnsi="Book Antiqua" w:hint="eastAsia"/>
          <w:i/>
          <w:iCs/>
          <w:lang w:eastAsia="zh-CN"/>
        </w:rPr>
        <w:t xml:space="preserve"> </w:t>
      </w:r>
      <w:r w:rsidRPr="007B6732">
        <w:rPr>
          <w:rFonts w:ascii="Book Antiqua" w:hAnsi="Book Antiqua"/>
          <w:iCs/>
        </w:rPr>
        <w:t>=</w:t>
      </w:r>
      <w:r w:rsidR="000D65E1" w:rsidRPr="007B6732">
        <w:rPr>
          <w:rFonts w:ascii="Book Antiqua" w:eastAsia="SimSun" w:hAnsi="Book Antiqua" w:hint="eastAsia"/>
          <w:iCs/>
          <w:lang w:eastAsia="zh-CN"/>
        </w:rPr>
        <w:t xml:space="preserve"> </w:t>
      </w:r>
      <w:r w:rsidRPr="007B6732">
        <w:rPr>
          <w:rFonts w:ascii="Book Antiqua" w:hAnsi="Book Antiqua"/>
          <w:iCs/>
        </w:rPr>
        <w:t xml:space="preserve">36/46) compared to pediatric GIs (100%, </w:t>
      </w:r>
      <w:r w:rsidR="000D65E1" w:rsidRPr="007B6732">
        <w:rPr>
          <w:rFonts w:ascii="Book Antiqua" w:hAnsi="Book Antiqua"/>
          <w:i/>
          <w:iCs/>
        </w:rPr>
        <w:t>n</w:t>
      </w:r>
      <w:r w:rsidR="000D65E1" w:rsidRPr="007B6732">
        <w:rPr>
          <w:rFonts w:ascii="Book Antiqua" w:eastAsia="SimSun" w:hAnsi="Book Antiqua" w:hint="eastAsia"/>
          <w:i/>
          <w:iCs/>
          <w:lang w:eastAsia="zh-CN"/>
        </w:rPr>
        <w:t xml:space="preserve"> </w:t>
      </w:r>
      <w:r w:rsidRPr="007B6732">
        <w:rPr>
          <w:rFonts w:ascii="Book Antiqua" w:hAnsi="Book Antiqua"/>
          <w:iCs/>
        </w:rPr>
        <w:t>=</w:t>
      </w:r>
      <w:r w:rsidR="000D65E1" w:rsidRPr="007B6732">
        <w:rPr>
          <w:rFonts w:ascii="Book Antiqua" w:eastAsia="SimSun" w:hAnsi="Book Antiqua" w:hint="eastAsia"/>
          <w:iCs/>
          <w:lang w:eastAsia="zh-CN"/>
        </w:rPr>
        <w:t xml:space="preserve"> </w:t>
      </w:r>
      <w:r w:rsidRPr="007B6732">
        <w:rPr>
          <w:rFonts w:ascii="Book Antiqua" w:hAnsi="Book Antiqua"/>
          <w:iCs/>
        </w:rPr>
        <w:t>10/10) there was a trend towards significance with the adult GIs tending to feel less adequately trained (</w:t>
      </w:r>
      <w:r w:rsidR="000D65E1" w:rsidRPr="007B6732">
        <w:rPr>
          <w:rFonts w:ascii="Book Antiqua" w:hAnsi="Book Antiqua"/>
          <w:i/>
        </w:rPr>
        <w:t>P</w:t>
      </w:r>
      <w:r w:rsidR="000D65E1" w:rsidRPr="007B6732">
        <w:rPr>
          <w:rFonts w:ascii="Book Antiqua" w:eastAsia="SimSun" w:hAnsi="Book Antiqua" w:hint="eastAsia"/>
          <w:lang w:eastAsia="zh-CN"/>
        </w:rPr>
        <w:t xml:space="preserve"> </w:t>
      </w:r>
      <w:r w:rsidRPr="007B6732">
        <w:rPr>
          <w:rFonts w:ascii="Book Antiqua" w:hAnsi="Book Antiqua"/>
          <w:iCs/>
        </w:rPr>
        <w:t>=</w:t>
      </w:r>
      <w:r w:rsidR="000D65E1" w:rsidRPr="007B6732">
        <w:rPr>
          <w:rFonts w:ascii="Book Antiqua" w:eastAsia="SimSun" w:hAnsi="Book Antiqua" w:hint="eastAsia"/>
          <w:iCs/>
          <w:lang w:eastAsia="zh-CN"/>
        </w:rPr>
        <w:t xml:space="preserve"> </w:t>
      </w:r>
      <w:r w:rsidRPr="007B6732">
        <w:rPr>
          <w:rFonts w:ascii="Book Antiqua" w:hAnsi="Book Antiqua"/>
          <w:iCs/>
        </w:rPr>
        <w:t>0.10)</w:t>
      </w:r>
      <w:r w:rsidR="00C55253" w:rsidRPr="007B6732">
        <w:rPr>
          <w:rFonts w:ascii="Book Antiqua" w:hAnsi="Book Antiqua"/>
          <w:iCs/>
        </w:rPr>
        <w:t>. 60% (</w:t>
      </w:r>
      <w:r w:rsidR="000D65E1" w:rsidRPr="007B6732">
        <w:rPr>
          <w:rFonts w:ascii="Book Antiqua" w:hAnsi="Book Antiqua"/>
          <w:i/>
          <w:iCs/>
        </w:rPr>
        <w:t>n</w:t>
      </w:r>
      <w:r w:rsidR="000D65E1" w:rsidRPr="007B6732">
        <w:rPr>
          <w:rFonts w:ascii="Book Antiqua" w:eastAsia="SimSun" w:hAnsi="Book Antiqua" w:hint="eastAsia"/>
          <w:i/>
          <w:iCs/>
          <w:lang w:eastAsia="zh-CN"/>
        </w:rPr>
        <w:t xml:space="preserve"> </w:t>
      </w:r>
      <w:r w:rsidR="00C55253" w:rsidRPr="007B6732">
        <w:rPr>
          <w:rFonts w:ascii="Book Antiqua" w:hAnsi="Book Antiqua"/>
          <w:iCs/>
        </w:rPr>
        <w:t>=</w:t>
      </w:r>
      <w:r w:rsidR="000D65E1" w:rsidRPr="007B6732">
        <w:rPr>
          <w:rFonts w:ascii="Book Antiqua" w:eastAsia="SimSun" w:hAnsi="Book Antiqua" w:hint="eastAsia"/>
          <w:iCs/>
          <w:lang w:eastAsia="zh-CN"/>
        </w:rPr>
        <w:t xml:space="preserve"> </w:t>
      </w:r>
      <w:r w:rsidR="00C55253" w:rsidRPr="007B6732">
        <w:rPr>
          <w:rFonts w:ascii="Book Antiqua" w:hAnsi="Book Antiqua"/>
          <w:iCs/>
        </w:rPr>
        <w:t>41/68</w:t>
      </w:r>
      <w:r w:rsidRPr="007B6732">
        <w:rPr>
          <w:rFonts w:ascii="Book Antiqua" w:hAnsi="Book Antiqua"/>
          <w:iCs/>
        </w:rPr>
        <w:t xml:space="preserve">) of all respondents were interested in more training via </w:t>
      </w:r>
      <w:r w:rsidR="004C2D89" w:rsidRPr="007B6732">
        <w:rPr>
          <w:rFonts w:ascii="Book Antiqua" w:hAnsi="Book Antiqua"/>
          <w:iCs/>
        </w:rPr>
        <w:t xml:space="preserve">either workshops (23.5%, </w:t>
      </w:r>
      <w:r w:rsidR="000D65E1" w:rsidRPr="007B6732">
        <w:rPr>
          <w:rFonts w:ascii="Book Antiqua" w:hAnsi="Book Antiqua"/>
          <w:i/>
          <w:iCs/>
        </w:rPr>
        <w:t>n</w:t>
      </w:r>
      <w:r w:rsidR="000D65E1" w:rsidRPr="007B6732">
        <w:rPr>
          <w:rFonts w:ascii="Book Antiqua" w:eastAsia="SimSun" w:hAnsi="Book Antiqua" w:hint="eastAsia"/>
          <w:i/>
          <w:iCs/>
          <w:lang w:eastAsia="zh-CN"/>
        </w:rPr>
        <w:t xml:space="preserve"> </w:t>
      </w:r>
      <w:r w:rsidR="004C2D89" w:rsidRPr="007B6732">
        <w:rPr>
          <w:rFonts w:ascii="Book Antiqua" w:hAnsi="Book Antiqua"/>
          <w:iCs/>
        </w:rPr>
        <w:t>=</w:t>
      </w:r>
      <w:r w:rsidR="000D65E1" w:rsidRPr="007B6732">
        <w:rPr>
          <w:rFonts w:ascii="Book Antiqua" w:eastAsia="SimSun" w:hAnsi="Book Antiqua" w:hint="eastAsia"/>
          <w:iCs/>
          <w:lang w:eastAsia="zh-CN"/>
        </w:rPr>
        <w:t xml:space="preserve"> </w:t>
      </w:r>
      <w:r w:rsidR="004C2D89" w:rsidRPr="007B6732">
        <w:rPr>
          <w:rFonts w:ascii="Book Antiqua" w:hAnsi="Book Antiqua"/>
          <w:iCs/>
        </w:rPr>
        <w:t xml:space="preserve">16/68) or conferences (44.1%, </w:t>
      </w:r>
      <w:r w:rsidR="004C2D89" w:rsidRPr="007B6732">
        <w:rPr>
          <w:rFonts w:ascii="Book Antiqua" w:hAnsi="Book Antiqua"/>
          <w:i/>
          <w:iCs/>
        </w:rPr>
        <w:t>n</w:t>
      </w:r>
      <w:r w:rsidR="000D65E1" w:rsidRPr="007B6732">
        <w:rPr>
          <w:rFonts w:ascii="Book Antiqua" w:eastAsia="SimSun" w:hAnsi="Book Antiqua" w:hint="eastAsia"/>
          <w:i/>
          <w:iCs/>
          <w:lang w:eastAsia="zh-CN"/>
        </w:rPr>
        <w:t xml:space="preserve"> </w:t>
      </w:r>
      <w:r w:rsidR="004C2D89" w:rsidRPr="007B6732">
        <w:rPr>
          <w:rFonts w:ascii="Book Antiqua" w:hAnsi="Book Antiqua"/>
          <w:iCs/>
        </w:rPr>
        <w:t>=</w:t>
      </w:r>
      <w:r w:rsidR="000D65E1" w:rsidRPr="007B6732">
        <w:rPr>
          <w:rFonts w:ascii="Book Antiqua" w:eastAsia="SimSun" w:hAnsi="Book Antiqua" w:hint="eastAsia"/>
          <w:iCs/>
          <w:lang w:eastAsia="zh-CN"/>
        </w:rPr>
        <w:t xml:space="preserve"> </w:t>
      </w:r>
      <w:r w:rsidR="004C2D89" w:rsidRPr="007B6732">
        <w:rPr>
          <w:rFonts w:ascii="Book Antiqua" w:hAnsi="Book Antiqua"/>
          <w:iCs/>
        </w:rPr>
        <w:t>30/68</w:t>
      </w:r>
      <w:r w:rsidRPr="007B6732">
        <w:rPr>
          <w:rFonts w:ascii="Book Antiqua" w:hAnsi="Book Antiqua"/>
          <w:iCs/>
        </w:rPr>
        <w:t xml:space="preserve">). </w:t>
      </w:r>
    </w:p>
    <w:p w14:paraId="38A52BCA" w14:textId="44B8CA80" w:rsidR="00217D89" w:rsidRPr="007B6732" w:rsidRDefault="00217D89" w:rsidP="000D65E1">
      <w:pPr>
        <w:spacing w:line="360" w:lineRule="auto"/>
        <w:ind w:firstLineChars="100" w:firstLine="240"/>
        <w:jc w:val="both"/>
        <w:rPr>
          <w:rFonts w:ascii="Book Antiqua" w:hAnsi="Book Antiqua"/>
        </w:rPr>
      </w:pPr>
      <w:r w:rsidRPr="007B6732">
        <w:rPr>
          <w:rFonts w:ascii="Book Antiqua" w:hAnsi="Book Antiqua"/>
        </w:rPr>
        <w:t>Am</w:t>
      </w:r>
      <w:r w:rsidR="004C2D89" w:rsidRPr="007B6732">
        <w:rPr>
          <w:rFonts w:ascii="Book Antiqua" w:hAnsi="Book Antiqua"/>
        </w:rPr>
        <w:t>ongst all respondents 64.1% (43/67</w:t>
      </w:r>
      <w:r w:rsidRPr="007B6732">
        <w:rPr>
          <w:rFonts w:ascii="Book Antiqua" w:hAnsi="Book Antiqua"/>
        </w:rPr>
        <w:t xml:space="preserve">) felt that they had sufficient resources to manage transitioning IBD patients. However there was a significant difference on subgroup analysis between pediatric GIs (90.1%, </w:t>
      </w:r>
      <w:r w:rsidR="000D65E1" w:rsidRPr="007B6732">
        <w:rPr>
          <w:rFonts w:ascii="Book Antiqua" w:hAnsi="Book Antiqua"/>
          <w:i/>
          <w:iCs/>
        </w:rPr>
        <w:t>n</w:t>
      </w:r>
      <w:r w:rsidR="000D65E1" w:rsidRPr="007B6732">
        <w:rPr>
          <w:rFonts w:ascii="Book Antiqua" w:eastAsia="SimSun" w:hAnsi="Book Antiqua" w:hint="eastAsia"/>
          <w:i/>
          <w:iCs/>
          <w:lang w:eastAsia="zh-CN"/>
        </w:rPr>
        <w:t xml:space="preserve"> </w:t>
      </w:r>
      <w:r w:rsidRPr="007B6732">
        <w:rPr>
          <w:rFonts w:ascii="Book Antiqua" w:hAnsi="Book Antiqua"/>
        </w:rPr>
        <w:t>=</w:t>
      </w:r>
      <w:r w:rsidR="000D65E1" w:rsidRPr="007B6732">
        <w:rPr>
          <w:rFonts w:ascii="Book Antiqua" w:eastAsia="SimSun" w:hAnsi="Book Antiqua" w:hint="eastAsia"/>
          <w:lang w:eastAsia="zh-CN"/>
        </w:rPr>
        <w:t xml:space="preserve"> </w:t>
      </w:r>
      <w:r w:rsidRPr="007B6732">
        <w:rPr>
          <w:rFonts w:ascii="Book Antiqua" w:hAnsi="Book Antiqua"/>
        </w:rPr>
        <w:t xml:space="preserve">10/11) compared to adults GIs (55.6%, </w:t>
      </w:r>
      <w:r w:rsidR="000D65E1" w:rsidRPr="007B6732">
        <w:rPr>
          <w:rFonts w:ascii="Book Antiqua" w:hAnsi="Book Antiqua"/>
          <w:i/>
          <w:iCs/>
        </w:rPr>
        <w:t>n</w:t>
      </w:r>
      <w:r w:rsidR="000D65E1" w:rsidRPr="007B6732">
        <w:rPr>
          <w:rFonts w:ascii="Book Antiqua" w:eastAsia="SimSun" w:hAnsi="Book Antiqua" w:hint="eastAsia"/>
          <w:i/>
          <w:iCs/>
          <w:lang w:eastAsia="zh-CN"/>
        </w:rPr>
        <w:t xml:space="preserve"> </w:t>
      </w:r>
      <w:r w:rsidRPr="007B6732">
        <w:rPr>
          <w:rFonts w:ascii="Book Antiqua" w:hAnsi="Book Antiqua"/>
        </w:rPr>
        <w:t>=</w:t>
      </w:r>
      <w:r w:rsidR="000D65E1" w:rsidRPr="007B6732">
        <w:rPr>
          <w:rFonts w:ascii="Book Antiqua" w:eastAsia="SimSun" w:hAnsi="Book Antiqua" w:hint="eastAsia"/>
          <w:lang w:eastAsia="zh-CN"/>
        </w:rPr>
        <w:t xml:space="preserve"> </w:t>
      </w:r>
      <w:r w:rsidRPr="007B6732">
        <w:rPr>
          <w:rFonts w:ascii="Book Antiqua" w:hAnsi="Book Antiqua"/>
        </w:rPr>
        <w:t>25/45) when it came to the opinion of adequate resources available (</w:t>
      </w:r>
      <w:r w:rsidR="000D65E1" w:rsidRPr="007B6732">
        <w:rPr>
          <w:rFonts w:ascii="Book Antiqua" w:hAnsi="Book Antiqua"/>
          <w:i/>
        </w:rPr>
        <w:t>P</w:t>
      </w:r>
      <w:r w:rsidR="000D65E1" w:rsidRPr="007B6732">
        <w:rPr>
          <w:rFonts w:ascii="Book Antiqua" w:eastAsia="SimSun" w:hAnsi="Book Antiqua" w:hint="eastAsia"/>
          <w:lang w:eastAsia="zh-CN"/>
        </w:rPr>
        <w:t xml:space="preserve"> </w:t>
      </w:r>
      <w:r w:rsidRPr="007B6732">
        <w:rPr>
          <w:rFonts w:ascii="Book Antiqua" w:hAnsi="Book Antiqua"/>
        </w:rPr>
        <w:t>=</w:t>
      </w:r>
      <w:r w:rsidR="000D65E1" w:rsidRPr="007B6732">
        <w:rPr>
          <w:rFonts w:ascii="Book Antiqua" w:eastAsia="SimSun" w:hAnsi="Book Antiqua" w:hint="eastAsia"/>
          <w:lang w:eastAsia="zh-CN"/>
        </w:rPr>
        <w:t xml:space="preserve"> </w:t>
      </w:r>
      <w:r w:rsidRPr="007B6732">
        <w:rPr>
          <w:rFonts w:ascii="Book Antiqua" w:hAnsi="Book Antiqua"/>
        </w:rPr>
        <w:t>0.0016</w:t>
      </w:r>
      <w:r w:rsidRPr="007B6732">
        <w:rPr>
          <w:rFonts w:ascii="Book Antiqua" w:hAnsi="Book Antiqua"/>
          <w:i/>
        </w:rPr>
        <w:t>)</w:t>
      </w:r>
      <w:r w:rsidRPr="007B6732">
        <w:rPr>
          <w:rFonts w:ascii="Book Antiqua" w:hAnsi="Book Antiqua"/>
        </w:rPr>
        <w:t xml:space="preserve"> (Table 3).</w:t>
      </w:r>
      <w:r w:rsidR="00387078" w:rsidRPr="007B6732">
        <w:rPr>
          <w:rFonts w:ascii="Book Antiqua" w:hAnsi="Book Antiqua"/>
        </w:rPr>
        <w:t xml:space="preserve"> With respect to adequate resources no specifics were detailed, rather this was a general feeling amongst respondents.</w:t>
      </w:r>
    </w:p>
    <w:p w14:paraId="338DBB3A" w14:textId="77777777" w:rsidR="00217D89" w:rsidRPr="007B6732" w:rsidRDefault="00217D89" w:rsidP="0056175D">
      <w:pPr>
        <w:spacing w:line="360" w:lineRule="auto"/>
        <w:jc w:val="both"/>
        <w:rPr>
          <w:rFonts w:ascii="Book Antiqua" w:hAnsi="Book Antiqua"/>
          <w:b/>
        </w:rPr>
      </w:pPr>
    </w:p>
    <w:p w14:paraId="5F54678D" w14:textId="48F2A1D0" w:rsidR="00217D89" w:rsidRPr="007B6732" w:rsidRDefault="000D65E1" w:rsidP="0056175D">
      <w:pPr>
        <w:spacing w:line="360" w:lineRule="auto"/>
        <w:jc w:val="both"/>
        <w:outlineLvl w:val="0"/>
        <w:rPr>
          <w:rFonts w:ascii="Book Antiqua" w:eastAsia="SimSun" w:hAnsi="Book Antiqua"/>
          <w:b/>
          <w:lang w:eastAsia="zh-CN"/>
        </w:rPr>
      </w:pPr>
      <w:r w:rsidRPr="007B6732">
        <w:rPr>
          <w:rFonts w:ascii="Book Antiqua" w:hAnsi="Book Antiqua"/>
          <w:b/>
        </w:rPr>
        <w:t>DISCUSSION</w:t>
      </w:r>
    </w:p>
    <w:p w14:paraId="44157100" w14:textId="0AA7C03A" w:rsidR="00217D89" w:rsidRPr="007B6732" w:rsidRDefault="00217D89" w:rsidP="0056175D">
      <w:pPr>
        <w:spacing w:line="360" w:lineRule="auto"/>
        <w:jc w:val="both"/>
        <w:rPr>
          <w:rFonts w:ascii="Book Antiqua" w:hAnsi="Book Antiqua"/>
        </w:rPr>
      </w:pPr>
      <w:r w:rsidRPr="007B6732">
        <w:rPr>
          <w:rFonts w:ascii="Book Antiqua" w:hAnsi="Book Antiqua"/>
        </w:rPr>
        <w:t>Our survey of Quebec</w:t>
      </w:r>
      <w:r w:rsidR="000D65E1" w:rsidRPr="007B6732">
        <w:rPr>
          <w:rFonts w:ascii="Book Antiqua" w:eastAsia="SimSun" w:hAnsi="Book Antiqua" w:hint="eastAsia"/>
          <w:lang w:eastAsia="zh-CN"/>
        </w:rPr>
        <w:t xml:space="preserve"> </w:t>
      </w:r>
      <w:r w:rsidRPr="007B6732">
        <w:rPr>
          <w:rFonts w:ascii="Book Antiqua" w:hAnsi="Book Antiqua"/>
        </w:rPr>
        <w:t>HCPs</w:t>
      </w:r>
      <w:r w:rsidR="000D65E1" w:rsidRPr="007B6732">
        <w:rPr>
          <w:rFonts w:ascii="Book Antiqua" w:eastAsia="SimSun" w:hAnsi="Book Antiqua" w:hint="eastAsia"/>
          <w:lang w:eastAsia="zh-CN"/>
        </w:rPr>
        <w:t xml:space="preserve"> </w:t>
      </w:r>
      <w:r w:rsidRPr="007B6732">
        <w:rPr>
          <w:rFonts w:ascii="Book Antiqua" w:hAnsi="Book Antiqua"/>
        </w:rPr>
        <w:t xml:space="preserve">working with IBD patients reinforces the notion that a standardized structure for transition is felt to be important. It revealed specifically what HCPs felt were patient related factors that limit effective transition, emphasized the significance of having a dossier summary and identified that a transition program, medical summaries, and potentially a dedicated educational day for patients if routinely implemented might be able to improve transition care in Quebec. </w:t>
      </w:r>
    </w:p>
    <w:p w14:paraId="7113E378" w14:textId="719E8EA9" w:rsidR="00217D89" w:rsidRPr="007B6732" w:rsidRDefault="00217D89" w:rsidP="000D65E1">
      <w:pPr>
        <w:spacing w:line="360" w:lineRule="auto"/>
        <w:ind w:firstLineChars="98" w:firstLine="235"/>
        <w:jc w:val="both"/>
        <w:rPr>
          <w:rFonts w:ascii="Book Antiqua" w:hAnsi="Book Antiqua"/>
        </w:rPr>
      </w:pPr>
      <w:r w:rsidRPr="007B6732">
        <w:rPr>
          <w:rFonts w:ascii="Book Antiqua" w:hAnsi="Book Antiqua"/>
        </w:rPr>
        <w:lastRenderedPageBreak/>
        <w:t>Similarly to previously conducted studies, our survey revealed similar results with respect to patient related factors that are most important for successful transition, including patient’s knowledge of their condition and their independence in managing their disease with adequate self-management skills</w:t>
      </w:r>
      <w:r w:rsidR="00CC25B3" w:rsidRPr="007B6732">
        <w:rPr>
          <w:rFonts w:ascii="Book Antiqua" w:hAnsi="Book Antiqua"/>
          <w:vertAlign w:val="superscript"/>
        </w:rPr>
        <w:t>[8-10]</w:t>
      </w:r>
      <w:r w:rsidR="00CC25B3" w:rsidRPr="007B6732">
        <w:rPr>
          <w:rFonts w:ascii="Book Antiqua" w:hAnsi="Book Antiqua"/>
        </w:rPr>
        <w:t xml:space="preserve">. </w:t>
      </w:r>
      <w:r w:rsidRPr="007B6732">
        <w:rPr>
          <w:rFonts w:ascii="Book Antiqua" w:hAnsi="Book Antiqua"/>
        </w:rPr>
        <w:t>Currently there is limited evidence in the literature of improved objective clinical outcomes in patients with IBD who partake in a structured transition program</w:t>
      </w:r>
      <w:r w:rsidR="00CC25B3" w:rsidRPr="007B6732">
        <w:rPr>
          <w:rFonts w:ascii="Book Antiqua" w:hAnsi="Book Antiqua"/>
          <w:vertAlign w:val="superscript"/>
        </w:rPr>
        <w:t>[13]</w:t>
      </w:r>
      <w:r w:rsidR="00AA1853" w:rsidRPr="007B6732">
        <w:rPr>
          <w:rFonts w:ascii="Book Antiqua" w:hAnsi="Book Antiqua"/>
        </w:rPr>
        <w:t xml:space="preserve">. </w:t>
      </w:r>
      <w:r w:rsidRPr="007B6732">
        <w:rPr>
          <w:rFonts w:ascii="Book Antiqua" w:hAnsi="Book Antiqua"/>
        </w:rPr>
        <w:t>However, there is substantial objective evidence that has shown that transitional care can improved clinical outcomes in other pediatric chronic diseases such as diabetes mellitus type 1 and in liver transplant patients</w:t>
      </w:r>
      <w:r w:rsidR="00AA1853" w:rsidRPr="007B6732">
        <w:rPr>
          <w:rFonts w:ascii="Book Antiqua" w:hAnsi="Book Antiqua"/>
          <w:vertAlign w:val="superscript"/>
        </w:rPr>
        <w:t>[19-22]</w:t>
      </w:r>
      <w:r w:rsidR="00AA1853" w:rsidRPr="007B6732">
        <w:rPr>
          <w:rFonts w:ascii="Book Antiqua" w:hAnsi="Book Antiqua"/>
        </w:rPr>
        <w:t xml:space="preserve">. </w:t>
      </w:r>
      <w:r w:rsidRPr="007B6732">
        <w:rPr>
          <w:rFonts w:ascii="Book Antiqua" w:hAnsi="Book Antiqua"/>
        </w:rPr>
        <w:t xml:space="preserve">By comparison one can stipulate that via transition care in IBD their lies significant potential in improving outcomes such as decreasing rate of hospitalization, improving medical compliance, and even improving other objective outcomes. Further studies focused on IBD related transition care are warranted to demonstrate this. </w:t>
      </w:r>
    </w:p>
    <w:p w14:paraId="6397E5C8" w14:textId="174C8A7C" w:rsidR="00217D89" w:rsidRPr="007B6732" w:rsidRDefault="00217D89" w:rsidP="000D65E1">
      <w:pPr>
        <w:spacing w:line="360" w:lineRule="auto"/>
        <w:ind w:firstLineChars="100" w:firstLine="240"/>
        <w:jc w:val="both"/>
        <w:rPr>
          <w:rFonts w:ascii="Book Antiqua" w:hAnsi="Book Antiqua"/>
        </w:rPr>
      </w:pPr>
      <w:r w:rsidRPr="007B6732">
        <w:rPr>
          <w:rFonts w:ascii="Book Antiqua" w:hAnsi="Book Antiqua"/>
        </w:rPr>
        <w:t xml:space="preserve">In the </w:t>
      </w:r>
      <w:r w:rsidRPr="007B6732">
        <w:rPr>
          <w:rFonts w:ascii="Book Antiqua" w:hAnsi="Book Antiqua" w:cs="Times"/>
        </w:rPr>
        <w:t>North American Society for Pediatric Gastroenterology, Hepatology and Nutrition (NASPHAGN) position paper one of their key recommendations was that the pediatric GIs provide a medical summary to their adult colleagues prior to the first consultation with them</w:t>
      </w:r>
      <w:r w:rsidR="00AA1853" w:rsidRPr="007B6732">
        <w:rPr>
          <w:rFonts w:ascii="Book Antiqua" w:hAnsi="Book Antiqua"/>
          <w:vertAlign w:val="superscript"/>
        </w:rPr>
        <w:t>[6]</w:t>
      </w:r>
      <w:r w:rsidRPr="007B6732">
        <w:rPr>
          <w:rFonts w:ascii="Book Antiqua" w:hAnsi="Book Antiqua" w:cs="Times"/>
        </w:rPr>
        <w:t xml:space="preserve">. This study reveals that despite these recommendations a substantial proportion of adult GIs (38.2%) feel that they obtain inadequate information </w:t>
      </w:r>
      <w:r w:rsidR="009B5D47" w:rsidRPr="007B6732">
        <w:rPr>
          <w:rFonts w:ascii="Book Antiqua" w:hAnsi="Book Antiqua" w:cs="Times"/>
        </w:rPr>
        <w:t xml:space="preserve">prior to their first encounter. No published or collected data currently exists in Québec about what percentage of adult GIs obtain summaries prior to or at the time of transfer of care. </w:t>
      </w:r>
      <w:r w:rsidRPr="007B6732">
        <w:rPr>
          <w:rFonts w:ascii="Book Antiqua" w:hAnsi="Book Antiqua"/>
        </w:rPr>
        <w:t>In terms of specific tools identified transition program and medical summaries were the two identified in our survey as important for successful transition care. Examples of such tools exist such as My Health Passport developed at the University of Toronto that serves as succinct summary of a multitude of chronic pediatric disease including IBD that a patient may bring with them to any encounter with health care profes</w:t>
      </w:r>
      <w:r w:rsidR="00AA1853" w:rsidRPr="007B6732">
        <w:rPr>
          <w:rFonts w:ascii="Book Antiqua" w:hAnsi="Book Antiqua"/>
        </w:rPr>
        <w:t>sionals</w:t>
      </w:r>
      <w:r w:rsidR="00AA1853" w:rsidRPr="007B6732">
        <w:rPr>
          <w:rFonts w:ascii="Book Antiqua" w:hAnsi="Book Antiqua"/>
          <w:vertAlign w:val="superscript"/>
        </w:rPr>
        <w:t>[23]</w:t>
      </w:r>
      <w:r w:rsidR="00AA1853" w:rsidRPr="007B6732">
        <w:rPr>
          <w:rFonts w:ascii="Book Antiqua" w:hAnsi="Book Antiqua"/>
        </w:rPr>
        <w:t xml:space="preserve">. </w:t>
      </w:r>
      <w:r w:rsidRPr="007B6732">
        <w:rPr>
          <w:rFonts w:ascii="Book Antiqua" w:hAnsi="Book Antiqua"/>
        </w:rPr>
        <w:t xml:space="preserve">This tool was designed to be completed by the patient thereby providing the opportunity of the transitioning adolescent to </w:t>
      </w:r>
      <w:r w:rsidRPr="007B6732">
        <w:rPr>
          <w:rFonts w:ascii="Book Antiqua" w:hAnsi="Book Antiqua"/>
        </w:rPr>
        <w:lastRenderedPageBreak/>
        <w:t>educate themselves while encouraging independence</w:t>
      </w:r>
      <w:r w:rsidR="00AA1853" w:rsidRPr="007B6732">
        <w:rPr>
          <w:rFonts w:ascii="Book Antiqua" w:hAnsi="Book Antiqua"/>
          <w:vertAlign w:val="superscript"/>
        </w:rPr>
        <w:t>[17]</w:t>
      </w:r>
      <w:r w:rsidR="00AA1853" w:rsidRPr="007B6732">
        <w:rPr>
          <w:rFonts w:ascii="Book Antiqua" w:hAnsi="Book Antiqua"/>
        </w:rPr>
        <w:t xml:space="preserve">. </w:t>
      </w:r>
      <w:r w:rsidRPr="007B6732">
        <w:rPr>
          <w:rFonts w:ascii="Book Antiqua" w:hAnsi="Book Antiqua"/>
        </w:rPr>
        <w:t xml:space="preserve">The implementation of a tool such as My Health Passport has the dual benefit of acting as a dossier summary for the adult GI and as a method of improving knowledge and inspiring independence. </w:t>
      </w:r>
    </w:p>
    <w:p w14:paraId="09896A25" w14:textId="2FF8B81F" w:rsidR="00217D89" w:rsidRPr="007B6732" w:rsidRDefault="00217D89" w:rsidP="000D65E1">
      <w:pPr>
        <w:spacing w:line="360" w:lineRule="auto"/>
        <w:ind w:firstLineChars="100" w:firstLine="240"/>
        <w:jc w:val="both"/>
        <w:rPr>
          <w:rFonts w:ascii="Book Antiqua" w:hAnsi="Book Antiqua"/>
        </w:rPr>
      </w:pPr>
      <w:r w:rsidRPr="007B6732">
        <w:rPr>
          <w:rFonts w:ascii="Book Antiqua" w:hAnsi="Book Antiqua"/>
        </w:rPr>
        <w:t>Respondents also identified a checklist pre 1</w:t>
      </w:r>
      <w:r w:rsidRPr="007B6732">
        <w:rPr>
          <w:rFonts w:ascii="Book Antiqua" w:hAnsi="Book Antiqua"/>
          <w:vertAlign w:val="superscript"/>
        </w:rPr>
        <w:t>st</w:t>
      </w:r>
      <w:r w:rsidRPr="007B6732">
        <w:rPr>
          <w:rFonts w:ascii="Book Antiqua" w:hAnsi="Book Antiqua"/>
        </w:rPr>
        <w:t xml:space="preserve"> adult visit (52.2%) and a “readiness checklist” (39.2%) as other important tools, which provide potential in assisting transition.  The TR</w:t>
      </w:r>
      <w:r w:rsidRPr="007B6732">
        <w:rPr>
          <w:rFonts w:ascii="Book Antiqua" w:hAnsi="Book Antiqua"/>
          <w:vertAlign w:val="subscript"/>
        </w:rPr>
        <w:t>x</w:t>
      </w:r>
      <w:r w:rsidRPr="007B6732">
        <w:rPr>
          <w:rFonts w:ascii="Book Antiqua" w:hAnsi="Book Antiqua"/>
        </w:rPr>
        <w:t>ANSITION tool created at of the University of North Carolina serves the purpose of being a “readiness” tool with the goals of identifying whether or not a patient is adequately prepared to transition to adult care</w:t>
      </w:r>
      <w:r w:rsidR="00AA1853" w:rsidRPr="007B6732">
        <w:rPr>
          <w:rFonts w:ascii="Book Antiqua" w:hAnsi="Book Antiqua"/>
          <w:vertAlign w:val="superscript"/>
        </w:rPr>
        <w:t>[18]</w:t>
      </w:r>
      <w:r w:rsidR="00AA1853" w:rsidRPr="007B6732">
        <w:rPr>
          <w:rFonts w:ascii="Book Antiqua" w:hAnsi="Book Antiqua"/>
        </w:rPr>
        <w:t xml:space="preserve">. </w:t>
      </w:r>
      <w:r w:rsidRPr="007B6732">
        <w:rPr>
          <w:rFonts w:ascii="Book Antiqua" w:hAnsi="Book Antiqua"/>
        </w:rPr>
        <w:t>This tool also assists in identifying particular aspects that need to be addressed for transition care optimization.</w:t>
      </w:r>
      <w:r w:rsidRPr="007B6732">
        <w:rPr>
          <w:rFonts w:ascii="Book Antiqua" w:hAnsi="Book Antiqua"/>
          <w:i/>
        </w:rPr>
        <w:t xml:space="preserve"> </w:t>
      </w:r>
    </w:p>
    <w:p w14:paraId="2B6A31B6" w14:textId="21A05A99" w:rsidR="00217D89" w:rsidRPr="007B6732" w:rsidRDefault="00217D89" w:rsidP="000D65E1">
      <w:pPr>
        <w:spacing w:line="360" w:lineRule="auto"/>
        <w:ind w:firstLineChars="100" w:firstLine="240"/>
        <w:jc w:val="both"/>
        <w:rPr>
          <w:rFonts w:ascii="Book Antiqua" w:hAnsi="Book Antiqua"/>
        </w:rPr>
      </w:pPr>
      <w:r w:rsidRPr="007B6732">
        <w:rPr>
          <w:rFonts w:ascii="Book Antiqua" w:hAnsi="Book Antiqua"/>
        </w:rPr>
        <w:t>As was the case in Hait</w:t>
      </w:r>
      <w:r w:rsidRPr="007B6732">
        <w:rPr>
          <w:rFonts w:ascii="Book Antiqua" w:hAnsi="Book Antiqua"/>
          <w:i/>
        </w:rPr>
        <w:t xml:space="preserve"> et </w:t>
      </w:r>
      <w:r w:rsidR="000D65E1" w:rsidRPr="007B6732">
        <w:rPr>
          <w:rFonts w:ascii="Book Antiqua" w:hAnsi="Book Antiqua"/>
          <w:i/>
        </w:rPr>
        <w:t>al</w:t>
      </w:r>
      <w:r w:rsidR="000D65E1" w:rsidRPr="007B6732">
        <w:rPr>
          <w:rFonts w:ascii="Book Antiqua" w:hAnsi="Book Antiqua"/>
          <w:vertAlign w:val="superscript"/>
        </w:rPr>
        <w:t>[8]</w:t>
      </w:r>
      <w:r w:rsidRPr="007B6732">
        <w:rPr>
          <w:rFonts w:ascii="Book Antiqua" w:hAnsi="Book Antiqua"/>
        </w:rPr>
        <w:t xml:space="preserve"> survey ours identified that a proportion of adult gastroenterologists (21.7%) felt they were inadequately trained to manage the population of transitioning IBD patients</w:t>
      </w:r>
      <w:r w:rsidR="00AA1853" w:rsidRPr="007B6732">
        <w:rPr>
          <w:rFonts w:ascii="Book Antiqua" w:hAnsi="Book Antiqua"/>
        </w:rPr>
        <w:t xml:space="preserve">. </w:t>
      </w:r>
      <w:r w:rsidRPr="007B6732">
        <w:rPr>
          <w:rFonts w:ascii="Book Antiqua" w:hAnsi="Book Antiqua"/>
        </w:rPr>
        <w:t>Our data also showed that despite a high proportion of respondents felt they were adequately trained (</w:t>
      </w:r>
      <w:r w:rsidR="00496EFF" w:rsidRPr="007B6732">
        <w:rPr>
          <w:rFonts w:ascii="Book Antiqua" w:hAnsi="Book Antiqua"/>
        </w:rPr>
        <w:t>60</w:t>
      </w:r>
      <w:r w:rsidRPr="007B6732">
        <w:rPr>
          <w:rFonts w:ascii="Book Antiqua" w:hAnsi="Book Antiqua"/>
        </w:rPr>
        <w:t>%) the majority of them were interested in more training via conferences or workshops (</w:t>
      </w:r>
      <w:r w:rsidR="00496EFF" w:rsidRPr="007B6732">
        <w:rPr>
          <w:rFonts w:ascii="Book Antiqua" w:hAnsi="Book Antiqua"/>
        </w:rPr>
        <w:t>67.6</w:t>
      </w:r>
      <w:r w:rsidRPr="007B6732">
        <w:rPr>
          <w:rFonts w:ascii="Book Antiqua" w:hAnsi="Book Antiqua"/>
        </w:rPr>
        <w:t>%) The survey also highlighted an important difference between adult and pediatric GIs when it comes to the availability of resources (</w:t>
      </w:r>
      <w:r w:rsidRPr="007B6732">
        <w:rPr>
          <w:rFonts w:ascii="Book Antiqua" w:hAnsi="Book Antiqua" w:cs="Arial"/>
        </w:rPr>
        <w:t xml:space="preserve">55.6% </w:t>
      </w:r>
      <w:r w:rsidRPr="007B6732">
        <w:rPr>
          <w:rFonts w:ascii="Book Antiqua" w:hAnsi="Book Antiqua" w:cs="Arial"/>
          <w:i/>
        </w:rPr>
        <w:t>vs</w:t>
      </w:r>
      <w:r w:rsidR="000D65E1" w:rsidRPr="007B6732">
        <w:rPr>
          <w:rFonts w:ascii="Book Antiqua" w:eastAsia="SimSun" w:hAnsi="Book Antiqua" w:cs="Arial" w:hint="eastAsia"/>
          <w:lang w:eastAsia="zh-CN"/>
        </w:rPr>
        <w:t xml:space="preserve"> </w:t>
      </w:r>
      <w:r w:rsidRPr="007B6732">
        <w:rPr>
          <w:rFonts w:ascii="Book Antiqua" w:hAnsi="Book Antiqua" w:cs="Arial"/>
        </w:rPr>
        <w:t>90.9%</w:t>
      </w:r>
      <w:r w:rsidR="007B6732">
        <w:rPr>
          <w:rFonts w:ascii="Book Antiqua" w:eastAsia="SimSun" w:hAnsi="Book Antiqua" w:cs="Arial" w:hint="eastAsia"/>
          <w:lang w:eastAsia="zh-CN"/>
        </w:rPr>
        <w:t>,</w:t>
      </w:r>
      <w:r w:rsidRPr="007B6732">
        <w:rPr>
          <w:rFonts w:ascii="Book Antiqua" w:hAnsi="Book Antiqua" w:cs="Arial"/>
        </w:rPr>
        <w:t xml:space="preserve"> </w:t>
      </w:r>
      <w:r w:rsidRPr="007B6732">
        <w:rPr>
          <w:rFonts w:ascii="Book Antiqua" w:hAnsi="Book Antiqua" w:cs="Arial"/>
          <w:i/>
        </w:rPr>
        <w:t>P</w:t>
      </w:r>
      <w:r w:rsidR="000D65E1" w:rsidRPr="007B6732">
        <w:rPr>
          <w:rFonts w:ascii="Book Antiqua" w:eastAsia="SimSun" w:hAnsi="Book Antiqua" w:cs="Arial" w:hint="eastAsia"/>
          <w:i/>
          <w:lang w:eastAsia="zh-CN"/>
        </w:rPr>
        <w:t xml:space="preserve"> </w:t>
      </w:r>
      <w:r w:rsidRPr="007B6732">
        <w:rPr>
          <w:rFonts w:ascii="Book Antiqua" w:hAnsi="Book Antiqua" w:cs="Arial"/>
          <w:i/>
        </w:rPr>
        <w:t>=</w:t>
      </w:r>
      <w:r w:rsidR="000D65E1" w:rsidRPr="007B6732">
        <w:rPr>
          <w:rFonts w:ascii="Book Antiqua" w:eastAsia="SimSun" w:hAnsi="Book Antiqua" w:cs="Arial" w:hint="eastAsia"/>
          <w:i/>
          <w:lang w:eastAsia="zh-CN"/>
        </w:rPr>
        <w:t xml:space="preserve"> </w:t>
      </w:r>
      <w:r w:rsidRPr="007B6732">
        <w:rPr>
          <w:rFonts w:ascii="Book Antiqua" w:hAnsi="Book Antiqua" w:cs="Arial"/>
        </w:rPr>
        <w:t xml:space="preserve">0.002). </w:t>
      </w:r>
      <w:r w:rsidRPr="007B6732">
        <w:rPr>
          <w:rFonts w:ascii="Book Antiqua" w:hAnsi="Book Antiqua"/>
        </w:rPr>
        <w:t xml:space="preserve">This finding is consistent with what is seen in the real world practice of many adult GIs in Quebec where additional resources such as </w:t>
      </w:r>
      <w:r w:rsidR="003121EB" w:rsidRPr="007B6732">
        <w:rPr>
          <w:rFonts w:ascii="Book Antiqua" w:hAnsi="Book Antiqua"/>
        </w:rPr>
        <w:t>Registered Dieticians</w:t>
      </w:r>
      <w:r w:rsidRPr="007B6732">
        <w:rPr>
          <w:rFonts w:ascii="Book Antiqua" w:hAnsi="Book Antiqua"/>
        </w:rPr>
        <w:t xml:space="preserve">, IBD nurses, psychologists are more difficult to access in comparison to pediatrics. By implementing a standardized program for transition care there may be potential to facilitate the ability to access additional resources in the adult system. </w:t>
      </w:r>
    </w:p>
    <w:p w14:paraId="74407A79" w14:textId="7760F2AF" w:rsidR="00217D89" w:rsidRPr="007B6732" w:rsidRDefault="00217D89" w:rsidP="000D65E1">
      <w:pPr>
        <w:spacing w:line="360" w:lineRule="auto"/>
        <w:ind w:firstLineChars="100" w:firstLine="240"/>
        <w:jc w:val="both"/>
        <w:rPr>
          <w:rFonts w:ascii="Book Antiqua" w:hAnsi="Book Antiqua"/>
        </w:rPr>
      </w:pPr>
      <w:r w:rsidRPr="007B6732">
        <w:rPr>
          <w:rFonts w:ascii="Book Antiqua" w:hAnsi="Book Antiqua"/>
        </w:rPr>
        <w:t xml:space="preserve">Our study had a number of limitations. As with any survey study ours was limited by non-response bias given the response rate of </w:t>
      </w:r>
      <w:r w:rsidR="00776F59" w:rsidRPr="007B6732">
        <w:rPr>
          <w:rFonts w:ascii="Book Antiqua" w:hAnsi="Book Antiqua"/>
        </w:rPr>
        <w:t xml:space="preserve">28.2%. </w:t>
      </w:r>
      <w:r w:rsidRPr="007B6732">
        <w:rPr>
          <w:rFonts w:ascii="Book Antiqua" w:hAnsi="Book Antiqua"/>
        </w:rPr>
        <w:t xml:space="preserve">This has the potential of selecting out HCPs who may place less of an importance on transition care. The small sample size of the survey also limits our study’s strength. In addition our study may be limited in interpretability in other </w:t>
      </w:r>
      <w:r w:rsidRPr="007B6732">
        <w:rPr>
          <w:rFonts w:ascii="Book Antiqua" w:hAnsi="Book Antiqua"/>
        </w:rPr>
        <w:lastRenderedPageBreak/>
        <w:t xml:space="preserve">geographical locations as it was intended on only assessing the current status in Quebec. Our survey was solely focused on the health care provider perception. It would be interesting to use our compiled data in conjunction with a patient based perspective which may offer the best opportunity to more clearly identify exactly where to focus our resources and which tools may be most useful in improving transition care.  </w:t>
      </w:r>
    </w:p>
    <w:p w14:paraId="0E880750" w14:textId="79C8D9AE" w:rsidR="003243E2" w:rsidRPr="007B6732" w:rsidRDefault="000D65E1" w:rsidP="000D65E1">
      <w:pPr>
        <w:spacing w:line="360" w:lineRule="auto"/>
        <w:jc w:val="both"/>
        <w:outlineLvl w:val="0"/>
        <w:rPr>
          <w:rFonts w:ascii="Book Antiqua" w:eastAsia="SimSun" w:hAnsi="Book Antiqua"/>
          <w:b/>
          <w:lang w:eastAsia="zh-CN"/>
        </w:rPr>
      </w:pPr>
      <w:r w:rsidRPr="007B6732">
        <w:rPr>
          <w:rFonts w:ascii="Book Antiqua" w:eastAsia="SimSun" w:hAnsi="Book Antiqua" w:hint="eastAsia"/>
          <w:lang w:eastAsia="zh-CN"/>
        </w:rPr>
        <w:t xml:space="preserve"> </w:t>
      </w:r>
      <w:r w:rsidRPr="007B6732">
        <w:rPr>
          <w:rFonts w:ascii="Book Antiqua" w:eastAsia="SimSun" w:hAnsi="Book Antiqua" w:hint="eastAsia"/>
          <w:b/>
          <w:lang w:eastAsia="zh-CN"/>
        </w:rPr>
        <w:t xml:space="preserve">  </w:t>
      </w:r>
      <w:r w:rsidR="00217D89" w:rsidRPr="007B6732">
        <w:rPr>
          <w:rFonts w:ascii="Book Antiqua" w:hAnsi="Book Antiqua"/>
        </w:rPr>
        <w:t xml:space="preserve">As described in previous studies, our survey reinforces the importance of a transition program, education for young adult IBD patients and the need to improve communication between adult and pediatric GIs. A structured and standardized transition network offering appropriate and applicable tools is the cornerstone to optimize adherence to transition tools and ensure a genuine clinical impact for a successful transition. Further studies are warranted which will likely provide additional objective evidence of the importance of effective transition care. </w:t>
      </w:r>
    </w:p>
    <w:p w14:paraId="28C7F0A2" w14:textId="60577C70" w:rsidR="00217D89" w:rsidRPr="007B6732" w:rsidRDefault="000D65E1" w:rsidP="0056175D">
      <w:pPr>
        <w:spacing w:line="360" w:lineRule="auto"/>
        <w:jc w:val="both"/>
        <w:rPr>
          <w:rFonts w:ascii="Book Antiqua" w:eastAsia="SimSun" w:hAnsi="Book Antiqua"/>
          <w:lang w:val="en-CA" w:eastAsia="zh-CN"/>
        </w:rPr>
      </w:pPr>
      <w:r w:rsidRPr="007B6732">
        <w:rPr>
          <w:rFonts w:ascii="Book Antiqua" w:eastAsia="SimSun" w:hAnsi="Book Antiqua" w:hint="eastAsia"/>
          <w:b/>
          <w:lang w:eastAsia="zh-CN"/>
        </w:rPr>
        <w:t xml:space="preserve"> </w:t>
      </w:r>
    </w:p>
    <w:p w14:paraId="079C905A" w14:textId="77777777" w:rsidR="000D65E1" w:rsidRPr="007B6732" w:rsidRDefault="000D65E1" w:rsidP="000D65E1">
      <w:pPr>
        <w:spacing w:line="360" w:lineRule="auto"/>
        <w:jc w:val="both"/>
        <w:rPr>
          <w:rFonts w:ascii="Book Antiqua" w:hAnsi="Book Antiqua"/>
          <w:b/>
        </w:rPr>
      </w:pPr>
      <w:r w:rsidRPr="007B6732">
        <w:rPr>
          <w:rFonts w:ascii="Book Antiqua" w:hAnsi="Book Antiqua"/>
          <w:b/>
        </w:rPr>
        <w:t>COMMENTS</w:t>
      </w:r>
    </w:p>
    <w:p w14:paraId="1C5A8D96" w14:textId="2953D981" w:rsidR="000D65E1" w:rsidRPr="007B6732" w:rsidRDefault="000D65E1" w:rsidP="000D65E1">
      <w:pPr>
        <w:spacing w:line="360" w:lineRule="auto"/>
        <w:jc w:val="both"/>
        <w:rPr>
          <w:rFonts w:ascii="Book Antiqua" w:hAnsi="Book Antiqua"/>
          <w:b/>
          <w:bCs/>
          <w:i/>
        </w:rPr>
      </w:pPr>
      <w:r w:rsidRPr="007B6732">
        <w:rPr>
          <w:rFonts w:ascii="Book Antiqua" w:hAnsi="Book Antiqua"/>
          <w:b/>
          <w:bCs/>
          <w:i/>
        </w:rPr>
        <w:t>Background</w:t>
      </w:r>
    </w:p>
    <w:p w14:paraId="58F67281" w14:textId="77777777" w:rsidR="000D65E1" w:rsidRPr="007B6732" w:rsidRDefault="000D65E1" w:rsidP="000D65E1">
      <w:pPr>
        <w:spacing w:line="360" w:lineRule="auto"/>
        <w:jc w:val="both"/>
        <w:rPr>
          <w:rFonts w:ascii="Book Antiqua" w:hAnsi="Book Antiqua"/>
        </w:rPr>
      </w:pPr>
      <w:r w:rsidRPr="007B6732">
        <w:rPr>
          <w:rFonts w:ascii="Book Antiqua" w:hAnsi="Book Antiqua"/>
        </w:rPr>
        <w:t xml:space="preserve">Inflammatory bowel diseases (IBD) are showing a rising incidence an prevalence in many areas of the world. Therefore, there is an inevitable need to manage this growing population and the chronic nature of the disease mandates to establish effective means of coordinating efficient transition care from the pediatric to the adult health care domains.  </w:t>
      </w:r>
    </w:p>
    <w:p w14:paraId="0193B5DB" w14:textId="77777777" w:rsidR="000D65E1" w:rsidRPr="007B6732" w:rsidRDefault="000D65E1" w:rsidP="000D65E1">
      <w:pPr>
        <w:spacing w:line="360" w:lineRule="auto"/>
        <w:jc w:val="both"/>
        <w:rPr>
          <w:rFonts w:ascii="Book Antiqua" w:hAnsi="Book Antiqua"/>
        </w:rPr>
      </w:pPr>
    </w:p>
    <w:p w14:paraId="1AB430C2" w14:textId="7BA7D89A" w:rsidR="000D65E1" w:rsidRPr="007B6732" w:rsidRDefault="000D65E1" w:rsidP="000D65E1">
      <w:pPr>
        <w:spacing w:line="360" w:lineRule="auto"/>
        <w:jc w:val="both"/>
        <w:rPr>
          <w:rFonts w:ascii="Book Antiqua" w:hAnsi="Book Antiqua"/>
          <w:b/>
          <w:bCs/>
          <w:i/>
        </w:rPr>
      </w:pPr>
      <w:r w:rsidRPr="007B6732">
        <w:rPr>
          <w:rFonts w:ascii="Book Antiqua" w:hAnsi="Book Antiqua"/>
          <w:b/>
          <w:bCs/>
          <w:i/>
        </w:rPr>
        <w:t>Research frontiers</w:t>
      </w:r>
    </w:p>
    <w:p w14:paraId="0DBF3DAD" w14:textId="77777777" w:rsidR="000D65E1" w:rsidRPr="007B6732" w:rsidRDefault="000D65E1" w:rsidP="000D65E1">
      <w:pPr>
        <w:spacing w:line="360" w:lineRule="auto"/>
        <w:jc w:val="both"/>
        <w:rPr>
          <w:rFonts w:ascii="Book Antiqua" w:hAnsi="Book Antiqua"/>
        </w:rPr>
      </w:pPr>
      <w:r w:rsidRPr="007B6732">
        <w:rPr>
          <w:rFonts w:ascii="Book Antiqua" w:hAnsi="Book Antiqua"/>
        </w:rPr>
        <w:t xml:space="preserve">To date there is minimal data on the perception of transition and transfer of care of IBD patients from pediatric to adult care. Improved objective outcomes with amelioration of transition care have been demonstrated in other chronic diseases spanning pediatric life and adulthood. </w:t>
      </w:r>
    </w:p>
    <w:p w14:paraId="7CADC17D" w14:textId="77777777" w:rsidR="000D65E1" w:rsidRPr="007B6732" w:rsidRDefault="000D65E1" w:rsidP="000D65E1">
      <w:pPr>
        <w:spacing w:line="360" w:lineRule="auto"/>
        <w:jc w:val="both"/>
        <w:rPr>
          <w:rFonts w:ascii="Book Antiqua" w:hAnsi="Book Antiqua"/>
          <w:b/>
        </w:rPr>
      </w:pPr>
    </w:p>
    <w:p w14:paraId="5818AC81" w14:textId="7CAE10CE" w:rsidR="000D65E1" w:rsidRPr="007B6732" w:rsidRDefault="000D65E1" w:rsidP="000D65E1">
      <w:pPr>
        <w:spacing w:line="360" w:lineRule="auto"/>
        <w:jc w:val="both"/>
        <w:rPr>
          <w:rFonts w:ascii="Book Antiqua" w:eastAsia="SimSun" w:hAnsi="Book Antiqua"/>
          <w:b/>
          <w:bCs/>
          <w:i/>
          <w:lang w:eastAsia="zh-CN"/>
        </w:rPr>
      </w:pPr>
      <w:r w:rsidRPr="007B6732">
        <w:rPr>
          <w:rFonts w:ascii="Book Antiqua" w:hAnsi="Book Antiqua"/>
          <w:b/>
          <w:bCs/>
          <w:i/>
        </w:rPr>
        <w:lastRenderedPageBreak/>
        <w:t>Innovations and breakthroughs</w:t>
      </w:r>
    </w:p>
    <w:p w14:paraId="459EB4F8" w14:textId="35B36A57" w:rsidR="000D65E1" w:rsidRPr="007B6732" w:rsidRDefault="000D65E1" w:rsidP="000D65E1">
      <w:pPr>
        <w:spacing w:line="360" w:lineRule="auto"/>
        <w:jc w:val="both"/>
        <w:rPr>
          <w:rFonts w:ascii="Book Antiqua" w:hAnsi="Book Antiqua"/>
        </w:rPr>
      </w:pPr>
      <w:r w:rsidRPr="007B6732">
        <w:rPr>
          <w:rFonts w:ascii="Book Antiqua" w:hAnsi="Book Antiqua"/>
        </w:rPr>
        <w:t xml:space="preserve">As with previous survey studies looking at transition care in IBD our study found that there is a lack of communication between pediatric and adult gastroenterologist with suboptimal transfer of information. </w:t>
      </w:r>
      <w:r w:rsidR="007B6732">
        <w:rPr>
          <w:rFonts w:ascii="Book Antiqua" w:eastAsia="SimSun" w:hAnsi="Book Antiqua"/>
          <w:lang w:eastAsia="zh-CN"/>
        </w:rPr>
        <w:t>This</w:t>
      </w:r>
      <w:r w:rsidR="007B6732" w:rsidRPr="007B6732">
        <w:rPr>
          <w:rFonts w:ascii="Book Antiqua" w:hAnsi="Book Antiqua"/>
        </w:rPr>
        <w:t xml:space="preserve"> </w:t>
      </w:r>
      <w:r w:rsidRPr="007B6732">
        <w:rPr>
          <w:rFonts w:ascii="Book Antiqua" w:hAnsi="Book Antiqua"/>
        </w:rPr>
        <w:t xml:space="preserve">study compared pediatric and gastroenterologists and revealed significant differences between the two group’s perspective of transition care. Notably it identified a significant discrepancy in terms of resource availability. </w:t>
      </w:r>
    </w:p>
    <w:p w14:paraId="74915B58" w14:textId="77777777" w:rsidR="000D65E1" w:rsidRPr="007B6732" w:rsidRDefault="000D65E1" w:rsidP="000D65E1">
      <w:pPr>
        <w:spacing w:line="360" w:lineRule="auto"/>
        <w:jc w:val="both"/>
        <w:rPr>
          <w:rFonts w:ascii="Book Antiqua" w:hAnsi="Book Antiqua"/>
          <w:b/>
        </w:rPr>
      </w:pPr>
    </w:p>
    <w:p w14:paraId="076A233A" w14:textId="3CC7AC31" w:rsidR="000D65E1" w:rsidRPr="007B6732" w:rsidRDefault="000D65E1" w:rsidP="000D65E1">
      <w:pPr>
        <w:spacing w:line="360" w:lineRule="auto"/>
        <w:jc w:val="both"/>
        <w:rPr>
          <w:rFonts w:ascii="Book Antiqua" w:hAnsi="Book Antiqua"/>
          <w:b/>
          <w:bCs/>
          <w:i/>
        </w:rPr>
      </w:pPr>
      <w:r w:rsidRPr="007B6732">
        <w:rPr>
          <w:rFonts w:ascii="Book Antiqua" w:hAnsi="Book Antiqua"/>
          <w:b/>
          <w:bCs/>
          <w:i/>
        </w:rPr>
        <w:t>Applications</w:t>
      </w:r>
    </w:p>
    <w:p w14:paraId="0DD61CE6" w14:textId="779EC070" w:rsidR="000D65E1" w:rsidRPr="007B6732" w:rsidRDefault="000D65E1" w:rsidP="000D65E1">
      <w:pPr>
        <w:spacing w:line="360" w:lineRule="auto"/>
        <w:jc w:val="both"/>
        <w:rPr>
          <w:rFonts w:ascii="Book Antiqua" w:hAnsi="Book Antiqua"/>
        </w:rPr>
      </w:pPr>
      <w:r w:rsidRPr="007B6732">
        <w:rPr>
          <w:rFonts w:ascii="Book Antiqua" w:hAnsi="Book Antiqua"/>
        </w:rPr>
        <w:t xml:space="preserve">Similar to previous studies our survey reinforces the importance of a transition program, education for young adult IBD patients and the need to improve communication between adult and pediatric </w:t>
      </w:r>
      <w:r w:rsidR="007B6732" w:rsidRPr="007B6732">
        <w:rPr>
          <w:rFonts w:ascii="Book Antiqua" w:hAnsi="Book Antiqua" w:cs="Arial"/>
        </w:rPr>
        <w:t>gastroenterologists</w:t>
      </w:r>
      <w:r w:rsidRPr="007B6732">
        <w:rPr>
          <w:rFonts w:ascii="Book Antiqua" w:hAnsi="Book Antiqua"/>
        </w:rPr>
        <w:t xml:space="preserve">. A structured and standardized transition network offering appropriate and applicable tools has the potential to offer a genuine clinical impact for a successful transition. The idea of focusing more resources on transition of care to improve objective outcomes is applicable to many diseases and spans many different health care systems. </w:t>
      </w:r>
    </w:p>
    <w:p w14:paraId="6A1F5933" w14:textId="77777777" w:rsidR="000D65E1" w:rsidRPr="007B6732" w:rsidRDefault="000D65E1" w:rsidP="000D65E1">
      <w:pPr>
        <w:spacing w:line="360" w:lineRule="auto"/>
        <w:jc w:val="both"/>
        <w:rPr>
          <w:rFonts w:ascii="Book Antiqua" w:hAnsi="Book Antiqua" w:cs="Arial"/>
          <w:b/>
          <w:bCs/>
        </w:rPr>
      </w:pPr>
    </w:p>
    <w:p w14:paraId="4FADFBD4" w14:textId="5325A94B" w:rsidR="000D65E1" w:rsidRPr="007B6732" w:rsidRDefault="000D65E1" w:rsidP="000D65E1">
      <w:pPr>
        <w:spacing w:line="360" w:lineRule="auto"/>
        <w:jc w:val="both"/>
        <w:rPr>
          <w:rFonts w:ascii="Book Antiqua" w:hAnsi="Book Antiqua" w:cs="Arial"/>
          <w:b/>
          <w:bCs/>
        </w:rPr>
      </w:pPr>
      <w:r w:rsidRPr="007B6732">
        <w:rPr>
          <w:rFonts w:ascii="Book Antiqua" w:hAnsi="Book Antiqua" w:cs="Arial"/>
          <w:b/>
          <w:bCs/>
          <w:i/>
        </w:rPr>
        <w:t>Terminology</w:t>
      </w:r>
    </w:p>
    <w:p w14:paraId="60A2C8FC" w14:textId="77777777" w:rsidR="000D65E1" w:rsidRPr="007B6732" w:rsidRDefault="000D65E1" w:rsidP="000D65E1">
      <w:pPr>
        <w:spacing w:line="360" w:lineRule="auto"/>
        <w:jc w:val="both"/>
        <w:rPr>
          <w:rFonts w:ascii="Book Antiqua" w:hAnsi="Book Antiqua" w:cs="Arial"/>
        </w:rPr>
      </w:pPr>
      <w:r w:rsidRPr="007B6732">
        <w:rPr>
          <w:rFonts w:ascii="Book Antiqua" w:hAnsi="Book Antiqua" w:cs="Arial"/>
        </w:rPr>
        <w:t xml:space="preserve">Transition is defined as a process that spans before and after the transfer of care. </w:t>
      </w:r>
    </w:p>
    <w:p w14:paraId="600544A3" w14:textId="77777777" w:rsidR="000D65E1" w:rsidRPr="007B6732" w:rsidRDefault="000D65E1" w:rsidP="000D65E1">
      <w:pPr>
        <w:spacing w:line="360" w:lineRule="auto"/>
        <w:jc w:val="both"/>
        <w:rPr>
          <w:rFonts w:ascii="Book Antiqua" w:hAnsi="Book Antiqua" w:cs="Arial"/>
        </w:rPr>
      </w:pPr>
      <w:r w:rsidRPr="007B6732">
        <w:rPr>
          <w:rFonts w:ascii="Book Antiqua" w:hAnsi="Book Antiqua" w:cs="Arial"/>
        </w:rPr>
        <w:t xml:space="preserve">Transfer of care is the formal process of transferring the care of a given patient from one health care professional to another. </w:t>
      </w:r>
    </w:p>
    <w:p w14:paraId="4526F9EE" w14:textId="77777777" w:rsidR="000D65E1" w:rsidRPr="007B6732" w:rsidRDefault="000D65E1" w:rsidP="000D65E1">
      <w:pPr>
        <w:spacing w:line="360" w:lineRule="auto"/>
        <w:jc w:val="both"/>
        <w:rPr>
          <w:rFonts w:ascii="Book Antiqua" w:hAnsi="Book Antiqua" w:cs="Arial"/>
          <w:b/>
        </w:rPr>
      </w:pPr>
    </w:p>
    <w:p w14:paraId="034EFBB4" w14:textId="66DC85C0" w:rsidR="000D65E1" w:rsidRPr="007B6732" w:rsidRDefault="000D65E1" w:rsidP="000D65E1">
      <w:pPr>
        <w:spacing w:line="360" w:lineRule="auto"/>
        <w:jc w:val="both"/>
        <w:rPr>
          <w:rFonts w:ascii="Book Antiqua" w:eastAsia="SimSun" w:hAnsi="Book Antiqua" w:cs="Arial"/>
          <w:b/>
          <w:i/>
          <w:lang w:eastAsia="zh-CN"/>
        </w:rPr>
      </w:pPr>
      <w:r w:rsidRPr="007B6732">
        <w:rPr>
          <w:rFonts w:ascii="Book Antiqua" w:eastAsia="SimSun" w:hAnsi="Book Antiqua" w:cs="Arial" w:hint="eastAsia"/>
          <w:b/>
          <w:i/>
          <w:lang w:eastAsia="zh-CN"/>
        </w:rPr>
        <w:t>Peer-review</w:t>
      </w:r>
    </w:p>
    <w:p w14:paraId="19674C1F" w14:textId="49768D7C" w:rsidR="00217D89" w:rsidRPr="007B6732" w:rsidRDefault="000D65E1" w:rsidP="0056175D">
      <w:pPr>
        <w:tabs>
          <w:tab w:val="left" w:pos="971"/>
        </w:tabs>
        <w:spacing w:line="360" w:lineRule="auto"/>
        <w:jc w:val="both"/>
        <w:rPr>
          <w:rFonts w:ascii="Book Antiqua" w:eastAsia="SimSun" w:hAnsi="Book Antiqua"/>
          <w:lang w:eastAsia="zh-CN"/>
        </w:rPr>
      </w:pPr>
      <w:r w:rsidRPr="007B6732">
        <w:rPr>
          <w:rFonts w:ascii="Book Antiqua" w:hAnsi="Book Antiqua"/>
        </w:rPr>
        <w:t>The study was conducted by assessment of the survey among 136 health care professionals involved in caring for IBD patients. The findings revealed that the pediatric patients were inadequately prepared for the transition, thus indicating the importance of an educational program for young adults with IBD.</w:t>
      </w:r>
      <w:r w:rsidRPr="007B6732">
        <w:rPr>
          <w:rFonts w:ascii="Book Antiqua" w:eastAsia="SimSun" w:hAnsi="Book Antiqua" w:hint="eastAsia"/>
          <w:lang w:eastAsia="zh-CN"/>
        </w:rPr>
        <w:t xml:space="preserve"> </w:t>
      </w:r>
    </w:p>
    <w:p w14:paraId="30D1154C" w14:textId="77777777" w:rsidR="000D65E1" w:rsidRPr="007B6732" w:rsidRDefault="000D65E1">
      <w:r w:rsidRPr="007B6732">
        <w:br w:type="page"/>
      </w:r>
    </w:p>
    <w:p w14:paraId="211160F2" w14:textId="0C1A271B" w:rsidR="000D65E1" w:rsidRPr="007B6732" w:rsidRDefault="000D65E1" w:rsidP="00D06F5F">
      <w:pPr>
        <w:spacing w:line="360" w:lineRule="auto"/>
        <w:jc w:val="both"/>
        <w:rPr>
          <w:rFonts w:ascii="Book Antiqua" w:eastAsia="SimSun" w:hAnsi="Book Antiqua" w:cs="Helvetica"/>
          <w:b/>
          <w:color w:val="5A5A5A"/>
          <w:lang w:eastAsia="zh-CN"/>
        </w:rPr>
      </w:pPr>
      <w:r w:rsidRPr="007B6732">
        <w:rPr>
          <w:rFonts w:ascii="Book Antiqua" w:hAnsi="Book Antiqua" w:cs="Arial"/>
          <w:b/>
        </w:rPr>
        <w:lastRenderedPageBreak/>
        <w:t>REFERENCES</w:t>
      </w:r>
    </w:p>
    <w:p w14:paraId="53A45228"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1 </w:t>
      </w:r>
      <w:r w:rsidRPr="007B6732">
        <w:rPr>
          <w:rFonts w:ascii="Book Antiqua" w:eastAsia="SimSun" w:hAnsi="Book Antiqua" w:cs="SimSun"/>
          <w:b/>
          <w:bCs/>
        </w:rPr>
        <w:t>Kim SC</w:t>
      </w:r>
      <w:r w:rsidRPr="007B6732">
        <w:rPr>
          <w:rFonts w:ascii="Book Antiqua" w:eastAsia="SimSun" w:hAnsi="Book Antiqua" w:cs="SimSun"/>
        </w:rPr>
        <w:t>, Ferry GD. Inflammatory bowel diseases in pediatric and adolescent patients: clinical, therapeutic, and psychosocial considerations. </w:t>
      </w:r>
      <w:r w:rsidRPr="007B6732">
        <w:rPr>
          <w:rFonts w:ascii="Book Antiqua" w:eastAsia="SimSun" w:hAnsi="Book Antiqua" w:cs="SimSun"/>
          <w:i/>
          <w:iCs/>
        </w:rPr>
        <w:t>Gastroenterology</w:t>
      </w:r>
      <w:r w:rsidRPr="007B6732">
        <w:rPr>
          <w:rFonts w:ascii="Book Antiqua" w:eastAsia="SimSun" w:hAnsi="Book Antiqua" w:cs="SimSun"/>
        </w:rPr>
        <w:t> 2004; </w:t>
      </w:r>
      <w:r w:rsidRPr="007B6732">
        <w:rPr>
          <w:rFonts w:ascii="Book Antiqua" w:eastAsia="SimSun" w:hAnsi="Book Antiqua" w:cs="SimSun"/>
          <w:b/>
          <w:bCs/>
        </w:rPr>
        <w:t>126</w:t>
      </w:r>
      <w:r w:rsidRPr="007B6732">
        <w:rPr>
          <w:rFonts w:ascii="Book Antiqua" w:eastAsia="SimSun" w:hAnsi="Book Antiqua" w:cs="SimSun"/>
        </w:rPr>
        <w:t>: 1550-1560 [PMID: 15168366]</w:t>
      </w:r>
    </w:p>
    <w:p w14:paraId="61F0B8FF"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2 </w:t>
      </w:r>
      <w:r w:rsidRPr="007B6732">
        <w:rPr>
          <w:rFonts w:ascii="Book Antiqua" w:eastAsia="SimSun" w:hAnsi="Book Antiqua" w:cs="SimSun"/>
          <w:b/>
          <w:bCs/>
        </w:rPr>
        <w:t>Kelsen J</w:t>
      </w:r>
      <w:r w:rsidRPr="007B6732">
        <w:rPr>
          <w:rFonts w:ascii="Book Antiqua" w:eastAsia="SimSun" w:hAnsi="Book Antiqua" w:cs="SimSun"/>
        </w:rPr>
        <w:t>, Baldassano RN. Inflammatory bowel disease: the difference between children and adults. </w:t>
      </w:r>
      <w:r w:rsidRPr="007B6732">
        <w:rPr>
          <w:rFonts w:ascii="Book Antiqua" w:eastAsia="SimSun" w:hAnsi="Book Antiqua" w:cs="SimSun"/>
          <w:i/>
          <w:iCs/>
        </w:rPr>
        <w:t>Inflamm Bowel Dis</w:t>
      </w:r>
      <w:r w:rsidRPr="007B6732">
        <w:rPr>
          <w:rFonts w:ascii="Book Antiqua" w:eastAsia="SimSun" w:hAnsi="Book Antiqua" w:cs="SimSun"/>
        </w:rPr>
        <w:t> 2008; </w:t>
      </w:r>
      <w:r w:rsidRPr="007B6732">
        <w:rPr>
          <w:rFonts w:ascii="Book Antiqua" w:eastAsia="SimSun" w:hAnsi="Book Antiqua" w:cs="SimSun"/>
          <w:b/>
          <w:bCs/>
        </w:rPr>
        <w:t xml:space="preserve">14 </w:t>
      </w:r>
      <w:r w:rsidRPr="007B6732">
        <w:rPr>
          <w:rFonts w:ascii="Book Antiqua" w:eastAsia="SimSun" w:hAnsi="Book Antiqua" w:cs="SimSun"/>
          <w:bCs/>
        </w:rPr>
        <w:t>Suppl 2</w:t>
      </w:r>
      <w:r w:rsidRPr="007B6732">
        <w:rPr>
          <w:rFonts w:ascii="Book Antiqua" w:eastAsia="SimSun" w:hAnsi="Book Antiqua" w:cs="SimSun"/>
        </w:rPr>
        <w:t>: S9-11 [PMID: 18816756 DOI: 10.1002/ibd.20560]</w:t>
      </w:r>
    </w:p>
    <w:p w14:paraId="6AF60120"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3 </w:t>
      </w:r>
      <w:r w:rsidRPr="007B6732">
        <w:rPr>
          <w:rFonts w:ascii="Book Antiqua" w:eastAsia="SimSun" w:hAnsi="Book Antiqua" w:cs="SimSun"/>
          <w:b/>
          <w:bCs/>
        </w:rPr>
        <w:t>Benchimol EI</w:t>
      </w:r>
      <w:r w:rsidRPr="007B6732">
        <w:rPr>
          <w:rFonts w:ascii="Book Antiqua" w:eastAsia="SimSun" w:hAnsi="Book Antiqua" w:cs="SimSun"/>
        </w:rPr>
        <w:t>, Fortinsky KJ, Gozdyra P, Van den Heuvel M, Van Limbergen J, Griffiths AM. Epidemiology of pediatric inflammatory bowel disease: a systematic review of international trends. </w:t>
      </w:r>
      <w:r w:rsidRPr="007B6732">
        <w:rPr>
          <w:rFonts w:ascii="Book Antiqua" w:eastAsia="SimSun" w:hAnsi="Book Antiqua" w:cs="SimSun"/>
          <w:i/>
          <w:iCs/>
        </w:rPr>
        <w:t>Inflamm Bowel Dis</w:t>
      </w:r>
      <w:r w:rsidRPr="007B6732">
        <w:rPr>
          <w:rFonts w:ascii="Book Antiqua" w:eastAsia="SimSun" w:hAnsi="Book Antiqua" w:cs="SimSun"/>
        </w:rPr>
        <w:t> 2011; </w:t>
      </w:r>
      <w:r w:rsidRPr="007B6732">
        <w:rPr>
          <w:rFonts w:ascii="Book Antiqua" w:eastAsia="SimSun" w:hAnsi="Book Antiqua" w:cs="SimSun"/>
          <w:b/>
          <w:bCs/>
        </w:rPr>
        <w:t>17</w:t>
      </w:r>
      <w:r w:rsidRPr="007B6732">
        <w:rPr>
          <w:rFonts w:ascii="Book Antiqua" w:eastAsia="SimSun" w:hAnsi="Book Antiqua" w:cs="SimSun"/>
        </w:rPr>
        <w:t>: 423-439 [PMID: 20564651 DOI: 10.1002/ibd.21349]</w:t>
      </w:r>
    </w:p>
    <w:p w14:paraId="7A961771"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4 </w:t>
      </w:r>
      <w:r w:rsidRPr="007B6732">
        <w:rPr>
          <w:rFonts w:ascii="Book Antiqua" w:eastAsia="SimSun" w:hAnsi="Book Antiqua" w:cs="SimSun"/>
          <w:b/>
          <w:bCs/>
        </w:rPr>
        <w:t>Bernstein CN</w:t>
      </w:r>
      <w:r w:rsidRPr="007B6732">
        <w:rPr>
          <w:rFonts w:ascii="Book Antiqua" w:eastAsia="SimSun" w:hAnsi="Book Antiqua" w:cs="SimSun"/>
        </w:rPr>
        <w:t>, Wajda A, Svenson LW, MacKenzie A, Koehoorn M, Jackson M, Fedorak R, Israel D, Blanchard JF. The epidemiology of inflammatory bowel disease in Canada: a population-based study. </w:t>
      </w:r>
      <w:r w:rsidRPr="007B6732">
        <w:rPr>
          <w:rFonts w:ascii="Book Antiqua" w:eastAsia="SimSun" w:hAnsi="Book Antiqua" w:cs="SimSun"/>
          <w:i/>
          <w:iCs/>
        </w:rPr>
        <w:t>Am J Gastroenterol</w:t>
      </w:r>
      <w:r w:rsidRPr="007B6732">
        <w:rPr>
          <w:rFonts w:ascii="Book Antiqua" w:eastAsia="SimSun" w:hAnsi="Book Antiqua" w:cs="SimSun"/>
        </w:rPr>
        <w:t> 2006; </w:t>
      </w:r>
      <w:r w:rsidRPr="007B6732">
        <w:rPr>
          <w:rFonts w:ascii="Book Antiqua" w:eastAsia="SimSun" w:hAnsi="Book Antiqua" w:cs="SimSun"/>
          <w:b/>
          <w:bCs/>
        </w:rPr>
        <w:t>101</w:t>
      </w:r>
      <w:r w:rsidRPr="007B6732">
        <w:rPr>
          <w:rFonts w:ascii="Book Antiqua" w:eastAsia="SimSun" w:hAnsi="Book Antiqua" w:cs="SimSun"/>
        </w:rPr>
        <w:t>: 1559-1568 [PMID: 16863561 DOI: 10.1111/j.1572-0241.2006.00603.x]</w:t>
      </w:r>
    </w:p>
    <w:p w14:paraId="6B0E3CC4"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5 </w:t>
      </w:r>
      <w:r w:rsidRPr="007B6732">
        <w:rPr>
          <w:rFonts w:ascii="Book Antiqua" w:eastAsia="SimSun" w:hAnsi="Book Antiqua" w:cs="SimSun"/>
          <w:b/>
          <w:bCs/>
        </w:rPr>
        <w:t>Molodecky NA</w:t>
      </w:r>
      <w:r w:rsidRPr="007B6732">
        <w:rPr>
          <w:rFonts w:ascii="Book Antiqua" w:eastAsia="SimSun" w:hAnsi="Book Antiqua" w:cs="SimSun"/>
        </w:rPr>
        <w:t>, Soon IS, Rabi DM, Ghali WA, Ferris M, Chernoff G, Benchimol EI, Panaccione R, Ghosh S, Barkema HW, Kaplan GG. Increasing incidence and prevalence of the inflammatory bowel diseases with time, based on systematic review. </w:t>
      </w:r>
      <w:r w:rsidRPr="007B6732">
        <w:rPr>
          <w:rFonts w:ascii="Book Antiqua" w:eastAsia="SimSun" w:hAnsi="Book Antiqua" w:cs="SimSun"/>
          <w:i/>
          <w:iCs/>
        </w:rPr>
        <w:t>Gastroenterology</w:t>
      </w:r>
      <w:r w:rsidRPr="007B6732">
        <w:rPr>
          <w:rFonts w:ascii="Book Antiqua" w:eastAsia="SimSun" w:hAnsi="Book Antiqua" w:cs="SimSun"/>
        </w:rPr>
        <w:t> 2012; </w:t>
      </w:r>
      <w:r w:rsidRPr="007B6732">
        <w:rPr>
          <w:rFonts w:ascii="Book Antiqua" w:eastAsia="SimSun" w:hAnsi="Book Antiqua" w:cs="SimSun"/>
          <w:b/>
          <w:bCs/>
        </w:rPr>
        <w:t>142</w:t>
      </w:r>
      <w:r w:rsidRPr="007B6732">
        <w:rPr>
          <w:rFonts w:ascii="Book Antiqua" w:eastAsia="SimSun" w:hAnsi="Book Antiqua" w:cs="SimSun"/>
        </w:rPr>
        <w:t>: 46-54.e42; quiz e30 [PMID: 22001864 DOI: 10.1053/j.gastro.2011.10.001]</w:t>
      </w:r>
    </w:p>
    <w:p w14:paraId="1C3E08A4"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6 </w:t>
      </w:r>
      <w:r w:rsidRPr="007B6732">
        <w:rPr>
          <w:rFonts w:ascii="Book Antiqua" w:eastAsia="SimSun" w:hAnsi="Book Antiqua" w:cs="SimSun"/>
          <w:b/>
          <w:bCs/>
        </w:rPr>
        <w:t>Baldassano R</w:t>
      </w:r>
      <w:r w:rsidRPr="007B6732">
        <w:rPr>
          <w:rFonts w:ascii="Book Antiqua" w:eastAsia="SimSun" w:hAnsi="Book Antiqua" w:cs="SimSun"/>
        </w:rPr>
        <w:t>, Ferry G, Griffiths A, Mack D, Markowitz J, Winter H. Transition of the patient with inflammatory bowel disease from pediatric to adult care: recommendations of the North American Society for Pediatric Gastroenterology, Hepatology and Nutrition. </w:t>
      </w:r>
      <w:r w:rsidRPr="007B6732">
        <w:rPr>
          <w:rFonts w:ascii="Book Antiqua" w:eastAsia="SimSun" w:hAnsi="Book Antiqua" w:cs="SimSun"/>
          <w:i/>
          <w:iCs/>
        </w:rPr>
        <w:t>J Pediatr Gastroenterol Nutr</w:t>
      </w:r>
      <w:r w:rsidRPr="007B6732">
        <w:rPr>
          <w:rFonts w:ascii="Book Antiqua" w:eastAsia="SimSun" w:hAnsi="Book Antiqua" w:cs="SimSun"/>
        </w:rPr>
        <w:t> 2002; </w:t>
      </w:r>
      <w:r w:rsidRPr="007B6732">
        <w:rPr>
          <w:rFonts w:ascii="Book Antiqua" w:eastAsia="SimSun" w:hAnsi="Book Antiqua" w:cs="SimSun"/>
          <w:b/>
          <w:bCs/>
        </w:rPr>
        <w:t>34</w:t>
      </w:r>
      <w:r w:rsidRPr="007B6732">
        <w:rPr>
          <w:rFonts w:ascii="Book Antiqua" w:eastAsia="SimSun" w:hAnsi="Book Antiqua" w:cs="SimSun"/>
        </w:rPr>
        <w:t>: 245-248 [PMID: 11964946]</w:t>
      </w:r>
    </w:p>
    <w:p w14:paraId="12DE428A"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7 </w:t>
      </w:r>
      <w:r w:rsidRPr="007B6732">
        <w:rPr>
          <w:rFonts w:ascii="Book Antiqua" w:eastAsia="SimSun" w:hAnsi="Book Antiqua" w:cs="SimSun"/>
          <w:b/>
          <w:bCs/>
        </w:rPr>
        <w:t>Blum RW</w:t>
      </w:r>
      <w:r w:rsidRPr="007B6732">
        <w:rPr>
          <w:rFonts w:ascii="Book Antiqua" w:eastAsia="SimSun" w:hAnsi="Book Antiqua" w:cs="SimSun"/>
        </w:rPr>
        <w:t>, Garell D, Hodgman CH, Jorissen TW, Okinow NA, Orr DP, Slap GB. Transition from child-centered to adult health-care systems for adolescents with chronic conditions. A position paper of the Society for Adolescent Medicine. </w:t>
      </w:r>
      <w:r w:rsidRPr="007B6732">
        <w:rPr>
          <w:rFonts w:ascii="Book Antiqua" w:eastAsia="SimSun" w:hAnsi="Book Antiqua" w:cs="SimSun"/>
          <w:i/>
          <w:iCs/>
        </w:rPr>
        <w:t>J Adolesc Health</w:t>
      </w:r>
      <w:r w:rsidRPr="007B6732">
        <w:rPr>
          <w:rFonts w:ascii="Book Antiqua" w:eastAsia="SimSun" w:hAnsi="Book Antiqua" w:cs="SimSun"/>
        </w:rPr>
        <w:t> 1993; </w:t>
      </w:r>
      <w:r w:rsidRPr="007B6732">
        <w:rPr>
          <w:rFonts w:ascii="Book Antiqua" w:eastAsia="SimSun" w:hAnsi="Book Antiqua" w:cs="SimSun"/>
          <w:b/>
          <w:bCs/>
        </w:rPr>
        <w:t>14</w:t>
      </w:r>
      <w:r w:rsidRPr="007B6732">
        <w:rPr>
          <w:rFonts w:ascii="Book Antiqua" w:eastAsia="SimSun" w:hAnsi="Book Antiqua" w:cs="SimSun"/>
        </w:rPr>
        <w:t>: 570-576 [PMID: 8312295]</w:t>
      </w:r>
    </w:p>
    <w:p w14:paraId="73AB5C21"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lastRenderedPageBreak/>
        <w:t>8 </w:t>
      </w:r>
      <w:r w:rsidRPr="007B6732">
        <w:rPr>
          <w:rFonts w:ascii="Book Antiqua" w:eastAsia="SimSun" w:hAnsi="Book Antiqua" w:cs="SimSun"/>
          <w:b/>
          <w:bCs/>
        </w:rPr>
        <w:t>Hait EJ</w:t>
      </w:r>
      <w:r w:rsidRPr="007B6732">
        <w:rPr>
          <w:rFonts w:ascii="Book Antiqua" w:eastAsia="SimSun" w:hAnsi="Book Antiqua" w:cs="SimSun"/>
        </w:rPr>
        <w:t>, Barendse RM, Arnold JH, Valim C, Sands BE, Korzenik JR, Fishman LN. Transition of adolescents with inflammatory bowel disease from pediatric to adult care: a survey of adult gastroenterologists. </w:t>
      </w:r>
      <w:r w:rsidRPr="007B6732">
        <w:rPr>
          <w:rFonts w:ascii="Book Antiqua" w:eastAsia="SimSun" w:hAnsi="Book Antiqua" w:cs="SimSun"/>
          <w:i/>
          <w:iCs/>
        </w:rPr>
        <w:t>J Pediatr Gastroenterol Nutr</w:t>
      </w:r>
      <w:r w:rsidRPr="007B6732">
        <w:rPr>
          <w:rFonts w:ascii="Book Antiqua" w:eastAsia="SimSun" w:hAnsi="Book Antiqua" w:cs="SimSun"/>
        </w:rPr>
        <w:t> 2009; </w:t>
      </w:r>
      <w:r w:rsidRPr="007B6732">
        <w:rPr>
          <w:rFonts w:ascii="Book Antiqua" w:eastAsia="SimSun" w:hAnsi="Book Antiqua" w:cs="SimSun"/>
          <w:b/>
          <w:bCs/>
        </w:rPr>
        <w:t>48</w:t>
      </w:r>
      <w:r w:rsidRPr="007B6732">
        <w:rPr>
          <w:rFonts w:ascii="Book Antiqua" w:eastAsia="SimSun" w:hAnsi="Book Antiqua" w:cs="SimSun"/>
        </w:rPr>
        <w:t>: 61-65 [PMID: 19172125 DOI: 10.1097/MPG.0b013e31816d71d8]</w:t>
      </w:r>
    </w:p>
    <w:p w14:paraId="0FFA6071"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9 </w:t>
      </w:r>
      <w:r w:rsidRPr="007B6732">
        <w:rPr>
          <w:rFonts w:ascii="Book Antiqua" w:eastAsia="SimSun" w:hAnsi="Book Antiqua" w:cs="SimSun"/>
          <w:b/>
          <w:bCs/>
        </w:rPr>
        <w:t>Sebastian S</w:t>
      </w:r>
      <w:r w:rsidRPr="007B6732">
        <w:rPr>
          <w:rFonts w:ascii="Book Antiqua" w:eastAsia="SimSun" w:hAnsi="Book Antiqua" w:cs="SimSun"/>
        </w:rPr>
        <w:t>, Jenkins H, McCartney S, Ahmad T, Arnott I, Croft N, Russell R, Lindsay JO. The requirements and barriers to successful transition of adolescents with inflammatory bowel disease: differing perceptions from a survey of adult and paediatric gastroenterologists. </w:t>
      </w:r>
      <w:r w:rsidRPr="007B6732">
        <w:rPr>
          <w:rFonts w:ascii="Book Antiqua" w:eastAsia="SimSun" w:hAnsi="Book Antiqua" w:cs="SimSun"/>
          <w:i/>
          <w:iCs/>
        </w:rPr>
        <w:t>J Crohns Colitis</w:t>
      </w:r>
      <w:r w:rsidRPr="007B6732">
        <w:rPr>
          <w:rFonts w:ascii="Book Antiqua" w:eastAsia="SimSun" w:hAnsi="Book Antiqua" w:cs="SimSun"/>
        </w:rPr>
        <w:t> 2012; </w:t>
      </w:r>
      <w:r w:rsidRPr="007B6732">
        <w:rPr>
          <w:rFonts w:ascii="Book Antiqua" w:eastAsia="SimSun" w:hAnsi="Book Antiqua" w:cs="SimSun"/>
          <w:b/>
          <w:bCs/>
        </w:rPr>
        <w:t>6</w:t>
      </w:r>
      <w:r w:rsidRPr="007B6732">
        <w:rPr>
          <w:rFonts w:ascii="Book Antiqua" w:eastAsia="SimSun" w:hAnsi="Book Antiqua" w:cs="SimSun"/>
        </w:rPr>
        <w:t>: 830-844 [PMID: 22398082 DOI: 10.1016/j.crohns.2012.01.010]</w:t>
      </w:r>
    </w:p>
    <w:p w14:paraId="13528BAC"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10 </w:t>
      </w:r>
      <w:r w:rsidRPr="007B6732">
        <w:rPr>
          <w:rFonts w:ascii="Book Antiqua" w:eastAsia="SimSun" w:hAnsi="Book Antiqua" w:cs="SimSun"/>
          <w:b/>
          <w:bCs/>
        </w:rPr>
        <w:t>Wright EK</w:t>
      </w:r>
      <w:r w:rsidRPr="007B6732">
        <w:rPr>
          <w:rFonts w:ascii="Book Antiqua" w:eastAsia="SimSun" w:hAnsi="Book Antiqua" w:cs="SimSun"/>
        </w:rPr>
        <w:t>, Williams J, Andrews JM, Day AS, Gearry RB, Bampton P, Moore D, Lemberg D, Ravikumaran R, Wilson J, Lewindon P, Radford-Smith G, Rosenbaum J, Catto-Smith A, Desmond PV, Connell WR, Cameron D, Alex G, Bell SJ, De Cruz P. Perspectives of paediatric and adult gastroenterologists on transfer and transition care of adolescents with inflammatory bowel disease. </w:t>
      </w:r>
      <w:r w:rsidRPr="007B6732">
        <w:rPr>
          <w:rFonts w:ascii="Book Antiqua" w:eastAsia="SimSun" w:hAnsi="Book Antiqua" w:cs="SimSun"/>
          <w:i/>
          <w:iCs/>
        </w:rPr>
        <w:t>Intern Med J</w:t>
      </w:r>
      <w:r w:rsidRPr="007B6732">
        <w:rPr>
          <w:rFonts w:ascii="Book Antiqua" w:eastAsia="SimSun" w:hAnsi="Book Antiqua" w:cs="SimSun"/>
        </w:rPr>
        <w:t> 2014; </w:t>
      </w:r>
      <w:r w:rsidRPr="007B6732">
        <w:rPr>
          <w:rFonts w:ascii="Book Antiqua" w:eastAsia="SimSun" w:hAnsi="Book Antiqua" w:cs="SimSun"/>
          <w:b/>
          <w:bCs/>
        </w:rPr>
        <w:t>44</w:t>
      </w:r>
      <w:r w:rsidRPr="007B6732">
        <w:rPr>
          <w:rFonts w:ascii="Book Antiqua" w:eastAsia="SimSun" w:hAnsi="Book Antiqua" w:cs="SimSun"/>
        </w:rPr>
        <w:t>: 490-496 [PMID: 24589174 DOI: 10.1111/imj.12402]</w:t>
      </w:r>
    </w:p>
    <w:p w14:paraId="60C4F6EF"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hint="eastAsia"/>
        </w:rPr>
        <w:t xml:space="preserve">11 </w:t>
      </w:r>
      <w:r w:rsidRPr="007B6732">
        <w:rPr>
          <w:rFonts w:ascii="Book Antiqua" w:eastAsia="SimSun" w:hAnsi="Book Antiqua" w:cs="SimSun" w:hint="eastAsia"/>
          <w:b/>
        </w:rPr>
        <w:t xml:space="preserve"> </w:t>
      </w:r>
      <w:r w:rsidRPr="007B6732">
        <w:rPr>
          <w:rFonts w:ascii="Book Antiqua" w:eastAsia="SimSun" w:hAnsi="Book Antiqua" w:cs="SimSun"/>
          <w:b/>
        </w:rPr>
        <w:t>Goodhand J</w:t>
      </w:r>
      <w:r w:rsidRPr="007B6732">
        <w:rPr>
          <w:rFonts w:ascii="Book Antiqua" w:eastAsia="SimSun" w:hAnsi="Book Antiqua" w:cs="SimSun"/>
        </w:rPr>
        <w:t xml:space="preserve">, Dawson R, Hefferon M, Tshuma N, Swanson G, Wahed M, Croft NM, Lindsay JO. Inflammatory bowel disease in young people: the case for transitional clinics. </w:t>
      </w:r>
      <w:r w:rsidRPr="007B6732">
        <w:rPr>
          <w:rFonts w:ascii="Book Antiqua" w:eastAsia="SimSun" w:hAnsi="Book Antiqua" w:cs="SimSun"/>
          <w:i/>
        </w:rPr>
        <w:t>Inflamm Bowel Dis</w:t>
      </w:r>
      <w:r w:rsidRPr="007B6732">
        <w:rPr>
          <w:rFonts w:ascii="Book Antiqua" w:eastAsia="SimSun" w:hAnsi="Book Antiqua" w:cs="SimSun"/>
        </w:rPr>
        <w:t xml:space="preserve"> 2010; </w:t>
      </w:r>
      <w:r w:rsidRPr="007B6732">
        <w:rPr>
          <w:rFonts w:ascii="Book Antiqua" w:eastAsia="SimSun" w:hAnsi="Book Antiqua" w:cs="SimSun"/>
          <w:b/>
        </w:rPr>
        <w:t>16</w:t>
      </w:r>
      <w:r w:rsidRPr="007B6732">
        <w:rPr>
          <w:rFonts w:ascii="Book Antiqua" w:eastAsia="SimSun" w:hAnsi="Book Antiqua" w:cs="SimSun"/>
        </w:rPr>
        <w:t>: 947-952 [PMID: 19834978 DOI: 10.1002/ibd.21145]</w:t>
      </w:r>
    </w:p>
    <w:p w14:paraId="7F422A87"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hint="eastAsia"/>
        </w:rPr>
        <w:t>12</w:t>
      </w:r>
      <w:r w:rsidRPr="007B6732">
        <w:rPr>
          <w:rFonts w:ascii="Book Antiqua" w:eastAsia="SimSun" w:hAnsi="Book Antiqua" w:cs="SimSun" w:hint="eastAsia"/>
          <w:b/>
        </w:rPr>
        <w:t xml:space="preserve"> </w:t>
      </w:r>
      <w:r w:rsidRPr="007B6732">
        <w:rPr>
          <w:rFonts w:ascii="Book Antiqua" w:eastAsia="SimSun" w:hAnsi="Book Antiqua" w:cs="SimSun"/>
          <w:b/>
        </w:rPr>
        <w:t>Bousvaros A</w:t>
      </w:r>
      <w:r w:rsidRPr="007B6732">
        <w:rPr>
          <w:rFonts w:ascii="Book Antiqua" w:eastAsia="SimSun" w:hAnsi="Book Antiqua" w:cs="SimSun"/>
        </w:rPr>
        <w:t xml:space="preserve">, Morley-Fletcher A, Pensabene L, Cucchiara S. Research and clinical challenges in paediatric inflammatory bowel disease. </w:t>
      </w:r>
      <w:r w:rsidRPr="007B6732">
        <w:rPr>
          <w:rFonts w:ascii="Book Antiqua" w:eastAsia="SimSun" w:hAnsi="Book Antiqua" w:cs="SimSun"/>
          <w:i/>
        </w:rPr>
        <w:t xml:space="preserve">Dig Liver Dis </w:t>
      </w:r>
      <w:r w:rsidRPr="007B6732">
        <w:rPr>
          <w:rFonts w:ascii="Book Antiqua" w:eastAsia="SimSun" w:hAnsi="Book Antiqua" w:cs="SimSun"/>
        </w:rPr>
        <w:t xml:space="preserve">2008; </w:t>
      </w:r>
      <w:r w:rsidRPr="007B6732">
        <w:rPr>
          <w:rFonts w:ascii="Book Antiqua" w:eastAsia="SimSun" w:hAnsi="Book Antiqua" w:cs="SimSun"/>
          <w:b/>
        </w:rPr>
        <w:t>40</w:t>
      </w:r>
      <w:r w:rsidRPr="007B6732">
        <w:rPr>
          <w:rFonts w:ascii="Book Antiqua" w:eastAsia="SimSun" w:hAnsi="Book Antiqua" w:cs="SimSun"/>
        </w:rPr>
        <w:t>: 32-38 [PMID: 17996504</w:t>
      </w:r>
      <w:r w:rsidRPr="007B6732">
        <w:rPr>
          <w:rFonts w:ascii="Book Antiqua" w:eastAsia="SimSun" w:hAnsi="Book Antiqua" w:cs="SimSun" w:hint="eastAsia"/>
        </w:rPr>
        <w:t xml:space="preserve"> </w:t>
      </w:r>
      <w:r w:rsidRPr="007B6732">
        <w:rPr>
          <w:rFonts w:ascii="Book Antiqua" w:eastAsia="SimSun" w:hAnsi="Book Antiqua" w:cs="SimSun"/>
        </w:rPr>
        <w:t>DOI: 10.1016/j.dld.2007.07.168]</w:t>
      </w:r>
    </w:p>
    <w:p w14:paraId="286678FA"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13 </w:t>
      </w:r>
      <w:r w:rsidRPr="007B6732">
        <w:rPr>
          <w:rFonts w:ascii="Book Antiqua" w:eastAsia="SimSun" w:hAnsi="Book Antiqua" w:cs="SimSun"/>
          <w:b/>
          <w:bCs/>
        </w:rPr>
        <w:t>Zeisler B</w:t>
      </w:r>
      <w:r w:rsidRPr="007B6732">
        <w:rPr>
          <w:rFonts w:ascii="Book Antiqua" w:eastAsia="SimSun" w:hAnsi="Book Antiqua" w:cs="SimSun"/>
        </w:rPr>
        <w:t>, Hyams JS. Transition of management in adolescents with IBD. </w:t>
      </w:r>
      <w:r w:rsidRPr="007B6732">
        <w:rPr>
          <w:rFonts w:ascii="Book Antiqua" w:eastAsia="SimSun" w:hAnsi="Book Antiqua" w:cs="SimSun"/>
          <w:i/>
          <w:iCs/>
        </w:rPr>
        <w:t>Nat Rev Gastroenterol Hepatol</w:t>
      </w:r>
      <w:r w:rsidRPr="007B6732">
        <w:rPr>
          <w:rFonts w:ascii="Book Antiqua" w:eastAsia="SimSun" w:hAnsi="Book Antiqua" w:cs="SimSun"/>
        </w:rPr>
        <w:t> 2014; </w:t>
      </w:r>
      <w:r w:rsidRPr="007B6732">
        <w:rPr>
          <w:rFonts w:ascii="Book Antiqua" w:eastAsia="SimSun" w:hAnsi="Book Antiqua" w:cs="SimSun"/>
          <w:b/>
          <w:bCs/>
        </w:rPr>
        <w:t>11</w:t>
      </w:r>
      <w:r w:rsidRPr="007B6732">
        <w:rPr>
          <w:rFonts w:ascii="Book Antiqua" w:eastAsia="SimSun" w:hAnsi="Book Antiqua" w:cs="SimSun"/>
        </w:rPr>
        <w:t>: 109-115 [PMID: 24419396 DOI: 10.1038/nrgastro.2013.254]</w:t>
      </w:r>
    </w:p>
    <w:p w14:paraId="7E3BD2ED"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14 </w:t>
      </w:r>
      <w:r w:rsidRPr="007B6732">
        <w:rPr>
          <w:rFonts w:ascii="Book Antiqua" w:eastAsia="SimSun" w:hAnsi="Book Antiqua" w:cs="SimSun"/>
          <w:b/>
          <w:bCs/>
        </w:rPr>
        <w:t>Fishman LN</w:t>
      </w:r>
      <w:r w:rsidRPr="007B6732">
        <w:rPr>
          <w:rFonts w:ascii="Book Antiqua" w:eastAsia="SimSun" w:hAnsi="Book Antiqua" w:cs="SimSun"/>
        </w:rPr>
        <w:t>, Houtman D, van Groningen J, Arnold J, Ziniel S. Medication knowledge: an initial step in self-management for youth with inflammatory bowel disease. </w:t>
      </w:r>
      <w:r w:rsidRPr="007B6732">
        <w:rPr>
          <w:rFonts w:ascii="Book Antiqua" w:eastAsia="SimSun" w:hAnsi="Book Antiqua" w:cs="SimSun"/>
          <w:i/>
          <w:iCs/>
        </w:rPr>
        <w:t>J Pediatr Gastroenterol Nutr</w:t>
      </w:r>
      <w:r w:rsidRPr="007B6732">
        <w:rPr>
          <w:rFonts w:ascii="Book Antiqua" w:eastAsia="SimSun" w:hAnsi="Book Antiqua" w:cs="SimSun"/>
        </w:rPr>
        <w:t> 2011; </w:t>
      </w:r>
      <w:r w:rsidRPr="007B6732">
        <w:rPr>
          <w:rFonts w:ascii="Book Antiqua" w:eastAsia="SimSun" w:hAnsi="Book Antiqua" w:cs="SimSun"/>
          <w:b/>
          <w:bCs/>
        </w:rPr>
        <w:t>53</w:t>
      </w:r>
      <w:r w:rsidRPr="007B6732">
        <w:rPr>
          <w:rFonts w:ascii="Book Antiqua" w:eastAsia="SimSun" w:hAnsi="Book Antiqua" w:cs="SimSun"/>
        </w:rPr>
        <w:t>: 641-645 [PMID: 21681113 DOI: 10.1097/MPG.0b013e3182285316]</w:t>
      </w:r>
    </w:p>
    <w:p w14:paraId="5817D292"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lastRenderedPageBreak/>
        <w:t>15 </w:t>
      </w:r>
      <w:r w:rsidRPr="007B6732">
        <w:rPr>
          <w:rFonts w:ascii="Book Antiqua" w:eastAsia="SimSun" w:hAnsi="Book Antiqua" w:cs="SimSun"/>
          <w:b/>
          <w:bCs/>
        </w:rPr>
        <w:t>Fishman LN</w:t>
      </w:r>
      <w:r w:rsidRPr="007B6732">
        <w:rPr>
          <w:rFonts w:ascii="Book Antiqua" w:eastAsia="SimSun" w:hAnsi="Book Antiqua" w:cs="SimSun"/>
        </w:rPr>
        <w:t>, Barendse RM, Hait E, Burdick C, Arnold J. Self-management of older adolescents with inflammatory bowel disease: a pilot study of behavior and knowledge as prelude to transition. </w:t>
      </w:r>
      <w:r w:rsidRPr="007B6732">
        <w:rPr>
          <w:rFonts w:ascii="Book Antiqua" w:eastAsia="SimSun" w:hAnsi="Book Antiqua" w:cs="SimSun"/>
          <w:i/>
          <w:iCs/>
        </w:rPr>
        <w:t>Clin Pediatr (Phila)</w:t>
      </w:r>
      <w:r w:rsidRPr="007B6732">
        <w:rPr>
          <w:rFonts w:ascii="Book Antiqua" w:eastAsia="SimSun" w:hAnsi="Book Antiqua" w:cs="SimSun"/>
        </w:rPr>
        <w:t> 2010; </w:t>
      </w:r>
      <w:r w:rsidRPr="007B6732">
        <w:rPr>
          <w:rFonts w:ascii="Book Antiqua" w:eastAsia="SimSun" w:hAnsi="Book Antiqua" w:cs="SimSun"/>
          <w:b/>
          <w:bCs/>
        </w:rPr>
        <w:t>49</w:t>
      </w:r>
      <w:r w:rsidRPr="007B6732">
        <w:rPr>
          <w:rFonts w:ascii="Book Antiqua" w:eastAsia="SimSun" w:hAnsi="Book Antiqua" w:cs="SimSun"/>
        </w:rPr>
        <w:t>: 1129-1133 [PMID: 20837627 DOI: 10.1177/0009922810379042]</w:t>
      </w:r>
    </w:p>
    <w:p w14:paraId="24F60A46"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16 </w:t>
      </w:r>
      <w:r w:rsidRPr="007B6732">
        <w:rPr>
          <w:rFonts w:ascii="Book Antiqua" w:eastAsia="SimSun" w:hAnsi="Book Antiqua" w:cs="SimSun"/>
          <w:b/>
          <w:bCs/>
        </w:rPr>
        <w:t>Ingerski LM</w:t>
      </w:r>
      <w:r w:rsidRPr="007B6732">
        <w:rPr>
          <w:rFonts w:ascii="Book Antiqua" w:eastAsia="SimSun" w:hAnsi="Book Antiqua" w:cs="SimSun"/>
        </w:rPr>
        <w:t>, Baldassano RN, Denson LA, Hommel KA. Barriers to oral medication adherence for adolescents with inflammatory bowel disease. </w:t>
      </w:r>
      <w:r w:rsidRPr="007B6732">
        <w:rPr>
          <w:rFonts w:ascii="Book Antiqua" w:eastAsia="SimSun" w:hAnsi="Book Antiqua" w:cs="SimSun"/>
          <w:i/>
          <w:iCs/>
        </w:rPr>
        <w:t>J Pediatr Psychol</w:t>
      </w:r>
      <w:r w:rsidRPr="007B6732">
        <w:rPr>
          <w:rFonts w:ascii="Book Antiqua" w:eastAsia="SimSun" w:hAnsi="Book Antiqua" w:cs="SimSun"/>
        </w:rPr>
        <w:t> 2010; </w:t>
      </w:r>
      <w:r w:rsidRPr="007B6732">
        <w:rPr>
          <w:rFonts w:ascii="Book Antiqua" w:eastAsia="SimSun" w:hAnsi="Book Antiqua" w:cs="SimSun"/>
          <w:b/>
          <w:bCs/>
        </w:rPr>
        <w:t>35</w:t>
      </w:r>
      <w:r w:rsidRPr="007B6732">
        <w:rPr>
          <w:rFonts w:ascii="Book Antiqua" w:eastAsia="SimSun" w:hAnsi="Book Antiqua" w:cs="SimSun"/>
        </w:rPr>
        <w:t>: 683-691 [PMID: 19776229 DOI: 10.1093/jpepsy/jsp085]</w:t>
      </w:r>
    </w:p>
    <w:p w14:paraId="0DF4F41A"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17 </w:t>
      </w:r>
      <w:r w:rsidRPr="007B6732">
        <w:rPr>
          <w:rFonts w:ascii="Book Antiqua" w:eastAsia="SimSun" w:hAnsi="Book Antiqua" w:cs="SimSun"/>
          <w:b/>
          <w:bCs/>
        </w:rPr>
        <w:t>Benchimol EI</w:t>
      </w:r>
      <w:r w:rsidRPr="007B6732">
        <w:rPr>
          <w:rFonts w:ascii="Book Antiqua" w:eastAsia="SimSun" w:hAnsi="Book Antiqua" w:cs="SimSun"/>
        </w:rPr>
        <w:t>, Walters TD, Kaufman M, Frost K, Fiedler K, Chinea Z, Zachos M. Assessment of knowledge in adolescents with inflammatory bowel disease using a novel transition tool. </w:t>
      </w:r>
      <w:r w:rsidRPr="007B6732">
        <w:rPr>
          <w:rFonts w:ascii="Book Antiqua" w:eastAsia="SimSun" w:hAnsi="Book Antiqua" w:cs="SimSun"/>
          <w:i/>
          <w:iCs/>
        </w:rPr>
        <w:t>Inflamm Bowel Dis</w:t>
      </w:r>
      <w:r w:rsidRPr="007B6732">
        <w:rPr>
          <w:rFonts w:ascii="Book Antiqua" w:eastAsia="SimSun" w:hAnsi="Book Antiqua" w:cs="SimSun"/>
        </w:rPr>
        <w:t> 2011; </w:t>
      </w:r>
      <w:r w:rsidRPr="007B6732">
        <w:rPr>
          <w:rFonts w:ascii="Book Antiqua" w:eastAsia="SimSun" w:hAnsi="Book Antiqua" w:cs="SimSun"/>
          <w:b/>
          <w:bCs/>
        </w:rPr>
        <w:t>17</w:t>
      </w:r>
      <w:r w:rsidRPr="007B6732">
        <w:rPr>
          <w:rFonts w:ascii="Book Antiqua" w:eastAsia="SimSun" w:hAnsi="Book Antiqua" w:cs="SimSun"/>
        </w:rPr>
        <w:t>: 1131-1137 [PMID: 21484961 DOI: 10.1002/ibd.21464]</w:t>
      </w:r>
    </w:p>
    <w:p w14:paraId="094546AA"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18 </w:t>
      </w:r>
      <w:r w:rsidRPr="007B6732">
        <w:rPr>
          <w:rFonts w:ascii="Book Antiqua" w:eastAsia="SimSun" w:hAnsi="Book Antiqua" w:cs="SimSun"/>
          <w:b/>
          <w:bCs/>
        </w:rPr>
        <w:t>Ferris ME</w:t>
      </w:r>
      <w:r w:rsidRPr="007B6732">
        <w:rPr>
          <w:rFonts w:ascii="Book Antiqua" w:eastAsia="SimSun" w:hAnsi="Book Antiqua" w:cs="SimSun"/>
        </w:rPr>
        <w:t>, Harward DH, Bickford K, Layton JB, Ferris MT, Hogan SL, Gipson DS, McCoy LP, Hooper SR. A clinical tool to measure the components of health-care transition from pediatric care to adult care: the UNC TR(x)ANSITION scale. </w:t>
      </w:r>
      <w:r w:rsidRPr="007B6732">
        <w:rPr>
          <w:rFonts w:ascii="Book Antiqua" w:eastAsia="SimSun" w:hAnsi="Book Antiqua" w:cs="SimSun"/>
          <w:i/>
          <w:iCs/>
        </w:rPr>
        <w:t>Ren Fail</w:t>
      </w:r>
      <w:r w:rsidRPr="007B6732">
        <w:rPr>
          <w:rFonts w:ascii="Book Antiqua" w:eastAsia="SimSun" w:hAnsi="Book Antiqua" w:cs="SimSun"/>
        </w:rPr>
        <w:t> 2012; </w:t>
      </w:r>
      <w:r w:rsidRPr="007B6732">
        <w:rPr>
          <w:rFonts w:ascii="Book Antiqua" w:eastAsia="SimSun" w:hAnsi="Book Antiqua" w:cs="SimSun"/>
          <w:b/>
          <w:bCs/>
        </w:rPr>
        <w:t>34</w:t>
      </w:r>
      <w:r w:rsidRPr="007B6732">
        <w:rPr>
          <w:rFonts w:ascii="Book Antiqua" w:eastAsia="SimSun" w:hAnsi="Book Antiqua" w:cs="SimSun"/>
        </w:rPr>
        <w:t>: 744-753 [PMID: 22583152 DOI: 10.3109/0886022X.2012.678171]</w:t>
      </w:r>
    </w:p>
    <w:p w14:paraId="41B4AA98"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19 </w:t>
      </w:r>
      <w:r w:rsidRPr="007B6732">
        <w:rPr>
          <w:rFonts w:ascii="Book Antiqua" w:eastAsia="SimSun" w:hAnsi="Book Antiqua" w:cs="SimSun"/>
          <w:b/>
          <w:bCs/>
        </w:rPr>
        <w:t>Shemesh E</w:t>
      </w:r>
      <w:r w:rsidRPr="007B6732">
        <w:rPr>
          <w:rFonts w:ascii="Book Antiqua" w:eastAsia="SimSun" w:hAnsi="Book Antiqua" w:cs="SimSun"/>
        </w:rPr>
        <w:t>, Shneider BL, Savitzky JK, Arnott L, Gondolesi GE, Krieger NR, Kerkar N, Magid MS, Stuber ML, Schmeidler J, Yehuda R, Emre S. Medication adherence in pediatric and adolescent liver transplant recipients. </w:t>
      </w:r>
      <w:r w:rsidRPr="007B6732">
        <w:rPr>
          <w:rFonts w:ascii="Book Antiqua" w:eastAsia="SimSun" w:hAnsi="Book Antiqua" w:cs="SimSun"/>
          <w:i/>
          <w:iCs/>
        </w:rPr>
        <w:t>Pediatrics</w:t>
      </w:r>
      <w:r w:rsidRPr="007B6732">
        <w:rPr>
          <w:rFonts w:ascii="Book Antiqua" w:eastAsia="SimSun" w:hAnsi="Book Antiqua" w:cs="SimSun"/>
        </w:rPr>
        <w:t> 2004; </w:t>
      </w:r>
      <w:r w:rsidRPr="007B6732">
        <w:rPr>
          <w:rFonts w:ascii="Book Antiqua" w:eastAsia="SimSun" w:hAnsi="Book Antiqua" w:cs="SimSun"/>
          <w:b/>
          <w:bCs/>
        </w:rPr>
        <w:t>113</w:t>
      </w:r>
      <w:r w:rsidRPr="007B6732">
        <w:rPr>
          <w:rFonts w:ascii="Book Antiqua" w:eastAsia="SimSun" w:hAnsi="Book Antiqua" w:cs="SimSun"/>
        </w:rPr>
        <w:t>: 825-832 [PMID: 15060234]</w:t>
      </w:r>
    </w:p>
    <w:p w14:paraId="4B0163F5"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20 </w:t>
      </w:r>
      <w:r w:rsidRPr="007B6732">
        <w:rPr>
          <w:rFonts w:ascii="Book Antiqua" w:eastAsia="SimSun" w:hAnsi="Book Antiqua" w:cs="SimSun"/>
          <w:b/>
          <w:bCs/>
        </w:rPr>
        <w:t>Neu A</w:t>
      </w:r>
      <w:r w:rsidRPr="007B6732">
        <w:rPr>
          <w:rFonts w:ascii="Book Antiqua" w:eastAsia="SimSun" w:hAnsi="Book Antiqua" w:cs="SimSun"/>
        </w:rPr>
        <w:t>, Lösch-Binder M, Ehehalt S, Schweizer R, Hub R, Serra E. Follow-up of adolescents with diabetes after transition from paediatric to adult care: results of a 10-year prospective study. </w:t>
      </w:r>
      <w:r w:rsidRPr="007B6732">
        <w:rPr>
          <w:rFonts w:ascii="Book Antiqua" w:eastAsia="SimSun" w:hAnsi="Book Antiqua" w:cs="SimSun"/>
          <w:i/>
          <w:iCs/>
        </w:rPr>
        <w:t>Exp Clin Endocrinol Diabetes</w:t>
      </w:r>
      <w:r w:rsidRPr="007B6732">
        <w:rPr>
          <w:rFonts w:ascii="Book Antiqua" w:eastAsia="SimSun" w:hAnsi="Book Antiqua" w:cs="SimSun"/>
        </w:rPr>
        <w:t> 2010; </w:t>
      </w:r>
      <w:r w:rsidRPr="007B6732">
        <w:rPr>
          <w:rFonts w:ascii="Book Antiqua" w:eastAsia="SimSun" w:hAnsi="Book Antiqua" w:cs="SimSun"/>
          <w:b/>
          <w:bCs/>
        </w:rPr>
        <w:t>118</w:t>
      </w:r>
      <w:r w:rsidRPr="007B6732">
        <w:rPr>
          <w:rFonts w:ascii="Book Antiqua" w:eastAsia="SimSun" w:hAnsi="Book Antiqua" w:cs="SimSun"/>
        </w:rPr>
        <w:t>: 353-355 [PMID: 20140851 DOI: 10.1055/s-0029-1246215]</w:t>
      </w:r>
    </w:p>
    <w:p w14:paraId="0F648693"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t>21 </w:t>
      </w:r>
      <w:r w:rsidRPr="007B6732">
        <w:rPr>
          <w:rFonts w:ascii="Book Antiqua" w:eastAsia="SimSun" w:hAnsi="Book Antiqua" w:cs="SimSun"/>
          <w:b/>
          <w:bCs/>
        </w:rPr>
        <w:t>Cadario F</w:t>
      </w:r>
      <w:r w:rsidRPr="007B6732">
        <w:rPr>
          <w:rFonts w:ascii="Book Antiqua" w:eastAsia="SimSun" w:hAnsi="Book Antiqua" w:cs="SimSun"/>
        </w:rPr>
        <w:t>, Prodam F, Bellone S, Trada M, Binotti M, Trada M, Allochis G, Baldelli R, Esposito S, Bona G, Aimaretti G. Transition process of patients with type 1 diabetes (T1DM) from paediatric to the adult health care service: a hospital-based approach. </w:t>
      </w:r>
      <w:r w:rsidRPr="007B6732">
        <w:rPr>
          <w:rFonts w:ascii="Book Antiqua" w:eastAsia="SimSun" w:hAnsi="Book Antiqua" w:cs="SimSun"/>
          <w:i/>
          <w:iCs/>
        </w:rPr>
        <w:t>Clin Endocrinol</w:t>
      </w:r>
      <w:r w:rsidRPr="007B6732">
        <w:rPr>
          <w:rFonts w:ascii="Book Antiqua" w:eastAsia="SimSun" w:hAnsi="Book Antiqua" w:cs="SimSun"/>
          <w:iCs/>
        </w:rPr>
        <w:t xml:space="preserve"> (Oxf)</w:t>
      </w:r>
      <w:r w:rsidRPr="007B6732">
        <w:rPr>
          <w:rFonts w:ascii="Book Antiqua" w:eastAsia="SimSun" w:hAnsi="Book Antiqua" w:cs="SimSun"/>
        </w:rPr>
        <w:t> 2009; </w:t>
      </w:r>
      <w:r w:rsidRPr="007B6732">
        <w:rPr>
          <w:rFonts w:ascii="Book Antiqua" w:eastAsia="SimSun" w:hAnsi="Book Antiqua" w:cs="SimSun"/>
          <w:b/>
          <w:bCs/>
        </w:rPr>
        <w:t>71</w:t>
      </w:r>
      <w:r w:rsidRPr="007B6732">
        <w:rPr>
          <w:rFonts w:ascii="Book Antiqua" w:eastAsia="SimSun" w:hAnsi="Book Antiqua" w:cs="SimSun"/>
        </w:rPr>
        <w:t>: 346-350 [PMID: 19178523 DOI: 10.1111/j.1365-2265.2008.03467.x]</w:t>
      </w:r>
    </w:p>
    <w:p w14:paraId="1E8B5D57"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rPr>
        <w:lastRenderedPageBreak/>
        <w:t>22 </w:t>
      </w:r>
      <w:r w:rsidRPr="007B6732">
        <w:rPr>
          <w:rFonts w:ascii="Book Antiqua" w:eastAsia="SimSun" w:hAnsi="Book Antiqua" w:cs="SimSun"/>
          <w:b/>
          <w:bCs/>
        </w:rPr>
        <w:t>Holmes-Walker DJ</w:t>
      </w:r>
      <w:r w:rsidRPr="007B6732">
        <w:rPr>
          <w:rFonts w:ascii="Book Antiqua" w:eastAsia="SimSun" w:hAnsi="Book Antiqua" w:cs="SimSun"/>
        </w:rPr>
        <w:t>, Llewellyn AC, Farrell K. A transition care programme which improves diabetes control and reduces hospital admission rates in young adults with Type 1 diabetes aged 15-25 years. </w:t>
      </w:r>
      <w:r w:rsidRPr="007B6732">
        <w:rPr>
          <w:rFonts w:ascii="Book Antiqua" w:eastAsia="SimSun" w:hAnsi="Book Antiqua" w:cs="SimSun"/>
          <w:i/>
          <w:iCs/>
        </w:rPr>
        <w:t>Diabet Med</w:t>
      </w:r>
      <w:r w:rsidRPr="007B6732">
        <w:rPr>
          <w:rFonts w:ascii="Book Antiqua" w:eastAsia="SimSun" w:hAnsi="Book Antiqua" w:cs="SimSun"/>
        </w:rPr>
        <w:t> 2007; </w:t>
      </w:r>
      <w:r w:rsidRPr="007B6732">
        <w:rPr>
          <w:rFonts w:ascii="Book Antiqua" w:eastAsia="SimSun" w:hAnsi="Book Antiqua" w:cs="SimSun"/>
          <w:b/>
          <w:bCs/>
        </w:rPr>
        <w:t>24</w:t>
      </w:r>
      <w:r w:rsidRPr="007B6732">
        <w:rPr>
          <w:rFonts w:ascii="Book Antiqua" w:eastAsia="SimSun" w:hAnsi="Book Antiqua" w:cs="SimSun"/>
        </w:rPr>
        <w:t>: 764-769 [PMID: 17535294 DOI: 10.1111/j.1464-5491.2007.02152.x]</w:t>
      </w:r>
    </w:p>
    <w:p w14:paraId="6388A553" w14:textId="77777777" w:rsidR="00D06F5F" w:rsidRPr="007B6732" w:rsidRDefault="00D06F5F" w:rsidP="00D06F5F">
      <w:pPr>
        <w:spacing w:line="360" w:lineRule="auto"/>
        <w:jc w:val="both"/>
        <w:rPr>
          <w:rFonts w:ascii="Book Antiqua" w:eastAsia="SimSun" w:hAnsi="Book Antiqua" w:cs="SimSun"/>
        </w:rPr>
      </w:pPr>
      <w:r w:rsidRPr="007B6732">
        <w:rPr>
          <w:rFonts w:ascii="Book Antiqua" w:eastAsia="SimSun" w:hAnsi="Book Antiqua" w:cs="SimSun" w:hint="eastAsia"/>
        </w:rPr>
        <w:t>23</w:t>
      </w:r>
      <w:r w:rsidRPr="007B6732">
        <w:rPr>
          <w:rFonts w:ascii="Book Antiqua" w:eastAsia="SimSun" w:hAnsi="Book Antiqua" w:cs="SimSun" w:hint="eastAsia"/>
          <w:b/>
        </w:rPr>
        <w:t xml:space="preserve"> </w:t>
      </w:r>
      <w:r w:rsidRPr="007B6732">
        <w:rPr>
          <w:rFonts w:ascii="Book Antiqua" w:eastAsia="SimSun" w:hAnsi="Book Antiqua" w:cs="SimSun"/>
          <w:b/>
        </w:rPr>
        <w:t>Kaufman M</w:t>
      </w:r>
      <w:r w:rsidRPr="007B6732">
        <w:rPr>
          <w:rFonts w:ascii="Book Antiqua" w:eastAsia="SimSun" w:hAnsi="Book Antiqua" w:cs="SimSun"/>
        </w:rPr>
        <w:t>. "Passport for Health."</w:t>
      </w:r>
      <w:r w:rsidRPr="007B6732">
        <w:rPr>
          <w:rFonts w:ascii="Book Antiqua" w:eastAsia="SimSun" w:hAnsi="Book Antiqua" w:cs="SimSun" w:hint="eastAsia"/>
        </w:rPr>
        <w:t xml:space="preserve"> </w:t>
      </w:r>
      <w:r w:rsidRPr="007B6732">
        <w:rPr>
          <w:rFonts w:ascii="Book Antiqua" w:eastAsia="SimSun" w:hAnsi="Book Antiqua" w:cs="SimSun"/>
        </w:rPr>
        <w:t xml:space="preserve">The Hospital for Sick Children, 01 Jan. 2007. </w:t>
      </w:r>
      <w:r w:rsidRPr="007B6732">
        <w:rPr>
          <w:rFonts w:ascii="Book Antiqua" w:eastAsia="SimSun" w:hAnsi="Book Antiqua" w:cs="SimSun" w:hint="eastAsia"/>
        </w:rPr>
        <w:t xml:space="preserve">  </w:t>
      </w:r>
    </w:p>
    <w:p w14:paraId="5227A955" w14:textId="77777777" w:rsidR="000D65E1" w:rsidRPr="007B6732" w:rsidRDefault="000D65E1" w:rsidP="000D65E1">
      <w:pPr>
        <w:spacing w:line="360" w:lineRule="auto"/>
        <w:ind w:right="120"/>
        <w:rPr>
          <w:rStyle w:val="Strong"/>
          <w:rFonts w:ascii="Book Antiqua" w:eastAsia="SimSun" w:hAnsi="Book Antiqua" w:cs="Arial"/>
          <w:bCs w:val="0"/>
          <w:noProof/>
          <w:color w:val="000000"/>
          <w:lang w:eastAsia="zh-CN"/>
        </w:rPr>
      </w:pPr>
    </w:p>
    <w:p w14:paraId="32680657" w14:textId="7F046758" w:rsidR="000D65E1" w:rsidRPr="007B6732" w:rsidRDefault="000D65E1" w:rsidP="000D65E1">
      <w:pPr>
        <w:spacing w:line="360" w:lineRule="auto"/>
        <w:ind w:right="120"/>
        <w:rPr>
          <w:rFonts w:ascii="Book Antiqua" w:eastAsia="SimSun" w:hAnsi="Book Antiqua"/>
          <w:b/>
          <w:bCs/>
          <w:color w:val="000000"/>
          <w:lang w:eastAsia="zh-CN"/>
        </w:rPr>
      </w:pPr>
      <w:r w:rsidRPr="007B6732">
        <w:rPr>
          <w:rStyle w:val="Strong"/>
          <w:rFonts w:ascii="Book Antiqua" w:hAnsi="Book Antiqua" w:cs="Arial"/>
          <w:bCs w:val="0"/>
          <w:noProof/>
          <w:color w:val="000000"/>
        </w:rPr>
        <w:t>P-Reviewer</w:t>
      </w:r>
      <w:r w:rsidRPr="007B6732">
        <w:rPr>
          <w:rStyle w:val="Strong"/>
          <w:rFonts w:ascii="Book Antiqua" w:eastAsia="SimSun" w:hAnsi="Book Antiqua" w:cs="Arial"/>
          <w:bCs w:val="0"/>
          <w:noProof/>
          <w:color w:val="000000"/>
          <w:lang w:eastAsia="zh-CN"/>
        </w:rPr>
        <w:t>:</w:t>
      </w:r>
      <w:r w:rsidRPr="007B6732">
        <w:rPr>
          <w:rFonts w:ascii="Book Antiqua" w:hAnsi="Book Antiqua"/>
          <w:bCs/>
          <w:color w:val="000000"/>
        </w:rPr>
        <w:t xml:space="preserve"> </w:t>
      </w:r>
      <w:r w:rsidR="00DC792A" w:rsidRPr="007B6732">
        <w:rPr>
          <w:rFonts w:ascii="Book Antiqua" w:hAnsi="Book Antiqua"/>
          <w:bCs/>
          <w:color w:val="000000"/>
        </w:rPr>
        <w:t>Ozen</w:t>
      </w:r>
      <w:r w:rsidR="00DC792A" w:rsidRPr="007B6732">
        <w:rPr>
          <w:rFonts w:ascii="Book Antiqua" w:eastAsia="SimSun" w:hAnsi="Book Antiqua" w:hint="eastAsia"/>
          <w:bCs/>
          <w:color w:val="000000"/>
          <w:lang w:eastAsia="zh-CN"/>
        </w:rPr>
        <w:t xml:space="preserve"> H,</w:t>
      </w:r>
      <w:r w:rsidRPr="007B6732">
        <w:rPr>
          <w:rFonts w:ascii="Book Antiqua" w:hAnsi="Book Antiqua"/>
          <w:bCs/>
          <w:color w:val="000000"/>
        </w:rPr>
        <w:t xml:space="preserve"> </w:t>
      </w:r>
      <w:r w:rsidR="00DC792A" w:rsidRPr="007B6732">
        <w:rPr>
          <w:rFonts w:ascii="Book Antiqua" w:hAnsi="Book Antiqua"/>
          <w:bCs/>
          <w:color w:val="000000"/>
        </w:rPr>
        <w:t>Slomiany</w:t>
      </w:r>
      <w:r w:rsidR="00DC792A" w:rsidRPr="007B6732">
        <w:rPr>
          <w:rFonts w:ascii="Book Antiqua" w:eastAsia="SimSun" w:hAnsi="Book Antiqua" w:hint="eastAsia"/>
          <w:bCs/>
          <w:color w:val="000000"/>
          <w:lang w:eastAsia="zh-CN"/>
        </w:rPr>
        <w:t xml:space="preserve"> BL,</w:t>
      </w:r>
      <w:r w:rsidR="007B6732">
        <w:rPr>
          <w:rFonts w:ascii="Book Antiqua" w:eastAsia="SimSun" w:hAnsi="Book Antiqua" w:hint="eastAsia"/>
          <w:bCs/>
          <w:color w:val="000000"/>
          <w:lang w:eastAsia="zh-CN"/>
        </w:rPr>
        <w:t xml:space="preserve"> </w:t>
      </w:r>
      <w:r w:rsidR="00DC792A" w:rsidRPr="007B6732">
        <w:rPr>
          <w:rFonts w:ascii="Book Antiqua" w:hAnsi="Book Antiqua"/>
          <w:bCs/>
          <w:color w:val="000000"/>
        </w:rPr>
        <w:t>Yen</w:t>
      </w:r>
      <w:r w:rsidR="00DC792A" w:rsidRPr="007B6732">
        <w:rPr>
          <w:rFonts w:ascii="Book Antiqua" w:eastAsia="SimSun" w:hAnsi="Book Antiqua" w:hint="eastAsia"/>
          <w:bCs/>
          <w:color w:val="000000"/>
          <w:lang w:eastAsia="zh-CN"/>
        </w:rPr>
        <w:t xml:space="preserve"> HH</w:t>
      </w:r>
      <w:r w:rsidRPr="007B6732">
        <w:rPr>
          <w:rFonts w:ascii="Book Antiqua" w:hAnsi="Book Antiqua"/>
          <w:bCs/>
          <w:color w:val="000000"/>
        </w:rPr>
        <w:t xml:space="preserve"> </w:t>
      </w:r>
      <w:r w:rsidRPr="007B6732">
        <w:rPr>
          <w:rFonts w:ascii="Book Antiqua" w:hAnsi="Book Antiqua"/>
          <w:b/>
          <w:bCs/>
          <w:color w:val="000000"/>
        </w:rPr>
        <w:t>S-Editor</w:t>
      </w:r>
      <w:r w:rsidRPr="007B6732">
        <w:rPr>
          <w:rFonts w:ascii="Book Antiqua" w:eastAsia="SimSun" w:hAnsi="Book Antiqua"/>
          <w:b/>
          <w:bCs/>
          <w:color w:val="000000"/>
          <w:lang w:eastAsia="zh-CN"/>
        </w:rPr>
        <w:t>:</w:t>
      </w:r>
      <w:r w:rsidRPr="007B6732">
        <w:rPr>
          <w:rFonts w:ascii="Book Antiqua" w:hAnsi="Book Antiqua"/>
          <w:bCs/>
          <w:color w:val="000000"/>
        </w:rPr>
        <w:t xml:space="preserve"> </w:t>
      </w:r>
      <w:r w:rsidRPr="007B6732">
        <w:rPr>
          <w:rFonts w:ascii="Book Antiqua" w:eastAsia="SimSun" w:hAnsi="Book Antiqua"/>
          <w:bCs/>
          <w:color w:val="000000"/>
          <w:lang w:eastAsia="zh-CN"/>
        </w:rPr>
        <w:t>Qi Y</w:t>
      </w:r>
      <w:r w:rsidRPr="007B6732">
        <w:rPr>
          <w:rFonts w:ascii="Book Antiqua" w:hAnsi="Book Antiqua"/>
          <w:b/>
          <w:bCs/>
          <w:color w:val="000000"/>
        </w:rPr>
        <w:t xml:space="preserve">   L-Editor</w:t>
      </w:r>
      <w:r w:rsidRPr="007B6732">
        <w:rPr>
          <w:rFonts w:ascii="Book Antiqua" w:eastAsia="SimSun" w:hAnsi="Book Antiqua"/>
          <w:b/>
          <w:bCs/>
          <w:color w:val="000000"/>
          <w:lang w:eastAsia="zh-CN"/>
        </w:rPr>
        <w:t>:</w:t>
      </w:r>
      <w:r w:rsidRPr="007B6732">
        <w:rPr>
          <w:rFonts w:ascii="Book Antiqua" w:hAnsi="Book Antiqua"/>
          <w:b/>
          <w:bCs/>
          <w:color w:val="000000"/>
        </w:rPr>
        <w:t xml:space="preserve">   E-Editor</w:t>
      </w:r>
      <w:r w:rsidRPr="007B6732">
        <w:rPr>
          <w:rFonts w:ascii="Book Antiqua" w:eastAsia="SimSun" w:hAnsi="Book Antiqua"/>
          <w:b/>
          <w:bCs/>
          <w:color w:val="000000"/>
          <w:lang w:eastAsia="zh-CN"/>
        </w:rPr>
        <w:t>:</w:t>
      </w:r>
    </w:p>
    <w:p w14:paraId="5BC7F8DE" w14:textId="77777777" w:rsidR="000D65E1" w:rsidRPr="007B6732" w:rsidRDefault="000D65E1" w:rsidP="000D65E1">
      <w:pPr>
        <w:shd w:val="clear" w:color="auto" w:fill="FFFFFF"/>
        <w:snapToGrid w:val="0"/>
        <w:spacing w:line="360" w:lineRule="auto"/>
        <w:rPr>
          <w:rFonts w:ascii="Book Antiqua" w:hAnsi="Book Antiqua" w:cs="Helvetica"/>
          <w:b/>
        </w:rPr>
      </w:pPr>
      <w:r w:rsidRPr="007B6732">
        <w:rPr>
          <w:rFonts w:ascii="Book Antiqua" w:hAnsi="Book Antiqua" w:cs="Helvetica"/>
          <w:b/>
        </w:rPr>
        <w:t xml:space="preserve">Specialty type: </w:t>
      </w:r>
      <w:r w:rsidRPr="007B6732">
        <w:rPr>
          <w:rFonts w:ascii="Book Antiqua" w:hAnsi="Book Antiqua" w:cs="Helvetica"/>
        </w:rPr>
        <w:t>Gastroenterology and</w:t>
      </w:r>
      <w:r w:rsidRPr="007B6732">
        <w:rPr>
          <w:rFonts w:ascii="Book Antiqua" w:hAnsi="Book Antiqua" w:cs="Helvetica" w:hint="eastAsia"/>
        </w:rPr>
        <w:t xml:space="preserve"> </w:t>
      </w:r>
      <w:r w:rsidRPr="007B6732">
        <w:rPr>
          <w:rFonts w:ascii="Book Antiqua" w:hAnsi="Book Antiqua" w:cs="Helvetica"/>
        </w:rPr>
        <w:t>hepatology</w:t>
      </w:r>
    </w:p>
    <w:p w14:paraId="21A33E82" w14:textId="17589E42" w:rsidR="000D65E1" w:rsidRPr="007B6732" w:rsidRDefault="000D65E1" w:rsidP="000D65E1">
      <w:pPr>
        <w:shd w:val="clear" w:color="auto" w:fill="FFFFFF"/>
        <w:snapToGrid w:val="0"/>
        <w:spacing w:line="360" w:lineRule="auto"/>
        <w:rPr>
          <w:rFonts w:ascii="Book Antiqua" w:hAnsi="Book Antiqua" w:cs="Helvetica"/>
          <w:b/>
        </w:rPr>
      </w:pPr>
      <w:r w:rsidRPr="007B6732">
        <w:rPr>
          <w:rFonts w:ascii="Book Antiqua" w:hAnsi="Book Antiqua" w:cs="Helvetica"/>
          <w:b/>
        </w:rPr>
        <w:t xml:space="preserve">Country of origin: </w:t>
      </w:r>
      <w:r w:rsidR="00DC792A" w:rsidRPr="007B6732">
        <w:rPr>
          <w:rFonts w:ascii="Book Antiqua" w:hAnsi="Book Antiqua" w:cs="Arial"/>
          <w:lang w:val="en-CA"/>
        </w:rPr>
        <w:t>Canada</w:t>
      </w:r>
    </w:p>
    <w:p w14:paraId="0EA1BD3F" w14:textId="77777777" w:rsidR="000D65E1" w:rsidRPr="007B6732" w:rsidRDefault="000D65E1" w:rsidP="000D65E1">
      <w:pPr>
        <w:shd w:val="clear" w:color="auto" w:fill="FFFFFF"/>
        <w:snapToGrid w:val="0"/>
        <w:spacing w:line="360" w:lineRule="auto"/>
        <w:rPr>
          <w:rFonts w:ascii="Book Antiqua" w:hAnsi="Book Antiqua" w:cs="Helvetica"/>
          <w:b/>
        </w:rPr>
      </w:pPr>
      <w:r w:rsidRPr="007B6732">
        <w:rPr>
          <w:rFonts w:ascii="Book Antiqua" w:hAnsi="Book Antiqua" w:cs="Helvetica"/>
          <w:b/>
        </w:rPr>
        <w:t>Peer-review report classification</w:t>
      </w:r>
    </w:p>
    <w:p w14:paraId="6DE5E051" w14:textId="77777777" w:rsidR="000D65E1" w:rsidRPr="007B6732" w:rsidRDefault="000D65E1" w:rsidP="000D65E1">
      <w:pPr>
        <w:shd w:val="clear" w:color="auto" w:fill="FFFFFF"/>
        <w:snapToGrid w:val="0"/>
        <w:spacing w:line="360" w:lineRule="auto"/>
        <w:rPr>
          <w:rFonts w:ascii="Book Antiqua" w:hAnsi="Book Antiqua" w:cs="Helvetica"/>
        </w:rPr>
      </w:pPr>
      <w:r w:rsidRPr="007B6732">
        <w:rPr>
          <w:rFonts w:ascii="Book Antiqua" w:hAnsi="Book Antiqua" w:cs="Helvetica"/>
        </w:rPr>
        <w:t xml:space="preserve">Grade A (Excellent): </w:t>
      </w:r>
      <w:r w:rsidRPr="007B6732">
        <w:rPr>
          <w:rFonts w:ascii="Book Antiqua" w:hAnsi="Book Antiqua" w:cs="Helvetica" w:hint="eastAsia"/>
        </w:rPr>
        <w:t>0</w:t>
      </w:r>
    </w:p>
    <w:p w14:paraId="26DB79BD" w14:textId="77777777" w:rsidR="000D65E1" w:rsidRPr="007B6732" w:rsidRDefault="000D65E1" w:rsidP="000D65E1">
      <w:pPr>
        <w:shd w:val="clear" w:color="auto" w:fill="FFFFFF"/>
        <w:snapToGrid w:val="0"/>
        <w:spacing w:line="360" w:lineRule="auto"/>
        <w:rPr>
          <w:rFonts w:ascii="Book Antiqua" w:hAnsi="Book Antiqua" w:cs="Helvetica"/>
        </w:rPr>
      </w:pPr>
      <w:r w:rsidRPr="007B6732">
        <w:rPr>
          <w:rFonts w:ascii="Book Antiqua" w:hAnsi="Book Antiqua" w:cs="Helvetica"/>
        </w:rPr>
        <w:t xml:space="preserve">Grade B (Very good): </w:t>
      </w:r>
      <w:r w:rsidRPr="007B6732">
        <w:rPr>
          <w:rFonts w:ascii="Book Antiqua" w:hAnsi="Book Antiqua" w:cs="Helvetica" w:hint="eastAsia"/>
        </w:rPr>
        <w:t>0</w:t>
      </w:r>
    </w:p>
    <w:p w14:paraId="4CDA1A4E" w14:textId="2382ED54" w:rsidR="000D65E1" w:rsidRPr="007B6732" w:rsidRDefault="000D65E1" w:rsidP="000D65E1">
      <w:pPr>
        <w:shd w:val="clear" w:color="auto" w:fill="FFFFFF"/>
        <w:snapToGrid w:val="0"/>
        <w:spacing w:line="360" w:lineRule="auto"/>
        <w:rPr>
          <w:rFonts w:ascii="Book Antiqua" w:eastAsia="SimSun" w:hAnsi="Book Antiqua" w:cs="Helvetica"/>
          <w:lang w:eastAsia="zh-CN"/>
        </w:rPr>
      </w:pPr>
      <w:r w:rsidRPr="007B6732">
        <w:rPr>
          <w:rFonts w:ascii="Book Antiqua" w:hAnsi="Book Antiqua" w:cs="Helvetica"/>
        </w:rPr>
        <w:t xml:space="preserve">Grade C (Good): </w:t>
      </w:r>
      <w:r w:rsidR="00DC792A" w:rsidRPr="007B6732">
        <w:rPr>
          <w:rFonts w:ascii="Book Antiqua" w:eastAsia="SimSun" w:hAnsi="Book Antiqua" w:cs="Helvetica" w:hint="eastAsia"/>
          <w:lang w:eastAsia="zh-CN"/>
        </w:rPr>
        <w:t>C, C, C</w:t>
      </w:r>
    </w:p>
    <w:p w14:paraId="66300996" w14:textId="77777777" w:rsidR="000D65E1" w:rsidRPr="007B6732" w:rsidRDefault="000D65E1" w:rsidP="000D65E1">
      <w:pPr>
        <w:shd w:val="clear" w:color="auto" w:fill="FFFFFF"/>
        <w:snapToGrid w:val="0"/>
        <w:spacing w:line="360" w:lineRule="auto"/>
        <w:rPr>
          <w:rFonts w:ascii="Book Antiqua" w:hAnsi="Book Antiqua" w:cs="Helvetica"/>
        </w:rPr>
      </w:pPr>
      <w:r w:rsidRPr="007B6732">
        <w:rPr>
          <w:rFonts w:ascii="Book Antiqua" w:hAnsi="Book Antiqua" w:cs="Helvetica"/>
        </w:rPr>
        <w:t xml:space="preserve">Grade D (Fair): </w:t>
      </w:r>
      <w:r w:rsidRPr="007B6732">
        <w:rPr>
          <w:rFonts w:ascii="Book Antiqua" w:hAnsi="Book Antiqua" w:cs="Helvetica" w:hint="eastAsia"/>
        </w:rPr>
        <w:t>0</w:t>
      </w:r>
    </w:p>
    <w:p w14:paraId="5BECA4DE" w14:textId="77777777" w:rsidR="000D65E1" w:rsidRPr="007B6732" w:rsidRDefault="000D65E1" w:rsidP="000D65E1">
      <w:pPr>
        <w:shd w:val="clear" w:color="auto" w:fill="FFFFFF"/>
        <w:snapToGrid w:val="0"/>
        <w:spacing w:line="360" w:lineRule="auto"/>
        <w:rPr>
          <w:rFonts w:ascii="Book Antiqua" w:hAnsi="Book Antiqua" w:cs="Helvetica"/>
        </w:rPr>
      </w:pPr>
      <w:r w:rsidRPr="007B6732">
        <w:rPr>
          <w:rFonts w:ascii="Book Antiqua" w:hAnsi="Book Antiqua" w:cs="Helvetica"/>
        </w:rPr>
        <w:t xml:space="preserve">Grade E (Poor): </w:t>
      </w:r>
      <w:r w:rsidRPr="007B6732">
        <w:rPr>
          <w:rFonts w:ascii="Book Antiqua" w:hAnsi="Book Antiqua" w:cs="Helvetica" w:hint="eastAsia"/>
        </w:rPr>
        <w:t>0</w:t>
      </w:r>
    </w:p>
    <w:p w14:paraId="1C74C877" w14:textId="6D249E12" w:rsidR="000D65E1" w:rsidRPr="007B6732" w:rsidRDefault="000D65E1">
      <w:r w:rsidRPr="007B6732">
        <w:br w:type="page"/>
      </w:r>
    </w:p>
    <w:tbl>
      <w:tblPr>
        <w:tblW w:w="8763" w:type="dxa"/>
        <w:tblInd w:w="93" w:type="dxa"/>
        <w:tblLook w:val="04A0" w:firstRow="1" w:lastRow="0" w:firstColumn="1" w:lastColumn="0" w:noHBand="0" w:noVBand="1"/>
      </w:tblPr>
      <w:tblGrid>
        <w:gridCol w:w="3813"/>
        <w:gridCol w:w="2968"/>
        <w:gridCol w:w="916"/>
        <w:gridCol w:w="600"/>
        <w:gridCol w:w="466"/>
      </w:tblGrid>
      <w:tr w:rsidR="00217D89" w:rsidRPr="007B6732" w14:paraId="10EFFAB1" w14:textId="77777777" w:rsidTr="000D65E1">
        <w:trPr>
          <w:trHeight w:val="300"/>
        </w:trPr>
        <w:tc>
          <w:tcPr>
            <w:tcW w:w="7697" w:type="dxa"/>
            <w:gridSpan w:val="3"/>
            <w:tcBorders>
              <w:top w:val="nil"/>
              <w:left w:val="nil"/>
              <w:bottom w:val="nil"/>
              <w:right w:val="nil"/>
            </w:tcBorders>
            <w:shd w:val="clear" w:color="auto" w:fill="auto"/>
            <w:noWrap/>
            <w:vAlign w:val="bottom"/>
            <w:hideMark/>
          </w:tcPr>
          <w:p w14:paraId="2AE00FDD" w14:textId="45D3B566" w:rsidR="00217D89" w:rsidRPr="007B6732" w:rsidRDefault="00217D89" w:rsidP="000D65E1">
            <w:pPr>
              <w:spacing w:line="360" w:lineRule="auto"/>
              <w:jc w:val="both"/>
              <w:rPr>
                <w:rFonts w:ascii="Book Antiqua" w:eastAsia="Times New Roman" w:hAnsi="Book Antiqua"/>
                <w:b/>
                <w:bCs/>
                <w:color w:val="000000"/>
                <w:lang w:val="en-CA"/>
              </w:rPr>
            </w:pPr>
            <w:r w:rsidRPr="007B6732">
              <w:rPr>
                <w:rFonts w:ascii="Book Antiqua" w:eastAsia="Times New Roman" w:hAnsi="Book Antiqua"/>
                <w:b/>
                <w:bCs/>
                <w:color w:val="000000"/>
                <w:lang w:val="en-CA"/>
              </w:rPr>
              <w:lastRenderedPageBreak/>
              <w:t>Table 1</w:t>
            </w:r>
            <w:r w:rsidR="000D65E1" w:rsidRPr="007B6732">
              <w:rPr>
                <w:rFonts w:ascii="Book Antiqua" w:eastAsia="SimSun" w:hAnsi="Book Antiqua" w:hint="eastAsia"/>
                <w:b/>
                <w:bCs/>
                <w:color w:val="000000"/>
                <w:lang w:val="en-CA" w:eastAsia="zh-CN"/>
              </w:rPr>
              <w:t xml:space="preserve"> </w:t>
            </w:r>
            <w:r w:rsidRPr="007B6732">
              <w:rPr>
                <w:rFonts w:ascii="Book Antiqua" w:eastAsia="Times New Roman" w:hAnsi="Book Antiqua"/>
                <w:b/>
                <w:bCs/>
                <w:color w:val="000000"/>
                <w:lang w:val="en-CA"/>
              </w:rPr>
              <w:t>Demographics of respondents</w:t>
            </w:r>
          </w:p>
        </w:tc>
        <w:tc>
          <w:tcPr>
            <w:tcW w:w="1066" w:type="dxa"/>
            <w:gridSpan w:val="2"/>
            <w:tcBorders>
              <w:top w:val="nil"/>
              <w:left w:val="nil"/>
              <w:bottom w:val="nil"/>
              <w:right w:val="nil"/>
            </w:tcBorders>
            <w:shd w:val="clear" w:color="auto" w:fill="auto"/>
            <w:noWrap/>
            <w:vAlign w:val="bottom"/>
            <w:hideMark/>
          </w:tcPr>
          <w:p w14:paraId="70CD5983" w14:textId="77777777" w:rsidR="00217D89" w:rsidRPr="007B6732" w:rsidRDefault="00217D89" w:rsidP="0056175D">
            <w:pPr>
              <w:spacing w:line="360" w:lineRule="auto"/>
              <w:jc w:val="both"/>
              <w:rPr>
                <w:rFonts w:ascii="Book Antiqua" w:eastAsia="Times New Roman" w:hAnsi="Book Antiqua"/>
                <w:color w:val="000000"/>
                <w:lang w:val="en-CA"/>
              </w:rPr>
            </w:pPr>
          </w:p>
        </w:tc>
      </w:tr>
      <w:tr w:rsidR="00217D89" w:rsidRPr="007B6732" w14:paraId="236086D2" w14:textId="77777777" w:rsidTr="000D65E1">
        <w:trPr>
          <w:gridAfter w:val="1"/>
          <w:wAfter w:w="466" w:type="dxa"/>
          <w:trHeight w:val="300"/>
        </w:trPr>
        <w:tc>
          <w:tcPr>
            <w:tcW w:w="3813" w:type="dxa"/>
            <w:tcBorders>
              <w:top w:val="single" w:sz="4" w:space="0" w:color="auto"/>
              <w:bottom w:val="single" w:sz="4" w:space="0" w:color="auto"/>
            </w:tcBorders>
            <w:shd w:val="clear" w:color="auto" w:fill="auto"/>
            <w:noWrap/>
            <w:vAlign w:val="bottom"/>
            <w:hideMark/>
          </w:tcPr>
          <w:p w14:paraId="617114C4" w14:textId="77777777" w:rsidR="00217D89" w:rsidRPr="007B6732" w:rsidRDefault="00217D89" w:rsidP="0056175D">
            <w:pPr>
              <w:spacing w:line="360" w:lineRule="auto"/>
              <w:jc w:val="both"/>
              <w:rPr>
                <w:rFonts w:ascii="Book Antiqua" w:eastAsia="Times New Roman" w:hAnsi="Book Antiqua"/>
                <w:b/>
                <w:color w:val="000000"/>
                <w:lang w:val="en-CA"/>
              </w:rPr>
            </w:pPr>
            <w:r w:rsidRPr="007B6732">
              <w:rPr>
                <w:rFonts w:ascii="Book Antiqua" w:eastAsia="Times New Roman" w:hAnsi="Book Antiqua"/>
                <w:b/>
                <w:color w:val="000000"/>
                <w:lang w:val="en-CA"/>
              </w:rPr>
              <w:t> </w:t>
            </w:r>
          </w:p>
        </w:tc>
        <w:tc>
          <w:tcPr>
            <w:tcW w:w="2968" w:type="dxa"/>
            <w:tcBorders>
              <w:top w:val="single" w:sz="4" w:space="0" w:color="auto"/>
              <w:bottom w:val="single" w:sz="4" w:space="0" w:color="auto"/>
            </w:tcBorders>
            <w:shd w:val="clear" w:color="auto" w:fill="auto"/>
            <w:noWrap/>
            <w:vAlign w:val="bottom"/>
            <w:hideMark/>
          </w:tcPr>
          <w:p w14:paraId="4A369372" w14:textId="32CF30B5" w:rsidR="00217D89" w:rsidRPr="007B6732" w:rsidRDefault="00D06F5F" w:rsidP="0056175D">
            <w:pPr>
              <w:spacing w:line="360" w:lineRule="auto"/>
              <w:jc w:val="both"/>
              <w:rPr>
                <w:rFonts w:ascii="Book Antiqua" w:eastAsia="Times New Roman" w:hAnsi="Book Antiqua"/>
                <w:b/>
                <w:color w:val="000000"/>
                <w:lang w:val="en-CA"/>
              </w:rPr>
            </w:pPr>
            <w:r w:rsidRPr="007B6732">
              <w:rPr>
                <w:rFonts w:ascii="Book Antiqua" w:eastAsia="Times New Roman" w:hAnsi="Book Antiqua"/>
                <w:b/>
                <w:color w:val="000000"/>
                <w:lang w:val="en-CA"/>
              </w:rPr>
              <w:t xml:space="preserve">Respondents </w:t>
            </w:r>
            <w:r w:rsidR="00217D89" w:rsidRPr="007B6732">
              <w:rPr>
                <w:rFonts w:ascii="Book Antiqua" w:eastAsia="Times New Roman" w:hAnsi="Book Antiqua"/>
                <w:b/>
                <w:color w:val="000000"/>
                <w:lang w:val="en-CA"/>
              </w:rPr>
              <w:t>(total</w:t>
            </w:r>
            <w:r w:rsidR="00217D89" w:rsidRPr="007B6732">
              <w:rPr>
                <w:rFonts w:ascii="Book Antiqua" w:eastAsia="Times New Roman" w:hAnsi="Book Antiqua"/>
                <w:b/>
                <w:i/>
                <w:color w:val="000000"/>
                <w:lang w:val="en-CA"/>
              </w:rPr>
              <w:t xml:space="preserve"> n</w:t>
            </w:r>
            <w:r w:rsidR="000D65E1" w:rsidRPr="007B6732">
              <w:rPr>
                <w:rFonts w:ascii="Book Antiqua" w:eastAsia="SimSun" w:hAnsi="Book Antiqua" w:hint="eastAsia"/>
                <w:b/>
                <w:i/>
                <w:color w:val="000000"/>
                <w:lang w:val="en-CA" w:eastAsia="zh-CN"/>
              </w:rPr>
              <w:t xml:space="preserve"> </w:t>
            </w:r>
            <w:r w:rsidR="00217D89" w:rsidRPr="007B6732">
              <w:rPr>
                <w:rFonts w:ascii="Book Antiqua" w:eastAsia="Times New Roman" w:hAnsi="Book Antiqua"/>
                <w:b/>
                <w:color w:val="000000"/>
                <w:lang w:val="en-CA"/>
              </w:rPr>
              <w:t>=</w:t>
            </w:r>
            <w:r w:rsidR="000D65E1" w:rsidRPr="007B6732">
              <w:rPr>
                <w:rFonts w:ascii="Book Antiqua" w:eastAsia="SimSun" w:hAnsi="Book Antiqua" w:hint="eastAsia"/>
                <w:b/>
                <w:color w:val="000000"/>
                <w:lang w:val="en-CA" w:eastAsia="zh-CN"/>
              </w:rPr>
              <w:t xml:space="preserve"> </w:t>
            </w:r>
            <w:r w:rsidR="00217D89" w:rsidRPr="007B6732">
              <w:rPr>
                <w:rFonts w:ascii="Book Antiqua" w:eastAsia="Times New Roman" w:hAnsi="Book Antiqua"/>
                <w:b/>
                <w:color w:val="000000"/>
                <w:lang w:val="en-CA"/>
              </w:rPr>
              <w:t>92)</w:t>
            </w:r>
          </w:p>
        </w:tc>
        <w:tc>
          <w:tcPr>
            <w:tcW w:w="1516" w:type="dxa"/>
            <w:gridSpan w:val="2"/>
            <w:tcBorders>
              <w:top w:val="single" w:sz="4" w:space="0" w:color="auto"/>
              <w:bottom w:val="single" w:sz="4" w:space="0" w:color="auto"/>
            </w:tcBorders>
            <w:shd w:val="clear" w:color="auto" w:fill="auto"/>
            <w:noWrap/>
            <w:vAlign w:val="bottom"/>
            <w:hideMark/>
          </w:tcPr>
          <w:p w14:paraId="2AC35A00" w14:textId="77777777" w:rsidR="00217D89" w:rsidRPr="007B6732" w:rsidRDefault="00217D89" w:rsidP="0056175D">
            <w:pPr>
              <w:spacing w:line="360" w:lineRule="auto"/>
              <w:jc w:val="both"/>
              <w:rPr>
                <w:rFonts w:ascii="Book Antiqua" w:eastAsia="Times New Roman" w:hAnsi="Book Antiqua"/>
                <w:b/>
                <w:color w:val="000000"/>
                <w:lang w:val="en-CA"/>
              </w:rPr>
            </w:pPr>
            <w:r w:rsidRPr="007B6732">
              <w:rPr>
                <w:rFonts w:ascii="Book Antiqua" w:eastAsia="Times New Roman" w:hAnsi="Book Antiqua"/>
                <w:b/>
                <w:color w:val="000000"/>
                <w:lang w:val="en-CA"/>
              </w:rPr>
              <w:t>Percentage</w:t>
            </w:r>
          </w:p>
        </w:tc>
      </w:tr>
      <w:tr w:rsidR="00217D89" w:rsidRPr="007B6732" w14:paraId="2CB19C81" w14:textId="77777777" w:rsidTr="000D65E1">
        <w:trPr>
          <w:gridAfter w:val="1"/>
          <w:wAfter w:w="466" w:type="dxa"/>
          <w:trHeight w:val="300"/>
        </w:trPr>
        <w:tc>
          <w:tcPr>
            <w:tcW w:w="3813" w:type="dxa"/>
            <w:tcBorders>
              <w:top w:val="single" w:sz="4" w:space="0" w:color="auto"/>
            </w:tcBorders>
            <w:shd w:val="clear" w:color="auto" w:fill="auto"/>
            <w:noWrap/>
            <w:vAlign w:val="bottom"/>
            <w:hideMark/>
          </w:tcPr>
          <w:p w14:paraId="4920F171"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Profession:</w:t>
            </w:r>
          </w:p>
        </w:tc>
        <w:tc>
          <w:tcPr>
            <w:tcW w:w="2968" w:type="dxa"/>
            <w:tcBorders>
              <w:top w:val="single" w:sz="4" w:space="0" w:color="auto"/>
            </w:tcBorders>
            <w:shd w:val="clear" w:color="auto" w:fill="auto"/>
            <w:noWrap/>
            <w:vAlign w:val="bottom"/>
            <w:hideMark/>
          </w:tcPr>
          <w:p w14:paraId="0FDB5D03"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c>
          <w:tcPr>
            <w:tcW w:w="1516" w:type="dxa"/>
            <w:gridSpan w:val="2"/>
            <w:tcBorders>
              <w:top w:val="single" w:sz="4" w:space="0" w:color="auto"/>
            </w:tcBorders>
            <w:shd w:val="clear" w:color="auto" w:fill="auto"/>
            <w:noWrap/>
            <w:vAlign w:val="bottom"/>
            <w:hideMark/>
          </w:tcPr>
          <w:p w14:paraId="6D8BF136"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r>
      <w:tr w:rsidR="00217D89" w:rsidRPr="007B6732" w14:paraId="6A2EFA2F" w14:textId="77777777" w:rsidTr="000D65E1">
        <w:trPr>
          <w:gridAfter w:val="1"/>
          <w:wAfter w:w="466" w:type="dxa"/>
          <w:trHeight w:val="300"/>
        </w:trPr>
        <w:tc>
          <w:tcPr>
            <w:tcW w:w="3813" w:type="dxa"/>
            <w:tcBorders>
              <w:top w:val="nil"/>
            </w:tcBorders>
            <w:shd w:val="clear" w:color="auto" w:fill="auto"/>
            <w:noWrap/>
            <w:vAlign w:val="bottom"/>
            <w:hideMark/>
          </w:tcPr>
          <w:p w14:paraId="34CDCC51"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Adult Gastroenterologist</w:t>
            </w:r>
          </w:p>
        </w:tc>
        <w:tc>
          <w:tcPr>
            <w:tcW w:w="2968" w:type="dxa"/>
            <w:tcBorders>
              <w:top w:val="nil"/>
            </w:tcBorders>
            <w:shd w:val="clear" w:color="auto" w:fill="auto"/>
            <w:noWrap/>
            <w:vAlign w:val="bottom"/>
            <w:hideMark/>
          </w:tcPr>
          <w:p w14:paraId="562415E4"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47</w:t>
            </w:r>
          </w:p>
        </w:tc>
        <w:tc>
          <w:tcPr>
            <w:tcW w:w="1516" w:type="dxa"/>
            <w:gridSpan w:val="2"/>
            <w:tcBorders>
              <w:top w:val="nil"/>
            </w:tcBorders>
            <w:shd w:val="clear" w:color="auto" w:fill="auto"/>
            <w:noWrap/>
            <w:vAlign w:val="bottom"/>
            <w:hideMark/>
          </w:tcPr>
          <w:p w14:paraId="4168BD32"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51.1%</w:t>
            </w:r>
          </w:p>
        </w:tc>
      </w:tr>
      <w:tr w:rsidR="00217D89" w:rsidRPr="007B6732" w14:paraId="178EF903" w14:textId="77777777" w:rsidTr="000D65E1">
        <w:trPr>
          <w:gridAfter w:val="1"/>
          <w:wAfter w:w="466" w:type="dxa"/>
          <w:trHeight w:val="300"/>
        </w:trPr>
        <w:tc>
          <w:tcPr>
            <w:tcW w:w="3813" w:type="dxa"/>
            <w:tcBorders>
              <w:top w:val="nil"/>
            </w:tcBorders>
            <w:shd w:val="clear" w:color="auto" w:fill="auto"/>
            <w:noWrap/>
            <w:vAlign w:val="bottom"/>
            <w:hideMark/>
          </w:tcPr>
          <w:p w14:paraId="2740C0CE"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Peds Gastroenterologist</w:t>
            </w:r>
          </w:p>
        </w:tc>
        <w:tc>
          <w:tcPr>
            <w:tcW w:w="2968" w:type="dxa"/>
            <w:tcBorders>
              <w:top w:val="nil"/>
            </w:tcBorders>
            <w:shd w:val="clear" w:color="auto" w:fill="auto"/>
            <w:noWrap/>
            <w:vAlign w:val="bottom"/>
            <w:hideMark/>
          </w:tcPr>
          <w:p w14:paraId="7A316F9B"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16</w:t>
            </w:r>
          </w:p>
        </w:tc>
        <w:tc>
          <w:tcPr>
            <w:tcW w:w="1516" w:type="dxa"/>
            <w:gridSpan w:val="2"/>
            <w:tcBorders>
              <w:top w:val="nil"/>
            </w:tcBorders>
            <w:shd w:val="clear" w:color="auto" w:fill="auto"/>
            <w:noWrap/>
            <w:vAlign w:val="bottom"/>
            <w:hideMark/>
          </w:tcPr>
          <w:p w14:paraId="5593862B"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17.4%</w:t>
            </w:r>
          </w:p>
        </w:tc>
      </w:tr>
      <w:tr w:rsidR="00217D89" w:rsidRPr="007B6732" w14:paraId="346765D2" w14:textId="77777777" w:rsidTr="000D65E1">
        <w:trPr>
          <w:gridAfter w:val="1"/>
          <w:wAfter w:w="466" w:type="dxa"/>
          <w:trHeight w:val="300"/>
        </w:trPr>
        <w:tc>
          <w:tcPr>
            <w:tcW w:w="3813" w:type="dxa"/>
            <w:tcBorders>
              <w:top w:val="nil"/>
            </w:tcBorders>
            <w:shd w:val="clear" w:color="auto" w:fill="auto"/>
            <w:noWrap/>
            <w:vAlign w:val="bottom"/>
            <w:hideMark/>
          </w:tcPr>
          <w:p w14:paraId="62F3B650"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IBD nurse</w:t>
            </w:r>
          </w:p>
        </w:tc>
        <w:tc>
          <w:tcPr>
            <w:tcW w:w="2968" w:type="dxa"/>
            <w:tcBorders>
              <w:top w:val="nil"/>
            </w:tcBorders>
            <w:shd w:val="clear" w:color="auto" w:fill="auto"/>
            <w:noWrap/>
            <w:vAlign w:val="bottom"/>
            <w:hideMark/>
          </w:tcPr>
          <w:p w14:paraId="3AA60D2E"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14</w:t>
            </w:r>
          </w:p>
        </w:tc>
        <w:tc>
          <w:tcPr>
            <w:tcW w:w="1516" w:type="dxa"/>
            <w:gridSpan w:val="2"/>
            <w:tcBorders>
              <w:top w:val="nil"/>
            </w:tcBorders>
            <w:shd w:val="clear" w:color="auto" w:fill="auto"/>
            <w:noWrap/>
            <w:vAlign w:val="bottom"/>
            <w:hideMark/>
          </w:tcPr>
          <w:p w14:paraId="0F5469B1"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15.2%</w:t>
            </w:r>
          </w:p>
        </w:tc>
      </w:tr>
      <w:tr w:rsidR="00217D89" w:rsidRPr="007B6732" w14:paraId="534CB4B8" w14:textId="77777777" w:rsidTr="000D65E1">
        <w:trPr>
          <w:gridAfter w:val="1"/>
          <w:wAfter w:w="466" w:type="dxa"/>
          <w:trHeight w:val="300"/>
        </w:trPr>
        <w:tc>
          <w:tcPr>
            <w:tcW w:w="3813" w:type="dxa"/>
            <w:tcBorders>
              <w:top w:val="nil"/>
            </w:tcBorders>
            <w:shd w:val="clear" w:color="auto" w:fill="auto"/>
            <w:noWrap/>
            <w:vAlign w:val="bottom"/>
            <w:hideMark/>
          </w:tcPr>
          <w:p w14:paraId="7DB9FDCE"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xml:space="preserve">Residents </w:t>
            </w:r>
          </w:p>
        </w:tc>
        <w:tc>
          <w:tcPr>
            <w:tcW w:w="2968" w:type="dxa"/>
            <w:tcBorders>
              <w:top w:val="nil"/>
            </w:tcBorders>
            <w:shd w:val="clear" w:color="auto" w:fill="auto"/>
            <w:noWrap/>
            <w:vAlign w:val="bottom"/>
            <w:hideMark/>
          </w:tcPr>
          <w:p w14:paraId="634AC3D7"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15</w:t>
            </w:r>
          </w:p>
        </w:tc>
        <w:tc>
          <w:tcPr>
            <w:tcW w:w="1516" w:type="dxa"/>
            <w:gridSpan w:val="2"/>
            <w:tcBorders>
              <w:top w:val="nil"/>
            </w:tcBorders>
            <w:shd w:val="clear" w:color="auto" w:fill="auto"/>
            <w:noWrap/>
            <w:vAlign w:val="bottom"/>
            <w:hideMark/>
          </w:tcPr>
          <w:p w14:paraId="4648009F"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16.3%</w:t>
            </w:r>
          </w:p>
        </w:tc>
      </w:tr>
      <w:tr w:rsidR="00217D89" w:rsidRPr="007B6732" w14:paraId="61B6EB7A" w14:textId="77777777" w:rsidTr="000D65E1">
        <w:trPr>
          <w:gridAfter w:val="1"/>
          <w:wAfter w:w="466" w:type="dxa"/>
          <w:trHeight w:val="300"/>
        </w:trPr>
        <w:tc>
          <w:tcPr>
            <w:tcW w:w="3813" w:type="dxa"/>
            <w:tcBorders>
              <w:top w:val="nil"/>
            </w:tcBorders>
            <w:shd w:val="clear" w:color="auto" w:fill="auto"/>
            <w:noWrap/>
            <w:vAlign w:val="bottom"/>
            <w:hideMark/>
          </w:tcPr>
          <w:p w14:paraId="40BDD255" w14:textId="07B97558"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Practice setting (excluding residents</w:t>
            </w:r>
            <w:r w:rsidR="000D65E1" w:rsidRPr="007B6732">
              <w:rPr>
                <w:rFonts w:ascii="Book Antiqua" w:eastAsia="Times New Roman" w:hAnsi="Book Antiqua"/>
                <w:i/>
                <w:color w:val="000000"/>
                <w:lang w:val="en-CA"/>
              </w:rPr>
              <w:t xml:space="preserve"> n</w:t>
            </w:r>
            <w:r w:rsidR="000D65E1" w:rsidRPr="007B6732">
              <w:rPr>
                <w:rFonts w:ascii="Book Antiqua" w:eastAsia="Times New Roman" w:hAnsi="Book Antiqua"/>
                <w:color w:val="000000"/>
                <w:lang w:val="en-CA"/>
              </w:rPr>
              <w:t xml:space="preserve"> </w:t>
            </w:r>
            <w:r w:rsidRPr="007B6732">
              <w:rPr>
                <w:rFonts w:ascii="Book Antiqua" w:eastAsia="Times New Roman" w:hAnsi="Book Antiqua"/>
                <w:color w:val="000000"/>
                <w:lang w:val="en-CA"/>
              </w:rPr>
              <w:t>=</w:t>
            </w:r>
            <w:r w:rsidR="000D65E1" w:rsidRPr="007B6732">
              <w:rPr>
                <w:rFonts w:ascii="Book Antiqua" w:eastAsia="SimSun" w:hAnsi="Book Antiqua" w:hint="eastAsia"/>
                <w:color w:val="000000"/>
                <w:lang w:val="en-CA" w:eastAsia="zh-CN"/>
              </w:rPr>
              <w:t xml:space="preserve"> </w:t>
            </w:r>
            <w:r w:rsidRPr="007B6732">
              <w:rPr>
                <w:rFonts w:ascii="Book Antiqua" w:eastAsia="Times New Roman" w:hAnsi="Book Antiqua"/>
                <w:color w:val="000000"/>
                <w:lang w:val="en-CA"/>
              </w:rPr>
              <w:t>77):</w:t>
            </w:r>
          </w:p>
        </w:tc>
        <w:tc>
          <w:tcPr>
            <w:tcW w:w="2968" w:type="dxa"/>
            <w:tcBorders>
              <w:top w:val="nil"/>
            </w:tcBorders>
            <w:shd w:val="clear" w:color="auto" w:fill="auto"/>
            <w:noWrap/>
            <w:vAlign w:val="bottom"/>
            <w:hideMark/>
          </w:tcPr>
          <w:p w14:paraId="4D3AD867"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c>
          <w:tcPr>
            <w:tcW w:w="1516" w:type="dxa"/>
            <w:gridSpan w:val="2"/>
            <w:tcBorders>
              <w:top w:val="nil"/>
            </w:tcBorders>
            <w:shd w:val="clear" w:color="auto" w:fill="auto"/>
            <w:noWrap/>
            <w:vAlign w:val="bottom"/>
            <w:hideMark/>
          </w:tcPr>
          <w:p w14:paraId="658CB2DE"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r>
      <w:tr w:rsidR="00217D89" w:rsidRPr="007B6732" w14:paraId="0EC12913" w14:textId="77777777" w:rsidTr="000D65E1">
        <w:trPr>
          <w:gridAfter w:val="1"/>
          <w:wAfter w:w="466" w:type="dxa"/>
          <w:trHeight w:val="300"/>
        </w:trPr>
        <w:tc>
          <w:tcPr>
            <w:tcW w:w="3813" w:type="dxa"/>
            <w:tcBorders>
              <w:top w:val="nil"/>
            </w:tcBorders>
            <w:shd w:val="clear" w:color="auto" w:fill="auto"/>
            <w:noWrap/>
            <w:vAlign w:val="bottom"/>
            <w:hideMark/>
          </w:tcPr>
          <w:p w14:paraId="417498B0" w14:textId="77777777" w:rsidR="00217D89" w:rsidRPr="007B6732" w:rsidRDefault="00217D89" w:rsidP="0056175D">
            <w:pPr>
              <w:spacing w:line="360" w:lineRule="auto"/>
              <w:jc w:val="both"/>
              <w:rPr>
                <w:rFonts w:ascii="Book Antiqua" w:eastAsia="Times New Roman" w:hAnsi="Book Antiqua"/>
                <w:b/>
                <w:bCs/>
                <w:color w:val="000000"/>
                <w:lang w:val="en-CA"/>
              </w:rPr>
            </w:pPr>
            <w:r w:rsidRPr="007B6732">
              <w:rPr>
                <w:rFonts w:ascii="Book Antiqua" w:eastAsia="Times New Roman" w:hAnsi="Book Antiqua"/>
                <w:color w:val="000000"/>
                <w:lang w:val="en-CA"/>
              </w:rPr>
              <w:t xml:space="preserve">Academic center </w:t>
            </w:r>
          </w:p>
        </w:tc>
        <w:tc>
          <w:tcPr>
            <w:tcW w:w="2968" w:type="dxa"/>
            <w:tcBorders>
              <w:top w:val="nil"/>
            </w:tcBorders>
            <w:shd w:val="clear" w:color="auto" w:fill="auto"/>
            <w:noWrap/>
            <w:vAlign w:val="bottom"/>
            <w:hideMark/>
          </w:tcPr>
          <w:p w14:paraId="31126AF6"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44</w:t>
            </w:r>
          </w:p>
        </w:tc>
        <w:tc>
          <w:tcPr>
            <w:tcW w:w="1516" w:type="dxa"/>
            <w:gridSpan w:val="2"/>
            <w:tcBorders>
              <w:top w:val="nil"/>
            </w:tcBorders>
            <w:shd w:val="clear" w:color="auto" w:fill="auto"/>
            <w:noWrap/>
            <w:vAlign w:val="bottom"/>
            <w:hideMark/>
          </w:tcPr>
          <w:p w14:paraId="2A9E1CBC"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57.1%</w:t>
            </w:r>
          </w:p>
        </w:tc>
      </w:tr>
      <w:tr w:rsidR="00217D89" w:rsidRPr="007B6732" w14:paraId="6314869F" w14:textId="77777777" w:rsidTr="000D65E1">
        <w:trPr>
          <w:gridAfter w:val="1"/>
          <w:wAfter w:w="466" w:type="dxa"/>
          <w:trHeight w:val="300"/>
        </w:trPr>
        <w:tc>
          <w:tcPr>
            <w:tcW w:w="3813" w:type="dxa"/>
            <w:tcBorders>
              <w:top w:val="nil"/>
            </w:tcBorders>
            <w:shd w:val="clear" w:color="auto" w:fill="auto"/>
            <w:noWrap/>
            <w:vAlign w:val="bottom"/>
            <w:hideMark/>
          </w:tcPr>
          <w:p w14:paraId="23516A0A"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Hospital setting</w:t>
            </w:r>
          </w:p>
        </w:tc>
        <w:tc>
          <w:tcPr>
            <w:tcW w:w="2968" w:type="dxa"/>
            <w:tcBorders>
              <w:top w:val="nil"/>
            </w:tcBorders>
            <w:shd w:val="clear" w:color="auto" w:fill="auto"/>
            <w:noWrap/>
            <w:vAlign w:val="bottom"/>
            <w:hideMark/>
          </w:tcPr>
          <w:p w14:paraId="055DB497"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32</w:t>
            </w:r>
          </w:p>
        </w:tc>
        <w:tc>
          <w:tcPr>
            <w:tcW w:w="1516" w:type="dxa"/>
            <w:gridSpan w:val="2"/>
            <w:tcBorders>
              <w:top w:val="nil"/>
            </w:tcBorders>
            <w:shd w:val="clear" w:color="auto" w:fill="auto"/>
            <w:noWrap/>
            <w:vAlign w:val="bottom"/>
            <w:hideMark/>
          </w:tcPr>
          <w:p w14:paraId="76E5A5BF"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41.6%</w:t>
            </w:r>
          </w:p>
        </w:tc>
      </w:tr>
      <w:tr w:rsidR="00217D89" w:rsidRPr="007B6732" w14:paraId="65B3D74D" w14:textId="77777777" w:rsidTr="000D65E1">
        <w:trPr>
          <w:gridAfter w:val="1"/>
          <w:wAfter w:w="466" w:type="dxa"/>
          <w:trHeight w:val="300"/>
        </w:trPr>
        <w:tc>
          <w:tcPr>
            <w:tcW w:w="3813" w:type="dxa"/>
            <w:tcBorders>
              <w:top w:val="nil"/>
            </w:tcBorders>
            <w:shd w:val="clear" w:color="auto" w:fill="auto"/>
            <w:noWrap/>
            <w:vAlign w:val="bottom"/>
            <w:hideMark/>
          </w:tcPr>
          <w:p w14:paraId="257D73E1"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xml:space="preserve">Outpatient  </w:t>
            </w:r>
          </w:p>
        </w:tc>
        <w:tc>
          <w:tcPr>
            <w:tcW w:w="2968" w:type="dxa"/>
            <w:tcBorders>
              <w:top w:val="nil"/>
            </w:tcBorders>
            <w:shd w:val="clear" w:color="auto" w:fill="auto"/>
            <w:noWrap/>
            <w:vAlign w:val="bottom"/>
            <w:hideMark/>
          </w:tcPr>
          <w:p w14:paraId="58D34AB7"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w:t>
            </w:r>
          </w:p>
        </w:tc>
        <w:tc>
          <w:tcPr>
            <w:tcW w:w="1516" w:type="dxa"/>
            <w:gridSpan w:val="2"/>
            <w:tcBorders>
              <w:top w:val="nil"/>
            </w:tcBorders>
            <w:shd w:val="clear" w:color="auto" w:fill="auto"/>
            <w:noWrap/>
            <w:vAlign w:val="bottom"/>
            <w:hideMark/>
          </w:tcPr>
          <w:p w14:paraId="3CE62F5D"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1.3%</w:t>
            </w:r>
          </w:p>
        </w:tc>
      </w:tr>
      <w:tr w:rsidR="00217D89" w:rsidRPr="007B6732" w14:paraId="13541221" w14:textId="77777777" w:rsidTr="000D65E1">
        <w:trPr>
          <w:gridAfter w:val="1"/>
          <w:wAfter w:w="466" w:type="dxa"/>
          <w:trHeight w:val="300"/>
        </w:trPr>
        <w:tc>
          <w:tcPr>
            <w:tcW w:w="3813" w:type="dxa"/>
            <w:tcBorders>
              <w:top w:val="nil"/>
            </w:tcBorders>
            <w:shd w:val="clear" w:color="auto" w:fill="auto"/>
            <w:noWrap/>
            <w:vAlign w:val="bottom"/>
            <w:hideMark/>
          </w:tcPr>
          <w:p w14:paraId="3F57A0FB" w14:textId="6848214E"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xml:space="preserve">Experience (excluding residents </w:t>
            </w:r>
            <w:r w:rsidRPr="007B6732">
              <w:rPr>
                <w:rFonts w:ascii="Book Antiqua" w:eastAsia="Times New Roman" w:hAnsi="Book Antiqua"/>
                <w:i/>
                <w:color w:val="000000"/>
                <w:lang w:val="en-CA"/>
              </w:rPr>
              <w:t>n</w:t>
            </w:r>
            <w:r w:rsidR="000D65E1" w:rsidRPr="007B6732">
              <w:rPr>
                <w:rFonts w:ascii="Book Antiqua" w:eastAsia="SimSun" w:hAnsi="Book Antiqua" w:hint="eastAsia"/>
                <w:color w:val="000000"/>
                <w:lang w:val="en-CA" w:eastAsia="zh-CN"/>
              </w:rPr>
              <w:t xml:space="preserve"> </w:t>
            </w:r>
            <w:r w:rsidRPr="007B6732">
              <w:rPr>
                <w:rFonts w:ascii="Book Antiqua" w:eastAsia="Times New Roman" w:hAnsi="Book Antiqua"/>
                <w:color w:val="000000"/>
                <w:lang w:val="en-CA"/>
              </w:rPr>
              <w:t>=</w:t>
            </w:r>
            <w:r w:rsidR="000D65E1" w:rsidRPr="007B6732">
              <w:rPr>
                <w:rFonts w:ascii="Book Antiqua" w:eastAsia="SimSun" w:hAnsi="Book Antiqua" w:hint="eastAsia"/>
                <w:color w:val="000000"/>
                <w:lang w:val="en-CA" w:eastAsia="zh-CN"/>
              </w:rPr>
              <w:t xml:space="preserve"> </w:t>
            </w:r>
            <w:r w:rsidRPr="007B6732">
              <w:rPr>
                <w:rFonts w:ascii="Book Antiqua" w:eastAsia="Times New Roman" w:hAnsi="Book Antiqua"/>
                <w:color w:val="000000"/>
                <w:lang w:val="en-CA"/>
              </w:rPr>
              <w:t>77):</w:t>
            </w:r>
          </w:p>
        </w:tc>
        <w:tc>
          <w:tcPr>
            <w:tcW w:w="2968" w:type="dxa"/>
            <w:tcBorders>
              <w:top w:val="nil"/>
            </w:tcBorders>
            <w:shd w:val="clear" w:color="auto" w:fill="auto"/>
            <w:noWrap/>
            <w:vAlign w:val="bottom"/>
            <w:hideMark/>
          </w:tcPr>
          <w:p w14:paraId="1FC78844"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c>
          <w:tcPr>
            <w:tcW w:w="1516" w:type="dxa"/>
            <w:gridSpan w:val="2"/>
            <w:tcBorders>
              <w:top w:val="nil"/>
            </w:tcBorders>
            <w:shd w:val="clear" w:color="auto" w:fill="auto"/>
            <w:noWrap/>
            <w:vAlign w:val="bottom"/>
            <w:hideMark/>
          </w:tcPr>
          <w:p w14:paraId="44C34C54" w14:textId="77777777" w:rsidR="00217D89" w:rsidRPr="007B6732" w:rsidRDefault="00217D89" w:rsidP="0056175D">
            <w:pPr>
              <w:spacing w:line="360" w:lineRule="auto"/>
              <w:jc w:val="both"/>
              <w:rPr>
                <w:rFonts w:ascii="Book Antiqua" w:eastAsia="Times New Roman" w:hAnsi="Book Antiqua"/>
                <w:b/>
                <w:bCs/>
                <w:color w:val="000000"/>
                <w:lang w:val="en-CA"/>
              </w:rPr>
            </w:pPr>
            <w:r w:rsidRPr="007B6732">
              <w:rPr>
                <w:rFonts w:ascii="Book Antiqua" w:eastAsia="Times New Roman" w:hAnsi="Book Antiqua"/>
                <w:color w:val="000000"/>
                <w:lang w:val="en-CA"/>
              </w:rPr>
              <w:t> </w:t>
            </w:r>
          </w:p>
        </w:tc>
      </w:tr>
      <w:tr w:rsidR="00217D89" w:rsidRPr="007B6732" w14:paraId="782BC966" w14:textId="77777777" w:rsidTr="000D65E1">
        <w:trPr>
          <w:gridAfter w:val="1"/>
          <w:wAfter w:w="466" w:type="dxa"/>
          <w:trHeight w:val="300"/>
        </w:trPr>
        <w:tc>
          <w:tcPr>
            <w:tcW w:w="3813" w:type="dxa"/>
            <w:tcBorders>
              <w:top w:val="nil"/>
            </w:tcBorders>
            <w:shd w:val="clear" w:color="auto" w:fill="auto"/>
            <w:noWrap/>
            <w:vAlign w:val="bottom"/>
            <w:hideMark/>
          </w:tcPr>
          <w:p w14:paraId="1B4826C6" w14:textId="63F1AD37" w:rsidR="00217D89" w:rsidRPr="007B6732" w:rsidRDefault="00217D89" w:rsidP="000D65E1">
            <w:pPr>
              <w:spacing w:line="360" w:lineRule="auto"/>
              <w:jc w:val="both"/>
              <w:rPr>
                <w:rFonts w:ascii="Book Antiqua" w:eastAsia="SimSun" w:hAnsi="Book Antiqua"/>
                <w:color w:val="000000"/>
                <w:lang w:val="en-CA" w:eastAsia="zh-CN"/>
              </w:rPr>
            </w:pPr>
            <w:r w:rsidRPr="007B6732">
              <w:rPr>
                <w:rFonts w:ascii="Book Antiqua" w:eastAsia="Times New Roman" w:hAnsi="Book Antiqua"/>
                <w:color w:val="000000"/>
                <w:lang w:val="en-CA"/>
              </w:rPr>
              <w:t>&lt;</w:t>
            </w:r>
            <w:r w:rsidR="000D65E1" w:rsidRPr="007B6732">
              <w:rPr>
                <w:rFonts w:ascii="Book Antiqua" w:eastAsia="SimSun" w:hAnsi="Book Antiqua" w:hint="eastAsia"/>
                <w:color w:val="000000"/>
                <w:lang w:val="en-CA" w:eastAsia="zh-CN"/>
              </w:rPr>
              <w:t xml:space="preserve"> </w:t>
            </w:r>
            <w:r w:rsidRPr="007B6732">
              <w:rPr>
                <w:rFonts w:ascii="Book Antiqua" w:eastAsia="Times New Roman" w:hAnsi="Book Antiqua"/>
                <w:color w:val="000000"/>
                <w:lang w:val="en-CA"/>
              </w:rPr>
              <w:t xml:space="preserve">5 </w:t>
            </w:r>
            <w:r w:rsidR="000D65E1" w:rsidRPr="007B6732">
              <w:rPr>
                <w:rFonts w:ascii="Book Antiqua" w:eastAsia="SimSun" w:hAnsi="Book Antiqua" w:hint="eastAsia"/>
                <w:color w:val="000000"/>
                <w:lang w:val="en-CA" w:eastAsia="zh-CN"/>
              </w:rPr>
              <w:t>yr</w:t>
            </w:r>
          </w:p>
        </w:tc>
        <w:tc>
          <w:tcPr>
            <w:tcW w:w="2968" w:type="dxa"/>
            <w:tcBorders>
              <w:top w:val="nil"/>
            </w:tcBorders>
            <w:shd w:val="clear" w:color="auto" w:fill="auto"/>
            <w:noWrap/>
            <w:vAlign w:val="bottom"/>
            <w:hideMark/>
          </w:tcPr>
          <w:p w14:paraId="3A0448E8"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18</w:t>
            </w:r>
          </w:p>
        </w:tc>
        <w:tc>
          <w:tcPr>
            <w:tcW w:w="1516" w:type="dxa"/>
            <w:gridSpan w:val="2"/>
            <w:tcBorders>
              <w:top w:val="nil"/>
            </w:tcBorders>
            <w:shd w:val="clear" w:color="auto" w:fill="auto"/>
            <w:noWrap/>
            <w:vAlign w:val="bottom"/>
            <w:hideMark/>
          </w:tcPr>
          <w:p w14:paraId="516DB0FD"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23.7%</w:t>
            </w:r>
          </w:p>
        </w:tc>
      </w:tr>
      <w:tr w:rsidR="00217D89" w:rsidRPr="007B6732" w14:paraId="132DD9FB" w14:textId="77777777" w:rsidTr="000D65E1">
        <w:trPr>
          <w:gridAfter w:val="1"/>
          <w:wAfter w:w="466" w:type="dxa"/>
          <w:trHeight w:val="300"/>
        </w:trPr>
        <w:tc>
          <w:tcPr>
            <w:tcW w:w="3813" w:type="dxa"/>
            <w:tcBorders>
              <w:top w:val="nil"/>
            </w:tcBorders>
            <w:shd w:val="clear" w:color="auto" w:fill="auto"/>
            <w:noWrap/>
            <w:vAlign w:val="bottom"/>
            <w:hideMark/>
          </w:tcPr>
          <w:p w14:paraId="42DA590C" w14:textId="1067CBE4" w:rsidR="00217D89" w:rsidRPr="007B6732" w:rsidRDefault="00217D89" w:rsidP="000D65E1">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xml:space="preserve">5-10 </w:t>
            </w:r>
            <w:r w:rsidR="000D65E1" w:rsidRPr="007B6732">
              <w:rPr>
                <w:rFonts w:ascii="Book Antiqua" w:eastAsia="SimSun" w:hAnsi="Book Antiqua" w:hint="eastAsia"/>
                <w:color w:val="000000"/>
                <w:lang w:val="en-CA" w:eastAsia="zh-CN"/>
              </w:rPr>
              <w:t xml:space="preserve">yr  </w:t>
            </w:r>
          </w:p>
        </w:tc>
        <w:tc>
          <w:tcPr>
            <w:tcW w:w="2968" w:type="dxa"/>
            <w:tcBorders>
              <w:top w:val="nil"/>
            </w:tcBorders>
            <w:shd w:val="clear" w:color="auto" w:fill="auto"/>
            <w:noWrap/>
            <w:vAlign w:val="bottom"/>
            <w:hideMark/>
          </w:tcPr>
          <w:p w14:paraId="4D96F91A"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18</w:t>
            </w:r>
          </w:p>
        </w:tc>
        <w:tc>
          <w:tcPr>
            <w:tcW w:w="1516" w:type="dxa"/>
            <w:gridSpan w:val="2"/>
            <w:tcBorders>
              <w:top w:val="nil"/>
            </w:tcBorders>
            <w:shd w:val="clear" w:color="auto" w:fill="auto"/>
            <w:noWrap/>
            <w:vAlign w:val="bottom"/>
            <w:hideMark/>
          </w:tcPr>
          <w:p w14:paraId="33DF28D2"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23.7%</w:t>
            </w:r>
          </w:p>
        </w:tc>
      </w:tr>
      <w:tr w:rsidR="00217D89" w:rsidRPr="007B6732" w14:paraId="1AE4FBE7" w14:textId="77777777" w:rsidTr="000D65E1">
        <w:trPr>
          <w:gridAfter w:val="1"/>
          <w:wAfter w:w="466" w:type="dxa"/>
          <w:trHeight w:val="201"/>
        </w:trPr>
        <w:tc>
          <w:tcPr>
            <w:tcW w:w="3813" w:type="dxa"/>
            <w:tcBorders>
              <w:top w:val="nil"/>
              <w:bottom w:val="single" w:sz="4" w:space="0" w:color="auto"/>
            </w:tcBorders>
            <w:shd w:val="clear" w:color="auto" w:fill="auto"/>
            <w:noWrap/>
            <w:vAlign w:val="bottom"/>
            <w:hideMark/>
          </w:tcPr>
          <w:p w14:paraId="611035EB" w14:textId="126EA4A6"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&gt;</w:t>
            </w:r>
            <w:r w:rsidR="000D65E1" w:rsidRPr="007B6732">
              <w:rPr>
                <w:rFonts w:ascii="Book Antiqua" w:eastAsia="SimSun" w:hAnsi="Book Antiqua" w:hint="eastAsia"/>
                <w:color w:val="000000"/>
                <w:lang w:val="en-CA" w:eastAsia="zh-CN"/>
              </w:rPr>
              <w:t xml:space="preserve"> </w:t>
            </w:r>
            <w:r w:rsidRPr="007B6732">
              <w:rPr>
                <w:rFonts w:ascii="Book Antiqua" w:eastAsia="Times New Roman" w:hAnsi="Book Antiqua"/>
                <w:color w:val="000000"/>
                <w:lang w:val="en-CA"/>
              </w:rPr>
              <w:t xml:space="preserve">10 </w:t>
            </w:r>
            <w:r w:rsidR="000D65E1" w:rsidRPr="007B6732">
              <w:rPr>
                <w:rFonts w:ascii="Book Antiqua" w:eastAsia="SimSun" w:hAnsi="Book Antiqua" w:hint="eastAsia"/>
                <w:color w:val="000000"/>
                <w:lang w:val="en-CA" w:eastAsia="zh-CN"/>
              </w:rPr>
              <w:t>yr</w:t>
            </w:r>
          </w:p>
        </w:tc>
        <w:tc>
          <w:tcPr>
            <w:tcW w:w="2968" w:type="dxa"/>
            <w:tcBorders>
              <w:top w:val="nil"/>
              <w:bottom w:val="single" w:sz="4" w:space="0" w:color="auto"/>
            </w:tcBorders>
            <w:shd w:val="clear" w:color="auto" w:fill="auto"/>
            <w:noWrap/>
            <w:vAlign w:val="bottom"/>
            <w:hideMark/>
          </w:tcPr>
          <w:p w14:paraId="45F15A01"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40</w:t>
            </w:r>
          </w:p>
        </w:tc>
        <w:tc>
          <w:tcPr>
            <w:tcW w:w="1516" w:type="dxa"/>
            <w:gridSpan w:val="2"/>
            <w:tcBorders>
              <w:top w:val="nil"/>
              <w:bottom w:val="single" w:sz="4" w:space="0" w:color="auto"/>
            </w:tcBorders>
            <w:shd w:val="clear" w:color="auto" w:fill="auto"/>
            <w:noWrap/>
            <w:vAlign w:val="bottom"/>
            <w:hideMark/>
          </w:tcPr>
          <w:p w14:paraId="5716A5D7"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52.6%</w:t>
            </w:r>
          </w:p>
        </w:tc>
      </w:tr>
    </w:tbl>
    <w:p w14:paraId="51AAE723" w14:textId="77777777" w:rsidR="000D65E1" w:rsidRPr="007B6732" w:rsidRDefault="000D65E1">
      <w:r w:rsidRPr="007B6732">
        <w:br w:type="page"/>
      </w:r>
    </w:p>
    <w:tbl>
      <w:tblPr>
        <w:tblW w:w="8949" w:type="dxa"/>
        <w:tblInd w:w="93" w:type="dxa"/>
        <w:tblLook w:val="04A0" w:firstRow="1" w:lastRow="0" w:firstColumn="1" w:lastColumn="0" w:noHBand="0" w:noVBand="1"/>
      </w:tblPr>
      <w:tblGrid>
        <w:gridCol w:w="5118"/>
        <w:gridCol w:w="1273"/>
        <w:gridCol w:w="1395"/>
        <w:gridCol w:w="1163"/>
      </w:tblGrid>
      <w:tr w:rsidR="00217D89" w:rsidRPr="007B6732" w14:paraId="51ABFFBB" w14:textId="77777777" w:rsidTr="000D65E1">
        <w:trPr>
          <w:trHeight w:val="300"/>
        </w:trPr>
        <w:tc>
          <w:tcPr>
            <w:tcW w:w="7786" w:type="dxa"/>
            <w:gridSpan w:val="3"/>
            <w:tcBorders>
              <w:top w:val="nil"/>
              <w:left w:val="nil"/>
              <w:bottom w:val="single" w:sz="4" w:space="0" w:color="auto"/>
              <w:right w:val="nil"/>
            </w:tcBorders>
            <w:shd w:val="clear" w:color="auto" w:fill="auto"/>
            <w:noWrap/>
            <w:vAlign w:val="bottom"/>
            <w:hideMark/>
          </w:tcPr>
          <w:p w14:paraId="5DA09BBE" w14:textId="61C4B043" w:rsidR="00217D89" w:rsidRPr="007B6732" w:rsidRDefault="00217D89" w:rsidP="0056175D">
            <w:pPr>
              <w:spacing w:line="360" w:lineRule="auto"/>
              <w:jc w:val="both"/>
              <w:rPr>
                <w:rFonts w:ascii="Book Antiqua" w:eastAsia="Times New Roman" w:hAnsi="Book Antiqua"/>
                <w:b/>
                <w:bCs/>
                <w:color w:val="000000"/>
                <w:lang w:val="en-CA"/>
              </w:rPr>
            </w:pPr>
          </w:p>
          <w:p w14:paraId="7583A528" w14:textId="11A2231E" w:rsidR="00217D89" w:rsidRPr="007B6732" w:rsidRDefault="00217D89" w:rsidP="000D65E1">
            <w:pPr>
              <w:spacing w:line="360" w:lineRule="auto"/>
              <w:jc w:val="both"/>
              <w:rPr>
                <w:rFonts w:ascii="Book Antiqua" w:eastAsia="Times New Roman" w:hAnsi="Book Antiqua"/>
                <w:b/>
                <w:bCs/>
                <w:color w:val="000000"/>
                <w:lang w:val="en-CA"/>
              </w:rPr>
            </w:pPr>
            <w:r w:rsidRPr="007B6732">
              <w:rPr>
                <w:rFonts w:ascii="Book Antiqua" w:eastAsia="Times New Roman" w:hAnsi="Book Antiqua"/>
                <w:b/>
                <w:bCs/>
                <w:color w:val="000000"/>
                <w:lang w:val="en-CA"/>
              </w:rPr>
              <w:t>Table 2</w:t>
            </w:r>
            <w:r w:rsidR="000D65E1" w:rsidRPr="007B6732">
              <w:rPr>
                <w:rFonts w:ascii="Book Antiqua" w:eastAsia="SimSun" w:hAnsi="Book Antiqua" w:hint="eastAsia"/>
                <w:b/>
                <w:bCs/>
                <w:color w:val="000000"/>
                <w:lang w:val="en-CA" w:eastAsia="zh-CN"/>
              </w:rPr>
              <w:t xml:space="preserve"> </w:t>
            </w:r>
            <w:r w:rsidRPr="007B6732">
              <w:rPr>
                <w:rFonts w:ascii="Book Antiqua" w:eastAsia="Times New Roman" w:hAnsi="Book Antiqua"/>
                <w:b/>
                <w:bCs/>
                <w:color w:val="000000"/>
                <w:lang w:val="en-CA"/>
              </w:rPr>
              <w:t xml:space="preserve">Select subgroup analysis between adult and pediatric </w:t>
            </w:r>
            <w:r w:rsidR="007B6732" w:rsidRPr="007B6732">
              <w:rPr>
                <w:rFonts w:ascii="Book Antiqua" w:eastAsia="Times New Roman" w:hAnsi="Book Antiqua"/>
                <w:b/>
                <w:bCs/>
                <w:color w:val="000000"/>
                <w:lang w:val="en-CA"/>
              </w:rPr>
              <w:t>gastroenterologists</w:t>
            </w:r>
          </w:p>
        </w:tc>
        <w:tc>
          <w:tcPr>
            <w:tcW w:w="1163" w:type="dxa"/>
            <w:tcBorders>
              <w:top w:val="nil"/>
              <w:left w:val="nil"/>
              <w:bottom w:val="single" w:sz="4" w:space="0" w:color="auto"/>
              <w:right w:val="nil"/>
            </w:tcBorders>
            <w:shd w:val="clear" w:color="auto" w:fill="auto"/>
            <w:noWrap/>
            <w:vAlign w:val="bottom"/>
            <w:hideMark/>
          </w:tcPr>
          <w:p w14:paraId="5663E744" w14:textId="77777777" w:rsidR="00217D89" w:rsidRPr="007B6732" w:rsidRDefault="00217D89" w:rsidP="0056175D">
            <w:pPr>
              <w:spacing w:line="360" w:lineRule="auto"/>
              <w:jc w:val="both"/>
              <w:rPr>
                <w:rFonts w:ascii="Book Antiqua" w:eastAsia="Times New Roman" w:hAnsi="Book Antiqua"/>
                <w:color w:val="000000"/>
                <w:lang w:val="en-CA"/>
              </w:rPr>
            </w:pPr>
          </w:p>
        </w:tc>
      </w:tr>
      <w:tr w:rsidR="00217D89" w:rsidRPr="007B6732" w14:paraId="67ADE609" w14:textId="77777777" w:rsidTr="000D65E1">
        <w:trPr>
          <w:trHeight w:val="300"/>
        </w:trPr>
        <w:tc>
          <w:tcPr>
            <w:tcW w:w="5118" w:type="dxa"/>
            <w:tcBorders>
              <w:top w:val="single" w:sz="4" w:space="0" w:color="auto"/>
              <w:bottom w:val="single" w:sz="4" w:space="0" w:color="auto"/>
            </w:tcBorders>
            <w:shd w:val="clear" w:color="auto" w:fill="auto"/>
            <w:noWrap/>
            <w:vAlign w:val="bottom"/>
            <w:hideMark/>
          </w:tcPr>
          <w:p w14:paraId="4E7E9594" w14:textId="77777777" w:rsidR="00217D89" w:rsidRPr="007B6732" w:rsidRDefault="00217D89" w:rsidP="0056175D">
            <w:pPr>
              <w:spacing w:line="360" w:lineRule="auto"/>
              <w:jc w:val="both"/>
              <w:rPr>
                <w:rFonts w:ascii="Book Antiqua" w:eastAsia="Times New Roman" w:hAnsi="Book Antiqua"/>
                <w:b/>
                <w:color w:val="000000"/>
                <w:lang w:val="en-CA"/>
              </w:rPr>
            </w:pPr>
            <w:r w:rsidRPr="007B6732">
              <w:rPr>
                <w:rFonts w:ascii="Book Antiqua" w:eastAsia="Times New Roman" w:hAnsi="Book Antiqua"/>
                <w:b/>
                <w:color w:val="000000"/>
                <w:lang w:val="en-CA"/>
              </w:rPr>
              <w:t> </w:t>
            </w:r>
          </w:p>
        </w:tc>
        <w:tc>
          <w:tcPr>
            <w:tcW w:w="1273" w:type="dxa"/>
            <w:tcBorders>
              <w:top w:val="single" w:sz="4" w:space="0" w:color="auto"/>
              <w:bottom w:val="single" w:sz="4" w:space="0" w:color="auto"/>
            </w:tcBorders>
            <w:shd w:val="clear" w:color="auto" w:fill="auto"/>
            <w:noWrap/>
            <w:vAlign w:val="bottom"/>
            <w:hideMark/>
          </w:tcPr>
          <w:p w14:paraId="693D3723" w14:textId="77777777" w:rsidR="00217D89" w:rsidRPr="007B6732" w:rsidRDefault="00217D89" w:rsidP="0056175D">
            <w:pPr>
              <w:spacing w:line="360" w:lineRule="auto"/>
              <w:jc w:val="both"/>
              <w:rPr>
                <w:rFonts w:ascii="Book Antiqua" w:eastAsia="Times New Roman" w:hAnsi="Book Antiqua"/>
                <w:b/>
                <w:color w:val="000000"/>
                <w:lang w:val="en-CA"/>
              </w:rPr>
            </w:pPr>
            <w:r w:rsidRPr="007B6732">
              <w:rPr>
                <w:rFonts w:ascii="Book Antiqua" w:eastAsia="Times New Roman" w:hAnsi="Book Antiqua"/>
                <w:b/>
                <w:color w:val="000000"/>
                <w:lang w:val="en-CA"/>
              </w:rPr>
              <w:t xml:space="preserve">Adult </w:t>
            </w:r>
          </w:p>
        </w:tc>
        <w:tc>
          <w:tcPr>
            <w:tcW w:w="1395" w:type="dxa"/>
            <w:tcBorders>
              <w:top w:val="single" w:sz="4" w:space="0" w:color="auto"/>
              <w:bottom w:val="single" w:sz="4" w:space="0" w:color="auto"/>
            </w:tcBorders>
            <w:shd w:val="clear" w:color="auto" w:fill="auto"/>
            <w:noWrap/>
            <w:vAlign w:val="bottom"/>
            <w:hideMark/>
          </w:tcPr>
          <w:p w14:paraId="6C793AE4" w14:textId="77777777" w:rsidR="00217D89" w:rsidRPr="007B6732" w:rsidRDefault="00217D89" w:rsidP="0056175D">
            <w:pPr>
              <w:spacing w:line="360" w:lineRule="auto"/>
              <w:jc w:val="both"/>
              <w:rPr>
                <w:rFonts w:ascii="Book Antiqua" w:eastAsia="Times New Roman" w:hAnsi="Book Antiqua"/>
                <w:b/>
                <w:color w:val="000000"/>
                <w:lang w:val="en-CA"/>
              </w:rPr>
            </w:pPr>
            <w:r w:rsidRPr="007B6732">
              <w:rPr>
                <w:rFonts w:ascii="Book Antiqua" w:eastAsia="Times New Roman" w:hAnsi="Book Antiqua"/>
                <w:b/>
                <w:color w:val="000000"/>
                <w:lang w:val="en-CA"/>
              </w:rPr>
              <w:t>Pediatrics</w:t>
            </w:r>
          </w:p>
        </w:tc>
        <w:tc>
          <w:tcPr>
            <w:tcW w:w="1163" w:type="dxa"/>
            <w:tcBorders>
              <w:top w:val="single" w:sz="4" w:space="0" w:color="auto"/>
              <w:bottom w:val="single" w:sz="4" w:space="0" w:color="auto"/>
            </w:tcBorders>
            <w:shd w:val="clear" w:color="auto" w:fill="auto"/>
            <w:noWrap/>
            <w:vAlign w:val="bottom"/>
            <w:hideMark/>
          </w:tcPr>
          <w:p w14:paraId="01D51C5E" w14:textId="01DEE29D" w:rsidR="00217D89" w:rsidRPr="007B6732" w:rsidRDefault="00217D89" w:rsidP="000D65E1">
            <w:pPr>
              <w:spacing w:line="360" w:lineRule="auto"/>
              <w:jc w:val="both"/>
              <w:rPr>
                <w:rFonts w:ascii="Book Antiqua" w:eastAsia="SimSun" w:hAnsi="Book Antiqua"/>
                <w:b/>
                <w:i/>
                <w:iCs/>
                <w:color w:val="000000"/>
                <w:lang w:val="en-CA" w:eastAsia="zh-CN"/>
              </w:rPr>
            </w:pPr>
            <w:r w:rsidRPr="007B6732">
              <w:rPr>
                <w:rFonts w:ascii="Book Antiqua" w:eastAsia="Times New Roman" w:hAnsi="Book Antiqua"/>
                <w:b/>
                <w:i/>
                <w:iCs/>
                <w:color w:val="000000"/>
                <w:lang w:val="en-CA"/>
              </w:rPr>
              <w:t>P</w:t>
            </w:r>
            <w:r w:rsidR="000D65E1" w:rsidRPr="007B6732">
              <w:rPr>
                <w:rFonts w:ascii="Book Antiqua" w:eastAsia="SimSun" w:hAnsi="Book Antiqua" w:hint="eastAsia"/>
                <w:b/>
                <w:i/>
                <w:iCs/>
                <w:color w:val="000000"/>
                <w:lang w:val="en-CA" w:eastAsia="zh-CN"/>
              </w:rPr>
              <w:t xml:space="preserve"> </w:t>
            </w:r>
            <w:r w:rsidRPr="007B6732">
              <w:rPr>
                <w:rFonts w:ascii="Book Antiqua" w:eastAsia="Times New Roman" w:hAnsi="Book Antiqua"/>
                <w:b/>
                <w:color w:val="000000"/>
                <w:lang w:val="en-CA"/>
              </w:rPr>
              <w:t>value</w:t>
            </w:r>
            <w:r w:rsidR="000D65E1" w:rsidRPr="007B6732">
              <w:rPr>
                <w:rFonts w:ascii="Book Antiqua" w:eastAsia="SimSun" w:hAnsi="Book Antiqua" w:hint="eastAsia"/>
                <w:b/>
                <w:color w:val="000000"/>
                <w:lang w:val="en-CA" w:eastAsia="zh-CN"/>
              </w:rPr>
              <w:t xml:space="preserve"> </w:t>
            </w:r>
          </w:p>
        </w:tc>
      </w:tr>
      <w:tr w:rsidR="00217D89" w:rsidRPr="007B6732" w14:paraId="4DFA8BB6" w14:textId="77777777" w:rsidTr="000D65E1">
        <w:trPr>
          <w:trHeight w:val="661"/>
        </w:trPr>
        <w:tc>
          <w:tcPr>
            <w:tcW w:w="5118" w:type="dxa"/>
            <w:tcBorders>
              <w:top w:val="single" w:sz="4" w:space="0" w:color="auto"/>
            </w:tcBorders>
            <w:shd w:val="clear" w:color="auto" w:fill="auto"/>
            <w:noWrap/>
            <w:vAlign w:val="bottom"/>
            <w:hideMark/>
          </w:tcPr>
          <w:p w14:paraId="155EE7B4"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Importance of transition (moderately or very important)</w:t>
            </w:r>
          </w:p>
        </w:tc>
        <w:tc>
          <w:tcPr>
            <w:tcW w:w="1273" w:type="dxa"/>
            <w:tcBorders>
              <w:top w:val="single" w:sz="4" w:space="0" w:color="auto"/>
            </w:tcBorders>
            <w:shd w:val="clear" w:color="auto" w:fill="auto"/>
            <w:noWrap/>
            <w:vAlign w:val="bottom"/>
            <w:hideMark/>
          </w:tcPr>
          <w:p w14:paraId="74EB953E"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95.7%</w:t>
            </w:r>
          </w:p>
        </w:tc>
        <w:tc>
          <w:tcPr>
            <w:tcW w:w="1395" w:type="dxa"/>
            <w:tcBorders>
              <w:top w:val="single" w:sz="4" w:space="0" w:color="auto"/>
            </w:tcBorders>
            <w:shd w:val="clear" w:color="auto" w:fill="auto"/>
            <w:noWrap/>
            <w:vAlign w:val="bottom"/>
            <w:hideMark/>
          </w:tcPr>
          <w:p w14:paraId="0CC955DA"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100%</w:t>
            </w:r>
          </w:p>
        </w:tc>
        <w:tc>
          <w:tcPr>
            <w:tcW w:w="1163" w:type="dxa"/>
            <w:tcBorders>
              <w:top w:val="single" w:sz="4" w:space="0" w:color="auto"/>
            </w:tcBorders>
            <w:shd w:val="clear" w:color="auto" w:fill="auto"/>
            <w:noWrap/>
            <w:vAlign w:val="bottom"/>
            <w:hideMark/>
          </w:tcPr>
          <w:p w14:paraId="22EF3615"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0.39</w:t>
            </w:r>
          </w:p>
        </w:tc>
      </w:tr>
      <w:tr w:rsidR="00217D89" w:rsidRPr="007B6732" w14:paraId="12E7EC46" w14:textId="77777777" w:rsidTr="000D65E1">
        <w:trPr>
          <w:trHeight w:val="300"/>
        </w:trPr>
        <w:tc>
          <w:tcPr>
            <w:tcW w:w="5118" w:type="dxa"/>
            <w:tcBorders>
              <w:top w:val="nil"/>
            </w:tcBorders>
            <w:shd w:val="clear" w:color="auto" w:fill="auto"/>
            <w:noWrap/>
            <w:vAlign w:val="bottom"/>
            <w:hideMark/>
          </w:tcPr>
          <w:p w14:paraId="1FCE94EB"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Age related questions:</w:t>
            </w:r>
          </w:p>
        </w:tc>
        <w:tc>
          <w:tcPr>
            <w:tcW w:w="1273" w:type="dxa"/>
            <w:tcBorders>
              <w:top w:val="nil"/>
            </w:tcBorders>
            <w:shd w:val="clear" w:color="auto" w:fill="auto"/>
            <w:noWrap/>
            <w:vAlign w:val="bottom"/>
            <w:hideMark/>
          </w:tcPr>
          <w:p w14:paraId="5333C001"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c>
          <w:tcPr>
            <w:tcW w:w="1395" w:type="dxa"/>
            <w:tcBorders>
              <w:top w:val="nil"/>
            </w:tcBorders>
            <w:shd w:val="clear" w:color="auto" w:fill="auto"/>
            <w:noWrap/>
            <w:vAlign w:val="bottom"/>
            <w:hideMark/>
          </w:tcPr>
          <w:p w14:paraId="0359CEE4"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c>
          <w:tcPr>
            <w:tcW w:w="1163" w:type="dxa"/>
            <w:tcBorders>
              <w:top w:val="nil"/>
            </w:tcBorders>
            <w:shd w:val="clear" w:color="auto" w:fill="auto"/>
            <w:noWrap/>
            <w:vAlign w:val="bottom"/>
            <w:hideMark/>
          </w:tcPr>
          <w:p w14:paraId="2762C337"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r>
      <w:tr w:rsidR="00217D89" w:rsidRPr="007B6732" w14:paraId="389D629A" w14:textId="77777777" w:rsidTr="000D65E1">
        <w:trPr>
          <w:trHeight w:val="300"/>
        </w:trPr>
        <w:tc>
          <w:tcPr>
            <w:tcW w:w="5118" w:type="dxa"/>
            <w:tcBorders>
              <w:top w:val="nil"/>
            </w:tcBorders>
            <w:shd w:val="clear" w:color="auto" w:fill="auto"/>
            <w:noWrap/>
            <w:vAlign w:val="bottom"/>
            <w:hideMark/>
          </w:tcPr>
          <w:p w14:paraId="6660045B" w14:textId="77777777" w:rsidR="00217D89" w:rsidRPr="007B6732" w:rsidRDefault="00217D89" w:rsidP="0056175D">
            <w:pPr>
              <w:spacing w:line="360" w:lineRule="auto"/>
              <w:jc w:val="both"/>
              <w:rPr>
                <w:rFonts w:ascii="Book Antiqua" w:eastAsia="Times New Roman" w:hAnsi="Book Antiqua"/>
                <w:b/>
                <w:bCs/>
                <w:color w:val="000000"/>
                <w:lang w:val="en-CA"/>
              </w:rPr>
            </w:pPr>
            <w:r w:rsidRPr="007B6732">
              <w:rPr>
                <w:rFonts w:ascii="Book Antiqua" w:eastAsia="Times New Roman" w:hAnsi="Book Antiqua"/>
                <w:b/>
                <w:bCs/>
                <w:color w:val="000000"/>
                <w:lang w:val="en-CA"/>
              </w:rPr>
              <w:t xml:space="preserve">Mean age to initiate transition </w:t>
            </w:r>
          </w:p>
        </w:tc>
        <w:tc>
          <w:tcPr>
            <w:tcW w:w="1273" w:type="dxa"/>
            <w:tcBorders>
              <w:top w:val="nil"/>
            </w:tcBorders>
            <w:shd w:val="clear" w:color="auto" w:fill="auto"/>
            <w:noWrap/>
            <w:vAlign w:val="bottom"/>
            <w:hideMark/>
          </w:tcPr>
          <w:p w14:paraId="0C94097A" w14:textId="77777777" w:rsidR="00217D89" w:rsidRPr="007B6732" w:rsidRDefault="00217D89" w:rsidP="0056175D">
            <w:pPr>
              <w:spacing w:line="360" w:lineRule="auto"/>
              <w:jc w:val="both"/>
              <w:rPr>
                <w:rFonts w:ascii="Book Antiqua" w:eastAsia="Times New Roman" w:hAnsi="Book Antiqua"/>
                <w:b/>
                <w:bCs/>
                <w:i/>
                <w:iCs/>
                <w:color w:val="000000"/>
                <w:lang w:val="en-CA"/>
              </w:rPr>
            </w:pPr>
            <w:r w:rsidRPr="007B6732">
              <w:rPr>
                <w:rFonts w:ascii="Book Antiqua" w:eastAsia="Times New Roman" w:hAnsi="Book Antiqua"/>
                <w:b/>
                <w:bCs/>
                <w:color w:val="000000"/>
                <w:lang w:val="en-CA"/>
              </w:rPr>
              <w:t>16.7</w:t>
            </w:r>
          </w:p>
        </w:tc>
        <w:tc>
          <w:tcPr>
            <w:tcW w:w="1395" w:type="dxa"/>
            <w:tcBorders>
              <w:top w:val="nil"/>
            </w:tcBorders>
            <w:shd w:val="clear" w:color="auto" w:fill="auto"/>
            <w:noWrap/>
            <w:vAlign w:val="bottom"/>
            <w:hideMark/>
          </w:tcPr>
          <w:p w14:paraId="263C4ECF" w14:textId="77777777" w:rsidR="00217D89" w:rsidRPr="007B6732" w:rsidRDefault="00217D89" w:rsidP="0056175D">
            <w:pPr>
              <w:spacing w:line="360" w:lineRule="auto"/>
              <w:jc w:val="both"/>
              <w:rPr>
                <w:rFonts w:ascii="Book Antiqua" w:eastAsia="Times New Roman" w:hAnsi="Book Antiqua"/>
                <w:b/>
                <w:bCs/>
                <w:i/>
                <w:iCs/>
                <w:color w:val="000000"/>
                <w:lang w:val="en-CA"/>
              </w:rPr>
            </w:pPr>
            <w:r w:rsidRPr="007B6732">
              <w:rPr>
                <w:rFonts w:ascii="Book Antiqua" w:eastAsia="Times New Roman" w:hAnsi="Book Antiqua"/>
                <w:b/>
                <w:bCs/>
                <w:color w:val="000000"/>
                <w:lang w:val="en-CA"/>
              </w:rPr>
              <w:t>15.4</w:t>
            </w:r>
          </w:p>
        </w:tc>
        <w:tc>
          <w:tcPr>
            <w:tcW w:w="1163" w:type="dxa"/>
            <w:tcBorders>
              <w:top w:val="nil"/>
            </w:tcBorders>
            <w:shd w:val="clear" w:color="auto" w:fill="auto"/>
            <w:noWrap/>
            <w:vAlign w:val="bottom"/>
            <w:hideMark/>
          </w:tcPr>
          <w:p w14:paraId="72A82B98" w14:textId="171F4F46" w:rsidR="00217D89" w:rsidRPr="007B6732" w:rsidRDefault="00217D89" w:rsidP="0056175D">
            <w:pPr>
              <w:spacing w:line="360" w:lineRule="auto"/>
              <w:jc w:val="both"/>
              <w:rPr>
                <w:rFonts w:ascii="Book Antiqua" w:eastAsia="Times New Roman" w:hAnsi="Book Antiqua"/>
                <w:b/>
                <w:bCs/>
                <w:i/>
                <w:iCs/>
                <w:color w:val="000000"/>
                <w:lang w:val="en-CA"/>
              </w:rPr>
            </w:pPr>
            <w:r w:rsidRPr="007B6732">
              <w:rPr>
                <w:rFonts w:ascii="Book Antiqua" w:eastAsia="Times New Roman" w:hAnsi="Book Antiqua"/>
                <w:b/>
                <w:bCs/>
                <w:color w:val="000000"/>
                <w:lang w:val="en-CA"/>
              </w:rPr>
              <w:t>0.003</w:t>
            </w:r>
            <w:r w:rsidR="000D65E1" w:rsidRPr="007B6732">
              <w:rPr>
                <w:rFonts w:ascii="Book Antiqua" w:eastAsia="SimSun" w:hAnsi="Book Antiqua" w:hint="eastAsia"/>
                <w:b/>
                <w:vertAlign w:val="superscript"/>
                <w:lang w:eastAsia="zh-CN"/>
              </w:rPr>
              <w:t>1</w:t>
            </w:r>
          </w:p>
        </w:tc>
      </w:tr>
      <w:tr w:rsidR="00217D89" w:rsidRPr="007B6732" w14:paraId="7B53C2C2" w14:textId="77777777" w:rsidTr="000D65E1">
        <w:trPr>
          <w:trHeight w:val="300"/>
        </w:trPr>
        <w:tc>
          <w:tcPr>
            <w:tcW w:w="5118" w:type="dxa"/>
            <w:tcBorders>
              <w:top w:val="nil"/>
            </w:tcBorders>
            <w:shd w:val="clear" w:color="auto" w:fill="auto"/>
            <w:noWrap/>
            <w:vAlign w:val="bottom"/>
            <w:hideMark/>
          </w:tcPr>
          <w:p w14:paraId="08DC7581" w14:textId="1820E6A2"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xml:space="preserve">Mean age to complete </w:t>
            </w:r>
            <w:r w:rsidR="00633D2B" w:rsidRPr="007B6732">
              <w:rPr>
                <w:rFonts w:ascii="Book Antiqua" w:eastAsia="Times New Roman" w:hAnsi="Book Antiqua"/>
                <w:color w:val="000000"/>
                <w:lang w:val="en-CA"/>
              </w:rPr>
              <w:t>transfer of care</w:t>
            </w:r>
            <w:r w:rsidRPr="007B6732">
              <w:rPr>
                <w:rFonts w:ascii="Book Antiqua" w:eastAsia="Times New Roman" w:hAnsi="Book Antiqua"/>
                <w:color w:val="000000"/>
                <w:lang w:val="en-CA"/>
              </w:rPr>
              <w:t xml:space="preserve"> </w:t>
            </w:r>
          </w:p>
        </w:tc>
        <w:tc>
          <w:tcPr>
            <w:tcW w:w="1273" w:type="dxa"/>
            <w:tcBorders>
              <w:top w:val="nil"/>
            </w:tcBorders>
            <w:shd w:val="clear" w:color="auto" w:fill="auto"/>
            <w:noWrap/>
            <w:vAlign w:val="bottom"/>
            <w:hideMark/>
          </w:tcPr>
          <w:p w14:paraId="0C949B40"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18.2</w:t>
            </w:r>
          </w:p>
        </w:tc>
        <w:tc>
          <w:tcPr>
            <w:tcW w:w="1395" w:type="dxa"/>
            <w:tcBorders>
              <w:top w:val="nil"/>
            </w:tcBorders>
            <w:shd w:val="clear" w:color="auto" w:fill="auto"/>
            <w:noWrap/>
            <w:vAlign w:val="bottom"/>
            <w:hideMark/>
          </w:tcPr>
          <w:p w14:paraId="3C14A15E"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18</w:t>
            </w:r>
          </w:p>
        </w:tc>
        <w:tc>
          <w:tcPr>
            <w:tcW w:w="1163" w:type="dxa"/>
            <w:tcBorders>
              <w:top w:val="nil"/>
            </w:tcBorders>
            <w:shd w:val="clear" w:color="auto" w:fill="auto"/>
            <w:noWrap/>
            <w:vAlign w:val="bottom"/>
            <w:hideMark/>
          </w:tcPr>
          <w:p w14:paraId="7E7F790C"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0.47</w:t>
            </w:r>
          </w:p>
        </w:tc>
      </w:tr>
      <w:tr w:rsidR="00217D89" w:rsidRPr="007B6732" w14:paraId="3C3D3D64" w14:textId="77777777" w:rsidTr="000D65E1">
        <w:trPr>
          <w:trHeight w:val="300"/>
        </w:trPr>
        <w:tc>
          <w:tcPr>
            <w:tcW w:w="5118" w:type="dxa"/>
            <w:tcBorders>
              <w:top w:val="nil"/>
            </w:tcBorders>
            <w:shd w:val="clear" w:color="auto" w:fill="auto"/>
            <w:noWrap/>
            <w:vAlign w:val="bottom"/>
            <w:hideMark/>
          </w:tcPr>
          <w:p w14:paraId="576380FD"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Are patients well prepared for transition?</w:t>
            </w:r>
          </w:p>
        </w:tc>
        <w:tc>
          <w:tcPr>
            <w:tcW w:w="1273" w:type="dxa"/>
            <w:tcBorders>
              <w:top w:val="nil"/>
            </w:tcBorders>
            <w:shd w:val="clear" w:color="auto" w:fill="auto"/>
            <w:noWrap/>
            <w:vAlign w:val="bottom"/>
            <w:hideMark/>
          </w:tcPr>
          <w:p w14:paraId="1F585523"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56.8%</w:t>
            </w:r>
          </w:p>
        </w:tc>
        <w:tc>
          <w:tcPr>
            <w:tcW w:w="1395" w:type="dxa"/>
            <w:tcBorders>
              <w:top w:val="nil"/>
            </w:tcBorders>
            <w:shd w:val="clear" w:color="auto" w:fill="auto"/>
            <w:noWrap/>
            <w:vAlign w:val="bottom"/>
            <w:hideMark/>
          </w:tcPr>
          <w:p w14:paraId="1AC6D06C"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68.8%</w:t>
            </w:r>
          </w:p>
        </w:tc>
        <w:tc>
          <w:tcPr>
            <w:tcW w:w="1163" w:type="dxa"/>
            <w:tcBorders>
              <w:top w:val="nil"/>
            </w:tcBorders>
            <w:shd w:val="clear" w:color="auto" w:fill="auto"/>
            <w:noWrap/>
            <w:vAlign w:val="bottom"/>
            <w:hideMark/>
          </w:tcPr>
          <w:p w14:paraId="58367542"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0.4</w:t>
            </w:r>
          </w:p>
        </w:tc>
      </w:tr>
      <w:tr w:rsidR="00217D89" w:rsidRPr="007B6732" w14:paraId="7FA7A144" w14:textId="77777777" w:rsidTr="000D65E1">
        <w:trPr>
          <w:trHeight w:val="300"/>
        </w:trPr>
        <w:tc>
          <w:tcPr>
            <w:tcW w:w="5118" w:type="dxa"/>
            <w:tcBorders>
              <w:top w:val="nil"/>
            </w:tcBorders>
            <w:shd w:val="clear" w:color="auto" w:fill="auto"/>
            <w:noWrap/>
            <w:vAlign w:val="bottom"/>
            <w:hideMark/>
          </w:tcPr>
          <w:p w14:paraId="14690C0F"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Transition tools:</w:t>
            </w:r>
          </w:p>
        </w:tc>
        <w:tc>
          <w:tcPr>
            <w:tcW w:w="1273" w:type="dxa"/>
            <w:tcBorders>
              <w:top w:val="nil"/>
            </w:tcBorders>
            <w:shd w:val="clear" w:color="auto" w:fill="auto"/>
            <w:noWrap/>
            <w:vAlign w:val="bottom"/>
            <w:hideMark/>
          </w:tcPr>
          <w:p w14:paraId="1D00500D"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c>
          <w:tcPr>
            <w:tcW w:w="1395" w:type="dxa"/>
            <w:tcBorders>
              <w:top w:val="nil"/>
            </w:tcBorders>
            <w:shd w:val="clear" w:color="auto" w:fill="auto"/>
            <w:noWrap/>
            <w:vAlign w:val="bottom"/>
            <w:hideMark/>
          </w:tcPr>
          <w:p w14:paraId="300BC9D5"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c>
          <w:tcPr>
            <w:tcW w:w="1163" w:type="dxa"/>
            <w:tcBorders>
              <w:top w:val="nil"/>
            </w:tcBorders>
            <w:shd w:val="clear" w:color="auto" w:fill="auto"/>
            <w:noWrap/>
            <w:vAlign w:val="bottom"/>
            <w:hideMark/>
          </w:tcPr>
          <w:p w14:paraId="4F4AB251"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r>
      <w:tr w:rsidR="00217D89" w:rsidRPr="007B6732" w14:paraId="05438251" w14:textId="77777777" w:rsidTr="000D65E1">
        <w:trPr>
          <w:trHeight w:val="300"/>
        </w:trPr>
        <w:tc>
          <w:tcPr>
            <w:tcW w:w="5118" w:type="dxa"/>
            <w:tcBorders>
              <w:top w:val="nil"/>
            </w:tcBorders>
            <w:shd w:val="clear" w:color="auto" w:fill="auto"/>
            <w:noWrap/>
            <w:vAlign w:val="bottom"/>
            <w:hideMark/>
          </w:tcPr>
          <w:p w14:paraId="5CE2B7B8"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Transition programs</w:t>
            </w:r>
          </w:p>
        </w:tc>
        <w:tc>
          <w:tcPr>
            <w:tcW w:w="1273" w:type="dxa"/>
            <w:tcBorders>
              <w:top w:val="nil"/>
            </w:tcBorders>
            <w:shd w:val="clear" w:color="auto" w:fill="auto"/>
            <w:noWrap/>
            <w:vAlign w:val="bottom"/>
            <w:hideMark/>
          </w:tcPr>
          <w:p w14:paraId="00AEFE2A"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71.7%</w:t>
            </w:r>
          </w:p>
        </w:tc>
        <w:tc>
          <w:tcPr>
            <w:tcW w:w="1395" w:type="dxa"/>
            <w:tcBorders>
              <w:top w:val="nil"/>
            </w:tcBorders>
            <w:shd w:val="clear" w:color="auto" w:fill="auto"/>
            <w:noWrap/>
            <w:vAlign w:val="bottom"/>
            <w:hideMark/>
          </w:tcPr>
          <w:p w14:paraId="54594F73"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93.8%</w:t>
            </w:r>
          </w:p>
        </w:tc>
        <w:tc>
          <w:tcPr>
            <w:tcW w:w="1163" w:type="dxa"/>
            <w:tcBorders>
              <w:top w:val="nil"/>
            </w:tcBorders>
            <w:shd w:val="clear" w:color="auto" w:fill="auto"/>
            <w:noWrap/>
            <w:vAlign w:val="bottom"/>
            <w:hideMark/>
          </w:tcPr>
          <w:p w14:paraId="0149BF7B"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0.07</w:t>
            </w:r>
          </w:p>
        </w:tc>
      </w:tr>
      <w:tr w:rsidR="00217D89" w:rsidRPr="007B6732" w14:paraId="574A2244" w14:textId="77777777" w:rsidTr="000D65E1">
        <w:trPr>
          <w:trHeight w:val="300"/>
        </w:trPr>
        <w:tc>
          <w:tcPr>
            <w:tcW w:w="5118" w:type="dxa"/>
            <w:tcBorders>
              <w:top w:val="nil"/>
            </w:tcBorders>
            <w:shd w:val="clear" w:color="auto" w:fill="auto"/>
            <w:noWrap/>
            <w:vAlign w:val="bottom"/>
            <w:hideMark/>
          </w:tcPr>
          <w:p w14:paraId="09EB0C7C"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Medical summaries</w:t>
            </w:r>
          </w:p>
        </w:tc>
        <w:tc>
          <w:tcPr>
            <w:tcW w:w="1273" w:type="dxa"/>
            <w:tcBorders>
              <w:top w:val="nil"/>
            </w:tcBorders>
            <w:shd w:val="clear" w:color="auto" w:fill="auto"/>
            <w:noWrap/>
            <w:vAlign w:val="bottom"/>
            <w:hideMark/>
          </w:tcPr>
          <w:p w14:paraId="194AB2B8"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84.8%</w:t>
            </w:r>
          </w:p>
        </w:tc>
        <w:tc>
          <w:tcPr>
            <w:tcW w:w="1395" w:type="dxa"/>
            <w:tcBorders>
              <w:top w:val="nil"/>
            </w:tcBorders>
            <w:shd w:val="clear" w:color="auto" w:fill="auto"/>
            <w:noWrap/>
            <w:vAlign w:val="bottom"/>
            <w:hideMark/>
          </w:tcPr>
          <w:p w14:paraId="61B703DB"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62.5%</w:t>
            </w:r>
          </w:p>
        </w:tc>
        <w:tc>
          <w:tcPr>
            <w:tcW w:w="1163" w:type="dxa"/>
            <w:tcBorders>
              <w:top w:val="nil"/>
            </w:tcBorders>
            <w:shd w:val="clear" w:color="auto" w:fill="auto"/>
            <w:noWrap/>
            <w:vAlign w:val="bottom"/>
            <w:hideMark/>
          </w:tcPr>
          <w:p w14:paraId="451BD1BD"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0.06</w:t>
            </w:r>
          </w:p>
        </w:tc>
      </w:tr>
      <w:tr w:rsidR="00217D89" w:rsidRPr="007B6732" w14:paraId="036C301A" w14:textId="77777777" w:rsidTr="000D65E1">
        <w:trPr>
          <w:trHeight w:val="300"/>
        </w:trPr>
        <w:tc>
          <w:tcPr>
            <w:tcW w:w="5118" w:type="dxa"/>
            <w:tcBorders>
              <w:top w:val="nil"/>
            </w:tcBorders>
            <w:shd w:val="clear" w:color="auto" w:fill="auto"/>
            <w:noWrap/>
            <w:vAlign w:val="bottom"/>
            <w:hideMark/>
          </w:tcPr>
          <w:p w14:paraId="5211660A" w14:textId="77777777" w:rsidR="00217D89" w:rsidRPr="007B6732" w:rsidRDefault="00217D89" w:rsidP="0056175D">
            <w:pPr>
              <w:spacing w:line="360" w:lineRule="auto"/>
              <w:jc w:val="both"/>
              <w:rPr>
                <w:rFonts w:ascii="Book Antiqua" w:eastAsia="Times New Roman" w:hAnsi="Book Antiqua"/>
                <w:b/>
                <w:bCs/>
                <w:color w:val="000000"/>
                <w:lang w:val="en-CA"/>
              </w:rPr>
            </w:pPr>
            <w:r w:rsidRPr="007B6732">
              <w:rPr>
                <w:rFonts w:ascii="Book Antiqua" w:eastAsia="Times New Roman" w:hAnsi="Book Antiqua"/>
                <w:b/>
                <w:bCs/>
                <w:color w:val="000000"/>
                <w:lang w:val="en-CA"/>
              </w:rPr>
              <w:t xml:space="preserve">Transition clinics </w:t>
            </w:r>
          </w:p>
        </w:tc>
        <w:tc>
          <w:tcPr>
            <w:tcW w:w="1273" w:type="dxa"/>
            <w:tcBorders>
              <w:top w:val="nil"/>
            </w:tcBorders>
            <w:shd w:val="clear" w:color="auto" w:fill="auto"/>
            <w:noWrap/>
            <w:vAlign w:val="bottom"/>
            <w:hideMark/>
          </w:tcPr>
          <w:p w14:paraId="00847796" w14:textId="77777777" w:rsidR="00217D89" w:rsidRPr="007B6732" w:rsidRDefault="00217D89" w:rsidP="0056175D">
            <w:pPr>
              <w:spacing w:line="360" w:lineRule="auto"/>
              <w:jc w:val="both"/>
              <w:rPr>
                <w:rFonts w:ascii="Book Antiqua" w:eastAsia="Times New Roman" w:hAnsi="Book Antiqua"/>
                <w:b/>
                <w:bCs/>
                <w:i/>
                <w:iCs/>
                <w:color w:val="000000"/>
                <w:lang w:val="en-CA"/>
              </w:rPr>
            </w:pPr>
            <w:r w:rsidRPr="007B6732">
              <w:rPr>
                <w:rFonts w:ascii="Book Antiqua" w:eastAsia="Times New Roman" w:hAnsi="Book Antiqua"/>
                <w:b/>
                <w:bCs/>
                <w:color w:val="000000"/>
                <w:lang w:val="en-CA"/>
              </w:rPr>
              <w:t>21.7%</w:t>
            </w:r>
          </w:p>
        </w:tc>
        <w:tc>
          <w:tcPr>
            <w:tcW w:w="1395" w:type="dxa"/>
            <w:tcBorders>
              <w:top w:val="nil"/>
            </w:tcBorders>
            <w:shd w:val="clear" w:color="auto" w:fill="auto"/>
            <w:noWrap/>
            <w:vAlign w:val="bottom"/>
            <w:hideMark/>
          </w:tcPr>
          <w:p w14:paraId="74EC62D2" w14:textId="77777777" w:rsidR="00217D89" w:rsidRPr="007B6732" w:rsidRDefault="00217D89" w:rsidP="0056175D">
            <w:pPr>
              <w:spacing w:line="360" w:lineRule="auto"/>
              <w:jc w:val="both"/>
              <w:rPr>
                <w:rFonts w:ascii="Book Antiqua" w:eastAsia="Times New Roman" w:hAnsi="Book Antiqua"/>
                <w:b/>
                <w:bCs/>
                <w:i/>
                <w:iCs/>
                <w:color w:val="000000"/>
                <w:lang w:val="en-CA"/>
              </w:rPr>
            </w:pPr>
            <w:r w:rsidRPr="007B6732">
              <w:rPr>
                <w:rFonts w:ascii="Book Antiqua" w:eastAsia="Times New Roman" w:hAnsi="Book Antiqua"/>
                <w:b/>
                <w:bCs/>
                <w:color w:val="000000"/>
                <w:lang w:val="en-CA"/>
              </w:rPr>
              <w:t>68.8%</w:t>
            </w:r>
          </w:p>
        </w:tc>
        <w:tc>
          <w:tcPr>
            <w:tcW w:w="1163" w:type="dxa"/>
            <w:tcBorders>
              <w:top w:val="nil"/>
            </w:tcBorders>
            <w:shd w:val="clear" w:color="auto" w:fill="auto"/>
            <w:noWrap/>
            <w:vAlign w:val="bottom"/>
            <w:hideMark/>
          </w:tcPr>
          <w:p w14:paraId="2B980E60" w14:textId="12AF2083" w:rsidR="00217D89" w:rsidRPr="007B6732" w:rsidRDefault="00217D89" w:rsidP="0056175D">
            <w:pPr>
              <w:spacing w:line="360" w:lineRule="auto"/>
              <w:jc w:val="both"/>
              <w:rPr>
                <w:rFonts w:ascii="Book Antiqua" w:eastAsia="Times New Roman" w:hAnsi="Book Antiqua"/>
                <w:b/>
                <w:bCs/>
                <w:i/>
                <w:iCs/>
                <w:color w:val="000000"/>
                <w:lang w:val="en-CA"/>
              </w:rPr>
            </w:pPr>
            <w:r w:rsidRPr="007B6732">
              <w:rPr>
                <w:rFonts w:ascii="Book Antiqua" w:eastAsia="Times New Roman" w:hAnsi="Book Antiqua"/>
                <w:b/>
                <w:bCs/>
                <w:color w:val="000000"/>
                <w:lang w:val="en-CA"/>
              </w:rPr>
              <w:t>0.0006</w:t>
            </w:r>
            <w:r w:rsidR="000D65E1" w:rsidRPr="007B6732">
              <w:rPr>
                <w:rFonts w:ascii="Book Antiqua" w:eastAsia="SimSun" w:hAnsi="Book Antiqua" w:hint="eastAsia"/>
                <w:b/>
                <w:vertAlign w:val="superscript"/>
                <w:lang w:eastAsia="zh-CN"/>
              </w:rPr>
              <w:t>1</w:t>
            </w:r>
          </w:p>
        </w:tc>
      </w:tr>
      <w:tr w:rsidR="00217D89" w:rsidRPr="007B6732" w14:paraId="1C382DA6" w14:textId="77777777" w:rsidTr="000D65E1">
        <w:trPr>
          <w:trHeight w:val="300"/>
        </w:trPr>
        <w:tc>
          <w:tcPr>
            <w:tcW w:w="5118" w:type="dxa"/>
            <w:tcBorders>
              <w:top w:val="nil"/>
            </w:tcBorders>
            <w:shd w:val="clear" w:color="auto" w:fill="auto"/>
            <w:noWrap/>
            <w:vAlign w:val="bottom"/>
            <w:hideMark/>
          </w:tcPr>
          <w:p w14:paraId="687E03E6"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Pre rendezvous checklists</w:t>
            </w:r>
          </w:p>
        </w:tc>
        <w:tc>
          <w:tcPr>
            <w:tcW w:w="1273" w:type="dxa"/>
            <w:tcBorders>
              <w:top w:val="nil"/>
            </w:tcBorders>
            <w:shd w:val="clear" w:color="auto" w:fill="auto"/>
            <w:noWrap/>
            <w:vAlign w:val="bottom"/>
            <w:hideMark/>
          </w:tcPr>
          <w:p w14:paraId="45688012"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47.8%</w:t>
            </w:r>
          </w:p>
        </w:tc>
        <w:tc>
          <w:tcPr>
            <w:tcW w:w="1395" w:type="dxa"/>
            <w:tcBorders>
              <w:top w:val="nil"/>
            </w:tcBorders>
            <w:shd w:val="clear" w:color="auto" w:fill="auto"/>
            <w:noWrap/>
            <w:vAlign w:val="bottom"/>
            <w:hideMark/>
          </w:tcPr>
          <w:p w14:paraId="5506137F"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56.3%</w:t>
            </w:r>
          </w:p>
        </w:tc>
        <w:tc>
          <w:tcPr>
            <w:tcW w:w="1163" w:type="dxa"/>
            <w:tcBorders>
              <w:top w:val="nil"/>
            </w:tcBorders>
            <w:shd w:val="clear" w:color="auto" w:fill="auto"/>
            <w:noWrap/>
            <w:vAlign w:val="bottom"/>
            <w:hideMark/>
          </w:tcPr>
          <w:p w14:paraId="6526CA9F"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0.56</w:t>
            </w:r>
          </w:p>
        </w:tc>
      </w:tr>
      <w:tr w:rsidR="00217D89" w:rsidRPr="007B6732" w14:paraId="45924C0F" w14:textId="77777777" w:rsidTr="000D65E1">
        <w:trPr>
          <w:trHeight w:val="300"/>
        </w:trPr>
        <w:tc>
          <w:tcPr>
            <w:tcW w:w="5118" w:type="dxa"/>
            <w:tcBorders>
              <w:top w:val="nil"/>
            </w:tcBorders>
            <w:shd w:val="clear" w:color="auto" w:fill="auto"/>
            <w:noWrap/>
            <w:vAlign w:val="bottom"/>
            <w:hideMark/>
          </w:tcPr>
          <w:p w14:paraId="323C04C2"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Training and resources:</w:t>
            </w:r>
          </w:p>
        </w:tc>
        <w:tc>
          <w:tcPr>
            <w:tcW w:w="1273" w:type="dxa"/>
            <w:tcBorders>
              <w:top w:val="nil"/>
            </w:tcBorders>
            <w:shd w:val="clear" w:color="auto" w:fill="auto"/>
            <w:noWrap/>
            <w:vAlign w:val="bottom"/>
            <w:hideMark/>
          </w:tcPr>
          <w:p w14:paraId="438F5CF2"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c>
          <w:tcPr>
            <w:tcW w:w="1395" w:type="dxa"/>
            <w:tcBorders>
              <w:top w:val="nil"/>
            </w:tcBorders>
            <w:shd w:val="clear" w:color="auto" w:fill="auto"/>
            <w:noWrap/>
            <w:vAlign w:val="bottom"/>
            <w:hideMark/>
          </w:tcPr>
          <w:p w14:paraId="6DED7AEA"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c>
          <w:tcPr>
            <w:tcW w:w="1163" w:type="dxa"/>
            <w:tcBorders>
              <w:top w:val="nil"/>
            </w:tcBorders>
            <w:shd w:val="clear" w:color="auto" w:fill="auto"/>
            <w:noWrap/>
            <w:vAlign w:val="bottom"/>
            <w:hideMark/>
          </w:tcPr>
          <w:p w14:paraId="4A915C64"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w:t>
            </w:r>
          </w:p>
        </w:tc>
      </w:tr>
      <w:tr w:rsidR="00217D89" w:rsidRPr="007B6732" w14:paraId="674F6177" w14:textId="77777777" w:rsidTr="000D65E1">
        <w:trPr>
          <w:trHeight w:val="300"/>
        </w:trPr>
        <w:tc>
          <w:tcPr>
            <w:tcW w:w="5118" w:type="dxa"/>
            <w:tcBorders>
              <w:top w:val="nil"/>
            </w:tcBorders>
            <w:shd w:val="clear" w:color="auto" w:fill="auto"/>
            <w:noWrap/>
            <w:vAlign w:val="bottom"/>
            <w:hideMark/>
          </w:tcPr>
          <w:p w14:paraId="187CAC3A" w14:textId="7777777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 xml:space="preserve">Adequate training </w:t>
            </w:r>
          </w:p>
        </w:tc>
        <w:tc>
          <w:tcPr>
            <w:tcW w:w="1273" w:type="dxa"/>
            <w:tcBorders>
              <w:top w:val="nil"/>
            </w:tcBorders>
            <w:shd w:val="clear" w:color="auto" w:fill="auto"/>
            <w:noWrap/>
            <w:vAlign w:val="bottom"/>
            <w:hideMark/>
          </w:tcPr>
          <w:p w14:paraId="01E7D935"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78.3%</w:t>
            </w:r>
          </w:p>
        </w:tc>
        <w:tc>
          <w:tcPr>
            <w:tcW w:w="1395" w:type="dxa"/>
            <w:tcBorders>
              <w:top w:val="nil"/>
            </w:tcBorders>
            <w:shd w:val="clear" w:color="auto" w:fill="auto"/>
            <w:noWrap/>
            <w:vAlign w:val="bottom"/>
            <w:hideMark/>
          </w:tcPr>
          <w:p w14:paraId="36847935"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100%</w:t>
            </w:r>
          </w:p>
        </w:tc>
        <w:tc>
          <w:tcPr>
            <w:tcW w:w="1163" w:type="dxa"/>
            <w:tcBorders>
              <w:top w:val="nil"/>
            </w:tcBorders>
            <w:shd w:val="clear" w:color="auto" w:fill="auto"/>
            <w:noWrap/>
            <w:vAlign w:val="bottom"/>
            <w:hideMark/>
          </w:tcPr>
          <w:p w14:paraId="132AAD84"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0.1</w:t>
            </w:r>
          </w:p>
        </w:tc>
      </w:tr>
      <w:tr w:rsidR="00217D89" w:rsidRPr="007B6732" w14:paraId="3859CA74" w14:textId="77777777" w:rsidTr="000D65E1">
        <w:trPr>
          <w:trHeight w:val="300"/>
        </w:trPr>
        <w:tc>
          <w:tcPr>
            <w:tcW w:w="5118" w:type="dxa"/>
            <w:tcBorders>
              <w:top w:val="nil"/>
              <w:bottom w:val="single" w:sz="4" w:space="0" w:color="auto"/>
            </w:tcBorders>
            <w:shd w:val="clear" w:color="auto" w:fill="auto"/>
            <w:noWrap/>
            <w:vAlign w:val="bottom"/>
            <w:hideMark/>
          </w:tcPr>
          <w:p w14:paraId="6B5AFB21" w14:textId="77777777" w:rsidR="00217D89" w:rsidRPr="007B6732" w:rsidRDefault="00217D89" w:rsidP="0056175D">
            <w:pPr>
              <w:spacing w:line="360" w:lineRule="auto"/>
              <w:jc w:val="both"/>
              <w:rPr>
                <w:rFonts w:ascii="Book Antiqua" w:eastAsia="Times New Roman" w:hAnsi="Book Antiqua"/>
                <w:b/>
                <w:bCs/>
                <w:color w:val="000000"/>
                <w:lang w:val="en-CA"/>
              </w:rPr>
            </w:pPr>
            <w:r w:rsidRPr="007B6732">
              <w:rPr>
                <w:rFonts w:ascii="Book Antiqua" w:eastAsia="Times New Roman" w:hAnsi="Book Antiqua"/>
                <w:b/>
                <w:bCs/>
                <w:color w:val="000000"/>
                <w:lang w:val="en-CA"/>
              </w:rPr>
              <w:t xml:space="preserve">Sufficient resources </w:t>
            </w:r>
          </w:p>
        </w:tc>
        <w:tc>
          <w:tcPr>
            <w:tcW w:w="1273" w:type="dxa"/>
            <w:tcBorders>
              <w:top w:val="nil"/>
              <w:bottom w:val="single" w:sz="4" w:space="0" w:color="auto"/>
            </w:tcBorders>
            <w:shd w:val="clear" w:color="auto" w:fill="auto"/>
            <w:noWrap/>
            <w:vAlign w:val="bottom"/>
            <w:hideMark/>
          </w:tcPr>
          <w:p w14:paraId="1C610638" w14:textId="77777777" w:rsidR="00217D89" w:rsidRPr="007B6732" w:rsidRDefault="00217D89" w:rsidP="0056175D">
            <w:pPr>
              <w:spacing w:line="360" w:lineRule="auto"/>
              <w:jc w:val="both"/>
              <w:rPr>
                <w:rFonts w:ascii="Book Antiqua" w:eastAsia="Times New Roman" w:hAnsi="Book Antiqua"/>
                <w:b/>
                <w:bCs/>
                <w:i/>
                <w:iCs/>
                <w:color w:val="000000"/>
                <w:lang w:val="en-CA"/>
              </w:rPr>
            </w:pPr>
            <w:r w:rsidRPr="007B6732">
              <w:rPr>
                <w:rFonts w:ascii="Book Antiqua" w:eastAsia="Times New Roman" w:hAnsi="Book Antiqua"/>
                <w:b/>
                <w:bCs/>
                <w:color w:val="000000"/>
                <w:lang w:val="en-CA"/>
              </w:rPr>
              <w:t>55.6%</w:t>
            </w:r>
          </w:p>
        </w:tc>
        <w:tc>
          <w:tcPr>
            <w:tcW w:w="1395" w:type="dxa"/>
            <w:tcBorders>
              <w:top w:val="nil"/>
              <w:bottom w:val="single" w:sz="4" w:space="0" w:color="auto"/>
            </w:tcBorders>
            <w:shd w:val="clear" w:color="auto" w:fill="auto"/>
            <w:noWrap/>
            <w:vAlign w:val="bottom"/>
            <w:hideMark/>
          </w:tcPr>
          <w:p w14:paraId="5138551B" w14:textId="77777777" w:rsidR="00217D89" w:rsidRPr="007B6732" w:rsidRDefault="00217D89" w:rsidP="0056175D">
            <w:pPr>
              <w:spacing w:line="360" w:lineRule="auto"/>
              <w:jc w:val="both"/>
              <w:rPr>
                <w:rFonts w:ascii="Book Antiqua" w:eastAsia="Times New Roman" w:hAnsi="Book Antiqua"/>
                <w:b/>
                <w:bCs/>
                <w:i/>
                <w:iCs/>
                <w:color w:val="000000"/>
                <w:lang w:val="en-CA"/>
              </w:rPr>
            </w:pPr>
            <w:r w:rsidRPr="007B6732">
              <w:rPr>
                <w:rFonts w:ascii="Book Antiqua" w:eastAsia="Times New Roman" w:hAnsi="Book Antiqua"/>
                <w:b/>
                <w:bCs/>
                <w:color w:val="000000"/>
                <w:lang w:val="en-CA"/>
              </w:rPr>
              <w:t>90.9%</w:t>
            </w:r>
          </w:p>
        </w:tc>
        <w:tc>
          <w:tcPr>
            <w:tcW w:w="1163" w:type="dxa"/>
            <w:tcBorders>
              <w:top w:val="nil"/>
              <w:bottom w:val="single" w:sz="4" w:space="0" w:color="auto"/>
            </w:tcBorders>
            <w:shd w:val="clear" w:color="auto" w:fill="auto"/>
            <w:noWrap/>
            <w:vAlign w:val="bottom"/>
            <w:hideMark/>
          </w:tcPr>
          <w:p w14:paraId="7925C093" w14:textId="1D44832F" w:rsidR="00217D89" w:rsidRPr="007B6732" w:rsidRDefault="00217D89" w:rsidP="0056175D">
            <w:pPr>
              <w:spacing w:line="360" w:lineRule="auto"/>
              <w:jc w:val="both"/>
              <w:rPr>
                <w:rFonts w:ascii="Book Antiqua" w:eastAsia="Times New Roman" w:hAnsi="Book Antiqua"/>
                <w:b/>
                <w:bCs/>
                <w:i/>
                <w:iCs/>
                <w:color w:val="000000"/>
                <w:lang w:val="en-CA"/>
              </w:rPr>
            </w:pPr>
            <w:r w:rsidRPr="007B6732">
              <w:rPr>
                <w:rFonts w:ascii="Book Antiqua" w:eastAsia="Times New Roman" w:hAnsi="Book Antiqua"/>
                <w:b/>
                <w:bCs/>
                <w:color w:val="000000"/>
                <w:lang w:val="en-CA"/>
              </w:rPr>
              <w:t>0.0016</w:t>
            </w:r>
            <w:r w:rsidR="000D65E1" w:rsidRPr="007B6732">
              <w:rPr>
                <w:rFonts w:ascii="Book Antiqua" w:eastAsia="SimSun" w:hAnsi="Book Antiqua" w:hint="eastAsia"/>
                <w:b/>
                <w:vertAlign w:val="superscript"/>
                <w:lang w:eastAsia="zh-CN"/>
              </w:rPr>
              <w:t>1</w:t>
            </w:r>
          </w:p>
        </w:tc>
      </w:tr>
    </w:tbl>
    <w:p w14:paraId="67B89224" w14:textId="686960B6" w:rsidR="00217D89" w:rsidRPr="007B6732" w:rsidRDefault="000D65E1" w:rsidP="0056175D">
      <w:pPr>
        <w:spacing w:line="360" w:lineRule="auto"/>
        <w:jc w:val="both"/>
        <w:rPr>
          <w:rFonts w:ascii="Book Antiqua" w:eastAsia="SimSun" w:hAnsi="Book Antiqua"/>
          <w:lang w:eastAsia="zh-CN"/>
        </w:rPr>
      </w:pPr>
      <w:r w:rsidRPr="007B6732">
        <w:rPr>
          <w:rFonts w:ascii="Book Antiqua" w:eastAsia="SimSun" w:hAnsi="Book Antiqua" w:hint="eastAsia"/>
          <w:vertAlign w:val="superscript"/>
          <w:lang w:eastAsia="zh-CN"/>
        </w:rPr>
        <w:t>1</w:t>
      </w:r>
      <w:r w:rsidR="00217D89" w:rsidRPr="007B6732">
        <w:rPr>
          <w:rFonts w:ascii="Book Antiqua" w:hAnsi="Book Antiqua"/>
        </w:rPr>
        <w:t xml:space="preserve">Variable statistically significant with </w:t>
      </w:r>
      <w:r w:rsidR="00217D89" w:rsidRPr="007B6732">
        <w:rPr>
          <w:rFonts w:ascii="Book Antiqua" w:hAnsi="Book Antiqua"/>
          <w:i/>
        </w:rPr>
        <w:t>P</w:t>
      </w:r>
      <w:r w:rsidR="00217D89" w:rsidRPr="007B6732">
        <w:rPr>
          <w:rFonts w:ascii="Book Antiqua" w:hAnsi="Book Antiqua"/>
        </w:rPr>
        <w:t xml:space="preserve"> value &lt; 0.05</w:t>
      </w:r>
      <w:r w:rsidRPr="007B6732">
        <w:rPr>
          <w:rFonts w:ascii="Book Antiqua" w:eastAsia="SimSun" w:hAnsi="Book Antiqua" w:hint="eastAsia"/>
          <w:lang w:eastAsia="zh-CN"/>
        </w:rPr>
        <w:t>.</w:t>
      </w:r>
    </w:p>
    <w:p w14:paraId="2ECB4C4A" w14:textId="2DB020A0" w:rsidR="000D65E1" w:rsidRPr="007B6732" w:rsidRDefault="000D65E1">
      <w:pPr>
        <w:rPr>
          <w:rFonts w:ascii="Book Antiqua" w:hAnsi="Book Antiqua"/>
          <w:b/>
        </w:rPr>
      </w:pPr>
      <w:r w:rsidRPr="007B6732">
        <w:rPr>
          <w:rFonts w:ascii="Book Antiqua" w:hAnsi="Book Antiqua"/>
          <w:b/>
        </w:rPr>
        <w:br w:type="page"/>
      </w:r>
    </w:p>
    <w:p w14:paraId="58E0734A" w14:textId="77777777" w:rsidR="00217D89" w:rsidRPr="007B6732" w:rsidRDefault="00217D89" w:rsidP="0056175D">
      <w:pPr>
        <w:spacing w:line="360" w:lineRule="auto"/>
        <w:jc w:val="both"/>
        <w:rPr>
          <w:rFonts w:ascii="Book Antiqua" w:hAnsi="Book Antiqua"/>
          <w:b/>
        </w:rPr>
      </w:pPr>
    </w:p>
    <w:tbl>
      <w:tblPr>
        <w:tblW w:w="7812" w:type="dxa"/>
        <w:tblInd w:w="93" w:type="dxa"/>
        <w:tblLook w:val="04A0" w:firstRow="1" w:lastRow="0" w:firstColumn="1" w:lastColumn="0" w:noHBand="0" w:noVBand="1"/>
      </w:tblPr>
      <w:tblGrid>
        <w:gridCol w:w="4020"/>
        <w:gridCol w:w="2232"/>
        <w:gridCol w:w="1560"/>
      </w:tblGrid>
      <w:tr w:rsidR="00217D89" w:rsidRPr="007B6732" w14:paraId="63C73F28" w14:textId="77777777" w:rsidTr="00D06F5F">
        <w:trPr>
          <w:trHeight w:val="300"/>
        </w:trPr>
        <w:tc>
          <w:tcPr>
            <w:tcW w:w="4020" w:type="dxa"/>
            <w:tcBorders>
              <w:top w:val="nil"/>
              <w:left w:val="nil"/>
              <w:bottom w:val="single" w:sz="4" w:space="0" w:color="auto"/>
              <w:right w:val="nil"/>
            </w:tcBorders>
            <w:shd w:val="clear" w:color="auto" w:fill="auto"/>
            <w:noWrap/>
            <w:vAlign w:val="bottom"/>
            <w:hideMark/>
          </w:tcPr>
          <w:p w14:paraId="483A8B39" w14:textId="64F3CA07" w:rsidR="00217D89" w:rsidRPr="007B6732" w:rsidRDefault="00217D89" w:rsidP="000D65E1">
            <w:pPr>
              <w:spacing w:line="360" w:lineRule="auto"/>
              <w:jc w:val="both"/>
              <w:rPr>
                <w:rFonts w:ascii="Book Antiqua" w:eastAsia="Times New Roman" w:hAnsi="Book Antiqua"/>
                <w:b/>
                <w:bCs/>
                <w:color w:val="000000"/>
                <w:lang w:val="en-CA"/>
              </w:rPr>
            </w:pPr>
            <w:r w:rsidRPr="007B6732">
              <w:rPr>
                <w:rFonts w:ascii="Book Antiqua" w:eastAsia="Times New Roman" w:hAnsi="Book Antiqua"/>
                <w:b/>
                <w:bCs/>
                <w:color w:val="000000"/>
                <w:lang w:val="en-CA"/>
              </w:rPr>
              <w:t>Table 3</w:t>
            </w:r>
            <w:r w:rsidR="000D65E1" w:rsidRPr="007B6732">
              <w:rPr>
                <w:rFonts w:ascii="Book Antiqua" w:eastAsia="SimSun" w:hAnsi="Book Antiqua" w:hint="eastAsia"/>
                <w:b/>
                <w:bCs/>
                <w:color w:val="000000"/>
                <w:lang w:val="en-CA" w:eastAsia="zh-CN"/>
              </w:rPr>
              <w:t xml:space="preserve"> </w:t>
            </w:r>
            <w:r w:rsidRPr="007B6732">
              <w:rPr>
                <w:rFonts w:ascii="Book Antiqua" w:eastAsia="Times New Roman" w:hAnsi="Book Antiqua"/>
                <w:b/>
                <w:bCs/>
                <w:color w:val="000000"/>
                <w:lang w:val="en-CA"/>
              </w:rPr>
              <w:t xml:space="preserve">Training and resources </w:t>
            </w:r>
          </w:p>
        </w:tc>
        <w:tc>
          <w:tcPr>
            <w:tcW w:w="2232" w:type="dxa"/>
            <w:tcBorders>
              <w:top w:val="nil"/>
              <w:left w:val="nil"/>
              <w:bottom w:val="single" w:sz="4" w:space="0" w:color="auto"/>
              <w:right w:val="nil"/>
            </w:tcBorders>
            <w:shd w:val="clear" w:color="auto" w:fill="auto"/>
            <w:noWrap/>
            <w:vAlign w:val="bottom"/>
            <w:hideMark/>
          </w:tcPr>
          <w:p w14:paraId="08FBE978" w14:textId="77777777" w:rsidR="00217D89" w:rsidRPr="007B6732" w:rsidRDefault="00217D89" w:rsidP="0056175D">
            <w:pPr>
              <w:spacing w:line="360" w:lineRule="auto"/>
              <w:jc w:val="both"/>
              <w:rPr>
                <w:rFonts w:ascii="Book Antiqua" w:eastAsia="Times New Roman" w:hAnsi="Book Antiqua"/>
                <w:color w:val="000000"/>
                <w:lang w:val="en-CA"/>
              </w:rPr>
            </w:pPr>
          </w:p>
        </w:tc>
        <w:tc>
          <w:tcPr>
            <w:tcW w:w="1560" w:type="dxa"/>
            <w:tcBorders>
              <w:top w:val="nil"/>
              <w:left w:val="nil"/>
              <w:bottom w:val="single" w:sz="4" w:space="0" w:color="auto"/>
              <w:right w:val="nil"/>
            </w:tcBorders>
            <w:shd w:val="clear" w:color="auto" w:fill="auto"/>
            <w:noWrap/>
            <w:vAlign w:val="bottom"/>
            <w:hideMark/>
          </w:tcPr>
          <w:p w14:paraId="43385951" w14:textId="77777777" w:rsidR="00217D89" w:rsidRPr="007B6732" w:rsidRDefault="00217D89" w:rsidP="0056175D">
            <w:pPr>
              <w:spacing w:line="360" w:lineRule="auto"/>
              <w:jc w:val="both"/>
              <w:rPr>
                <w:rFonts w:ascii="Book Antiqua" w:eastAsia="Times New Roman" w:hAnsi="Book Antiqua"/>
                <w:color w:val="000000"/>
                <w:lang w:val="en-CA"/>
              </w:rPr>
            </w:pPr>
          </w:p>
        </w:tc>
      </w:tr>
      <w:tr w:rsidR="00217D89" w:rsidRPr="007B6732" w14:paraId="78770CDC" w14:textId="77777777" w:rsidTr="00D06F5F">
        <w:trPr>
          <w:trHeight w:val="300"/>
        </w:trPr>
        <w:tc>
          <w:tcPr>
            <w:tcW w:w="4020" w:type="dxa"/>
            <w:tcBorders>
              <w:top w:val="single" w:sz="4" w:space="0" w:color="auto"/>
              <w:bottom w:val="single" w:sz="4" w:space="0" w:color="auto"/>
            </w:tcBorders>
            <w:shd w:val="clear" w:color="auto" w:fill="auto"/>
            <w:noWrap/>
            <w:vAlign w:val="bottom"/>
            <w:hideMark/>
          </w:tcPr>
          <w:p w14:paraId="6DCECD5A" w14:textId="77777777" w:rsidR="00217D89" w:rsidRPr="007B6732" w:rsidRDefault="00217D89" w:rsidP="0056175D">
            <w:pPr>
              <w:spacing w:line="360" w:lineRule="auto"/>
              <w:jc w:val="both"/>
              <w:rPr>
                <w:rFonts w:ascii="Book Antiqua" w:eastAsia="Times New Roman" w:hAnsi="Book Antiqua"/>
                <w:b/>
                <w:color w:val="000000"/>
                <w:lang w:val="en-CA"/>
              </w:rPr>
            </w:pPr>
            <w:r w:rsidRPr="007B6732">
              <w:rPr>
                <w:rFonts w:ascii="Book Antiqua" w:eastAsia="Times New Roman" w:hAnsi="Book Antiqua"/>
                <w:b/>
                <w:color w:val="000000"/>
                <w:lang w:val="en-CA"/>
              </w:rPr>
              <w:t> </w:t>
            </w:r>
          </w:p>
        </w:tc>
        <w:tc>
          <w:tcPr>
            <w:tcW w:w="2232" w:type="dxa"/>
            <w:tcBorders>
              <w:top w:val="single" w:sz="4" w:space="0" w:color="auto"/>
              <w:bottom w:val="single" w:sz="4" w:space="0" w:color="auto"/>
            </w:tcBorders>
            <w:shd w:val="clear" w:color="auto" w:fill="auto"/>
            <w:noWrap/>
            <w:vAlign w:val="bottom"/>
            <w:hideMark/>
          </w:tcPr>
          <w:p w14:paraId="31A8DE26" w14:textId="518C5510" w:rsidR="00217D89" w:rsidRPr="007B6732" w:rsidRDefault="00D06F5F" w:rsidP="00D06F5F">
            <w:pPr>
              <w:spacing w:line="360" w:lineRule="auto"/>
              <w:ind w:firstLineChars="49" w:firstLine="118"/>
              <w:jc w:val="both"/>
              <w:rPr>
                <w:rFonts w:ascii="Book Antiqua" w:eastAsia="Times New Roman" w:hAnsi="Book Antiqua"/>
                <w:b/>
                <w:color w:val="000000"/>
                <w:lang w:val="en-CA"/>
              </w:rPr>
            </w:pPr>
            <w:r w:rsidRPr="007B6732">
              <w:rPr>
                <w:rFonts w:ascii="Book Antiqua" w:eastAsia="Times New Roman" w:hAnsi="Book Antiqua"/>
                <w:b/>
                <w:color w:val="000000"/>
                <w:lang w:val="en-CA"/>
              </w:rPr>
              <w:t>R</w:t>
            </w:r>
            <w:r w:rsidR="00217D89" w:rsidRPr="007B6732">
              <w:rPr>
                <w:rFonts w:ascii="Book Antiqua" w:eastAsia="Times New Roman" w:hAnsi="Book Antiqua"/>
                <w:b/>
                <w:color w:val="000000"/>
                <w:lang w:val="en-CA"/>
              </w:rPr>
              <w:t xml:space="preserve">espondents </w:t>
            </w:r>
          </w:p>
        </w:tc>
        <w:tc>
          <w:tcPr>
            <w:tcW w:w="1560" w:type="dxa"/>
            <w:tcBorders>
              <w:top w:val="single" w:sz="4" w:space="0" w:color="auto"/>
              <w:bottom w:val="single" w:sz="4" w:space="0" w:color="auto"/>
            </w:tcBorders>
            <w:shd w:val="clear" w:color="auto" w:fill="auto"/>
            <w:noWrap/>
            <w:vAlign w:val="bottom"/>
            <w:hideMark/>
          </w:tcPr>
          <w:p w14:paraId="365F1360" w14:textId="77777777" w:rsidR="00217D89" w:rsidRPr="007B6732" w:rsidRDefault="00217D89" w:rsidP="0056175D">
            <w:pPr>
              <w:spacing w:line="360" w:lineRule="auto"/>
              <w:jc w:val="both"/>
              <w:rPr>
                <w:rFonts w:ascii="Book Antiqua" w:eastAsia="Times New Roman" w:hAnsi="Book Antiqua"/>
                <w:b/>
                <w:color w:val="000000"/>
                <w:lang w:val="en-CA"/>
              </w:rPr>
            </w:pPr>
            <w:r w:rsidRPr="007B6732">
              <w:rPr>
                <w:rFonts w:ascii="Book Antiqua" w:eastAsia="Times New Roman" w:hAnsi="Book Antiqua"/>
                <w:b/>
                <w:color w:val="000000"/>
                <w:lang w:val="en-CA"/>
              </w:rPr>
              <w:t>Percentage</w:t>
            </w:r>
          </w:p>
        </w:tc>
      </w:tr>
      <w:tr w:rsidR="00217D89" w:rsidRPr="007B6732" w14:paraId="6BFCEA72" w14:textId="77777777" w:rsidTr="00D06F5F">
        <w:trPr>
          <w:trHeight w:val="300"/>
        </w:trPr>
        <w:tc>
          <w:tcPr>
            <w:tcW w:w="4020" w:type="dxa"/>
            <w:tcBorders>
              <w:top w:val="single" w:sz="4" w:space="0" w:color="auto"/>
            </w:tcBorders>
            <w:shd w:val="clear" w:color="auto" w:fill="auto"/>
            <w:noWrap/>
            <w:vAlign w:val="bottom"/>
            <w:hideMark/>
          </w:tcPr>
          <w:p w14:paraId="0A353C9A" w14:textId="778F49F9"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Adequate training (</w:t>
            </w:r>
            <w:r w:rsidRPr="007B6732">
              <w:rPr>
                <w:rFonts w:ascii="Book Antiqua" w:eastAsia="Times New Roman" w:hAnsi="Book Antiqua"/>
                <w:i/>
                <w:color w:val="000000"/>
                <w:lang w:val="en-CA"/>
              </w:rPr>
              <w:t>n</w:t>
            </w:r>
            <w:r w:rsidR="000D65E1" w:rsidRPr="007B6732">
              <w:rPr>
                <w:rFonts w:ascii="Book Antiqua" w:eastAsia="SimSun" w:hAnsi="Book Antiqua" w:hint="eastAsia"/>
                <w:color w:val="000000"/>
                <w:lang w:val="en-CA" w:eastAsia="zh-CN"/>
              </w:rPr>
              <w:t xml:space="preserve"> </w:t>
            </w:r>
            <w:r w:rsidRPr="007B6732">
              <w:rPr>
                <w:rFonts w:ascii="Book Antiqua" w:eastAsia="Times New Roman" w:hAnsi="Book Antiqua"/>
                <w:color w:val="000000"/>
                <w:lang w:val="en-CA"/>
              </w:rPr>
              <w:t>=</w:t>
            </w:r>
            <w:r w:rsidR="000D65E1" w:rsidRPr="007B6732">
              <w:rPr>
                <w:rFonts w:ascii="Book Antiqua" w:eastAsia="SimSun" w:hAnsi="Book Antiqua" w:hint="eastAsia"/>
                <w:color w:val="000000"/>
                <w:lang w:val="en-CA" w:eastAsia="zh-CN"/>
              </w:rPr>
              <w:t xml:space="preserve"> </w:t>
            </w:r>
            <w:r w:rsidRPr="007B6732">
              <w:rPr>
                <w:rFonts w:ascii="Book Antiqua" w:eastAsia="Times New Roman" w:hAnsi="Book Antiqua"/>
                <w:color w:val="000000"/>
                <w:lang w:val="en-CA"/>
              </w:rPr>
              <w:t>69)</w:t>
            </w:r>
          </w:p>
        </w:tc>
        <w:tc>
          <w:tcPr>
            <w:tcW w:w="2232" w:type="dxa"/>
            <w:tcBorders>
              <w:top w:val="single" w:sz="4" w:space="0" w:color="auto"/>
            </w:tcBorders>
            <w:shd w:val="clear" w:color="auto" w:fill="auto"/>
            <w:noWrap/>
            <w:vAlign w:val="bottom"/>
            <w:hideMark/>
          </w:tcPr>
          <w:p w14:paraId="376289FB" w14:textId="7777777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52</w:t>
            </w:r>
          </w:p>
        </w:tc>
        <w:tc>
          <w:tcPr>
            <w:tcW w:w="1560" w:type="dxa"/>
            <w:tcBorders>
              <w:top w:val="single" w:sz="4" w:space="0" w:color="auto"/>
            </w:tcBorders>
            <w:shd w:val="clear" w:color="auto" w:fill="auto"/>
            <w:noWrap/>
            <w:vAlign w:val="bottom"/>
            <w:hideMark/>
          </w:tcPr>
          <w:p w14:paraId="5A543833" w14:textId="5D77A20A" w:rsidR="00217D89" w:rsidRPr="007B6732" w:rsidRDefault="003243E2"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75.3</w:t>
            </w:r>
            <w:r w:rsidR="00217D89" w:rsidRPr="007B6732">
              <w:rPr>
                <w:rFonts w:ascii="Book Antiqua" w:eastAsia="Times New Roman" w:hAnsi="Book Antiqua"/>
                <w:color w:val="000000"/>
                <w:lang w:val="en-CA"/>
              </w:rPr>
              <w:t>%</w:t>
            </w:r>
          </w:p>
        </w:tc>
      </w:tr>
      <w:tr w:rsidR="00217D89" w:rsidRPr="007B6732" w14:paraId="1BAD6E1E" w14:textId="77777777" w:rsidTr="00D06F5F">
        <w:trPr>
          <w:trHeight w:val="300"/>
        </w:trPr>
        <w:tc>
          <w:tcPr>
            <w:tcW w:w="4020" w:type="dxa"/>
            <w:tcBorders>
              <w:top w:val="nil"/>
            </w:tcBorders>
            <w:shd w:val="clear" w:color="auto" w:fill="auto"/>
            <w:noWrap/>
            <w:vAlign w:val="bottom"/>
            <w:hideMark/>
          </w:tcPr>
          <w:p w14:paraId="60BB0329" w14:textId="2460AA35"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I</w:t>
            </w:r>
            <w:r w:rsidR="003243E2" w:rsidRPr="007B6732">
              <w:rPr>
                <w:rFonts w:ascii="Book Antiqua" w:eastAsia="Times New Roman" w:hAnsi="Book Antiqua"/>
                <w:color w:val="000000"/>
                <w:lang w:val="en-CA"/>
              </w:rPr>
              <w:t>nterested in more training (</w:t>
            </w:r>
            <w:r w:rsidR="000D65E1" w:rsidRPr="007B6732">
              <w:rPr>
                <w:rFonts w:ascii="Book Antiqua" w:eastAsia="Times New Roman" w:hAnsi="Book Antiqua"/>
                <w:i/>
                <w:color w:val="000000"/>
                <w:lang w:val="en-CA"/>
              </w:rPr>
              <w:t>n</w:t>
            </w:r>
            <w:r w:rsidR="000D65E1" w:rsidRPr="007B6732">
              <w:rPr>
                <w:rFonts w:ascii="Book Antiqua" w:eastAsia="Times New Roman" w:hAnsi="Book Antiqua"/>
                <w:color w:val="000000"/>
                <w:lang w:val="en-CA"/>
              </w:rPr>
              <w:t xml:space="preserve"> </w:t>
            </w:r>
            <w:r w:rsidR="003243E2" w:rsidRPr="007B6732">
              <w:rPr>
                <w:rFonts w:ascii="Book Antiqua" w:eastAsia="Times New Roman" w:hAnsi="Book Antiqua"/>
                <w:color w:val="000000"/>
                <w:lang w:val="en-CA"/>
              </w:rPr>
              <w:t>=</w:t>
            </w:r>
            <w:r w:rsidR="000D65E1" w:rsidRPr="007B6732">
              <w:rPr>
                <w:rFonts w:ascii="Book Antiqua" w:eastAsia="SimSun" w:hAnsi="Book Antiqua" w:hint="eastAsia"/>
                <w:color w:val="000000"/>
                <w:lang w:val="en-CA" w:eastAsia="zh-CN"/>
              </w:rPr>
              <w:t xml:space="preserve"> </w:t>
            </w:r>
            <w:r w:rsidR="003243E2" w:rsidRPr="007B6732">
              <w:rPr>
                <w:rFonts w:ascii="Book Antiqua" w:eastAsia="Times New Roman" w:hAnsi="Book Antiqua"/>
                <w:color w:val="000000"/>
                <w:lang w:val="en-CA"/>
              </w:rPr>
              <w:t>68</w:t>
            </w:r>
            <w:r w:rsidRPr="007B6732">
              <w:rPr>
                <w:rFonts w:ascii="Book Antiqua" w:eastAsia="Times New Roman" w:hAnsi="Book Antiqua"/>
                <w:color w:val="000000"/>
                <w:lang w:val="en-CA"/>
              </w:rPr>
              <w:t>)</w:t>
            </w:r>
          </w:p>
        </w:tc>
        <w:tc>
          <w:tcPr>
            <w:tcW w:w="2232" w:type="dxa"/>
            <w:tcBorders>
              <w:top w:val="nil"/>
            </w:tcBorders>
            <w:shd w:val="clear" w:color="auto" w:fill="auto"/>
            <w:noWrap/>
            <w:vAlign w:val="bottom"/>
            <w:hideMark/>
          </w:tcPr>
          <w:p w14:paraId="01751D88" w14:textId="7D1B99CA" w:rsidR="00217D89" w:rsidRPr="007B6732" w:rsidRDefault="003243E2"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41</w:t>
            </w:r>
          </w:p>
        </w:tc>
        <w:tc>
          <w:tcPr>
            <w:tcW w:w="1560" w:type="dxa"/>
            <w:tcBorders>
              <w:top w:val="nil"/>
            </w:tcBorders>
            <w:shd w:val="clear" w:color="auto" w:fill="auto"/>
            <w:noWrap/>
            <w:vAlign w:val="bottom"/>
            <w:hideMark/>
          </w:tcPr>
          <w:p w14:paraId="04FA9186" w14:textId="7B745200" w:rsidR="00217D89" w:rsidRPr="007B6732" w:rsidRDefault="003243E2"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60</w:t>
            </w:r>
            <w:r w:rsidR="00217D89" w:rsidRPr="007B6732">
              <w:rPr>
                <w:rFonts w:ascii="Book Antiqua" w:eastAsia="Times New Roman" w:hAnsi="Book Antiqua"/>
                <w:color w:val="000000"/>
                <w:lang w:val="en-CA"/>
              </w:rPr>
              <w:t>%</w:t>
            </w:r>
          </w:p>
        </w:tc>
      </w:tr>
      <w:tr w:rsidR="00217D89" w:rsidRPr="007B6732" w14:paraId="4A6685DC" w14:textId="77777777" w:rsidTr="00D06F5F">
        <w:trPr>
          <w:trHeight w:val="300"/>
        </w:trPr>
        <w:tc>
          <w:tcPr>
            <w:tcW w:w="4020" w:type="dxa"/>
            <w:tcBorders>
              <w:top w:val="nil"/>
            </w:tcBorders>
            <w:shd w:val="clear" w:color="auto" w:fill="auto"/>
            <w:noWrap/>
            <w:vAlign w:val="bottom"/>
            <w:hideMark/>
          </w:tcPr>
          <w:p w14:paraId="676628DB" w14:textId="5994B417"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Training via workshops</w:t>
            </w:r>
            <w:r w:rsidR="003243E2" w:rsidRPr="007B6732">
              <w:rPr>
                <w:rFonts w:ascii="Book Antiqua" w:eastAsia="Times New Roman" w:hAnsi="Book Antiqua"/>
                <w:color w:val="000000"/>
                <w:lang w:val="en-CA"/>
              </w:rPr>
              <w:t xml:space="preserve"> (</w:t>
            </w:r>
            <w:r w:rsidR="000D65E1" w:rsidRPr="007B6732">
              <w:rPr>
                <w:rFonts w:ascii="Book Antiqua" w:eastAsia="Times New Roman" w:hAnsi="Book Antiqua"/>
                <w:i/>
                <w:color w:val="000000"/>
                <w:lang w:val="en-CA"/>
              </w:rPr>
              <w:t>n</w:t>
            </w:r>
            <w:r w:rsidR="000D65E1" w:rsidRPr="007B6732">
              <w:rPr>
                <w:rFonts w:ascii="Book Antiqua" w:eastAsia="Times New Roman" w:hAnsi="Book Antiqua"/>
                <w:color w:val="000000"/>
                <w:lang w:val="en-CA"/>
              </w:rPr>
              <w:t xml:space="preserve"> </w:t>
            </w:r>
            <w:r w:rsidR="003243E2" w:rsidRPr="007B6732">
              <w:rPr>
                <w:rFonts w:ascii="Book Antiqua" w:eastAsia="Times New Roman" w:hAnsi="Book Antiqua"/>
                <w:color w:val="000000"/>
                <w:lang w:val="en-CA"/>
              </w:rPr>
              <w:t>=</w:t>
            </w:r>
            <w:r w:rsidR="000D65E1" w:rsidRPr="007B6732">
              <w:rPr>
                <w:rFonts w:ascii="Book Antiqua" w:eastAsia="SimSun" w:hAnsi="Book Antiqua" w:hint="eastAsia"/>
                <w:color w:val="000000"/>
                <w:lang w:val="en-CA" w:eastAsia="zh-CN"/>
              </w:rPr>
              <w:t xml:space="preserve"> </w:t>
            </w:r>
            <w:r w:rsidR="003243E2" w:rsidRPr="007B6732">
              <w:rPr>
                <w:rFonts w:ascii="Book Antiqua" w:eastAsia="Times New Roman" w:hAnsi="Book Antiqua"/>
                <w:color w:val="000000"/>
                <w:lang w:val="en-CA"/>
              </w:rPr>
              <w:t>68)</w:t>
            </w:r>
          </w:p>
        </w:tc>
        <w:tc>
          <w:tcPr>
            <w:tcW w:w="2232" w:type="dxa"/>
            <w:tcBorders>
              <w:top w:val="nil"/>
            </w:tcBorders>
            <w:shd w:val="clear" w:color="auto" w:fill="auto"/>
            <w:noWrap/>
            <w:vAlign w:val="bottom"/>
            <w:hideMark/>
          </w:tcPr>
          <w:p w14:paraId="553A3DB3" w14:textId="5FBAA632" w:rsidR="00217D89" w:rsidRPr="007B6732" w:rsidRDefault="003243E2"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16</w:t>
            </w:r>
          </w:p>
        </w:tc>
        <w:tc>
          <w:tcPr>
            <w:tcW w:w="1560" w:type="dxa"/>
            <w:tcBorders>
              <w:top w:val="nil"/>
            </w:tcBorders>
            <w:shd w:val="clear" w:color="auto" w:fill="auto"/>
            <w:noWrap/>
            <w:vAlign w:val="bottom"/>
            <w:hideMark/>
          </w:tcPr>
          <w:p w14:paraId="365DDFFC" w14:textId="5EEFEF9F" w:rsidR="00217D89" w:rsidRPr="007B6732" w:rsidRDefault="003243E2"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23.5</w:t>
            </w:r>
            <w:r w:rsidR="00217D89" w:rsidRPr="007B6732">
              <w:rPr>
                <w:rFonts w:ascii="Book Antiqua" w:eastAsia="Times New Roman" w:hAnsi="Book Antiqua"/>
                <w:color w:val="000000"/>
                <w:lang w:val="en-CA"/>
              </w:rPr>
              <w:t>%</w:t>
            </w:r>
          </w:p>
        </w:tc>
      </w:tr>
      <w:tr w:rsidR="00217D89" w:rsidRPr="007B6732" w14:paraId="041B43E7" w14:textId="77777777" w:rsidTr="00D06F5F">
        <w:trPr>
          <w:trHeight w:val="300"/>
        </w:trPr>
        <w:tc>
          <w:tcPr>
            <w:tcW w:w="4020" w:type="dxa"/>
            <w:tcBorders>
              <w:top w:val="nil"/>
            </w:tcBorders>
            <w:shd w:val="clear" w:color="auto" w:fill="auto"/>
            <w:noWrap/>
            <w:vAlign w:val="bottom"/>
            <w:hideMark/>
          </w:tcPr>
          <w:p w14:paraId="5A2A356B" w14:textId="075758FD" w:rsidR="00217D89" w:rsidRPr="007B6732" w:rsidRDefault="00217D89"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Training via conferences</w:t>
            </w:r>
            <w:r w:rsidR="003243E2" w:rsidRPr="007B6732">
              <w:rPr>
                <w:rFonts w:ascii="Book Antiqua" w:eastAsia="Times New Roman" w:hAnsi="Book Antiqua"/>
                <w:color w:val="000000"/>
                <w:lang w:val="en-CA"/>
              </w:rPr>
              <w:t xml:space="preserve"> (</w:t>
            </w:r>
            <w:r w:rsidR="000D65E1" w:rsidRPr="007B6732">
              <w:rPr>
                <w:rFonts w:ascii="Book Antiqua" w:eastAsia="Times New Roman" w:hAnsi="Book Antiqua"/>
                <w:i/>
                <w:color w:val="000000"/>
                <w:lang w:val="en-CA"/>
              </w:rPr>
              <w:t>n</w:t>
            </w:r>
            <w:r w:rsidR="000D65E1" w:rsidRPr="007B6732">
              <w:rPr>
                <w:rFonts w:ascii="Book Antiqua" w:eastAsia="Times New Roman" w:hAnsi="Book Antiqua"/>
                <w:color w:val="000000"/>
                <w:lang w:val="en-CA"/>
              </w:rPr>
              <w:t xml:space="preserve"> </w:t>
            </w:r>
            <w:r w:rsidR="003243E2" w:rsidRPr="007B6732">
              <w:rPr>
                <w:rFonts w:ascii="Book Antiqua" w:eastAsia="Times New Roman" w:hAnsi="Book Antiqua"/>
                <w:color w:val="000000"/>
                <w:lang w:val="en-CA"/>
              </w:rPr>
              <w:t>=</w:t>
            </w:r>
            <w:r w:rsidR="000D65E1" w:rsidRPr="007B6732">
              <w:rPr>
                <w:rFonts w:ascii="Book Antiqua" w:eastAsia="SimSun" w:hAnsi="Book Antiqua" w:hint="eastAsia"/>
                <w:color w:val="000000"/>
                <w:lang w:val="en-CA" w:eastAsia="zh-CN"/>
              </w:rPr>
              <w:t xml:space="preserve"> </w:t>
            </w:r>
            <w:r w:rsidR="003243E2" w:rsidRPr="007B6732">
              <w:rPr>
                <w:rFonts w:ascii="Book Antiqua" w:eastAsia="Times New Roman" w:hAnsi="Book Antiqua"/>
                <w:color w:val="000000"/>
                <w:lang w:val="en-CA"/>
              </w:rPr>
              <w:t>68)</w:t>
            </w:r>
          </w:p>
        </w:tc>
        <w:tc>
          <w:tcPr>
            <w:tcW w:w="2232" w:type="dxa"/>
            <w:tcBorders>
              <w:top w:val="nil"/>
            </w:tcBorders>
            <w:shd w:val="clear" w:color="auto" w:fill="auto"/>
            <w:noWrap/>
            <w:vAlign w:val="bottom"/>
            <w:hideMark/>
          </w:tcPr>
          <w:p w14:paraId="20502450" w14:textId="33E9E8C3" w:rsidR="00217D89" w:rsidRPr="007B6732" w:rsidRDefault="003243E2"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30</w:t>
            </w:r>
          </w:p>
        </w:tc>
        <w:tc>
          <w:tcPr>
            <w:tcW w:w="1560" w:type="dxa"/>
            <w:tcBorders>
              <w:top w:val="nil"/>
            </w:tcBorders>
            <w:shd w:val="clear" w:color="auto" w:fill="auto"/>
            <w:noWrap/>
            <w:vAlign w:val="bottom"/>
            <w:hideMark/>
          </w:tcPr>
          <w:p w14:paraId="3D8DCDC1" w14:textId="5C2E6242" w:rsidR="00217D89" w:rsidRPr="007B6732" w:rsidRDefault="003243E2"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44.1</w:t>
            </w:r>
            <w:r w:rsidR="00217D89" w:rsidRPr="007B6732">
              <w:rPr>
                <w:rFonts w:ascii="Book Antiqua" w:eastAsia="Times New Roman" w:hAnsi="Book Antiqua"/>
                <w:color w:val="000000"/>
                <w:lang w:val="en-CA"/>
              </w:rPr>
              <w:t>%</w:t>
            </w:r>
          </w:p>
        </w:tc>
      </w:tr>
      <w:tr w:rsidR="00217D89" w:rsidRPr="007B6732" w14:paraId="5EDE6641" w14:textId="77777777" w:rsidTr="00D06F5F">
        <w:trPr>
          <w:trHeight w:val="300"/>
        </w:trPr>
        <w:tc>
          <w:tcPr>
            <w:tcW w:w="4020" w:type="dxa"/>
            <w:tcBorders>
              <w:top w:val="nil"/>
              <w:bottom w:val="single" w:sz="4" w:space="0" w:color="auto"/>
            </w:tcBorders>
            <w:shd w:val="clear" w:color="auto" w:fill="auto"/>
            <w:noWrap/>
            <w:vAlign w:val="bottom"/>
            <w:hideMark/>
          </w:tcPr>
          <w:p w14:paraId="25089FC7" w14:textId="4D97FDAB" w:rsidR="00217D89" w:rsidRPr="007B6732" w:rsidRDefault="003243E2" w:rsidP="0056175D">
            <w:pPr>
              <w:spacing w:line="360" w:lineRule="auto"/>
              <w:jc w:val="both"/>
              <w:rPr>
                <w:rFonts w:ascii="Book Antiqua" w:eastAsia="Times New Roman" w:hAnsi="Book Antiqua"/>
                <w:color w:val="000000"/>
                <w:lang w:val="en-CA"/>
              </w:rPr>
            </w:pPr>
            <w:r w:rsidRPr="007B6732">
              <w:rPr>
                <w:rFonts w:ascii="Book Antiqua" w:eastAsia="Times New Roman" w:hAnsi="Book Antiqua"/>
                <w:color w:val="000000"/>
                <w:lang w:val="en-CA"/>
              </w:rPr>
              <w:t>Sufficient resources (</w:t>
            </w:r>
            <w:r w:rsidR="000D65E1" w:rsidRPr="007B6732">
              <w:rPr>
                <w:rFonts w:ascii="Book Antiqua" w:eastAsia="Times New Roman" w:hAnsi="Book Antiqua"/>
                <w:i/>
                <w:color w:val="000000"/>
                <w:lang w:val="en-CA"/>
              </w:rPr>
              <w:t>n</w:t>
            </w:r>
            <w:r w:rsidR="000D65E1" w:rsidRPr="007B6732">
              <w:rPr>
                <w:rFonts w:ascii="Book Antiqua" w:eastAsia="Times New Roman" w:hAnsi="Book Antiqua"/>
                <w:color w:val="000000"/>
                <w:lang w:val="en-CA"/>
              </w:rPr>
              <w:t xml:space="preserve"> </w:t>
            </w:r>
            <w:r w:rsidRPr="007B6732">
              <w:rPr>
                <w:rFonts w:ascii="Book Antiqua" w:eastAsia="Times New Roman" w:hAnsi="Book Antiqua"/>
                <w:color w:val="000000"/>
                <w:lang w:val="en-CA"/>
              </w:rPr>
              <w:t>=</w:t>
            </w:r>
            <w:r w:rsidR="000D65E1" w:rsidRPr="007B6732">
              <w:rPr>
                <w:rFonts w:ascii="Book Antiqua" w:eastAsia="SimSun" w:hAnsi="Book Antiqua" w:hint="eastAsia"/>
                <w:color w:val="000000"/>
                <w:lang w:val="en-CA" w:eastAsia="zh-CN"/>
              </w:rPr>
              <w:t xml:space="preserve"> </w:t>
            </w:r>
            <w:r w:rsidRPr="007B6732">
              <w:rPr>
                <w:rFonts w:ascii="Book Antiqua" w:eastAsia="Times New Roman" w:hAnsi="Book Antiqua"/>
                <w:color w:val="000000"/>
                <w:lang w:val="en-CA"/>
              </w:rPr>
              <w:t>67</w:t>
            </w:r>
            <w:r w:rsidR="00217D89" w:rsidRPr="007B6732">
              <w:rPr>
                <w:rFonts w:ascii="Book Antiqua" w:eastAsia="Times New Roman" w:hAnsi="Book Antiqua"/>
                <w:color w:val="000000"/>
                <w:lang w:val="en-CA"/>
              </w:rPr>
              <w:t xml:space="preserve">) </w:t>
            </w:r>
          </w:p>
        </w:tc>
        <w:tc>
          <w:tcPr>
            <w:tcW w:w="2232" w:type="dxa"/>
            <w:tcBorders>
              <w:top w:val="nil"/>
              <w:bottom w:val="single" w:sz="4" w:space="0" w:color="auto"/>
            </w:tcBorders>
            <w:shd w:val="clear" w:color="auto" w:fill="auto"/>
            <w:noWrap/>
            <w:vAlign w:val="bottom"/>
            <w:hideMark/>
          </w:tcPr>
          <w:p w14:paraId="56E66B3C" w14:textId="334BF4F7" w:rsidR="00217D89" w:rsidRPr="007B6732" w:rsidRDefault="00217D89"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4</w:t>
            </w:r>
            <w:r w:rsidR="003243E2" w:rsidRPr="007B6732">
              <w:rPr>
                <w:rFonts w:ascii="Book Antiqua" w:eastAsia="Times New Roman" w:hAnsi="Book Antiqua"/>
                <w:color w:val="000000"/>
                <w:lang w:val="en-CA"/>
              </w:rPr>
              <w:t>3</w:t>
            </w:r>
          </w:p>
        </w:tc>
        <w:tc>
          <w:tcPr>
            <w:tcW w:w="1560" w:type="dxa"/>
            <w:tcBorders>
              <w:top w:val="nil"/>
              <w:bottom w:val="single" w:sz="4" w:space="0" w:color="auto"/>
            </w:tcBorders>
            <w:shd w:val="clear" w:color="auto" w:fill="auto"/>
            <w:noWrap/>
            <w:vAlign w:val="bottom"/>
            <w:hideMark/>
          </w:tcPr>
          <w:p w14:paraId="60ACC3BF" w14:textId="43AB0689" w:rsidR="00217D89" w:rsidRPr="007B6732" w:rsidRDefault="003243E2" w:rsidP="0056175D">
            <w:pPr>
              <w:spacing w:line="360" w:lineRule="auto"/>
              <w:jc w:val="both"/>
              <w:rPr>
                <w:rFonts w:ascii="Book Antiqua" w:eastAsia="Times New Roman" w:hAnsi="Book Antiqua"/>
                <w:i/>
                <w:iCs/>
                <w:color w:val="000000"/>
                <w:lang w:val="en-CA"/>
              </w:rPr>
            </w:pPr>
            <w:r w:rsidRPr="007B6732">
              <w:rPr>
                <w:rFonts w:ascii="Book Antiqua" w:eastAsia="Times New Roman" w:hAnsi="Book Antiqua"/>
                <w:color w:val="000000"/>
                <w:lang w:val="en-CA"/>
              </w:rPr>
              <w:t>64.1</w:t>
            </w:r>
            <w:r w:rsidR="00217D89" w:rsidRPr="007B6732">
              <w:rPr>
                <w:rFonts w:ascii="Book Antiqua" w:eastAsia="Times New Roman" w:hAnsi="Book Antiqua"/>
                <w:color w:val="000000"/>
                <w:lang w:val="en-CA"/>
              </w:rPr>
              <w:t>%</w:t>
            </w:r>
          </w:p>
        </w:tc>
      </w:tr>
    </w:tbl>
    <w:p w14:paraId="35B3BD91" w14:textId="77777777" w:rsidR="000D65E1" w:rsidRPr="007B6732" w:rsidRDefault="000D65E1" w:rsidP="0056175D">
      <w:pPr>
        <w:spacing w:line="360" w:lineRule="auto"/>
        <w:jc w:val="both"/>
        <w:rPr>
          <w:rFonts w:ascii="Book Antiqua" w:eastAsia="SimSun" w:hAnsi="Book Antiqua"/>
          <w:b/>
          <w:highlight w:val="yellow"/>
          <w:lang w:eastAsia="zh-CN"/>
        </w:rPr>
      </w:pPr>
      <w:bookmarkStart w:id="84" w:name="OLE_LINK595"/>
      <w:bookmarkStart w:id="85" w:name="OLE_LINK596"/>
    </w:p>
    <w:p w14:paraId="4B7C3BCB" w14:textId="77777777" w:rsidR="000D65E1" w:rsidRPr="007B6732" w:rsidRDefault="000D65E1" w:rsidP="0056175D">
      <w:pPr>
        <w:spacing w:line="360" w:lineRule="auto"/>
        <w:jc w:val="both"/>
        <w:rPr>
          <w:rFonts w:ascii="Book Antiqua" w:eastAsia="SimSun" w:hAnsi="Book Antiqua"/>
          <w:b/>
          <w:highlight w:val="yellow"/>
          <w:lang w:eastAsia="zh-CN"/>
        </w:rPr>
      </w:pPr>
    </w:p>
    <w:bookmarkEnd w:id="84"/>
    <w:bookmarkEnd w:id="85"/>
    <w:p w14:paraId="663042B8" w14:textId="77777777" w:rsidR="00814895" w:rsidRPr="007B6732" w:rsidRDefault="00814895" w:rsidP="0056175D">
      <w:pPr>
        <w:spacing w:line="360" w:lineRule="auto"/>
        <w:jc w:val="both"/>
      </w:pPr>
    </w:p>
    <w:p w14:paraId="42721041" w14:textId="05AB175D" w:rsidR="00217D89" w:rsidRPr="007B6732" w:rsidRDefault="00FE48C9" w:rsidP="0056175D">
      <w:pPr>
        <w:spacing w:line="360" w:lineRule="auto"/>
        <w:jc w:val="both"/>
        <w:rPr>
          <w:rFonts w:ascii="Book Antiqua" w:hAnsi="Book Antiqua"/>
          <w:b/>
        </w:rPr>
      </w:pPr>
      <w:r w:rsidRPr="007B6732">
        <w:rPr>
          <w:rFonts w:ascii="Book Antiqua" w:hAnsi="Book Antiqua"/>
          <w:b/>
        </w:rPr>
        <w:t xml:space="preserve"> </w:t>
      </w:r>
    </w:p>
    <w:p w14:paraId="2CE6534C" w14:textId="77777777" w:rsidR="00217D89" w:rsidRPr="007B6732" w:rsidRDefault="00217D89" w:rsidP="0056175D">
      <w:pPr>
        <w:spacing w:line="360" w:lineRule="auto"/>
        <w:jc w:val="both"/>
        <w:rPr>
          <w:rFonts w:ascii="Book Antiqua" w:hAnsi="Book Antiqua"/>
          <w:b/>
        </w:rPr>
      </w:pPr>
    </w:p>
    <w:p w14:paraId="1B16619B" w14:textId="77777777" w:rsidR="00217D89" w:rsidRPr="007B6732" w:rsidRDefault="00217D89" w:rsidP="0056175D">
      <w:pPr>
        <w:spacing w:line="360" w:lineRule="auto"/>
        <w:jc w:val="both"/>
        <w:rPr>
          <w:rFonts w:ascii="Book Antiqua" w:hAnsi="Book Antiqua"/>
          <w:b/>
        </w:rPr>
      </w:pPr>
    </w:p>
    <w:p w14:paraId="44AB265D" w14:textId="77777777" w:rsidR="00217D89" w:rsidRPr="007B6732" w:rsidRDefault="00217D89" w:rsidP="0056175D">
      <w:pPr>
        <w:spacing w:line="360" w:lineRule="auto"/>
        <w:jc w:val="both"/>
        <w:rPr>
          <w:rFonts w:ascii="Book Antiqua" w:hAnsi="Book Antiqua"/>
          <w:b/>
        </w:rPr>
      </w:pPr>
    </w:p>
    <w:p w14:paraId="74EB9A52" w14:textId="77777777" w:rsidR="00217D89" w:rsidRPr="007B6732" w:rsidRDefault="00217D89" w:rsidP="0056175D">
      <w:pPr>
        <w:spacing w:line="360" w:lineRule="auto"/>
        <w:jc w:val="both"/>
        <w:rPr>
          <w:rFonts w:ascii="Book Antiqua" w:hAnsi="Book Antiqua"/>
          <w:b/>
        </w:rPr>
      </w:pPr>
    </w:p>
    <w:p w14:paraId="0D8C2225" w14:textId="77777777" w:rsidR="00217D89" w:rsidRPr="007B6732" w:rsidRDefault="00217D89" w:rsidP="0056175D">
      <w:pPr>
        <w:spacing w:line="360" w:lineRule="auto"/>
        <w:jc w:val="both"/>
        <w:rPr>
          <w:rFonts w:ascii="Book Antiqua" w:hAnsi="Book Antiqua"/>
          <w:b/>
        </w:rPr>
      </w:pPr>
    </w:p>
    <w:p w14:paraId="54069DB6" w14:textId="77777777" w:rsidR="00217D89" w:rsidRPr="007B6732" w:rsidRDefault="00217D89" w:rsidP="0056175D">
      <w:pPr>
        <w:spacing w:line="360" w:lineRule="auto"/>
        <w:jc w:val="both"/>
        <w:rPr>
          <w:rFonts w:ascii="Book Antiqua" w:hAnsi="Book Antiqua"/>
          <w:b/>
        </w:rPr>
      </w:pPr>
    </w:p>
    <w:p w14:paraId="1CDD38C5" w14:textId="77777777" w:rsidR="00217D89" w:rsidRPr="007B6732" w:rsidRDefault="00217D89" w:rsidP="0056175D">
      <w:pPr>
        <w:spacing w:line="360" w:lineRule="auto"/>
        <w:jc w:val="both"/>
        <w:rPr>
          <w:rFonts w:ascii="Book Antiqua" w:hAnsi="Book Antiqua"/>
          <w:b/>
        </w:rPr>
      </w:pPr>
    </w:p>
    <w:p w14:paraId="6DD79563" w14:textId="77777777" w:rsidR="00217D89" w:rsidRPr="007B6732" w:rsidRDefault="00217D89" w:rsidP="0056175D">
      <w:pPr>
        <w:spacing w:line="360" w:lineRule="auto"/>
        <w:jc w:val="both"/>
        <w:rPr>
          <w:rFonts w:ascii="Book Antiqua" w:hAnsi="Book Antiqua"/>
          <w:b/>
        </w:rPr>
      </w:pPr>
    </w:p>
    <w:p w14:paraId="028ADD2C" w14:textId="77777777" w:rsidR="00217D89" w:rsidRPr="007B6732" w:rsidRDefault="00217D89" w:rsidP="0056175D">
      <w:pPr>
        <w:spacing w:line="360" w:lineRule="auto"/>
        <w:jc w:val="both"/>
        <w:rPr>
          <w:rFonts w:ascii="Book Antiqua" w:hAnsi="Book Antiqua"/>
          <w:b/>
        </w:rPr>
      </w:pPr>
    </w:p>
    <w:p w14:paraId="24538B2C" w14:textId="77777777" w:rsidR="00217D89" w:rsidRPr="007B6732" w:rsidRDefault="00217D89" w:rsidP="0056175D">
      <w:pPr>
        <w:spacing w:line="360" w:lineRule="auto"/>
        <w:jc w:val="both"/>
        <w:rPr>
          <w:rFonts w:ascii="Book Antiqua" w:hAnsi="Book Antiqua"/>
          <w:b/>
        </w:rPr>
      </w:pPr>
    </w:p>
    <w:p w14:paraId="0F255A94" w14:textId="77777777" w:rsidR="004C41BF" w:rsidRPr="007B6732" w:rsidRDefault="004C41BF" w:rsidP="0056175D">
      <w:pPr>
        <w:spacing w:line="360" w:lineRule="auto"/>
        <w:jc w:val="both"/>
        <w:rPr>
          <w:rFonts w:ascii="Book Antiqua" w:hAnsi="Book Antiqua"/>
        </w:rPr>
      </w:pPr>
    </w:p>
    <w:sectPr w:rsidR="004C41BF" w:rsidRPr="007B6732" w:rsidSect="004C41BF">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572B" w14:textId="77777777" w:rsidR="00477AD0" w:rsidRDefault="00477AD0" w:rsidP="001F6F56">
      <w:r>
        <w:separator/>
      </w:r>
    </w:p>
  </w:endnote>
  <w:endnote w:type="continuationSeparator" w:id="0">
    <w:p w14:paraId="1D085C4F" w14:textId="77777777" w:rsidR="00477AD0" w:rsidRDefault="00477AD0" w:rsidP="001F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Rockwell">
    <w:charset w:val="00"/>
    <w:family w:val="roman"/>
    <w:pitch w:val="variable"/>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4E83" w14:textId="77777777" w:rsidR="00AE2082" w:rsidRDefault="00AE2082" w:rsidP="001F6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0C863" w14:textId="77777777" w:rsidR="00AE2082" w:rsidRDefault="00AE2082" w:rsidP="001F6F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097C" w14:textId="77777777" w:rsidR="00AE2082" w:rsidRDefault="00AE2082" w:rsidP="001F6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F19">
      <w:rPr>
        <w:rStyle w:val="PageNumber"/>
        <w:noProof/>
      </w:rPr>
      <w:t>1</w:t>
    </w:r>
    <w:r>
      <w:rPr>
        <w:rStyle w:val="PageNumber"/>
      </w:rPr>
      <w:fldChar w:fldCharType="end"/>
    </w:r>
  </w:p>
  <w:p w14:paraId="5637492C" w14:textId="77777777" w:rsidR="00AE2082" w:rsidRDefault="00AE2082" w:rsidP="001F6F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CF165" w14:textId="77777777" w:rsidR="00477AD0" w:rsidRDefault="00477AD0" w:rsidP="001F6F56">
      <w:r>
        <w:separator/>
      </w:r>
    </w:p>
  </w:footnote>
  <w:footnote w:type="continuationSeparator" w:id="0">
    <w:p w14:paraId="7C1D07B5" w14:textId="77777777" w:rsidR="00477AD0" w:rsidRDefault="00477AD0" w:rsidP="001F6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3E44"/>
    <w:multiLevelType w:val="hybridMultilevel"/>
    <w:tmpl w:val="24984F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5D5656F"/>
    <w:multiLevelType w:val="hybridMultilevel"/>
    <w:tmpl w:val="816EC2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F310740"/>
    <w:multiLevelType w:val="hybridMultilevel"/>
    <w:tmpl w:val="1528F9A8"/>
    <w:lvl w:ilvl="0" w:tplc="733C655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4511A"/>
    <w:multiLevelType w:val="hybridMultilevel"/>
    <w:tmpl w:val="2A8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61A56"/>
    <w:multiLevelType w:val="hybridMultilevel"/>
    <w:tmpl w:val="ECB8F690"/>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89"/>
    <w:rsid w:val="00027046"/>
    <w:rsid w:val="00027EC1"/>
    <w:rsid w:val="00044648"/>
    <w:rsid w:val="0007693E"/>
    <w:rsid w:val="000D65E1"/>
    <w:rsid w:val="00112EB8"/>
    <w:rsid w:val="001327D5"/>
    <w:rsid w:val="0018172D"/>
    <w:rsid w:val="001A4C27"/>
    <w:rsid w:val="001C4121"/>
    <w:rsid w:val="001F6F56"/>
    <w:rsid w:val="0020643B"/>
    <w:rsid w:val="00217D89"/>
    <w:rsid w:val="0023024E"/>
    <w:rsid w:val="00262B29"/>
    <w:rsid w:val="00294C02"/>
    <w:rsid w:val="002A6B78"/>
    <w:rsid w:val="002F429F"/>
    <w:rsid w:val="003121EB"/>
    <w:rsid w:val="00314827"/>
    <w:rsid w:val="003243E2"/>
    <w:rsid w:val="00341233"/>
    <w:rsid w:val="003652DD"/>
    <w:rsid w:val="00387078"/>
    <w:rsid w:val="00394917"/>
    <w:rsid w:val="00397DCF"/>
    <w:rsid w:val="003C61FD"/>
    <w:rsid w:val="00402F19"/>
    <w:rsid w:val="00403965"/>
    <w:rsid w:val="00477AD0"/>
    <w:rsid w:val="00484BB5"/>
    <w:rsid w:val="00496EFF"/>
    <w:rsid w:val="004A4B43"/>
    <w:rsid w:val="004C2D89"/>
    <w:rsid w:val="004C41BF"/>
    <w:rsid w:val="004F6F18"/>
    <w:rsid w:val="005228CD"/>
    <w:rsid w:val="00526C63"/>
    <w:rsid w:val="005328AD"/>
    <w:rsid w:val="00551B64"/>
    <w:rsid w:val="0056175D"/>
    <w:rsid w:val="00570696"/>
    <w:rsid w:val="005D14A5"/>
    <w:rsid w:val="005D4BF7"/>
    <w:rsid w:val="00633D2B"/>
    <w:rsid w:val="006872F0"/>
    <w:rsid w:val="006B76F6"/>
    <w:rsid w:val="006D66A3"/>
    <w:rsid w:val="007050B0"/>
    <w:rsid w:val="00743230"/>
    <w:rsid w:val="0074670C"/>
    <w:rsid w:val="00762257"/>
    <w:rsid w:val="00776F59"/>
    <w:rsid w:val="00783A54"/>
    <w:rsid w:val="007A4FEC"/>
    <w:rsid w:val="007A7526"/>
    <w:rsid w:val="007B6732"/>
    <w:rsid w:val="007D43B6"/>
    <w:rsid w:val="007F0C83"/>
    <w:rsid w:val="00801521"/>
    <w:rsid w:val="00814895"/>
    <w:rsid w:val="008A3B47"/>
    <w:rsid w:val="008E0D17"/>
    <w:rsid w:val="00903A5D"/>
    <w:rsid w:val="0092293F"/>
    <w:rsid w:val="00932449"/>
    <w:rsid w:val="00943E57"/>
    <w:rsid w:val="009618C4"/>
    <w:rsid w:val="00963A86"/>
    <w:rsid w:val="00970CA4"/>
    <w:rsid w:val="00992097"/>
    <w:rsid w:val="00996D01"/>
    <w:rsid w:val="009B5D47"/>
    <w:rsid w:val="00A41451"/>
    <w:rsid w:val="00A92123"/>
    <w:rsid w:val="00AA1853"/>
    <w:rsid w:val="00AB7031"/>
    <w:rsid w:val="00AE2082"/>
    <w:rsid w:val="00AF56DC"/>
    <w:rsid w:val="00B05A95"/>
    <w:rsid w:val="00B511A6"/>
    <w:rsid w:val="00B610E5"/>
    <w:rsid w:val="00B7080A"/>
    <w:rsid w:val="00BF1269"/>
    <w:rsid w:val="00BF1B4E"/>
    <w:rsid w:val="00C451AC"/>
    <w:rsid w:val="00C55253"/>
    <w:rsid w:val="00C6599D"/>
    <w:rsid w:val="00C83C6F"/>
    <w:rsid w:val="00CA6D84"/>
    <w:rsid w:val="00CB3E94"/>
    <w:rsid w:val="00CC25B3"/>
    <w:rsid w:val="00CC6F69"/>
    <w:rsid w:val="00D06F5F"/>
    <w:rsid w:val="00D30AA5"/>
    <w:rsid w:val="00D86028"/>
    <w:rsid w:val="00DC78F5"/>
    <w:rsid w:val="00DC792A"/>
    <w:rsid w:val="00E21528"/>
    <w:rsid w:val="00E62B06"/>
    <w:rsid w:val="00E83F6D"/>
    <w:rsid w:val="00F2332C"/>
    <w:rsid w:val="00F400B5"/>
    <w:rsid w:val="00F620D4"/>
    <w:rsid w:val="00F940F5"/>
    <w:rsid w:val="00FC09E6"/>
    <w:rsid w:val="00FE4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5B0D5"/>
  <w14:defaultImageDpi w14:val="300"/>
  <w15:docId w15:val="{9F481351-59A4-4F93-BE74-C293FD30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D8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89"/>
    <w:pPr>
      <w:spacing w:after="160" w:line="288" w:lineRule="auto"/>
      <w:ind w:left="720"/>
      <w:contextualSpacing/>
    </w:pPr>
    <w:rPr>
      <w:rFonts w:ascii="Rockwell" w:eastAsia="Times New Roman" w:hAnsi="Rockwell"/>
      <w:color w:val="5A5A5A"/>
      <w:sz w:val="20"/>
      <w:szCs w:val="20"/>
    </w:rPr>
  </w:style>
  <w:style w:type="character" w:styleId="CommentReference">
    <w:name w:val="annotation reference"/>
    <w:unhideWhenUsed/>
    <w:rsid w:val="00217D89"/>
    <w:rPr>
      <w:sz w:val="18"/>
      <w:szCs w:val="18"/>
    </w:rPr>
  </w:style>
  <w:style w:type="paragraph" w:styleId="CommentText">
    <w:name w:val="annotation text"/>
    <w:basedOn w:val="Normal"/>
    <w:link w:val="CommentTextChar"/>
    <w:unhideWhenUsed/>
    <w:rsid w:val="00217D89"/>
  </w:style>
  <w:style w:type="character" w:customStyle="1" w:styleId="CommentTextChar">
    <w:name w:val="Comment Text Char"/>
    <w:basedOn w:val="DefaultParagraphFont"/>
    <w:link w:val="CommentText"/>
    <w:rsid w:val="00217D89"/>
    <w:rPr>
      <w:rFonts w:ascii="Cambria" w:eastAsia="MS Mincho" w:hAnsi="Cambria" w:cs="Times New Roman"/>
    </w:rPr>
  </w:style>
  <w:style w:type="paragraph" w:styleId="BalloonText">
    <w:name w:val="Balloon Text"/>
    <w:basedOn w:val="Normal"/>
    <w:link w:val="BalloonTextChar"/>
    <w:uiPriority w:val="99"/>
    <w:semiHidden/>
    <w:unhideWhenUsed/>
    <w:rsid w:val="00217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D89"/>
    <w:rPr>
      <w:rFonts w:ascii="Lucida Grande" w:eastAsia="MS Mincho" w:hAnsi="Lucida Grande" w:cs="Lucida Grande"/>
      <w:sz w:val="18"/>
      <w:szCs w:val="18"/>
    </w:rPr>
  </w:style>
  <w:style w:type="paragraph" w:styleId="Revision">
    <w:name w:val="Revision"/>
    <w:hidden/>
    <w:uiPriority w:val="99"/>
    <w:semiHidden/>
    <w:rsid w:val="00217D89"/>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217D89"/>
    <w:rPr>
      <w:b/>
      <w:bCs/>
      <w:sz w:val="20"/>
      <w:szCs w:val="20"/>
    </w:rPr>
  </w:style>
  <w:style w:type="character" w:customStyle="1" w:styleId="CommentSubjectChar">
    <w:name w:val="Comment Subject Char"/>
    <w:basedOn w:val="CommentTextChar"/>
    <w:link w:val="CommentSubject"/>
    <w:uiPriority w:val="99"/>
    <w:semiHidden/>
    <w:rsid w:val="00217D89"/>
    <w:rPr>
      <w:rFonts w:ascii="Cambria" w:eastAsia="MS Mincho" w:hAnsi="Cambria" w:cs="Times New Roman"/>
      <w:b/>
      <w:bCs/>
      <w:sz w:val="20"/>
      <w:szCs w:val="20"/>
    </w:rPr>
  </w:style>
  <w:style w:type="character" w:customStyle="1" w:styleId="apple-converted-space">
    <w:name w:val="apple-converted-space"/>
    <w:rsid w:val="00217D89"/>
    <w:rPr>
      <w:rFonts w:cs="Times New Roman"/>
    </w:rPr>
  </w:style>
  <w:style w:type="paragraph" w:styleId="Header">
    <w:name w:val="header"/>
    <w:basedOn w:val="Normal"/>
    <w:link w:val="HeaderChar"/>
    <w:uiPriority w:val="99"/>
    <w:unhideWhenUsed/>
    <w:rsid w:val="00217D89"/>
    <w:pPr>
      <w:tabs>
        <w:tab w:val="center" w:pos="4320"/>
        <w:tab w:val="right" w:pos="8640"/>
      </w:tabs>
    </w:pPr>
  </w:style>
  <w:style w:type="character" w:customStyle="1" w:styleId="HeaderChar">
    <w:name w:val="Header Char"/>
    <w:basedOn w:val="DefaultParagraphFont"/>
    <w:link w:val="Header"/>
    <w:uiPriority w:val="99"/>
    <w:rsid w:val="00217D89"/>
    <w:rPr>
      <w:rFonts w:ascii="Cambria" w:eastAsia="MS Mincho" w:hAnsi="Cambria" w:cs="Times New Roman"/>
    </w:rPr>
  </w:style>
  <w:style w:type="paragraph" w:styleId="Footer">
    <w:name w:val="footer"/>
    <w:basedOn w:val="Normal"/>
    <w:link w:val="FooterChar"/>
    <w:uiPriority w:val="99"/>
    <w:unhideWhenUsed/>
    <w:rsid w:val="00217D89"/>
    <w:pPr>
      <w:tabs>
        <w:tab w:val="center" w:pos="4320"/>
        <w:tab w:val="right" w:pos="8640"/>
      </w:tabs>
    </w:pPr>
  </w:style>
  <w:style w:type="character" w:customStyle="1" w:styleId="FooterChar">
    <w:name w:val="Footer Char"/>
    <w:basedOn w:val="DefaultParagraphFont"/>
    <w:link w:val="Footer"/>
    <w:uiPriority w:val="99"/>
    <w:rsid w:val="00217D89"/>
    <w:rPr>
      <w:rFonts w:ascii="Cambria" w:eastAsia="MS Mincho" w:hAnsi="Cambria" w:cs="Times New Roman"/>
    </w:rPr>
  </w:style>
  <w:style w:type="character" w:styleId="PageNumber">
    <w:name w:val="page number"/>
    <w:basedOn w:val="DefaultParagraphFont"/>
    <w:uiPriority w:val="99"/>
    <w:semiHidden/>
    <w:unhideWhenUsed/>
    <w:rsid w:val="001F6F56"/>
  </w:style>
  <w:style w:type="character" w:styleId="Hyperlink">
    <w:name w:val="Hyperlink"/>
    <w:rsid w:val="00E21528"/>
    <w:rPr>
      <w:color w:val="0000FF"/>
      <w:u w:val="single"/>
    </w:rPr>
  </w:style>
  <w:style w:type="paragraph" w:styleId="NormalWeb">
    <w:name w:val="Normal (Web)"/>
    <w:basedOn w:val="Normal"/>
    <w:uiPriority w:val="99"/>
    <w:unhideWhenUsed/>
    <w:rsid w:val="00E21528"/>
    <w:pPr>
      <w:spacing w:before="100" w:beforeAutospacing="1" w:after="100" w:afterAutospacing="1"/>
    </w:pPr>
    <w:rPr>
      <w:rFonts w:ascii="Times New Roman" w:eastAsia="Times New Roman" w:hAnsi="Times New Roman"/>
      <w:lang w:val="it-IT" w:eastAsia="it-IT"/>
    </w:rPr>
  </w:style>
  <w:style w:type="character" w:styleId="Strong">
    <w:name w:val="Strong"/>
    <w:uiPriority w:val="22"/>
    <w:qFormat/>
    <w:rsid w:val="00E21528"/>
    <w:rPr>
      <w:b/>
      <w:bCs/>
    </w:rPr>
  </w:style>
  <w:style w:type="character" w:customStyle="1" w:styleId="hui1218">
    <w:name w:val="hui1218"/>
    <w:basedOn w:val="DefaultParagraphFont"/>
    <w:rsid w:val="0034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21110">
      <w:bodyDiv w:val="1"/>
      <w:marLeft w:val="0"/>
      <w:marRight w:val="0"/>
      <w:marTop w:val="0"/>
      <w:marBottom w:val="0"/>
      <w:divBdr>
        <w:top w:val="none" w:sz="0" w:space="0" w:color="auto"/>
        <w:left w:val="none" w:sz="0" w:space="0" w:color="auto"/>
        <w:bottom w:val="none" w:sz="0" w:space="0" w:color="auto"/>
        <w:right w:val="none" w:sz="0" w:space="0" w:color="auto"/>
      </w:divBdr>
    </w:div>
    <w:div w:id="1344472418">
      <w:bodyDiv w:val="1"/>
      <w:marLeft w:val="0"/>
      <w:marRight w:val="0"/>
      <w:marTop w:val="0"/>
      <w:marBottom w:val="0"/>
      <w:divBdr>
        <w:top w:val="none" w:sz="0" w:space="0" w:color="auto"/>
        <w:left w:val="none" w:sz="0" w:space="0" w:color="auto"/>
        <w:bottom w:val="none" w:sz="0" w:space="0" w:color="auto"/>
        <w:right w:val="none" w:sz="0" w:space="0" w:color="auto"/>
      </w:divBdr>
    </w:div>
    <w:div w:id="1929919596">
      <w:bodyDiv w:val="1"/>
      <w:marLeft w:val="0"/>
      <w:marRight w:val="0"/>
      <w:marTop w:val="0"/>
      <w:marBottom w:val="0"/>
      <w:divBdr>
        <w:top w:val="none" w:sz="0" w:space="0" w:color="auto"/>
        <w:left w:val="none" w:sz="0" w:space="0" w:color="auto"/>
        <w:bottom w:val="none" w:sz="0" w:space="0" w:color="auto"/>
        <w:right w:val="none" w:sz="0" w:space="0" w:color="auto"/>
      </w:divBdr>
    </w:div>
    <w:div w:id="194950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5220</Words>
  <Characters>29755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McGill</Company>
  <LinksUpToDate>false</LinksUpToDate>
  <CharactersWithSpaces>34906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Strohl</dc:creator>
  <cp:keywords/>
  <dc:description/>
  <cp:lastModifiedBy>Na Ma</cp:lastModifiedBy>
  <cp:revision>2</cp:revision>
  <cp:lastPrinted>2016-08-31T16:36:00Z</cp:lastPrinted>
  <dcterms:created xsi:type="dcterms:W3CDTF">2017-05-09T02:50:00Z</dcterms:created>
  <dcterms:modified xsi:type="dcterms:W3CDTF">2017-05-09T02:50:00Z</dcterms:modified>
</cp:coreProperties>
</file>