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8C84E" w14:textId="77777777" w:rsidR="00A12C23" w:rsidRPr="006D6C34" w:rsidRDefault="00A12C23" w:rsidP="006D6C34">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6D6C34">
        <w:rPr>
          <w:rFonts w:ascii="Book Antiqua" w:hAnsi="Book Antiqua" w:cs="Times New Roman"/>
          <w:b/>
          <w:color w:val="auto"/>
          <w:sz w:val="24"/>
          <w:szCs w:val="24"/>
          <w:highlight w:val="white"/>
          <w:lang w:val="en-US" w:eastAsia="zh-CN"/>
        </w:rPr>
        <w:t xml:space="preserve">Name of </w:t>
      </w:r>
      <w:r w:rsidRPr="006D6C34">
        <w:rPr>
          <w:rFonts w:ascii="Book Antiqua" w:hAnsi="Book Antiqua" w:cs="Times New Roman"/>
          <w:b/>
          <w:caps/>
          <w:color w:val="auto"/>
          <w:sz w:val="24"/>
          <w:szCs w:val="24"/>
          <w:highlight w:val="white"/>
          <w:lang w:val="en-US" w:eastAsia="zh-CN"/>
        </w:rPr>
        <w:t>j</w:t>
      </w:r>
      <w:r w:rsidRPr="006D6C34">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6D6C34">
        <w:rPr>
          <w:rFonts w:ascii="Book Antiqua" w:hAnsi="Book Antiqua" w:cs="Times New Roman"/>
          <w:b/>
          <w:i/>
          <w:color w:val="auto"/>
          <w:sz w:val="24"/>
          <w:szCs w:val="24"/>
          <w:highlight w:val="white"/>
          <w:lang w:val="en-US" w:eastAsia="zh-CN"/>
        </w:rPr>
        <w:t>World Journal of Gastroenterology</w:t>
      </w:r>
      <w:bookmarkEnd w:id="11"/>
      <w:bookmarkEnd w:id="12"/>
    </w:p>
    <w:p w14:paraId="596949C7" w14:textId="02F5DD21" w:rsidR="00A12C23" w:rsidRPr="006D6C34" w:rsidRDefault="00A12C23" w:rsidP="006D6C34">
      <w:pPr>
        <w:pStyle w:val="1"/>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6D6C34">
        <w:rPr>
          <w:rFonts w:ascii="Book Antiqua" w:hAnsi="Book Antiqua" w:cs="Times New Roman"/>
          <w:b/>
          <w:color w:val="auto"/>
          <w:sz w:val="24"/>
          <w:szCs w:val="24"/>
          <w:highlight w:val="white"/>
          <w:lang w:eastAsia="zh-CN"/>
        </w:rPr>
        <w:t>Manuscript NO:</w:t>
      </w:r>
      <w:bookmarkEnd w:id="13"/>
      <w:bookmarkEnd w:id="14"/>
      <w:bookmarkEnd w:id="15"/>
      <w:bookmarkEnd w:id="16"/>
      <w:r w:rsidRPr="006D6C34">
        <w:rPr>
          <w:rFonts w:ascii="Book Antiqua" w:hAnsi="Book Antiqua" w:cs="Times New Roman"/>
          <w:b/>
          <w:color w:val="auto"/>
          <w:sz w:val="24"/>
          <w:szCs w:val="24"/>
          <w:highlight w:val="white"/>
          <w:lang w:eastAsia="zh-CN"/>
        </w:rPr>
        <w:t xml:space="preserve"> </w:t>
      </w:r>
      <w:r w:rsidR="00DF29F8" w:rsidRPr="006D6C34">
        <w:rPr>
          <w:rStyle w:val="rphighlightallclass"/>
          <w:rFonts w:ascii="Book Antiqua" w:hAnsi="Book Antiqua" w:cs="Segoe UI"/>
          <w:b/>
          <w:color w:val="auto"/>
          <w:sz w:val="24"/>
          <w:szCs w:val="24"/>
        </w:rPr>
        <w:t>33680</w:t>
      </w:r>
    </w:p>
    <w:bookmarkEnd w:id="17"/>
    <w:bookmarkEnd w:id="18"/>
    <w:p w14:paraId="435C6547" w14:textId="61E069CC" w:rsidR="00A12C23" w:rsidRPr="006D6C34" w:rsidRDefault="00A12C23" w:rsidP="006D6C34">
      <w:pPr>
        <w:snapToGrid w:val="0"/>
        <w:spacing w:line="360" w:lineRule="auto"/>
        <w:jc w:val="both"/>
        <w:rPr>
          <w:rFonts w:ascii="Book Antiqua" w:hAnsi="Book Antiqua"/>
          <w:b/>
          <w:lang w:val="en-US" w:eastAsia="zh-CN"/>
        </w:rPr>
      </w:pPr>
      <w:r w:rsidRPr="006D6C34">
        <w:rPr>
          <w:rFonts w:ascii="Book Antiqua" w:hAnsi="Book Antiqua"/>
          <w:b/>
          <w:highlight w:val="white"/>
          <w:lang w:val="it-IT"/>
        </w:rPr>
        <w:t xml:space="preserve">Manuscript </w:t>
      </w:r>
      <w:r w:rsidRPr="006D6C34">
        <w:rPr>
          <w:rFonts w:ascii="Book Antiqua" w:hAnsi="Book Antiqua"/>
          <w:b/>
          <w:caps/>
          <w:highlight w:val="white"/>
          <w:lang w:val="en-US"/>
        </w:rPr>
        <w:t>t</w:t>
      </w:r>
      <w:r w:rsidRPr="006D6C34">
        <w:rPr>
          <w:rFonts w:ascii="Book Antiqua" w:hAnsi="Book Antiqua"/>
          <w:b/>
          <w:highlight w:val="white"/>
          <w:lang w:val="it-IT"/>
        </w:rPr>
        <w:t>ype</w:t>
      </w:r>
      <w:r w:rsidRPr="006D6C34">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r w:rsidR="00DF29F8" w:rsidRPr="006D6C34">
        <w:rPr>
          <w:rFonts w:ascii="Book Antiqua" w:hAnsi="Book Antiqua"/>
          <w:b/>
          <w:lang w:val="it-IT"/>
        </w:rPr>
        <w:t xml:space="preserve"> </w:t>
      </w:r>
      <w:r w:rsidR="00DF29F8" w:rsidRPr="006D6C34">
        <w:rPr>
          <w:rFonts w:ascii="Book Antiqua" w:hAnsi="Book Antiqua"/>
          <w:b/>
          <w:caps/>
          <w:lang w:val="it-IT"/>
        </w:rPr>
        <w:t>Case report</w:t>
      </w:r>
    </w:p>
    <w:p w14:paraId="4AA62EA2" w14:textId="77777777" w:rsidR="00A12C23" w:rsidRPr="006D6C34" w:rsidRDefault="00A12C23" w:rsidP="006D6C34">
      <w:pPr>
        <w:snapToGrid w:val="0"/>
        <w:spacing w:line="360" w:lineRule="auto"/>
        <w:jc w:val="both"/>
        <w:rPr>
          <w:rFonts w:ascii="Book Antiqua" w:hAnsi="Book Antiqua"/>
          <w:b/>
          <w:lang w:val="en-US" w:eastAsia="zh-CN"/>
        </w:rPr>
      </w:pPr>
    </w:p>
    <w:p w14:paraId="272BD9F1" w14:textId="77777777" w:rsidR="002D2324" w:rsidRPr="006D6C34" w:rsidRDefault="002D2324" w:rsidP="006D6C34">
      <w:pPr>
        <w:snapToGrid w:val="0"/>
        <w:spacing w:line="360" w:lineRule="auto"/>
        <w:jc w:val="both"/>
        <w:rPr>
          <w:rFonts w:ascii="Book Antiqua" w:hAnsi="Book Antiqua"/>
          <w:b/>
          <w:lang w:val="en-US"/>
        </w:rPr>
      </w:pPr>
      <w:r w:rsidRPr="006D6C34">
        <w:rPr>
          <w:rFonts w:ascii="Book Antiqua" w:hAnsi="Book Antiqua"/>
          <w:b/>
          <w:lang w:val="en-US"/>
        </w:rPr>
        <w:t>Persistent severe hypomagnesemia caused by proton pump inhibitor resolved after laparoscopic fundoplication</w:t>
      </w:r>
    </w:p>
    <w:p w14:paraId="5854BD54" w14:textId="77777777" w:rsidR="002D2324" w:rsidRPr="006D6C34" w:rsidRDefault="002D2324" w:rsidP="006D6C34">
      <w:pPr>
        <w:snapToGrid w:val="0"/>
        <w:spacing w:line="360" w:lineRule="auto"/>
        <w:jc w:val="both"/>
        <w:rPr>
          <w:rFonts w:ascii="Book Antiqua" w:hAnsi="Book Antiqua"/>
          <w:b/>
          <w:lang w:val="en-US"/>
        </w:rPr>
      </w:pPr>
    </w:p>
    <w:p w14:paraId="45F023FF" w14:textId="47C0B785" w:rsidR="002D2324" w:rsidRPr="006D6C34" w:rsidRDefault="006D6C34" w:rsidP="006D6C34">
      <w:pPr>
        <w:snapToGrid w:val="0"/>
        <w:spacing w:line="360" w:lineRule="auto"/>
        <w:jc w:val="both"/>
        <w:rPr>
          <w:rFonts w:ascii="Book Antiqua" w:hAnsi="Book Antiqua"/>
          <w:lang w:val="en-US"/>
        </w:rPr>
      </w:pPr>
      <w:r w:rsidRPr="006D6C34">
        <w:rPr>
          <w:rFonts w:ascii="Book Antiqua" w:hAnsi="Book Antiqua"/>
        </w:rPr>
        <w:t>Semb</w:t>
      </w:r>
      <w:r>
        <w:rPr>
          <w:rFonts w:ascii="Book Antiqua" w:hAnsi="Book Antiqua" w:hint="eastAsia"/>
          <w:lang w:eastAsia="zh-CN"/>
        </w:rPr>
        <w:t xml:space="preserve"> S </w:t>
      </w:r>
      <w:r w:rsidRPr="006D6C34">
        <w:rPr>
          <w:rFonts w:ascii="Book Antiqua" w:hAnsi="Book Antiqua" w:hint="eastAsia"/>
          <w:i/>
          <w:lang w:eastAsia="zh-CN"/>
        </w:rPr>
        <w:t>et al</w:t>
      </w:r>
      <w:r>
        <w:rPr>
          <w:rFonts w:ascii="Book Antiqua" w:hAnsi="Book Antiqua" w:hint="eastAsia"/>
          <w:lang w:eastAsia="zh-CN"/>
        </w:rPr>
        <w:t>.</w:t>
      </w:r>
      <w:r>
        <w:rPr>
          <w:rFonts w:ascii="Book Antiqua" w:hAnsi="Book Antiqua" w:hint="eastAsia"/>
          <w:b/>
          <w:lang w:val="en-US" w:eastAsia="zh-CN"/>
        </w:rPr>
        <w:t xml:space="preserve"> </w:t>
      </w:r>
      <w:r w:rsidR="002D2324" w:rsidRPr="006D6C34">
        <w:rPr>
          <w:rFonts w:ascii="Book Antiqua" w:hAnsi="Book Antiqua"/>
          <w:lang w:val="en-US"/>
        </w:rPr>
        <w:t>PPI induced hypomagnesemia treated by surgery</w:t>
      </w:r>
    </w:p>
    <w:p w14:paraId="28A1B75E" w14:textId="77777777" w:rsidR="002D2324" w:rsidRPr="006D6C34" w:rsidRDefault="002D2324" w:rsidP="006D6C34">
      <w:pPr>
        <w:snapToGrid w:val="0"/>
        <w:spacing w:line="360" w:lineRule="auto"/>
        <w:jc w:val="both"/>
        <w:rPr>
          <w:rFonts w:ascii="Book Antiqua" w:hAnsi="Book Antiqua"/>
          <w:b/>
          <w:lang w:val="en-US"/>
        </w:rPr>
      </w:pPr>
    </w:p>
    <w:p w14:paraId="5F0460CC" w14:textId="0166790F" w:rsidR="002D2324" w:rsidRPr="006D6C34" w:rsidRDefault="002D2324" w:rsidP="006D6C34">
      <w:pPr>
        <w:snapToGrid w:val="0"/>
        <w:spacing w:line="360" w:lineRule="auto"/>
        <w:jc w:val="both"/>
        <w:rPr>
          <w:rFonts w:ascii="Book Antiqua" w:hAnsi="Book Antiqua"/>
          <w:vertAlign w:val="superscript"/>
          <w:lang w:eastAsia="zh-CN"/>
        </w:rPr>
      </w:pPr>
      <w:r w:rsidRPr="006D6C34">
        <w:rPr>
          <w:rFonts w:ascii="Book Antiqua" w:hAnsi="Book Antiqua"/>
        </w:rPr>
        <w:t>Synne Semb, Frederik Helgstrand, Flemming Hjørne</w:t>
      </w:r>
      <w:r w:rsidR="006D6C34" w:rsidRPr="006D6C34">
        <w:rPr>
          <w:rFonts w:ascii="Book Antiqua" w:hAnsi="Book Antiqua"/>
          <w:lang w:eastAsia="zh-CN"/>
        </w:rPr>
        <w:t>,</w:t>
      </w:r>
      <w:r w:rsidR="006D6C34" w:rsidRPr="006D6C34">
        <w:rPr>
          <w:rFonts w:ascii="Book Antiqua" w:hAnsi="Book Antiqua"/>
          <w:vertAlign w:val="superscript"/>
          <w:lang w:eastAsia="zh-CN"/>
        </w:rPr>
        <w:t xml:space="preserve"> </w:t>
      </w:r>
      <w:r w:rsidRPr="006D6C34">
        <w:rPr>
          <w:rFonts w:ascii="Book Antiqua" w:hAnsi="Book Antiqua"/>
        </w:rPr>
        <w:t>Peter Bytzer</w:t>
      </w:r>
    </w:p>
    <w:p w14:paraId="46024F2C" w14:textId="77777777" w:rsidR="002D2324" w:rsidRPr="006D6C34" w:rsidRDefault="002D2324" w:rsidP="006D6C34">
      <w:pPr>
        <w:snapToGrid w:val="0"/>
        <w:spacing w:line="360" w:lineRule="auto"/>
        <w:jc w:val="both"/>
        <w:rPr>
          <w:rFonts w:ascii="Book Antiqua" w:hAnsi="Book Antiqua"/>
        </w:rPr>
      </w:pPr>
    </w:p>
    <w:p w14:paraId="61A41563" w14:textId="15BFF181" w:rsidR="002D2324" w:rsidRPr="006D6C34" w:rsidRDefault="006D6C34" w:rsidP="006D6C34">
      <w:pPr>
        <w:snapToGrid w:val="0"/>
        <w:spacing w:line="360" w:lineRule="auto"/>
        <w:jc w:val="both"/>
        <w:rPr>
          <w:rFonts w:ascii="Book Antiqua" w:hAnsi="Book Antiqua"/>
          <w:lang w:val="en-US"/>
        </w:rPr>
      </w:pPr>
      <w:r w:rsidRPr="006D6C34">
        <w:rPr>
          <w:rFonts w:ascii="Book Antiqua" w:hAnsi="Book Antiqua"/>
          <w:b/>
        </w:rPr>
        <w:t>Synne Semb,</w:t>
      </w:r>
      <w:r w:rsidRPr="006D6C34">
        <w:rPr>
          <w:rFonts w:ascii="Book Antiqua" w:hAnsi="Book Antiqua"/>
          <w:b/>
          <w:lang w:eastAsia="zh-CN"/>
        </w:rPr>
        <w:t xml:space="preserve"> </w:t>
      </w:r>
      <w:r w:rsidRPr="006D6C34">
        <w:rPr>
          <w:rFonts w:ascii="Book Antiqua" w:hAnsi="Book Antiqua"/>
          <w:b/>
        </w:rPr>
        <w:t>Peter Bytzer</w:t>
      </w:r>
      <w:r w:rsidRPr="006D6C34">
        <w:rPr>
          <w:rFonts w:ascii="Book Antiqua" w:hAnsi="Book Antiqua"/>
          <w:b/>
          <w:lang w:eastAsia="zh-CN"/>
        </w:rPr>
        <w:t>,</w:t>
      </w:r>
      <w:r w:rsidRPr="006D6C34">
        <w:rPr>
          <w:rFonts w:ascii="Book Antiqua" w:hAnsi="Book Antiqua"/>
          <w:lang w:val="en-US" w:eastAsia="zh-CN"/>
        </w:rPr>
        <w:t xml:space="preserve"> </w:t>
      </w:r>
      <w:r w:rsidR="002D2324" w:rsidRPr="006D6C34">
        <w:rPr>
          <w:rFonts w:ascii="Book Antiqua" w:hAnsi="Book Antiqua"/>
          <w:lang w:val="en-US"/>
        </w:rPr>
        <w:t>Department of Gastroenterology, Zealand University Hospital</w:t>
      </w:r>
      <w:r w:rsidR="00DF29F8" w:rsidRPr="006D6C34">
        <w:rPr>
          <w:rFonts w:ascii="Book Antiqua" w:hAnsi="Book Antiqua"/>
          <w:lang w:val="en-US"/>
        </w:rPr>
        <w:t xml:space="preserve">, 4600 </w:t>
      </w:r>
      <w:r w:rsidR="002D2324" w:rsidRPr="006D6C34">
        <w:rPr>
          <w:rFonts w:ascii="Book Antiqua" w:hAnsi="Book Antiqua"/>
          <w:lang w:val="en-US"/>
        </w:rPr>
        <w:t>Køge, Denmark</w:t>
      </w:r>
    </w:p>
    <w:p w14:paraId="7FA08FDE" w14:textId="77777777" w:rsidR="006D6C34" w:rsidRPr="006D6C34" w:rsidRDefault="006D6C34" w:rsidP="006D6C34">
      <w:pPr>
        <w:snapToGrid w:val="0"/>
        <w:spacing w:line="360" w:lineRule="auto"/>
        <w:jc w:val="both"/>
        <w:rPr>
          <w:rFonts w:ascii="Book Antiqua" w:hAnsi="Book Antiqua" w:cs="Times New Roman"/>
          <w:lang w:val="en-US" w:eastAsia="zh-CN"/>
        </w:rPr>
      </w:pPr>
    </w:p>
    <w:p w14:paraId="6ED55EF6" w14:textId="31E998A3" w:rsidR="002D2324" w:rsidRPr="006D6C34" w:rsidRDefault="006D6C34" w:rsidP="006D6C34">
      <w:pPr>
        <w:snapToGrid w:val="0"/>
        <w:spacing w:line="360" w:lineRule="auto"/>
        <w:jc w:val="both"/>
        <w:rPr>
          <w:rFonts w:ascii="Book Antiqua" w:eastAsia="Times New Roman" w:hAnsi="Book Antiqua" w:cs="Times New Roman"/>
          <w:lang w:val="en-US" w:eastAsia="da-DK"/>
        </w:rPr>
      </w:pPr>
      <w:r w:rsidRPr="006D6C34">
        <w:rPr>
          <w:rFonts w:ascii="Book Antiqua" w:hAnsi="Book Antiqua"/>
          <w:b/>
        </w:rPr>
        <w:t>Frederik Helgstrand, Flemming Hjørne</w:t>
      </w:r>
      <w:r w:rsidRPr="006D6C34">
        <w:rPr>
          <w:rFonts w:ascii="Book Antiqua" w:hAnsi="Book Antiqua" w:cs="Times New Roman"/>
          <w:b/>
          <w:lang w:val="en-US" w:eastAsia="zh-CN"/>
        </w:rPr>
        <w:t>,</w:t>
      </w:r>
      <w:r w:rsidR="002D2324" w:rsidRPr="006D6C34">
        <w:rPr>
          <w:rFonts w:ascii="Book Antiqua" w:eastAsia="Times New Roman" w:hAnsi="Book Antiqua" w:cs="Times New Roman"/>
          <w:lang w:val="en-US" w:eastAsia="da-DK"/>
        </w:rPr>
        <w:t xml:space="preserve"> Department of Surgery,</w:t>
      </w:r>
      <w:r w:rsidR="00BD09DF">
        <w:rPr>
          <w:rFonts w:ascii="Book Antiqua" w:hAnsi="Book Antiqua" w:cs="Times New Roman" w:hint="eastAsia"/>
          <w:lang w:val="en-US" w:eastAsia="zh-CN"/>
        </w:rPr>
        <w:t xml:space="preserve"> </w:t>
      </w:r>
      <w:r w:rsidR="002D2324" w:rsidRPr="006D6C34">
        <w:rPr>
          <w:rFonts w:ascii="Book Antiqua" w:eastAsia="Times New Roman" w:hAnsi="Book Antiqua" w:cs="Times New Roman"/>
          <w:lang w:val="en-US" w:eastAsia="da-DK"/>
        </w:rPr>
        <w:t xml:space="preserve">Zealand University Hospital, </w:t>
      </w:r>
      <w:r w:rsidR="00DF29F8" w:rsidRPr="006D6C34">
        <w:rPr>
          <w:rFonts w:ascii="Book Antiqua" w:eastAsia="Times New Roman" w:hAnsi="Book Antiqua" w:cs="Times New Roman"/>
          <w:lang w:val="en-US" w:eastAsia="da-DK"/>
        </w:rPr>
        <w:t>4600</w:t>
      </w:r>
      <w:r w:rsidRPr="006D6C34">
        <w:rPr>
          <w:rFonts w:ascii="Book Antiqua" w:hAnsi="Book Antiqua" w:cs="Times New Roman"/>
          <w:lang w:val="en-US" w:eastAsia="zh-CN"/>
        </w:rPr>
        <w:t xml:space="preserve"> </w:t>
      </w:r>
      <w:r w:rsidR="002D2324" w:rsidRPr="006D6C34">
        <w:rPr>
          <w:rFonts w:ascii="Book Antiqua" w:eastAsia="Times New Roman" w:hAnsi="Book Antiqua" w:cs="Times New Roman"/>
          <w:lang w:val="en-US" w:eastAsia="da-DK"/>
        </w:rPr>
        <w:t>Køge, Denmark</w:t>
      </w:r>
    </w:p>
    <w:p w14:paraId="58466B32" w14:textId="77777777" w:rsidR="006D6C34" w:rsidRPr="006D6C34" w:rsidRDefault="006D6C34" w:rsidP="006D6C34">
      <w:pPr>
        <w:snapToGrid w:val="0"/>
        <w:spacing w:line="360" w:lineRule="auto"/>
        <w:jc w:val="both"/>
        <w:rPr>
          <w:rFonts w:ascii="Book Antiqua" w:hAnsi="Book Antiqua"/>
          <w:lang w:val="en-US" w:eastAsia="zh-CN"/>
        </w:rPr>
      </w:pPr>
    </w:p>
    <w:p w14:paraId="0AA90812" w14:textId="638BF302" w:rsidR="002D2324" w:rsidRPr="006D6C34" w:rsidRDefault="006D6C34" w:rsidP="006D6C34">
      <w:pPr>
        <w:snapToGrid w:val="0"/>
        <w:spacing w:line="360" w:lineRule="auto"/>
        <w:jc w:val="both"/>
        <w:rPr>
          <w:rFonts w:ascii="Book Antiqua" w:hAnsi="Book Antiqua"/>
          <w:lang w:val="en-US"/>
        </w:rPr>
      </w:pPr>
      <w:r w:rsidRPr="006D6C34">
        <w:rPr>
          <w:rFonts w:ascii="Book Antiqua" w:hAnsi="Book Antiqua"/>
          <w:b/>
        </w:rPr>
        <w:t>Peter Bytzer</w:t>
      </w:r>
      <w:r w:rsidRPr="006D6C34">
        <w:rPr>
          <w:rFonts w:ascii="Book Antiqua" w:hAnsi="Book Antiqua"/>
          <w:b/>
          <w:lang w:eastAsia="zh-CN"/>
        </w:rPr>
        <w:t>,</w:t>
      </w:r>
      <w:r w:rsidRPr="006D6C34">
        <w:rPr>
          <w:rFonts w:ascii="Book Antiqua" w:hAnsi="Book Antiqua"/>
          <w:lang w:val="en-US" w:eastAsia="zh-CN"/>
        </w:rPr>
        <w:t xml:space="preserve"> </w:t>
      </w:r>
      <w:r w:rsidR="002D2324" w:rsidRPr="006D6C34">
        <w:rPr>
          <w:rFonts w:ascii="Book Antiqua" w:hAnsi="Book Antiqua"/>
          <w:lang w:val="en-US"/>
        </w:rPr>
        <w:t xml:space="preserve">Department of Clinical Medicine, Copenhagen University, </w:t>
      </w:r>
      <w:r w:rsidR="00DF29F8" w:rsidRPr="006D6C34">
        <w:rPr>
          <w:rFonts w:ascii="Book Antiqua" w:hAnsi="Book Antiqua"/>
          <w:lang w:val="en-US"/>
        </w:rPr>
        <w:t xml:space="preserve">2200 </w:t>
      </w:r>
      <w:r w:rsidR="002D2324" w:rsidRPr="006D6C34">
        <w:rPr>
          <w:rFonts w:ascii="Book Antiqua" w:hAnsi="Book Antiqua"/>
          <w:lang w:val="en-US"/>
        </w:rPr>
        <w:t>Copenhagen N, Denmark</w:t>
      </w:r>
    </w:p>
    <w:p w14:paraId="11A74208" w14:textId="77777777" w:rsidR="002D2324" w:rsidRPr="006D6C34" w:rsidRDefault="002D2324" w:rsidP="006D6C34">
      <w:pPr>
        <w:snapToGrid w:val="0"/>
        <w:spacing w:line="360" w:lineRule="auto"/>
        <w:jc w:val="both"/>
        <w:rPr>
          <w:rFonts w:ascii="Book Antiqua" w:hAnsi="Book Antiqua"/>
          <w:b/>
          <w:lang w:val="en-US"/>
        </w:rPr>
      </w:pPr>
    </w:p>
    <w:p w14:paraId="50FEC13C" w14:textId="441CDB52" w:rsidR="002D2324" w:rsidRPr="006D6C34" w:rsidRDefault="002D2324" w:rsidP="006D6C34">
      <w:pPr>
        <w:snapToGrid w:val="0"/>
        <w:spacing w:line="360" w:lineRule="auto"/>
        <w:jc w:val="both"/>
        <w:rPr>
          <w:rFonts w:ascii="Book Antiqua" w:hAnsi="Book Antiqua"/>
          <w:b/>
          <w:lang w:val="en-US" w:eastAsia="zh-CN"/>
        </w:rPr>
      </w:pPr>
      <w:r w:rsidRPr="006D6C34">
        <w:rPr>
          <w:rFonts w:ascii="Book Antiqua" w:hAnsi="Book Antiqua"/>
          <w:b/>
          <w:lang w:val="en-US"/>
        </w:rPr>
        <w:t>Author contributions</w:t>
      </w:r>
      <w:r w:rsidR="003402E1" w:rsidRPr="006D6C34">
        <w:rPr>
          <w:rFonts w:ascii="Book Antiqua" w:hAnsi="Book Antiqua"/>
          <w:b/>
          <w:lang w:val="en-US" w:eastAsia="zh-CN"/>
        </w:rPr>
        <w:t>:</w:t>
      </w:r>
      <w:r w:rsidR="006D6C34">
        <w:rPr>
          <w:rFonts w:ascii="Book Antiqua" w:hAnsi="Book Antiqua" w:hint="eastAsia"/>
          <w:b/>
          <w:lang w:val="en-US" w:eastAsia="zh-CN"/>
        </w:rPr>
        <w:t xml:space="preserve"> </w:t>
      </w:r>
      <w:r w:rsidRPr="006D6C34">
        <w:rPr>
          <w:rFonts w:ascii="Book Antiqua" w:hAnsi="Book Antiqua"/>
          <w:lang w:val="en-US"/>
        </w:rPr>
        <w:t>Semb S drafted the manuscript</w:t>
      </w:r>
      <w:r w:rsidR="003402E1" w:rsidRPr="006D6C34">
        <w:rPr>
          <w:rFonts w:ascii="Book Antiqua" w:hAnsi="Book Antiqua"/>
          <w:b/>
          <w:lang w:val="en-US" w:eastAsia="zh-CN"/>
        </w:rPr>
        <w:t xml:space="preserve">; </w:t>
      </w:r>
      <w:r w:rsidRPr="006D6C34">
        <w:rPr>
          <w:rFonts w:ascii="Book Antiqua" w:hAnsi="Book Antiqua"/>
          <w:lang w:val="en-US"/>
        </w:rPr>
        <w:t>Helgstrand F, Hjørne F and Bytzer P revised the manuscript</w:t>
      </w:r>
      <w:r w:rsidR="003402E1" w:rsidRPr="006D6C34">
        <w:rPr>
          <w:rFonts w:ascii="Book Antiqua" w:hAnsi="Book Antiqua"/>
          <w:lang w:val="en-US" w:eastAsia="zh-CN"/>
        </w:rPr>
        <w:t>.</w:t>
      </w:r>
    </w:p>
    <w:p w14:paraId="3BC97999" w14:textId="77777777" w:rsidR="000D1D49" w:rsidRPr="006D6C34" w:rsidRDefault="000D1D49" w:rsidP="006D6C34">
      <w:pPr>
        <w:autoSpaceDE w:val="0"/>
        <w:autoSpaceDN w:val="0"/>
        <w:adjustRightInd w:val="0"/>
        <w:snapToGrid w:val="0"/>
        <w:spacing w:line="360" w:lineRule="auto"/>
        <w:rPr>
          <w:rFonts w:ascii="Book Antiqua" w:hAnsi="Book Antiqua" w:cs="TimesNewRomanPSMT"/>
          <w:lang w:val="en-US"/>
        </w:rPr>
      </w:pPr>
    </w:p>
    <w:p w14:paraId="1FA8CDED" w14:textId="16D89225" w:rsidR="002D2324" w:rsidRPr="006D6C34" w:rsidRDefault="002D2324" w:rsidP="006D6C34">
      <w:pPr>
        <w:autoSpaceDE w:val="0"/>
        <w:autoSpaceDN w:val="0"/>
        <w:adjustRightInd w:val="0"/>
        <w:snapToGrid w:val="0"/>
        <w:spacing w:line="360" w:lineRule="auto"/>
        <w:rPr>
          <w:rFonts w:ascii="Book Antiqua" w:hAnsi="Book Antiqua"/>
          <w:lang w:val="en-US"/>
        </w:rPr>
      </w:pPr>
      <w:r w:rsidRPr="006D6C34">
        <w:rPr>
          <w:rFonts w:ascii="Book Antiqua" w:hAnsi="Book Antiqua"/>
          <w:b/>
          <w:lang w:val="en-US"/>
        </w:rPr>
        <w:t>Informed consent statement</w:t>
      </w:r>
      <w:r w:rsidR="003402E1" w:rsidRPr="006D6C34">
        <w:rPr>
          <w:rFonts w:ascii="Book Antiqua" w:hAnsi="Book Antiqua"/>
          <w:b/>
          <w:lang w:val="en-US" w:eastAsia="zh-CN"/>
        </w:rPr>
        <w:t xml:space="preserve">: </w:t>
      </w:r>
      <w:r w:rsidR="000D1D49" w:rsidRPr="006D6C34">
        <w:rPr>
          <w:rFonts w:ascii="Book Antiqua" w:hAnsi="Book Antiqua"/>
          <w:lang w:val="en-US"/>
        </w:rPr>
        <w:t xml:space="preserve"> </w:t>
      </w:r>
      <w:r w:rsidRPr="006D6C34">
        <w:rPr>
          <w:rFonts w:ascii="Book Antiqua" w:hAnsi="Book Antiqua"/>
          <w:lang w:val="en-US"/>
        </w:rPr>
        <w:t>The patient has given (verbal) informed consent prior to publication</w:t>
      </w:r>
      <w:r w:rsidR="003402E1" w:rsidRPr="006D6C34">
        <w:rPr>
          <w:rFonts w:ascii="Book Antiqua" w:hAnsi="Book Antiqua"/>
          <w:lang w:val="en-US" w:eastAsia="zh-CN"/>
        </w:rPr>
        <w:t>.</w:t>
      </w:r>
    </w:p>
    <w:p w14:paraId="29F0BC0A" w14:textId="77777777" w:rsidR="002D2324" w:rsidRPr="006D6C34" w:rsidRDefault="002D2324" w:rsidP="006D6C34">
      <w:pPr>
        <w:snapToGrid w:val="0"/>
        <w:spacing w:line="360" w:lineRule="auto"/>
        <w:jc w:val="both"/>
        <w:rPr>
          <w:rFonts w:ascii="Book Antiqua" w:hAnsi="Book Antiqua"/>
          <w:lang w:val="en-US"/>
        </w:rPr>
      </w:pPr>
    </w:p>
    <w:p w14:paraId="7AEE008F" w14:textId="7E83366C" w:rsidR="002D2324" w:rsidRPr="006D6C34" w:rsidRDefault="002D2324" w:rsidP="006D6C34">
      <w:pPr>
        <w:snapToGrid w:val="0"/>
        <w:spacing w:line="360" w:lineRule="auto"/>
        <w:jc w:val="both"/>
        <w:rPr>
          <w:rFonts w:ascii="Book Antiqua" w:hAnsi="Book Antiqua"/>
          <w:b/>
          <w:lang w:val="en-US" w:eastAsia="zh-CN"/>
        </w:rPr>
      </w:pPr>
      <w:r w:rsidRPr="006D6C34">
        <w:rPr>
          <w:rFonts w:ascii="Book Antiqua" w:hAnsi="Book Antiqua"/>
          <w:b/>
          <w:lang w:val="en-US"/>
        </w:rPr>
        <w:t>Conflict</w:t>
      </w:r>
      <w:r w:rsidR="006D6C34">
        <w:rPr>
          <w:rFonts w:ascii="Book Antiqua" w:hAnsi="Book Antiqua" w:hint="eastAsia"/>
          <w:b/>
          <w:lang w:val="en-US" w:eastAsia="zh-CN"/>
        </w:rPr>
        <w:t>-</w:t>
      </w:r>
      <w:r w:rsidRPr="006D6C34">
        <w:rPr>
          <w:rFonts w:ascii="Book Antiqua" w:hAnsi="Book Antiqua"/>
          <w:b/>
          <w:lang w:val="en-US"/>
        </w:rPr>
        <w:t>of</w:t>
      </w:r>
      <w:r w:rsidR="006D6C34">
        <w:rPr>
          <w:rFonts w:ascii="Book Antiqua" w:hAnsi="Book Antiqua" w:hint="eastAsia"/>
          <w:b/>
          <w:lang w:val="en-US" w:eastAsia="zh-CN"/>
        </w:rPr>
        <w:t>-</w:t>
      </w:r>
      <w:r w:rsidRPr="006D6C34">
        <w:rPr>
          <w:rFonts w:ascii="Book Antiqua" w:hAnsi="Book Antiqua"/>
          <w:b/>
          <w:lang w:val="en-US"/>
        </w:rPr>
        <w:t>interest statement</w:t>
      </w:r>
      <w:r w:rsidR="003402E1" w:rsidRPr="006D6C34">
        <w:rPr>
          <w:rFonts w:ascii="Book Antiqua" w:hAnsi="Book Antiqua"/>
          <w:b/>
          <w:lang w:val="en-US" w:eastAsia="zh-CN"/>
        </w:rPr>
        <w:t xml:space="preserve">: </w:t>
      </w:r>
      <w:r w:rsidRPr="006D6C34">
        <w:rPr>
          <w:rFonts w:ascii="Book Antiqua" w:hAnsi="Book Antiqua"/>
          <w:lang w:val="en-US"/>
        </w:rPr>
        <w:t>None to report</w:t>
      </w:r>
      <w:r w:rsidR="006D6C34">
        <w:rPr>
          <w:rFonts w:ascii="Book Antiqua" w:hAnsi="Book Antiqua" w:hint="eastAsia"/>
          <w:lang w:val="en-US" w:eastAsia="zh-CN"/>
        </w:rPr>
        <w:t>.</w:t>
      </w:r>
    </w:p>
    <w:p w14:paraId="1798757F" w14:textId="77777777" w:rsidR="002D2324" w:rsidRDefault="002D2324" w:rsidP="006D6C34">
      <w:pPr>
        <w:snapToGrid w:val="0"/>
        <w:spacing w:line="360" w:lineRule="auto"/>
        <w:jc w:val="both"/>
        <w:rPr>
          <w:rFonts w:ascii="Book Antiqua" w:hAnsi="Book Antiqua"/>
          <w:b/>
          <w:lang w:val="en-US" w:eastAsia="zh-CN"/>
        </w:rPr>
      </w:pPr>
    </w:p>
    <w:p w14:paraId="71B8AFD5" w14:textId="77777777" w:rsidR="001E0667" w:rsidRPr="00005305" w:rsidRDefault="001E0667" w:rsidP="001E0667">
      <w:pPr>
        <w:pStyle w:val="1"/>
        <w:snapToGrid w:val="0"/>
        <w:spacing w:line="360" w:lineRule="auto"/>
        <w:jc w:val="both"/>
        <w:rPr>
          <w:rFonts w:ascii="Book Antiqua" w:hAnsi="Book Antiqua" w:cs="Times New Roman"/>
          <w:bCs/>
          <w:color w:val="auto"/>
          <w:sz w:val="24"/>
          <w:highlight w:val="white"/>
          <w:lang w:val="en-US"/>
        </w:rPr>
      </w:pPr>
      <w:bookmarkStart w:id="19" w:name="OLE_LINK734"/>
      <w:bookmarkStart w:id="20" w:name="OLE_LINK441"/>
      <w:bookmarkStart w:id="21" w:name="OLE_LINK442"/>
      <w:bookmarkStart w:id="22" w:name="OLE_LINK1032"/>
      <w:bookmarkStart w:id="23" w:name="OLE_LINK1232"/>
      <w:bookmarkStart w:id="24" w:name="OLE_LINK559"/>
      <w:bookmarkStart w:id="25" w:name="OLE_LINK878"/>
      <w:bookmarkStart w:id="26"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7" w:name="OLE_LINK479"/>
      <w:bookmarkStart w:id="28" w:name="OLE_LINK496"/>
      <w:bookmarkStart w:id="29" w:name="OLE_LINK506"/>
      <w:bookmarkStart w:id="30"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w:t>
      </w:r>
      <w:r w:rsidRPr="00005305">
        <w:rPr>
          <w:rFonts w:ascii="Book Antiqua" w:hAnsi="Book Antiqua" w:cs="Times New Roman"/>
          <w:bCs/>
          <w:color w:val="auto"/>
          <w:sz w:val="24"/>
          <w:highlight w:val="white"/>
          <w:lang w:val="en-US"/>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19"/>
      <w:bookmarkEnd w:id="27"/>
      <w:bookmarkEnd w:id="28"/>
      <w:bookmarkEnd w:id="29"/>
      <w:bookmarkEnd w:id="30"/>
    </w:p>
    <w:bookmarkEnd w:id="20"/>
    <w:bookmarkEnd w:id="21"/>
    <w:bookmarkEnd w:id="22"/>
    <w:bookmarkEnd w:id="23"/>
    <w:bookmarkEnd w:id="24"/>
    <w:p w14:paraId="553E6D46" w14:textId="77777777" w:rsidR="001E0667" w:rsidRDefault="001E0667" w:rsidP="001E0667">
      <w:pPr>
        <w:pStyle w:val="1"/>
        <w:snapToGrid w:val="0"/>
        <w:spacing w:line="360" w:lineRule="auto"/>
        <w:jc w:val="both"/>
        <w:rPr>
          <w:rFonts w:ascii="Book Antiqua" w:hAnsi="Book Antiqua" w:cs="Times New Roman"/>
          <w:b/>
          <w:bCs/>
          <w:color w:val="FF0000"/>
          <w:sz w:val="24"/>
          <w:highlight w:val="white"/>
          <w:lang w:val="en-US" w:eastAsia="zh-CN"/>
        </w:rPr>
      </w:pPr>
    </w:p>
    <w:p w14:paraId="124988B4" w14:textId="3FFB641F" w:rsidR="001E0667" w:rsidRDefault="001E0667" w:rsidP="001E0667">
      <w:pPr>
        <w:snapToGrid w:val="0"/>
        <w:spacing w:line="360" w:lineRule="auto"/>
        <w:jc w:val="both"/>
        <w:rPr>
          <w:rFonts w:ascii="Book Antiqua" w:hAnsi="Book Antiqua" w:cs="Times New Roman"/>
          <w:bCs/>
          <w:lang w:val="en-US" w:eastAsia="zh-CN"/>
        </w:rPr>
      </w:pPr>
      <w:r w:rsidRPr="00A70FD4">
        <w:rPr>
          <w:rFonts w:ascii="Book Antiqua" w:hAnsi="Book Antiqua" w:cs="Times New Roman"/>
          <w:b/>
          <w:bCs/>
          <w:highlight w:val="white"/>
          <w:lang w:val="en-US"/>
        </w:rPr>
        <w:t>Manuscript source:</w:t>
      </w:r>
      <w:r>
        <w:rPr>
          <w:rFonts w:ascii="Book Antiqua" w:hAnsi="Book Antiqua" w:cs="Times New Roman" w:hint="eastAsia"/>
          <w:b/>
          <w:bCs/>
          <w:highlight w:val="white"/>
          <w:lang w:val="en-US" w:eastAsia="zh-CN"/>
        </w:rPr>
        <w:t xml:space="preserve"> </w:t>
      </w:r>
      <w:r w:rsidRPr="00A70FD4">
        <w:rPr>
          <w:rFonts w:ascii="Book Antiqua" w:hAnsi="Book Antiqua" w:cs="Times New Roman"/>
          <w:bCs/>
          <w:highlight w:val="white"/>
          <w:lang w:val="en-US"/>
        </w:rPr>
        <w:t>Unsolicited manuscript</w:t>
      </w:r>
      <w:bookmarkEnd w:id="25"/>
      <w:bookmarkEnd w:id="26"/>
    </w:p>
    <w:p w14:paraId="2A3CBDAC" w14:textId="77777777" w:rsidR="001E0667" w:rsidRPr="006D6C34" w:rsidRDefault="001E0667" w:rsidP="001E0667">
      <w:pPr>
        <w:snapToGrid w:val="0"/>
        <w:spacing w:line="360" w:lineRule="auto"/>
        <w:jc w:val="both"/>
        <w:rPr>
          <w:rFonts w:ascii="Book Antiqua" w:hAnsi="Book Antiqua"/>
          <w:b/>
          <w:lang w:val="en-US" w:eastAsia="zh-CN"/>
        </w:rPr>
      </w:pPr>
    </w:p>
    <w:p w14:paraId="4EE0533D" w14:textId="62B90BA6" w:rsidR="002D2324" w:rsidRPr="006D6C34" w:rsidRDefault="003402E1" w:rsidP="006D6C34">
      <w:pPr>
        <w:pStyle w:val="1"/>
        <w:snapToGrid w:val="0"/>
        <w:spacing w:line="360" w:lineRule="auto"/>
        <w:jc w:val="both"/>
        <w:rPr>
          <w:rFonts w:ascii="Book Antiqua" w:hAnsi="Book Antiqua"/>
          <w:b/>
          <w:color w:val="auto"/>
          <w:sz w:val="24"/>
          <w:szCs w:val="24"/>
          <w:lang w:val="en-US" w:eastAsia="zh-CN"/>
        </w:rPr>
      </w:pPr>
      <w:bookmarkStart w:id="31" w:name="OLE_LINK294"/>
      <w:bookmarkStart w:id="32" w:name="OLE_LINK295"/>
      <w:bookmarkStart w:id="33" w:name="OLE_LINK152"/>
      <w:bookmarkStart w:id="34" w:name="OLE_LINK153"/>
      <w:r w:rsidRPr="006D6C34">
        <w:rPr>
          <w:rFonts w:ascii="Book Antiqua" w:hAnsi="Book Antiqua" w:cs="Times New Roman"/>
          <w:b/>
          <w:bCs/>
          <w:color w:val="auto"/>
          <w:sz w:val="24"/>
          <w:szCs w:val="24"/>
          <w:highlight w:val="white"/>
          <w:lang w:val="en-US" w:eastAsia="zh-CN"/>
        </w:rPr>
        <w:t>Correspondence to:</w:t>
      </w:r>
      <w:bookmarkEnd w:id="31"/>
      <w:bookmarkEnd w:id="32"/>
      <w:bookmarkEnd w:id="33"/>
      <w:bookmarkEnd w:id="34"/>
      <w:r w:rsidR="005238A7">
        <w:rPr>
          <w:rFonts w:ascii="Book Antiqua" w:hAnsi="Book Antiqua" w:cs="Times New Roman" w:hint="eastAsia"/>
          <w:b/>
          <w:bCs/>
          <w:color w:val="auto"/>
          <w:sz w:val="24"/>
          <w:szCs w:val="24"/>
          <w:highlight w:val="white"/>
          <w:lang w:val="en-US" w:eastAsia="zh-CN"/>
        </w:rPr>
        <w:t xml:space="preserve"> </w:t>
      </w:r>
      <w:r w:rsidR="00DF29F8" w:rsidRPr="006D6C34">
        <w:rPr>
          <w:rFonts w:ascii="Book Antiqua" w:hAnsi="Book Antiqua" w:cs="Times New Roman"/>
          <w:b/>
          <w:bCs/>
          <w:color w:val="auto"/>
          <w:sz w:val="24"/>
          <w:szCs w:val="24"/>
          <w:highlight w:val="white"/>
          <w:lang w:val="en-US" w:eastAsia="zh-CN"/>
        </w:rPr>
        <w:t>Synne Semb</w:t>
      </w:r>
      <w:r w:rsidR="006D6C34" w:rsidRPr="006D6C34">
        <w:rPr>
          <w:rFonts w:ascii="Book Antiqua" w:hAnsi="Book Antiqua" w:cs="Times New Roman"/>
          <w:b/>
          <w:bCs/>
          <w:color w:val="auto"/>
          <w:sz w:val="24"/>
          <w:szCs w:val="24"/>
          <w:highlight w:val="white"/>
          <w:lang w:val="en-US" w:eastAsia="zh-CN"/>
        </w:rPr>
        <w:t>,</w:t>
      </w:r>
      <w:r w:rsidR="006D6C34" w:rsidRPr="006D6C34">
        <w:rPr>
          <w:rFonts w:ascii="Book Antiqua" w:hAnsi="Book Antiqua" w:cs="Times New Roman"/>
          <w:bCs/>
          <w:color w:val="auto"/>
          <w:sz w:val="24"/>
          <w:szCs w:val="24"/>
          <w:highlight w:val="white"/>
          <w:lang w:val="en-US" w:eastAsia="zh-CN"/>
        </w:rPr>
        <w:t xml:space="preserve"> </w:t>
      </w:r>
      <w:r w:rsidR="005238A7" w:rsidRPr="005238A7">
        <w:rPr>
          <w:rFonts w:ascii="Book Antiqua" w:hAnsi="Book Antiqua" w:cs="Times New Roman" w:hint="eastAsia"/>
          <w:b/>
          <w:bCs/>
          <w:caps/>
          <w:color w:val="auto"/>
          <w:sz w:val="24"/>
          <w:szCs w:val="24"/>
          <w:lang w:val="en-US" w:eastAsia="zh-CN"/>
        </w:rPr>
        <w:t>md,</w:t>
      </w:r>
      <w:r w:rsidR="005238A7">
        <w:rPr>
          <w:rFonts w:ascii="Book Antiqua" w:hAnsi="Book Antiqua" w:cs="Times New Roman" w:hint="eastAsia"/>
          <w:bCs/>
          <w:color w:val="auto"/>
          <w:sz w:val="24"/>
          <w:szCs w:val="24"/>
          <w:lang w:val="en-US" w:eastAsia="zh-CN"/>
        </w:rPr>
        <w:t xml:space="preserve"> </w:t>
      </w:r>
      <w:r w:rsidR="006D6C34" w:rsidRPr="006D6C34">
        <w:rPr>
          <w:rFonts w:ascii="Book Antiqua" w:hAnsi="Book Antiqua"/>
          <w:color w:val="auto"/>
          <w:sz w:val="24"/>
          <w:szCs w:val="24"/>
          <w:lang w:val="en-US"/>
        </w:rPr>
        <w:t>Department of Medicine, Division of Gastroenterology and Hepatology</w:t>
      </w:r>
      <w:r w:rsidR="006D6C34" w:rsidRPr="006D6C34">
        <w:rPr>
          <w:rFonts w:ascii="Book Antiqua" w:hAnsi="Book Antiqua"/>
          <w:color w:val="auto"/>
          <w:sz w:val="24"/>
          <w:szCs w:val="24"/>
          <w:lang w:val="en-US" w:eastAsia="zh-CN"/>
        </w:rPr>
        <w:t xml:space="preserve">, </w:t>
      </w:r>
      <w:r w:rsidR="00A61C70" w:rsidRPr="006D6C34">
        <w:rPr>
          <w:rFonts w:ascii="Book Antiqua" w:hAnsi="Book Antiqua" w:cs="Times New Roman"/>
          <w:bCs/>
          <w:color w:val="auto"/>
          <w:sz w:val="24"/>
          <w:szCs w:val="24"/>
          <w:highlight w:val="white"/>
          <w:lang w:val="en-US" w:eastAsia="zh-CN"/>
        </w:rPr>
        <w:t>Zealand University Hospital</w:t>
      </w:r>
      <w:r w:rsidR="006D6C34" w:rsidRPr="006D6C34">
        <w:rPr>
          <w:rFonts w:ascii="Book Antiqua" w:hAnsi="Book Antiqua"/>
          <w:color w:val="auto"/>
          <w:sz w:val="24"/>
          <w:szCs w:val="24"/>
          <w:lang w:val="en-US" w:eastAsia="zh-CN"/>
        </w:rPr>
        <w:t xml:space="preserve">, </w:t>
      </w:r>
      <w:r w:rsidR="009B0339" w:rsidRPr="006D6C34">
        <w:rPr>
          <w:rFonts w:ascii="Book Antiqua" w:hAnsi="Book Antiqua"/>
          <w:color w:val="auto"/>
          <w:sz w:val="24"/>
          <w:szCs w:val="24"/>
          <w:lang w:val="da-DK"/>
        </w:rPr>
        <w:t>Lykkebækvej 1, 4600 Køge</w:t>
      </w:r>
      <w:r w:rsidR="006D6C34" w:rsidRPr="006D6C34">
        <w:rPr>
          <w:rFonts w:ascii="Book Antiqua" w:hAnsi="Book Antiqua"/>
          <w:color w:val="auto"/>
          <w:sz w:val="24"/>
          <w:szCs w:val="24"/>
          <w:lang w:val="da-DK" w:eastAsia="zh-CN"/>
        </w:rPr>
        <w:t xml:space="preserve">, </w:t>
      </w:r>
      <w:r w:rsidR="009B0339" w:rsidRPr="006D6C34">
        <w:rPr>
          <w:rFonts w:ascii="Book Antiqua" w:hAnsi="Book Antiqua"/>
          <w:color w:val="auto"/>
          <w:sz w:val="24"/>
          <w:szCs w:val="24"/>
          <w:lang w:val="da-DK"/>
        </w:rPr>
        <w:t>Denmark</w:t>
      </w:r>
      <w:r w:rsidR="006D6C34" w:rsidRPr="006D6C34">
        <w:rPr>
          <w:rFonts w:ascii="Book Antiqua" w:hAnsi="Book Antiqua"/>
          <w:color w:val="auto"/>
          <w:sz w:val="24"/>
          <w:szCs w:val="24"/>
          <w:lang w:val="da-DK" w:eastAsia="zh-CN"/>
        </w:rPr>
        <w:t xml:space="preserve">. </w:t>
      </w:r>
      <w:r w:rsidR="00DF29F8" w:rsidRPr="006D6C34">
        <w:rPr>
          <w:rFonts w:ascii="Book Antiqua" w:hAnsi="Book Antiqua"/>
          <w:color w:val="auto"/>
          <w:sz w:val="24"/>
          <w:szCs w:val="24"/>
          <w:lang w:eastAsia="zh-CN"/>
        </w:rPr>
        <w:t>sys@regionsjaelland.dk</w:t>
      </w:r>
    </w:p>
    <w:p w14:paraId="6E033CC3" w14:textId="7000C534" w:rsidR="003402E1" w:rsidRPr="006D6C34" w:rsidRDefault="003402E1" w:rsidP="006D6C34">
      <w:pPr>
        <w:snapToGrid w:val="0"/>
        <w:spacing w:line="360" w:lineRule="auto"/>
        <w:jc w:val="both"/>
        <w:rPr>
          <w:rFonts w:ascii="Book Antiqua" w:hAnsi="Book Antiqua"/>
          <w:b/>
          <w:lang w:val="pl-PL"/>
        </w:rPr>
      </w:pPr>
      <w:bookmarkStart w:id="35" w:name="OLE_LINK1091"/>
      <w:bookmarkStart w:id="36" w:name="OLE_LINK1092"/>
      <w:bookmarkStart w:id="37" w:name="OLE_LINK389"/>
      <w:bookmarkStart w:id="38" w:name="OLE_LINK406"/>
      <w:bookmarkStart w:id="39" w:name="OLE_LINK658"/>
      <w:bookmarkStart w:id="40" w:name="OLE_LINK904"/>
      <w:bookmarkStart w:id="41" w:name="OLE_LINK1009"/>
      <w:bookmarkStart w:id="42" w:name="OLE_LINK1027"/>
      <w:r w:rsidRPr="006D6C34">
        <w:rPr>
          <w:rFonts w:ascii="Book Antiqua" w:hAnsi="Book Antiqua"/>
          <w:b/>
          <w:lang w:val="pl-PL"/>
        </w:rPr>
        <w:t xml:space="preserve">Telephone: </w:t>
      </w:r>
      <w:r w:rsidR="00DF29F8" w:rsidRPr="006D6C34">
        <w:rPr>
          <w:rFonts w:ascii="Book Antiqua" w:hAnsi="Book Antiqua"/>
          <w:lang w:val="pl-PL"/>
        </w:rPr>
        <w:t>+45</w:t>
      </w:r>
      <w:r w:rsidR="006D6C34" w:rsidRPr="006D6C34">
        <w:rPr>
          <w:rFonts w:ascii="Book Antiqua" w:hAnsi="Book Antiqua"/>
          <w:lang w:val="pl-PL" w:eastAsia="zh-CN"/>
        </w:rPr>
        <w:t>-</w:t>
      </w:r>
      <w:r w:rsidR="00DF29F8" w:rsidRPr="006D6C34">
        <w:rPr>
          <w:rFonts w:ascii="Book Antiqua" w:hAnsi="Book Antiqua"/>
          <w:lang w:val="pl-PL"/>
        </w:rPr>
        <w:t>23</w:t>
      </w:r>
      <w:r w:rsidR="006D6C34" w:rsidRPr="006D6C34">
        <w:rPr>
          <w:rFonts w:ascii="Book Antiqua" w:hAnsi="Book Antiqua"/>
          <w:lang w:val="pl-PL" w:eastAsia="zh-CN"/>
        </w:rPr>
        <w:t>-</w:t>
      </w:r>
      <w:r w:rsidR="006D6C34" w:rsidRPr="006D6C34">
        <w:rPr>
          <w:rFonts w:ascii="Book Antiqua" w:hAnsi="Book Antiqua"/>
          <w:lang w:val="pl-PL"/>
        </w:rPr>
        <w:t>3280</w:t>
      </w:r>
      <w:r w:rsidR="00DF29F8" w:rsidRPr="006D6C34">
        <w:rPr>
          <w:rFonts w:ascii="Book Antiqua" w:hAnsi="Book Antiqua"/>
          <w:lang w:val="pl-PL"/>
        </w:rPr>
        <w:t>29</w:t>
      </w:r>
    </w:p>
    <w:p w14:paraId="0D3F0652" w14:textId="5A335231" w:rsidR="003402E1" w:rsidRDefault="003402E1" w:rsidP="006D6C34">
      <w:pPr>
        <w:snapToGrid w:val="0"/>
        <w:spacing w:line="360" w:lineRule="auto"/>
        <w:jc w:val="both"/>
        <w:rPr>
          <w:rFonts w:ascii="Book Antiqua" w:hAnsi="Book Antiqua"/>
          <w:shd w:val="clear" w:color="auto" w:fill="FFFFFF"/>
          <w:lang w:val="en-US" w:eastAsia="zh-CN"/>
        </w:rPr>
      </w:pPr>
      <w:r w:rsidRPr="006D6C34">
        <w:rPr>
          <w:rFonts w:ascii="Book Antiqua" w:hAnsi="Book Antiqua"/>
          <w:b/>
          <w:lang w:val="pl-PL"/>
        </w:rPr>
        <w:t>Fax:</w:t>
      </w:r>
      <w:bookmarkEnd w:id="35"/>
      <w:bookmarkEnd w:id="36"/>
      <w:r w:rsidRPr="006D6C34">
        <w:rPr>
          <w:rFonts w:ascii="Book Antiqua" w:hAnsi="Book Antiqua"/>
          <w:b/>
          <w:lang w:val="pl-PL"/>
        </w:rPr>
        <w:t xml:space="preserve"> </w:t>
      </w:r>
      <w:r w:rsidR="00A61C70" w:rsidRPr="006D6C34">
        <w:rPr>
          <w:rFonts w:ascii="Book Antiqua" w:hAnsi="Book Antiqua"/>
          <w:lang w:val="pl-PL"/>
        </w:rPr>
        <w:t>+45</w:t>
      </w:r>
      <w:r w:rsidR="006D6C34" w:rsidRPr="006D6C34">
        <w:rPr>
          <w:rFonts w:ascii="Book Antiqua" w:hAnsi="Book Antiqua"/>
          <w:lang w:val="pl-PL" w:eastAsia="zh-CN"/>
        </w:rPr>
        <w:t>-</w:t>
      </w:r>
      <w:r w:rsidR="00A61C70" w:rsidRPr="006D6C34">
        <w:rPr>
          <w:rFonts w:ascii="Book Antiqua" w:hAnsi="Book Antiqua"/>
          <w:shd w:val="clear" w:color="auto" w:fill="FFFFFF"/>
          <w:lang w:val="en-US"/>
        </w:rPr>
        <w:t>56</w:t>
      </w:r>
      <w:r w:rsidR="006D6C34" w:rsidRPr="006D6C34">
        <w:rPr>
          <w:rFonts w:ascii="Book Antiqua" w:hAnsi="Book Antiqua"/>
          <w:shd w:val="clear" w:color="auto" w:fill="FFFFFF"/>
          <w:lang w:val="en-US" w:eastAsia="zh-CN"/>
        </w:rPr>
        <w:t>-</w:t>
      </w:r>
      <w:r w:rsidR="006D6C34" w:rsidRPr="006D6C34">
        <w:rPr>
          <w:rFonts w:ascii="Book Antiqua" w:hAnsi="Book Antiqua"/>
          <w:shd w:val="clear" w:color="auto" w:fill="FFFFFF"/>
          <w:lang w:val="en-US"/>
        </w:rPr>
        <w:t>6315</w:t>
      </w:r>
      <w:r w:rsidR="00A61C70" w:rsidRPr="006D6C34">
        <w:rPr>
          <w:rFonts w:ascii="Book Antiqua" w:hAnsi="Book Antiqua"/>
          <w:shd w:val="clear" w:color="auto" w:fill="FFFFFF"/>
          <w:lang w:val="en-US"/>
        </w:rPr>
        <w:t>62</w:t>
      </w:r>
    </w:p>
    <w:p w14:paraId="378C92DB" w14:textId="77777777" w:rsidR="006D6C34" w:rsidRDefault="006D6C34" w:rsidP="006D6C34">
      <w:pPr>
        <w:snapToGrid w:val="0"/>
        <w:spacing w:line="360" w:lineRule="auto"/>
        <w:jc w:val="both"/>
        <w:rPr>
          <w:rFonts w:ascii="Book Antiqua" w:hAnsi="Book Antiqua"/>
          <w:shd w:val="clear" w:color="auto" w:fill="FFFFFF"/>
          <w:lang w:val="en-US" w:eastAsia="zh-CN"/>
        </w:rPr>
      </w:pPr>
    </w:p>
    <w:p w14:paraId="2B0C1F3D" w14:textId="59CCB045" w:rsidR="005D49A7" w:rsidRPr="005D49A7" w:rsidRDefault="005D49A7" w:rsidP="005D49A7">
      <w:pPr>
        <w:snapToGrid w:val="0"/>
        <w:spacing w:line="360" w:lineRule="auto"/>
        <w:jc w:val="both"/>
        <w:rPr>
          <w:rFonts w:ascii="Book Antiqua" w:eastAsia="SimSun" w:hAnsi="Book Antiqua" w:cs="SimSun"/>
          <w:b/>
          <w:lang w:val="en-US" w:eastAsia="zh-CN"/>
        </w:rPr>
      </w:pPr>
      <w:r w:rsidRPr="005D49A7">
        <w:rPr>
          <w:rFonts w:ascii="Book Antiqua" w:eastAsia="SimSun" w:hAnsi="Book Antiqua" w:cs="SimSun"/>
          <w:b/>
          <w:lang w:val="en-US" w:eastAsia="zh-CN"/>
        </w:rPr>
        <w:t>Received:</w:t>
      </w:r>
      <w:r>
        <w:rPr>
          <w:rFonts w:ascii="Book Antiqua" w:eastAsia="SimSun" w:hAnsi="Book Antiqua" w:cs="SimSun" w:hint="eastAsia"/>
          <w:b/>
          <w:lang w:val="en-US" w:eastAsia="zh-CN"/>
        </w:rPr>
        <w:t xml:space="preserve"> </w:t>
      </w:r>
      <w:r w:rsidRPr="005D49A7">
        <w:rPr>
          <w:rFonts w:ascii="Book Antiqua" w:eastAsia="SimSun" w:hAnsi="Book Antiqua" w:cs="SimSun" w:hint="eastAsia"/>
          <w:lang w:val="en-US" w:eastAsia="zh-CN"/>
        </w:rPr>
        <w:t>February 24, 2017</w:t>
      </w:r>
    </w:p>
    <w:p w14:paraId="0B17437A" w14:textId="52C3B81A" w:rsidR="005D49A7" w:rsidRPr="005D49A7" w:rsidRDefault="005D49A7" w:rsidP="005D49A7">
      <w:pPr>
        <w:snapToGrid w:val="0"/>
        <w:spacing w:line="360" w:lineRule="auto"/>
        <w:jc w:val="both"/>
        <w:rPr>
          <w:rFonts w:ascii="Book Antiqua" w:eastAsia="SimSun" w:hAnsi="Book Antiqua" w:cs="SimSun"/>
          <w:b/>
          <w:lang w:val="en-US" w:eastAsia="zh-CN"/>
        </w:rPr>
      </w:pPr>
      <w:r w:rsidRPr="005D49A7">
        <w:rPr>
          <w:rFonts w:ascii="Book Antiqua" w:eastAsia="SimSun" w:hAnsi="Book Antiqua" w:cs="SimSun"/>
          <w:b/>
          <w:lang w:val="en-US" w:eastAsia="zh-CN"/>
        </w:rPr>
        <w:t>Peer-review started:</w:t>
      </w:r>
      <w:r>
        <w:rPr>
          <w:rFonts w:ascii="Book Antiqua" w:eastAsia="SimSun" w:hAnsi="Book Antiqua" w:cs="SimSun" w:hint="eastAsia"/>
          <w:b/>
          <w:lang w:val="en-US" w:eastAsia="zh-CN"/>
        </w:rPr>
        <w:t xml:space="preserve"> </w:t>
      </w:r>
      <w:r w:rsidRPr="005D49A7">
        <w:rPr>
          <w:rFonts w:ascii="Book Antiqua" w:eastAsia="SimSun" w:hAnsi="Book Antiqua" w:cs="SimSun" w:hint="eastAsia"/>
          <w:lang w:val="en-US" w:eastAsia="zh-CN"/>
        </w:rPr>
        <w:t>February 2</w:t>
      </w:r>
      <w:r>
        <w:rPr>
          <w:rFonts w:ascii="Book Antiqua" w:eastAsia="SimSun" w:hAnsi="Book Antiqua" w:cs="SimSun" w:hint="eastAsia"/>
          <w:lang w:val="en-US" w:eastAsia="zh-CN"/>
        </w:rPr>
        <w:t>7</w:t>
      </w:r>
      <w:r w:rsidRPr="005D49A7">
        <w:rPr>
          <w:rFonts w:ascii="Book Antiqua" w:eastAsia="SimSun" w:hAnsi="Book Antiqua" w:cs="SimSun" w:hint="eastAsia"/>
          <w:lang w:val="en-US" w:eastAsia="zh-CN"/>
        </w:rPr>
        <w:t>, 2017</w:t>
      </w:r>
    </w:p>
    <w:p w14:paraId="16844A68" w14:textId="31CDBD61" w:rsidR="005D49A7" w:rsidRPr="005D49A7" w:rsidRDefault="005D49A7" w:rsidP="005D49A7">
      <w:pPr>
        <w:snapToGrid w:val="0"/>
        <w:spacing w:line="360" w:lineRule="auto"/>
        <w:jc w:val="both"/>
        <w:rPr>
          <w:rFonts w:ascii="Book Antiqua" w:eastAsia="SimSun" w:hAnsi="Book Antiqua" w:cs="SimSun"/>
          <w:b/>
          <w:lang w:val="en-US" w:eastAsia="zh-CN"/>
        </w:rPr>
      </w:pPr>
      <w:r w:rsidRPr="005D49A7">
        <w:rPr>
          <w:rFonts w:ascii="Book Antiqua" w:eastAsia="SimSun" w:hAnsi="Book Antiqua" w:cs="SimSun"/>
          <w:b/>
          <w:lang w:val="en-US" w:eastAsia="zh-CN"/>
        </w:rPr>
        <w:t>First decision:</w:t>
      </w:r>
      <w:r>
        <w:rPr>
          <w:rFonts w:ascii="Book Antiqua" w:eastAsia="SimSun" w:hAnsi="Book Antiqua" w:cs="SimSun" w:hint="eastAsia"/>
          <w:b/>
          <w:lang w:val="en-US" w:eastAsia="zh-CN"/>
        </w:rPr>
        <w:t xml:space="preserve"> </w:t>
      </w:r>
      <w:r w:rsidRPr="005D49A7">
        <w:rPr>
          <w:rFonts w:ascii="Book Antiqua" w:eastAsia="SimSun" w:hAnsi="Book Antiqua" w:cs="SimSun" w:hint="eastAsia"/>
          <w:lang w:val="en-US" w:eastAsia="zh-CN"/>
        </w:rPr>
        <w:t>April 21, 2017</w:t>
      </w:r>
    </w:p>
    <w:p w14:paraId="6C273C43" w14:textId="044349E9" w:rsidR="005D49A7" w:rsidRPr="005D49A7" w:rsidRDefault="005D49A7" w:rsidP="005D49A7">
      <w:pPr>
        <w:snapToGrid w:val="0"/>
        <w:spacing w:line="360" w:lineRule="auto"/>
        <w:jc w:val="both"/>
        <w:rPr>
          <w:rFonts w:ascii="Book Antiqua" w:eastAsia="SimSun" w:hAnsi="Book Antiqua" w:cs="SimSun"/>
          <w:b/>
          <w:lang w:val="en-US" w:eastAsia="zh-CN"/>
        </w:rPr>
      </w:pPr>
      <w:r w:rsidRPr="005D49A7">
        <w:rPr>
          <w:rFonts w:ascii="Book Antiqua" w:eastAsia="SimSun" w:hAnsi="Book Antiqua" w:cs="SimSun"/>
          <w:b/>
          <w:lang w:val="en-US" w:eastAsia="zh-CN"/>
        </w:rPr>
        <w:t>Revised:</w:t>
      </w:r>
      <w:r>
        <w:rPr>
          <w:rFonts w:ascii="Book Antiqua" w:eastAsia="SimSun" w:hAnsi="Book Antiqua" w:cs="SimSun" w:hint="eastAsia"/>
          <w:b/>
          <w:lang w:val="en-US" w:eastAsia="zh-CN"/>
        </w:rPr>
        <w:t xml:space="preserve"> </w:t>
      </w:r>
      <w:r w:rsidRPr="005D49A7">
        <w:rPr>
          <w:rFonts w:ascii="Book Antiqua" w:eastAsia="SimSun" w:hAnsi="Book Antiqua" w:cs="SimSun" w:hint="eastAsia"/>
          <w:lang w:val="en-US" w:eastAsia="zh-CN"/>
        </w:rPr>
        <w:t>May 12, 2017</w:t>
      </w:r>
    </w:p>
    <w:p w14:paraId="383FD74B" w14:textId="64E36533" w:rsidR="005D49A7" w:rsidRPr="008A4B8B" w:rsidRDefault="005D49A7" w:rsidP="008A4B8B">
      <w:pPr>
        <w:spacing w:line="360" w:lineRule="auto"/>
        <w:rPr>
          <w:rFonts w:ascii="Book Antiqua" w:hAnsi="Book Antiqua"/>
          <w:color w:val="000000"/>
        </w:rPr>
      </w:pPr>
      <w:r w:rsidRPr="005D49A7">
        <w:rPr>
          <w:rFonts w:ascii="Book Antiqua" w:eastAsia="SimSun" w:hAnsi="Book Antiqua" w:cs="SimSun"/>
          <w:b/>
          <w:lang w:val="en-US" w:eastAsia="zh-CN"/>
        </w:rPr>
        <w:t>Accepted:</w:t>
      </w:r>
      <w:bookmarkStart w:id="43" w:name="OLE_LINK135"/>
      <w:bookmarkStart w:id="44" w:name="OLE_LINK136"/>
      <w:r w:rsidR="008A4B8B" w:rsidRPr="008A4B8B">
        <w:rPr>
          <w:rFonts w:ascii="Book Antiqua" w:hAnsi="Book Antiqua"/>
          <w:color w:val="000000"/>
        </w:rPr>
        <w:t xml:space="preserve"> </w:t>
      </w:r>
      <w:r w:rsidR="008A4B8B">
        <w:rPr>
          <w:rFonts w:ascii="Book Antiqua" w:hAnsi="Book Antiqua"/>
          <w:color w:val="000000"/>
        </w:rPr>
        <w:t>July 12, 2017</w:t>
      </w:r>
      <w:bookmarkStart w:id="45" w:name="_GoBack"/>
      <w:bookmarkEnd w:id="43"/>
      <w:bookmarkEnd w:id="44"/>
      <w:bookmarkEnd w:id="45"/>
    </w:p>
    <w:p w14:paraId="043322F4" w14:textId="77777777" w:rsidR="005D49A7" w:rsidRPr="005D49A7" w:rsidRDefault="005D49A7" w:rsidP="005D49A7">
      <w:pPr>
        <w:snapToGrid w:val="0"/>
        <w:spacing w:line="360" w:lineRule="auto"/>
        <w:jc w:val="both"/>
        <w:rPr>
          <w:rFonts w:ascii="Book Antiqua" w:eastAsia="SimSun" w:hAnsi="Book Antiqua" w:cs="SimSun"/>
          <w:b/>
          <w:lang w:val="en-US" w:eastAsia="zh-CN"/>
        </w:rPr>
      </w:pPr>
      <w:r w:rsidRPr="005D49A7">
        <w:rPr>
          <w:rFonts w:ascii="Book Antiqua" w:eastAsia="SimSun" w:hAnsi="Book Antiqua" w:cs="SimSun"/>
          <w:b/>
          <w:lang w:val="en-US" w:eastAsia="zh-CN"/>
        </w:rPr>
        <w:t>Article in press:</w:t>
      </w:r>
    </w:p>
    <w:p w14:paraId="38D0A1CA" w14:textId="77777777" w:rsidR="005D49A7" w:rsidRPr="005D49A7" w:rsidRDefault="005D49A7" w:rsidP="005D49A7">
      <w:pPr>
        <w:snapToGrid w:val="0"/>
        <w:spacing w:line="360" w:lineRule="auto"/>
        <w:jc w:val="both"/>
        <w:rPr>
          <w:rFonts w:ascii="Book Antiqua" w:eastAsia="SimSun" w:hAnsi="Book Antiqua" w:cs="Arial"/>
          <w:b/>
          <w:lang w:val="pl-PL" w:eastAsia="zh-CN"/>
        </w:rPr>
      </w:pPr>
      <w:r w:rsidRPr="005D49A7">
        <w:rPr>
          <w:rFonts w:ascii="Book Antiqua" w:eastAsia="SimSun" w:hAnsi="Book Antiqua" w:cs="Arial"/>
          <w:b/>
          <w:lang w:val="pl-PL" w:eastAsia="pl-PL"/>
        </w:rPr>
        <w:t>Published online</w:t>
      </w:r>
      <w:r w:rsidRPr="005D49A7">
        <w:rPr>
          <w:rFonts w:ascii="Book Antiqua" w:eastAsia="SimSun" w:hAnsi="Book Antiqua" w:cs="Arial" w:hint="eastAsia"/>
          <w:b/>
          <w:lang w:val="pl-PL" w:eastAsia="pl-PL"/>
        </w:rPr>
        <w:t>:</w:t>
      </w:r>
    </w:p>
    <w:p w14:paraId="5C1A30E0" w14:textId="77777777" w:rsidR="006D6C34" w:rsidRPr="006D6C34" w:rsidRDefault="006D6C34" w:rsidP="006D6C34">
      <w:pPr>
        <w:snapToGrid w:val="0"/>
        <w:spacing w:line="360" w:lineRule="auto"/>
        <w:jc w:val="both"/>
        <w:rPr>
          <w:rFonts w:ascii="Book Antiqua" w:hAnsi="Book Antiqua"/>
          <w:b/>
          <w:lang w:val="pl-PL" w:eastAsia="zh-CN"/>
        </w:rPr>
      </w:pPr>
    </w:p>
    <w:bookmarkEnd w:id="37"/>
    <w:bookmarkEnd w:id="38"/>
    <w:bookmarkEnd w:id="39"/>
    <w:bookmarkEnd w:id="40"/>
    <w:bookmarkEnd w:id="41"/>
    <w:bookmarkEnd w:id="42"/>
    <w:p w14:paraId="0EE63DA7" w14:textId="7DE4FB43" w:rsidR="006D6C34" w:rsidRPr="006D6C34" w:rsidRDefault="006D6C34" w:rsidP="006D6C34">
      <w:pPr>
        <w:snapToGrid w:val="0"/>
        <w:spacing w:line="360" w:lineRule="auto"/>
        <w:rPr>
          <w:rFonts w:ascii="Book Antiqua" w:hAnsi="Book Antiqua"/>
          <w:b/>
          <w:lang w:val="en-US"/>
        </w:rPr>
      </w:pPr>
      <w:r w:rsidRPr="006D6C34">
        <w:rPr>
          <w:rFonts w:ascii="Book Antiqua" w:hAnsi="Book Antiqua"/>
          <w:b/>
          <w:lang w:val="en-US"/>
        </w:rPr>
        <w:br w:type="page"/>
      </w:r>
    </w:p>
    <w:p w14:paraId="04096F9D" w14:textId="77777777" w:rsidR="003402E1" w:rsidRPr="006D6C34" w:rsidRDefault="003402E1" w:rsidP="006D6C34">
      <w:pPr>
        <w:adjustRightInd w:val="0"/>
        <w:snapToGrid w:val="0"/>
        <w:spacing w:line="360" w:lineRule="auto"/>
        <w:jc w:val="both"/>
        <w:rPr>
          <w:rFonts w:ascii="Book Antiqua" w:hAnsi="Book Antiqua"/>
          <w:b/>
          <w:lang w:val="en-US"/>
        </w:rPr>
      </w:pPr>
      <w:r w:rsidRPr="006D6C34">
        <w:rPr>
          <w:rFonts w:ascii="Book Antiqua" w:hAnsi="Book Antiqua"/>
          <w:b/>
          <w:lang w:val="en-US"/>
        </w:rPr>
        <w:lastRenderedPageBreak/>
        <w:t xml:space="preserve">Abstract </w:t>
      </w:r>
    </w:p>
    <w:p w14:paraId="56C6A139" w14:textId="3282A32D" w:rsidR="002D2324" w:rsidRPr="006D6C34" w:rsidRDefault="003402E1" w:rsidP="006D6C34">
      <w:pPr>
        <w:snapToGrid w:val="0"/>
        <w:spacing w:line="360" w:lineRule="auto"/>
        <w:jc w:val="both"/>
        <w:rPr>
          <w:rFonts w:ascii="Book Antiqua" w:hAnsi="Book Antiqua"/>
          <w:lang w:val="en-US" w:eastAsia="zh-CN"/>
        </w:rPr>
      </w:pPr>
      <w:r w:rsidRPr="006D6C34">
        <w:rPr>
          <w:rFonts w:ascii="Book Antiqua" w:hAnsi="Book Antiqua"/>
          <w:lang w:val="en-US" w:eastAsia="zh-CN"/>
        </w:rPr>
        <w:t>Magnesium deficiency can cause a variety of symptoms, including potentially life-threatening complications such as seizures, cardiac arrhythmias and secondary electrolyte disturbances. Hypomagnesemia can be a serious adverse effect to proton pump inhibitor (PPI) therapy, which is worrying due to the widespread use of PPIs. Current evidence suggested that the mechanism of PPI induced hypomagnesemia is impaired intestinal magnesium absorption. In this report, we present the case of a long-term PPI user with persistent hypomagnesemia with severe symptoms at presentation. He was unable to stop PPI treatment because of severe reflux symptoms, and was dependent on weekly intravenous magnesium infusions, until his magnesium levels finally normalized without the need for supplementation after a successful laparoscopic fundoplication.</w:t>
      </w:r>
    </w:p>
    <w:p w14:paraId="6F9E4E98" w14:textId="77777777" w:rsidR="003402E1" w:rsidRPr="006D6C34" w:rsidRDefault="003402E1" w:rsidP="006D6C34">
      <w:pPr>
        <w:snapToGrid w:val="0"/>
        <w:spacing w:line="360" w:lineRule="auto"/>
        <w:jc w:val="both"/>
        <w:rPr>
          <w:rFonts w:ascii="Book Antiqua" w:hAnsi="Book Antiqua"/>
          <w:b/>
          <w:lang w:val="en-US" w:eastAsia="zh-CN"/>
        </w:rPr>
      </w:pPr>
    </w:p>
    <w:p w14:paraId="7D3E77E6" w14:textId="58E42FD6" w:rsidR="003402E1" w:rsidRPr="006D6C34" w:rsidRDefault="003402E1" w:rsidP="006D6C34">
      <w:pPr>
        <w:snapToGrid w:val="0"/>
        <w:spacing w:line="360" w:lineRule="auto"/>
        <w:jc w:val="both"/>
        <w:rPr>
          <w:rFonts w:ascii="Book Antiqua" w:hAnsi="Book Antiqua"/>
          <w:lang w:val="en-US" w:eastAsia="zh-CN"/>
        </w:rPr>
      </w:pPr>
      <w:r w:rsidRPr="006D6C34">
        <w:rPr>
          <w:rFonts w:ascii="Book Antiqua" w:hAnsi="Book Antiqua"/>
          <w:b/>
          <w:lang w:val="en-US" w:eastAsia="zh-CN"/>
        </w:rPr>
        <w:t xml:space="preserve">Key words: </w:t>
      </w:r>
      <w:r w:rsidRPr="006D6C34">
        <w:rPr>
          <w:rFonts w:ascii="Book Antiqua" w:hAnsi="Book Antiqua"/>
          <w:lang w:val="en-US" w:eastAsia="zh-CN"/>
        </w:rPr>
        <w:t>Hypomagnesemia; Proton pump inhibitor; Gastroesophageal reflux disease; Drug adverse effect; Laparoscopic fundoplication</w:t>
      </w:r>
    </w:p>
    <w:p w14:paraId="7D0F84BE" w14:textId="77777777" w:rsidR="003402E1" w:rsidRDefault="003402E1" w:rsidP="006D6C34">
      <w:pPr>
        <w:snapToGrid w:val="0"/>
        <w:spacing w:line="360" w:lineRule="auto"/>
        <w:jc w:val="both"/>
        <w:rPr>
          <w:rFonts w:ascii="Book Antiqua" w:hAnsi="Book Antiqua"/>
          <w:lang w:val="en-US" w:eastAsia="zh-CN"/>
        </w:rPr>
      </w:pPr>
    </w:p>
    <w:p w14:paraId="12D955F4" w14:textId="77777777" w:rsidR="000F4872" w:rsidRPr="00EC68EF" w:rsidRDefault="000F4872" w:rsidP="000F4872">
      <w:pPr>
        <w:adjustRightInd w:val="0"/>
        <w:snapToGrid w:val="0"/>
        <w:spacing w:line="360" w:lineRule="auto"/>
        <w:jc w:val="both"/>
        <w:rPr>
          <w:rFonts w:ascii="Book Antiqua" w:hAnsi="Book Antiqua"/>
        </w:rPr>
      </w:pPr>
      <w:bookmarkStart w:id="46" w:name="OLE_LINK363"/>
      <w:bookmarkStart w:id="47" w:name="OLE_LINK364"/>
      <w:bookmarkStart w:id="48" w:name="OLE_LINK359"/>
      <w:bookmarkStart w:id="49" w:name="OLE_LINK1037"/>
      <w:bookmarkStart w:id="50" w:name="OLE_LINK1195"/>
      <w:bookmarkStart w:id="51" w:name="OLE_LINK1140"/>
      <w:bookmarkStart w:id="52" w:name="OLE_LINK1062"/>
      <w:bookmarkStart w:id="53" w:name="OLE_LINK500"/>
      <w:bookmarkStart w:id="54" w:name="OLE_LINK916"/>
      <w:bookmarkStart w:id="55" w:name="OLE_LINK956"/>
      <w:bookmarkStart w:id="56" w:name="OLE_LINK994"/>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7</w:t>
      </w:r>
      <w:r w:rsidRPr="00EC68EF">
        <w:rPr>
          <w:rFonts w:ascii="Book Antiqua" w:hAnsi="Book Antiqua"/>
          <w:b/>
        </w:rPr>
        <w:t>.</w:t>
      </w:r>
      <w:r w:rsidRPr="00EC68EF">
        <w:rPr>
          <w:rFonts w:ascii="Book Antiqua" w:hAnsi="Book Antiqua"/>
        </w:rPr>
        <w:t xml:space="preserve"> Published by Baishideng Publishing Group Inc. All rights reserved.</w:t>
      </w:r>
    </w:p>
    <w:bookmarkEnd w:id="46"/>
    <w:bookmarkEnd w:id="47"/>
    <w:bookmarkEnd w:id="48"/>
    <w:bookmarkEnd w:id="49"/>
    <w:bookmarkEnd w:id="50"/>
    <w:bookmarkEnd w:id="51"/>
    <w:bookmarkEnd w:id="52"/>
    <w:bookmarkEnd w:id="53"/>
    <w:bookmarkEnd w:id="54"/>
    <w:bookmarkEnd w:id="55"/>
    <w:bookmarkEnd w:id="56"/>
    <w:p w14:paraId="74AFD2E8" w14:textId="77777777" w:rsidR="000F4872" w:rsidRPr="006D6C34" w:rsidRDefault="000F4872" w:rsidP="006D6C34">
      <w:pPr>
        <w:snapToGrid w:val="0"/>
        <w:spacing w:line="360" w:lineRule="auto"/>
        <w:jc w:val="both"/>
        <w:rPr>
          <w:rFonts w:ascii="Book Antiqua" w:hAnsi="Book Antiqua"/>
          <w:lang w:val="en-US" w:eastAsia="zh-CN"/>
        </w:rPr>
      </w:pPr>
    </w:p>
    <w:p w14:paraId="57645B2B" w14:textId="4FFABC79" w:rsidR="003402E1" w:rsidRPr="006D6C34" w:rsidRDefault="003402E1" w:rsidP="006D6C34">
      <w:pPr>
        <w:snapToGrid w:val="0"/>
        <w:spacing w:line="360" w:lineRule="auto"/>
        <w:jc w:val="both"/>
        <w:rPr>
          <w:rFonts w:ascii="Book Antiqua" w:hAnsi="Book Antiqua" w:cs="Times New Roman"/>
          <w:lang w:val="en-US" w:eastAsia="zh-CN"/>
        </w:rPr>
      </w:pPr>
      <w:bookmarkStart w:id="57" w:name="OLE_LINK1196"/>
      <w:bookmarkStart w:id="58" w:name="OLE_LINK1154"/>
      <w:bookmarkStart w:id="59" w:name="OLE_LINK1155"/>
      <w:bookmarkStart w:id="60" w:name="OLE_LINK1322"/>
      <w:bookmarkStart w:id="61" w:name="OLE_LINK1044"/>
      <w:bookmarkStart w:id="62" w:name="OLE_LINK1224"/>
      <w:bookmarkStart w:id="63" w:name="OLE_LINK1225"/>
      <w:bookmarkStart w:id="64" w:name="OLE_LINK1634"/>
      <w:bookmarkStart w:id="65" w:name="OLE_LINK1635"/>
      <w:bookmarkStart w:id="66" w:name="OLE_LINK1762"/>
      <w:bookmarkStart w:id="67" w:name="OLE_LINK1763"/>
      <w:bookmarkStart w:id="68" w:name="OLE_LINK1764"/>
      <w:bookmarkStart w:id="69" w:name="OLE_LINK1939"/>
      <w:bookmarkStart w:id="70" w:name="OLE_LINK2194"/>
      <w:bookmarkStart w:id="71" w:name="OLE_LINK2878"/>
      <w:r w:rsidRPr="006D6C34">
        <w:rPr>
          <w:rFonts w:ascii="Book Antiqua" w:hAnsi="Book Antiqua" w:cs="Times New Roman"/>
          <w:b/>
          <w:highlight w:val="white"/>
          <w:lang w:val="en-US" w:eastAsia="zh-CN"/>
        </w:rPr>
        <w:t>Core tip:</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6D6C34">
        <w:rPr>
          <w:rFonts w:ascii="Book Antiqua" w:hAnsi="Book Antiqua" w:cs="Times New Roman"/>
          <w:b/>
          <w:lang w:val="en-US" w:eastAsia="zh-CN"/>
        </w:rPr>
        <w:t xml:space="preserve"> </w:t>
      </w:r>
      <w:r w:rsidRPr="006D6C34">
        <w:rPr>
          <w:rFonts w:ascii="Book Antiqua" w:hAnsi="Book Antiqua" w:cs="Times New Roman"/>
          <w:lang w:val="en-US" w:eastAsia="zh-CN"/>
        </w:rPr>
        <w:t xml:space="preserve">This case illustrates a long-term </w:t>
      </w:r>
      <w:r w:rsidR="00CD7FDA" w:rsidRPr="006D6C34">
        <w:rPr>
          <w:rFonts w:ascii="Book Antiqua" w:hAnsi="Book Antiqua"/>
          <w:lang w:val="en-US" w:eastAsia="zh-CN"/>
        </w:rPr>
        <w:t>proton pump inhibitor (PPI)</w:t>
      </w:r>
      <w:r w:rsidR="00CD7FDA" w:rsidRPr="006D6C34">
        <w:rPr>
          <w:rFonts w:ascii="Book Antiqua" w:hAnsi="Book Antiqua" w:cs="Times New Roman"/>
          <w:lang w:val="en-US" w:eastAsia="zh-CN"/>
        </w:rPr>
        <w:t xml:space="preserve"> </w:t>
      </w:r>
      <w:r w:rsidRPr="006D6C34">
        <w:rPr>
          <w:rFonts w:ascii="Book Antiqua" w:hAnsi="Book Antiqua" w:cs="Times New Roman"/>
          <w:lang w:val="en-US" w:eastAsia="zh-CN"/>
        </w:rPr>
        <w:t>user with persistent hypomagnesaemia causing severe symptoms at presentation. For years, he was dependent on oral and later intravenous magnesium supplementation, until his hypomagnesemia rapidly improved upon PPI discontinuation. He was, however, not able to cope with the resulting reflux symptoms, and was not able to completely stop PPI treatment until he underwent a successful laparoscopic fundoplication.</w:t>
      </w:r>
    </w:p>
    <w:p w14:paraId="34E51F57" w14:textId="77777777" w:rsidR="009B0339" w:rsidRPr="006D6C34" w:rsidRDefault="009B0339" w:rsidP="006D6C34">
      <w:pPr>
        <w:snapToGrid w:val="0"/>
        <w:spacing w:line="360" w:lineRule="auto"/>
        <w:jc w:val="both"/>
        <w:rPr>
          <w:rFonts w:ascii="Book Antiqua" w:hAnsi="Book Antiqua" w:cs="Times New Roman"/>
          <w:lang w:val="en-US"/>
        </w:rPr>
      </w:pPr>
      <w:bookmarkStart w:id="72" w:name="OLE_LINK47"/>
      <w:bookmarkStart w:id="73" w:name="OLE_LINK48"/>
      <w:bookmarkStart w:id="74" w:name="OLE_LINK3"/>
      <w:bookmarkStart w:id="75" w:name="OLE_LINK4"/>
      <w:bookmarkStart w:id="76" w:name="OLE_LINK70"/>
      <w:bookmarkStart w:id="77" w:name="OLE_LINK118"/>
      <w:bookmarkStart w:id="78" w:name="OLE_LINK145"/>
      <w:bookmarkStart w:id="79" w:name="OLE_LINK218"/>
      <w:bookmarkStart w:id="80" w:name="OLE_LINK520"/>
      <w:bookmarkStart w:id="81" w:name="OLE_LINK537"/>
      <w:bookmarkStart w:id="82" w:name="OLE_LINK598"/>
      <w:bookmarkStart w:id="83" w:name="OLE_LINK728"/>
      <w:bookmarkStart w:id="84" w:name="OLE_LINK745"/>
      <w:bookmarkStart w:id="85" w:name="OLE_LINK200"/>
      <w:bookmarkStart w:id="86" w:name="OLE_LINK196"/>
      <w:bookmarkStart w:id="87" w:name="OLE_LINK341"/>
      <w:bookmarkStart w:id="88" w:name="OLE_LINK377"/>
      <w:bookmarkStart w:id="89" w:name="OLE_LINK366"/>
      <w:bookmarkStart w:id="90" w:name="OLE_LINK1038"/>
      <w:bookmarkStart w:id="91" w:name="OLE_LINK1166"/>
      <w:bookmarkStart w:id="92" w:name="OLE_LINK1105"/>
      <w:bookmarkStart w:id="93" w:name="OLE_LINK1107"/>
    </w:p>
    <w:p w14:paraId="13BF508A" w14:textId="4D00EF9A" w:rsidR="009B0339" w:rsidRPr="006D6C34" w:rsidRDefault="006D6C34" w:rsidP="006D6C34">
      <w:pPr>
        <w:snapToGrid w:val="0"/>
        <w:spacing w:line="360" w:lineRule="auto"/>
        <w:jc w:val="both"/>
        <w:rPr>
          <w:rFonts w:ascii="Book Antiqua" w:hAnsi="Book Antiqua"/>
          <w:lang w:val="en-US"/>
        </w:rPr>
      </w:pPr>
      <w:r w:rsidRPr="006D6C34">
        <w:rPr>
          <w:rFonts w:ascii="Book Antiqua" w:hAnsi="Book Antiqua"/>
        </w:rPr>
        <w:t>Semb S,</w:t>
      </w:r>
      <w:r w:rsidR="006C2B94">
        <w:rPr>
          <w:rFonts w:ascii="Book Antiqua" w:hAnsi="Book Antiqua" w:hint="eastAsia"/>
          <w:lang w:eastAsia="zh-CN"/>
        </w:rPr>
        <w:t xml:space="preserve"> </w:t>
      </w:r>
      <w:r w:rsidRPr="006D6C34">
        <w:rPr>
          <w:rFonts w:ascii="Book Antiqua" w:hAnsi="Book Antiqua"/>
        </w:rPr>
        <w:t>Helgstrand F,</w:t>
      </w:r>
      <w:r w:rsidR="006C2B94">
        <w:rPr>
          <w:rFonts w:ascii="Book Antiqua" w:hAnsi="Book Antiqua" w:hint="eastAsia"/>
          <w:lang w:eastAsia="zh-CN"/>
        </w:rPr>
        <w:t xml:space="preserve"> </w:t>
      </w:r>
      <w:r w:rsidRPr="006D6C34">
        <w:rPr>
          <w:rFonts w:ascii="Book Antiqua" w:hAnsi="Book Antiqua"/>
        </w:rPr>
        <w:t>Hjørne F</w:t>
      </w:r>
      <w:r w:rsidR="009B0339" w:rsidRPr="006D6C34">
        <w:rPr>
          <w:rFonts w:ascii="Book Antiqua" w:hAnsi="Book Antiqua"/>
        </w:rPr>
        <w:t>, Bytzer P.</w:t>
      </w:r>
      <w:r w:rsidR="006C2B94">
        <w:rPr>
          <w:rFonts w:ascii="Book Antiqua" w:hAnsi="Book Antiqua" w:hint="eastAsia"/>
          <w:lang w:val="en-US" w:eastAsia="zh-CN"/>
        </w:rPr>
        <w:t xml:space="preserve"> </w:t>
      </w:r>
      <w:r w:rsidRPr="006D6C34">
        <w:rPr>
          <w:rFonts w:ascii="Book Antiqua" w:hAnsi="Book Antiqua"/>
          <w:lang w:val="en-US"/>
        </w:rPr>
        <w:t xml:space="preserve">Persistent severe hypomagnesemia caused by proton pump inhibitor resolved after laparoscopic fundoplication. </w:t>
      </w:r>
      <w:r w:rsidR="00BA15FE" w:rsidRPr="006D6C34">
        <w:rPr>
          <w:rFonts w:ascii="Book Antiqua" w:hAnsi="Book Antiqua" w:cs="Times New Roman"/>
          <w:i/>
          <w:lang w:val="en-US"/>
        </w:rPr>
        <w:t xml:space="preserve">World J Gastroenterol </w:t>
      </w:r>
      <w:r w:rsidR="00BA15FE" w:rsidRPr="006D6C34">
        <w:rPr>
          <w:rFonts w:ascii="Book Antiqua" w:hAnsi="Book Antiqua" w:cs="Times New Roman"/>
          <w:lang w:val="en-US"/>
        </w:rPr>
        <w:t>2017; In press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8C7E513" w14:textId="77777777" w:rsidR="006D6C34" w:rsidRDefault="006D6C34">
      <w:pPr>
        <w:spacing w:after="160" w:line="259" w:lineRule="auto"/>
        <w:rPr>
          <w:rFonts w:ascii="Book Antiqua" w:hAnsi="Book Antiqua"/>
          <w:b/>
          <w:caps/>
          <w:lang w:val="en-US"/>
        </w:rPr>
      </w:pPr>
      <w:r>
        <w:rPr>
          <w:rFonts w:ascii="Book Antiqua" w:hAnsi="Book Antiqua"/>
          <w:b/>
          <w:caps/>
          <w:lang w:val="en-US"/>
        </w:rPr>
        <w:br w:type="page"/>
      </w:r>
    </w:p>
    <w:p w14:paraId="0F61721C" w14:textId="450C027A" w:rsidR="002D2324" w:rsidRPr="006D6C34" w:rsidRDefault="002D2324" w:rsidP="006D6C34">
      <w:pPr>
        <w:snapToGrid w:val="0"/>
        <w:spacing w:line="360" w:lineRule="auto"/>
        <w:jc w:val="both"/>
        <w:rPr>
          <w:rFonts w:ascii="Book Antiqua" w:hAnsi="Book Antiqua" w:cs="Times New Roman"/>
          <w:lang w:val="en-US"/>
        </w:rPr>
      </w:pPr>
      <w:r w:rsidRPr="006D6C34">
        <w:rPr>
          <w:rFonts w:ascii="Book Antiqua" w:hAnsi="Book Antiqua"/>
          <w:b/>
          <w:caps/>
          <w:lang w:val="en-US"/>
        </w:rPr>
        <w:lastRenderedPageBreak/>
        <w:t>Introduction</w:t>
      </w:r>
    </w:p>
    <w:p w14:paraId="06F02E17" w14:textId="2F31648C" w:rsidR="002D2324" w:rsidRPr="006D6C34" w:rsidRDefault="002D2324" w:rsidP="006D6C34">
      <w:pPr>
        <w:snapToGrid w:val="0"/>
        <w:spacing w:line="360" w:lineRule="auto"/>
        <w:jc w:val="both"/>
        <w:rPr>
          <w:rFonts w:ascii="Book Antiqua" w:hAnsi="Book Antiqua"/>
          <w:lang w:val="en-US"/>
        </w:rPr>
      </w:pPr>
      <w:r w:rsidRPr="006D6C34">
        <w:rPr>
          <w:rFonts w:ascii="Book Antiqua" w:hAnsi="Book Antiqua"/>
          <w:lang w:val="en-US"/>
        </w:rPr>
        <w:t>Magnesium plays an essential role in several physiological and biochemical bodily processes. Consequently, magnesium deficiency can cause a variety of symptoms, ranging from nonspecific complaints of weakness, fatigue and nausea to potentially life threatening complications such as seizures, cardiac arrhythmias and secondary electrolyte disturbances. Hypomagnesemia can develop due to gastrointestinal and/or renal disease, as well as an adverse effect to several medications. Several reports of severe hypomagnesemia associated with long term prot</w:t>
      </w:r>
      <w:r w:rsidR="006C2B94">
        <w:rPr>
          <w:rFonts w:ascii="Book Antiqua" w:hAnsi="Book Antiqua"/>
          <w:lang w:val="en-US"/>
        </w:rPr>
        <w:t>on pump inhibitor (PPI) therapy</w:t>
      </w:r>
      <w:r w:rsidRPr="006D6C34">
        <w:rPr>
          <w:rFonts w:ascii="Book Antiqua" w:hAnsi="Book Antiqua"/>
          <w:lang w:val="en-US"/>
        </w:rPr>
        <w:fldChar w:fldCharType="begin" w:fldLock="1"/>
      </w:r>
      <w:r w:rsidR="00D769AF" w:rsidRPr="006D6C34">
        <w:rPr>
          <w:rFonts w:ascii="Book Antiqua" w:hAnsi="Book Antiqua"/>
          <w:lang w:val="en-US"/>
        </w:rPr>
        <w:instrText>ADDIN CSL_CITATION { "citationItems" : [ { "id" : "ITEM-1", "itemData" : { "DOI" : "10.1111/j.1365-2036.2012.05201.x", "ISBN" : "1365-2036 (Electronic)\\r0269-2813 (Linking)", "ISSN" : "02692813", "PMID" : "22762246", "abstract" : "BACKGROUND: Proton pump inhibitors (PPIs) are a mainstay therapy for all gastric acid-related diseases. Clinical concerns arise from a small but growing number of case reports presenting PPI-induced hypomagnesaemia (PPIH) as a consequence of long-term PPI use. Current opinion is that reduced intestinal magnesium absorption might be involved, but nothing is known on the molecular mechanism underlying PPIH. AIM: To investigate whether or not PPIH is a true, long-term drug-class effect of all PPIs and to scrutinise a possible role of comorbidity in its aetiology. Therefore, the primary objective in particular was to investigate serum magnesium dynamics in trials drug withdrawal and re-challenge. The secondary objective was to profile the 'patient at risk'. METHODS: We reviewed systematically all currently available case reports on the subject and performed a statistical analysis on extracted data. RESULTS: Proton pump inhibitor-induced hypomagnesaemia PPIH is a drug-class effect and occurred after 5.5 years (median) of PPI use, onset was broad and ranged from 14 days to 13 years. Discontinuation of PPIs resulted in fast recovery from PPIH in 4 days and re-challenge led to reoccurrence within 4 days. Histamine-2-receptor antagonists were the preferable replacement therapy in PPIH and prevented reoccurrence of hypomagnesaemia. In PPIH no specific risk profile was identified that was linked to the hypomagnesaemia. CONCLUSIONS: The cases of PPIH show severe symptoms of magnesium depletion and identification of its causation was only possible through withdrawal of the PPI. Clinical awareness of PPIH is key to avoid putting patients at risk.", "author" : [ { "dropping-particle" : "", "family" : "Hess", "given" : "M. W.", "non-dropping-particle" : "", "parse-names" : false, "suffix" : "" }, { "dropping-particle" : "", "family" : "Hoenderop", "given" : "J. G J", "non-dropping-particle" : "", "parse-names" : false, "suffix" : "" }, { "dropping-particle" : "", "family" : "Bindels", "given" : "R. J M", "non-dropping-particle" : "", "parse-names" : false, "suffix" : "" }, { "dropping-particle" : "", "family" : "Drenth", "given" : "J. P H", "non-dropping-particle" : "", "parse-names" : false, "suffix" : "" } ], "container-title" : "Alimentary Pharmacology and Therapeutics", "id" : "ITEM-1", "issue" : "5", "issued" : { "date-parts" : [ [ "2012" ] ] }, "page" : "405-413", "title" : "Systematic review: Hypomagnesaemia induced by proton pump inhibition", "type" : "article", "volume" : "36" }, "uris" : [ "http://www.mendeley.com/documents/?uuid=39cace56-08a8-4f6e-ad80-0adda2f445c7" ] }, { "id" : "ITEM-2", "itemData" : { "DOI" : "10.1093/qjmed/hcq021", "ISSN" : "1460-2393", "PMID" : "20378675", "abstract" : "Reports since 2006 have identified proton-pump inhibitor (PPI) therapy as a cause of hypomagnesaemia, in a total of 13 cases.", "author" : [ { "dropping-particle" : "", "family" : "Mackay", "given" : "J D", "non-dropping-particle" : "", "parse-names" : false, "suffix" : "" }, { "dropping-particle" : "", "family" : "Bladon", "given" : "P T", "non-dropping-particle" : "", "parse-names" : false, "suffix" : "" } ], "container-title" : "QJM : monthly journal of the Association of Physicians", "id" : "ITEM-2", "issue" : "6", "issued" : { "date-parts" : [ [ "2010" ] ] }, "page" : "387-395", "title" : "Hypomagnesaemia due to proton-pump inhibitor therapy: a clinical case series.", "type" : "article-journal", "volume" : "103" }, "uris" : [ "http://www.mendeley.com/documents/?uuid=b0d0ea2b-eb0e-406f-a5e3-00d1a7837ee2" ] } ], "mendeley" : { "formattedCitation" : "&lt;sup&gt;[1,2]&lt;/sup&gt;", "plainTextFormattedCitation" : "[1,2]", "previouslyFormattedCitation" : "&lt;sup&gt;[1,2]&lt;/sup&gt;" }, "properties" : { "noteIndex" : 0 }, "schema" : "https://github.com/citation-style-language/schema/raw/master/csl-citation.json" }</w:instrText>
      </w:r>
      <w:r w:rsidRPr="006D6C34">
        <w:rPr>
          <w:rFonts w:ascii="Book Antiqua" w:hAnsi="Book Antiqua"/>
          <w:lang w:val="en-US"/>
        </w:rPr>
        <w:fldChar w:fldCharType="separate"/>
      </w:r>
      <w:r w:rsidR="00EF4263" w:rsidRPr="006D6C34">
        <w:rPr>
          <w:rFonts w:ascii="Book Antiqua" w:hAnsi="Book Antiqua"/>
          <w:noProof/>
          <w:vertAlign w:val="superscript"/>
          <w:lang w:val="en-US"/>
        </w:rPr>
        <w:t>[1,2]</w:t>
      </w:r>
      <w:r w:rsidRPr="006D6C34">
        <w:rPr>
          <w:rFonts w:ascii="Book Antiqua" w:hAnsi="Book Antiqua"/>
          <w:lang w:val="en-US"/>
        </w:rPr>
        <w:fldChar w:fldCharType="end"/>
      </w:r>
      <w:r w:rsidRPr="006D6C34">
        <w:rPr>
          <w:rFonts w:ascii="Book Antiqua" w:hAnsi="Book Antiqua"/>
          <w:lang w:val="en-US"/>
        </w:rPr>
        <w:t xml:space="preserve"> is causing concern du</w:t>
      </w:r>
      <w:r w:rsidR="006C2B94">
        <w:rPr>
          <w:rFonts w:ascii="Book Antiqua" w:hAnsi="Book Antiqua"/>
          <w:lang w:val="en-US"/>
        </w:rPr>
        <w:t>e to the widespread use of PPIs</w:t>
      </w:r>
      <w:r w:rsidRPr="006D6C34">
        <w:rPr>
          <w:rFonts w:ascii="Book Antiqua" w:hAnsi="Book Antiqua"/>
          <w:lang w:val="en-US"/>
        </w:rPr>
        <w:fldChar w:fldCharType="begin" w:fldLock="1"/>
      </w:r>
      <w:r w:rsidR="00D769AF" w:rsidRPr="006D6C34">
        <w:rPr>
          <w:rFonts w:ascii="Book Antiqua" w:hAnsi="Book Antiqua"/>
          <w:lang w:val="en-US"/>
        </w:rPr>
        <w:instrText>ADDIN CSL_CITATION { "citationItems" : [ { "id" : "ITEM-1", "itemData" : { "DOI" : "10.1136/bmj.39406.449456.BE", "ISSN" : "1756-1833", "PMID" : "18174564", "abstract" : "Proton pump inhibitors are one of the most frequently prescribed classes of drug in the world because they combine a high level of efficacy with low toxicity. In 2006, expenditure on these drugs was \u00a3425m (\u20ac595m; $872m) in England1 and \u00a37bn globally.2 Yet studies consistently show that proton pump inhibitors are being overprescribed worldwide in both primary and secondary care.3456789 Between 25% and 70% of patients taking these drugs have no appropriate indication. This means that, at the very least, \u00a3100m from the National Health Service (NHS) budget and almost \u00a32bn worldwide is being spent unnecessarily on proton pump inhibitors each year. The first generic proton pump inhibitor (omeprazole) was introduced in 2002 and now comprises more than four fifths of all prescriptions for proton pump inhibitors in the United Kingdom. In the five years since the introduction of omeprazole, precriptions for proton pump inhibitors have doubled, although the reasons for the this rise are not obvious.1 Despite this substantial increase in drug usage,", "author" : [ { "dropping-particle" : "", "family" : "Forgacs", "given" : "Ian", "non-dropping-particle" : "", "parse-names" : false, "suffix" : "" }, { "dropping-particle" : "", "family" : "Loganayagam", "given" : "Aathavan", "non-dropping-particle" : "", "parse-names" : false, "suffix" : "" } ], "container-title" : "Bmj", "id" : "ITEM-1", "issue" : "7634", "issued" : { "date-parts" : [ [ "2008" ] ] }, "page" : "2-3", "title" : "Overprescribing proton pump inhibitors", "type" : "article-journal", "volume" : "336" }, "uris" : [ "http://www.mendeley.com/documents/?uuid=374bc952-0e1e-4f75-bb49-18d9dd18c675" ] } ], "mendeley" : { "formattedCitation" : "&lt;sup&gt;[3]&lt;/sup&gt;", "plainTextFormattedCitation" : "[3]", "previouslyFormattedCitation" : "&lt;sup&gt;[3]&lt;/sup&gt;" }, "properties" : { "noteIndex" : 0 }, "schema" : "https://github.com/citation-style-language/schema/raw/master/csl-citation.json" }</w:instrText>
      </w:r>
      <w:r w:rsidRPr="006D6C34">
        <w:rPr>
          <w:rFonts w:ascii="Book Antiqua" w:hAnsi="Book Antiqua"/>
          <w:lang w:val="en-US"/>
        </w:rPr>
        <w:fldChar w:fldCharType="separate"/>
      </w:r>
      <w:r w:rsidR="00EF4263" w:rsidRPr="006D6C34">
        <w:rPr>
          <w:rFonts w:ascii="Book Antiqua" w:hAnsi="Book Antiqua"/>
          <w:noProof/>
          <w:vertAlign w:val="superscript"/>
          <w:lang w:val="en-US"/>
        </w:rPr>
        <w:t>[3]</w:t>
      </w:r>
      <w:r w:rsidRPr="006D6C34">
        <w:rPr>
          <w:rFonts w:ascii="Book Antiqua" w:hAnsi="Book Antiqua"/>
          <w:lang w:val="en-US"/>
        </w:rPr>
        <w:fldChar w:fldCharType="end"/>
      </w:r>
      <w:r w:rsidRPr="006D6C34">
        <w:rPr>
          <w:rFonts w:ascii="Book Antiqua" w:hAnsi="Book Antiqua"/>
          <w:lang w:val="en-US"/>
        </w:rPr>
        <w:t>. Current evidence suggest that PPI impair the intestinal magnesium absorption through a molecular effect on magnesium transporters in gene</w:t>
      </w:r>
      <w:r w:rsidR="006C2B94">
        <w:rPr>
          <w:rFonts w:ascii="Book Antiqua" w:hAnsi="Book Antiqua"/>
          <w:lang w:val="en-US"/>
        </w:rPr>
        <w:t>tically predisposed individuals</w:t>
      </w:r>
      <w:r w:rsidRPr="006D6C34">
        <w:rPr>
          <w:rFonts w:ascii="Book Antiqua" w:hAnsi="Book Antiqua"/>
          <w:lang w:val="en-US"/>
        </w:rPr>
        <w:fldChar w:fldCharType="begin" w:fldLock="1"/>
      </w:r>
      <w:r w:rsidR="00D769AF" w:rsidRPr="006D6C34">
        <w:rPr>
          <w:rFonts w:ascii="Book Antiqua" w:hAnsi="Book Antiqua"/>
          <w:lang w:val="en-US"/>
        </w:rPr>
        <w:instrText>ADDIN CSL_CITATION { "citationItems" : [ { "id" : "ITEM-1", "itemData" : { "DOI" : "10.5527/wjn.v5.i2.152", "ISBN" : "1617632988", "ISSN" : "2220-6124", "PMID" : "26981439", "abstract" : "Since the early reports nearly a decade ago, proton-pump inhibitor-induced hypomagnesemia (PPIH) has become a well-recognized phenomenon. While many observational studies in the inpatient and outpatient populations have confirmed the association of PPI exposure and serum magnesium concentrations, there are no prospective, controlled studies to support causation. Molecular mechanisms of magnesium transporters, including the pH-dependent regulation of transient receptor potential melastatin-6 transporters in the colonic enterocyte, have been proposed to explain the effect of PPIs on magnesium reabsorption, but may be a small part of a more complicated interplay of molecular biology, pharmacology, and genetic predisposition. This review explores the current state of research in the field of PPIH and the proposed mechanisms of this effect.", "author" : [ { "dropping-particle" : "", "family" : "William", "given" : "Jeffrey H", "non-dropping-particle" : "", "parse-names" : false, "suffix" : "" }, { "dropping-particle" : "", "family" : "Danziger", "given" : "John", "non-dropping-particle" : "", "parse-names" : false, "suffix" : "" } ], "container-title" : "World journal of nephrology", "id" : "ITEM-1", "issue" : "2", "issued" : { "date-parts" : [ [ "2016" ] ] }, "page" : "152-7", "title" : "Proton-pump inhibitor-induced hypomagnesemia: Current research and proposed mechanisms.", "type" : "article-journal", "volume" : "5" }, "uris" : [ "http://www.mendeley.com/documents/?uuid=19c74215-2faf-4ec9-b259-289496ce2e4c" ] } ], "mendeley" : { "formattedCitation" : "&lt;sup&gt;[4]&lt;/sup&gt;", "plainTextFormattedCitation" : "[4]", "previouslyFormattedCitation" : "&lt;sup&gt;[4]&lt;/sup&gt;" }, "properties" : { "noteIndex" : 0 }, "schema" : "https://github.com/citation-style-language/schema/raw/master/csl-citation.json" }</w:instrText>
      </w:r>
      <w:r w:rsidRPr="006D6C34">
        <w:rPr>
          <w:rFonts w:ascii="Book Antiqua" w:hAnsi="Book Antiqua"/>
          <w:lang w:val="en-US"/>
        </w:rPr>
        <w:fldChar w:fldCharType="separate"/>
      </w:r>
      <w:r w:rsidR="00EF4263" w:rsidRPr="006D6C34">
        <w:rPr>
          <w:rFonts w:ascii="Book Antiqua" w:hAnsi="Book Antiqua"/>
          <w:noProof/>
          <w:vertAlign w:val="superscript"/>
          <w:lang w:val="en-US"/>
        </w:rPr>
        <w:t>[4]</w:t>
      </w:r>
      <w:r w:rsidRPr="006D6C34">
        <w:rPr>
          <w:rFonts w:ascii="Book Antiqua" w:hAnsi="Book Antiqua"/>
          <w:lang w:val="en-US"/>
        </w:rPr>
        <w:fldChar w:fldCharType="end"/>
      </w:r>
      <w:r w:rsidRPr="006D6C34">
        <w:rPr>
          <w:rFonts w:ascii="Book Antiqua" w:hAnsi="Book Antiqua"/>
          <w:lang w:val="en-US"/>
        </w:rPr>
        <w:t xml:space="preserve">. </w:t>
      </w:r>
    </w:p>
    <w:p w14:paraId="6BECEDBB" w14:textId="37AB3C98" w:rsidR="002D2324" w:rsidRPr="006D6C34" w:rsidRDefault="002D2324" w:rsidP="006D6C34">
      <w:pPr>
        <w:snapToGrid w:val="0"/>
        <w:spacing w:line="360" w:lineRule="auto"/>
        <w:ind w:firstLineChars="200" w:firstLine="480"/>
        <w:jc w:val="both"/>
        <w:rPr>
          <w:rFonts w:ascii="Book Antiqua" w:hAnsi="Book Antiqua"/>
          <w:lang w:val="en-US"/>
        </w:rPr>
      </w:pPr>
      <w:r w:rsidRPr="006D6C34">
        <w:rPr>
          <w:rFonts w:ascii="Book Antiqua" w:hAnsi="Book Antiqua"/>
          <w:lang w:val="en-US"/>
        </w:rPr>
        <w:t>We present the first case of a long-term PPI user with severe and symptomatic persistent hypomagnesemia treated with surgery. Due to severe reflux, the patient was PPI dependent, and needed weekly in</w:t>
      </w:r>
      <w:r w:rsidR="00C0321F" w:rsidRPr="006D6C34">
        <w:rPr>
          <w:rFonts w:ascii="Book Antiqua" w:hAnsi="Book Antiqua"/>
          <w:lang w:val="en-US"/>
        </w:rPr>
        <w:t xml:space="preserve">travenous magnesium infusions. </w:t>
      </w:r>
      <w:r w:rsidRPr="006D6C34">
        <w:rPr>
          <w:rFonts w:ascii="Book Antiqua" w:hAnsi="Book Antiqua"/>
          <w:lang w:val="en-US"/>
        </w:rPr>
        <w:t xml:space="preserve">After a successful laparoscopic fundoplication, the PPI treatment could be discontinued, and the magnesium levels normalized without the need for supplementation. </w:t>
      </w:r>
    </w:p>
    <w:p w14:paraId="7B690788" w14:textId="77777777" w:rsidR="002D2324" w:rsidRPr="006D6C34" w:rsidRDefault="002D2324" w:rsidP="006D6C34">
      <w:pPr>
        <w:snapToGrid w:val="0"/>
        <w:spacing w:line="360" w:lineRule="auto"/>
        <w:jc w:val="both"/>
        <w:rPr>
          <w:rFonts w:ascii="Book Antiqua" w:hAnsi="Book Antiqua"/>
          <w:lang w:val="en-US"/>
        </w:rPr>
      </w:pPr>
    </w:p>
    <w:p w14:paraId="0752DC21" w14:textId="77777777" w:rsidR="002D2324" w:rsidRPr="006D6C34" w:rsidRDefault="002D2324" w:rsidP="006D6C34">
      <w:pPr>
        <w:snapToGrid w:val="0"/>
        <w:spacing w:line="360" w:lineRule="auto"/>
        <w:jc w:val="both"/>
        <w:rPr>
          <w:rFonts w:ascii="Book Antiqua" w:hAnsi="Book Antiqua"/>
          <w:b/>
          <w:caps/>
          <w:lang w:val="en-US"/>
        </w:rPr>
      </w:pPr>
      <w:r w:rsidRPr="006D6C34">
        <w:rPr>
          <w:rFonts w:ascii="Book Antiqua" w:hAnsi="Book Antiqua"/>
          <w:b/>
          <w:caps/>
          <w:lang w:val="en-US"/>
        </w:rPr>
        <w:t>Case report</w:t>
      </w:r>
    </w:p>
    <w:p w14:paraId="1E835F49" w14:textId="44A5FDDE" w:rsidR="002D2324" w:rsidRPr="006D6C34" w:rsidRDefault="002D2324" w:rsidP="006D6C34">
      <w:pPr>
        <w:snapToGrid w:val="0"/>
        <w:spacing w:line="360" w:lineRule="auto"/>
        <w:jc w:val="both"/>
        <w:rPr>
          <w:rFonts w:ascii="Book Antiqua" w:hAnsi="Book Antiqua"/>
          <w:lang w:val="en-US"/>
        </w:rPr>
      </w:pPr>
      <w:r w:rsidRPr="006D6C34">
        <w:rPr>
          <w:rFonts w:ascii="Book Antiqua" w:hAnsi="Book Antiqua"/>
          <w:lang w:val="en-US"/>
        </w:rPr>
        <w:t xml:space="preserve">A 67-year-old male with a history of gastroesophageal reflux disease (GERD) and hypertension, first presented with severe hypomagnesemia during a hospital admission in 2012. At that time, he was taking 10 mg amlodipine and 20-40 mg omeprazole daily. Prior to admission, he had suffered from severe dizziness, double sight and vomiting for several weeks, and was initially dehydrated with electrolyte derangement (hypokalemia). A few days after admission he developed general seizures, and additional laboratory tests revealed severe hypomagnesemia </w:t>
      </w:r>
      <w:r w:rsidR="006D6C34">
        <w:rPr>
          <w:rFonts w:ascii="Book Antiqua" w:hAnsi="Book Antiqua" w:hint="eastAsia"/>
          <w:lang w:val="en-US" w:eastAsia="zh-CN"/>
        </w:rPr>
        <w:t>[</w:t>
      </w:r>
      <w:r w:rsidRPr="006D6C34">
        <w:rPr>
          <w:rFonts w:ascii="Book Antiqua" w:hAnsi="Book Antiqua"/>
          <w:lang w:val="en-US"/>
        </w:rPr>
        <w:t>0.23 mmol/L</w:t>
      </w:r>
      <w:r w:rsidR="00F625C2" w:rsidRPr="006D6C34">
        <w:rPr>
          <w:rFonts w:ascii="Book Antiqua" w:hAnsi="Book Antiqua"/>
          <w:lang w:val="en-US"/>
        </w:rPr>
        <w:t xml:space="preserve"> </w:t>
      </w:r>
      <w:r w:rsidR="006D6C34">
        <w:rPr>
          <w:rFonts w:ascii="Book Antiqua" w:hAnsi="Book Antiqua" w:hint="eastAsia"/>
          <w:lang w:val="en-US" w:eastAsia="zh-CN"/>
        </w:rPr>
        <w:t>(</w:t>
      </w:r>
      <w:r w:rsidR="00F625C2" w:rsidRPr="006D6C34">
        <w:rPr>
          <w:rFonts w:ascii="Book Antiqua" w:hAnsi="Book Antiqua"/>
          <w:lang w:val="en-US"/>
        </w:rPr>
        <w:t>0.71-0.94 mmol/L)</w:t>
      </w:r>
      <w:r w:rsidR="006D6C34" w:rsidRPr="006D6C34">
        <w:rPr>
          <w:rFonts w:ascii="Book Antiqua" w:hAnsi="Book Antiqua"/>
          <w:lang w:val="en-US"/>
        </w:rPr>
        <w:t>]</w:t>
      </w:r>
      <w:r w:rsidRPr="006D6C34">
        <w:rPr>
          <w:rFonts w:ascii="Book Antiqua" w:hAnsi="Book Antiqua"/>
          <w:lang w:val="en-US"/>
        </w:rPr>
        <w:t>, considered a result of excessive vomiting prior to admission. His serum electrolyte levels normalized upon intravenous treatment. An extensive work-up resulted in a possible diagnosis of viral encephalitis, and after discharge, he underwent a prolonged rehabilitation course. A year later, he was re-admitted because of dizziness, balance problems and paresthesia. Laboratory results again showed severe hypomagnesemia</w:t>
      </w:r>
      <w:r w:rsidR="006C2B94">
        <w:rPr>
          <w:rFonts w:ascii="Book Antiqua" w:hAnsi="Book Antiqua" w:hint="eastAsia"/>
          <w:lang w:val="en-US" w:eastAsia="zh-CN"/>
        </w:rPr>
        <w:t xml:space="preserve"> </w:t>
      </w:r>
      <w:r w:rsidRPr="006D6C34">
        <w:rPr>
          <w:rFonts w:ascii="Book Antiqua" w:hAnsi="Book Antiqua"/>
          <w:lang w:val="en-US"/>
        </w:rPr>
        <w:t xml:space="preserve">(0.08 mmol/L). He received </w:t>
      </w:r>
      <w:r w:rsidRPr="006D6C34">
        <w:rPr>
          <w:rFonts w:ascii="Book Antiqua" w:hAnsi="Book Antiqua"/>
          <w:lang w:val="en-US"/>
        </w:rPr>
        <w:lastRenderedPageBreak/>
        <w:t>intravenous magnesium infusions and his symptoms disappeared. During ambulatory follow-up, he was found to have persistent hypomagnesemia, and oral magnesium was prescribed. He underwent endocrinological and gastrointestinal investigations including colonoscopy, which did not reveal any other cause of his hypomagnesemia. His urina</w:t>
      </w:r>
      <w:r w:rsidR="006D6C34">
        <w:rPr>
          <w:rFonts w:ascii="Book Antiqua" w:hAnsi="Book Antiqua"/>
          <w:lang w:val="en-US"/>
        </w:rPr>
        <w:t>ry magnesium level was low (&lt; 0</w:t>
      </w:r>
      <w:r w:rsidR="005945D3">
        <w:rPr>
          <w:rFonts w:ascii="Book Antiqua" w:hAnsi="Book Antiqua" w:hint="eastAsia"/>
          <w:lang w:val="en-US" w:eastAsia="zh-CN"/>
        </w:rPr>
        <w:t>.</w:t>
      </w:r>
      <w:r w:rsidRPr="006D6C34">
        <w:rPr>
          <w:rFonts w:ascii="Book Antiqua" w:hAnsi="Book Antiqua"/>
          <w:lang w:val="en-US"/>
        </w:rPr>
        <w:t xml:space="preserve">080 mmol/L). Despite oral magnesium supplementation, magnesium levels continued to stay low, and in 2015, he was started on weekly magnesium infusions to maintain normal magnesium levels. The only medication he was on during these years was omeprazol 20-40 mg daily. He had been advised several times during the years to stop PPI treatment, but was unable to cope with the resulting reflux symptoms. In April 2016, he did, however, agree to stop taking PPI and consequently maintained normal magnesium levels without infusions. 24-h pH testing confirmed reflux disease, and he was offered anti-reflux surgery (laparoscopic fundoplication). While awaiting the operation, he started taking daily PPIs again, which resulted in a prompt drop in his serum magnesium levels demanding a resumption of weekly magnesium infusions. The patient underwent a laparoscopic fundoplication and was discharged after an uncomplicated peri- and postoperative course. After the operation, the reflux symptoms as well as the need for PPI disappeared, and his magnesium level maintained normal without supplementation at the follow-up visit. The course of the patient’s magnesium levels is illustrated in Figure 1. </w:t>
      </w:r>
    </w:p>
    <w:p w14:paraId="30EB37EE" w14:textId="77777777" w:rsidR="002D2324" w:rsidRPr="006D6C34" w:rsidRDefault="002D2324" w:rsidP="006D6C34">
      <w:pPr>
        <w:snapToGrid w:val="0"/>
        <w:spacing w:line="360" w:lineRule="auto"/>
        <w:jc w:val="both"/>
        <w:rPr>
          <w:rFonts w:ascii="Book Antiqua" w:hAnsi="Book Antiqua"/>
          <w:b/>
          <w:lang w:val="en-US"/>
        </w:rPr>
      </w:pPr>
    </w:p>
    <w:p w14:paraId="4ACD7915" w14:textId="77777777" w:rsidR="002D2324" w:rsidRPr="006D6C34" w:rsidRDefault="002D2324" w:rsidP="006D6C34">
      <w:pPr>
        <w:snapToGrid w:val="0"/>
        <w:spacing w:line="360" w:lineRule="auto"/>
        <w:jc w:val="both"/>
        <w:rPr>
          <w:rFonts w:ascii="Book Antiqua" w:hAnsi="Book Antiqua"/>
          <w:b/>
          <w:caps/>
          <w:lang w:val="en-US"/>
        </w:rPr>
      </w:pPr>
      <w:r w:rsidRPr="006D6C34">
        <w:rPr>
          <w:rFonts w:ascii="Book Antiqua" w:hAnsi="Book Antiqua"/>
          <w:b/>
          <w:caps/>
          <w:lang w:val="en-US"/>
        </w:rPr>
        <w:t>Discussion</w:t>
      </w:r>
    </w:p>
    <w:p w14:paraId="02C80469" w14:textId="77777777" w:rsidR="002D2324" w:rsidRPr="006D6C34" w:rsidRDefault="002D2324" w:rsidP="006D6C34">
      <w:pPr>
        <w:snapToGrid w:val="0"/>
        <w:spacing w:line="360" w:lineRule="auto"/>
        <w:jc w:val="both"/>
        <w:rPr>
          <w:rFonts w:ascii="Book Antiqua" w:hAnsi="Book Antiqua"/>
          <w:lang w:val="en-US"/>
        </w:rPr>
      </w:pPr>
      <w:r w:rsidRPr="006D6C34">
        <w:rPr>
          <w:rFonts w:ascii="Book Antiqua" w:hAnsi="Book Antiqua"/>
          <w:lang w:val="en-US"/>
        </w:rPr>
        <w:t xml:space="preserve">This rare case illustrates a long-term PPI user with persistent hypomagnesemia causing severe symptoms at presentation. For years, he was dependent on oral and later weekly intravenous magnesium supplementation, until his hypomagnesemia rapidly improved upon PPI discontinuation. Re-challenge of PPI treatment resulted in a prompt drop in serum magnesium within days, and his magnesium levels again normalized rapidly following PPI withdrawal after laparoscopic fundoplication. </w:t>
      </w:r>
    </w:p>
    <w:p w14:paraId="024B63F1" w14:textId="30DFDC9C" w:rsidR="002D2324" w:rsidRPr="006D6C34" w:rsidRDefault="002D2324" w:rsidP="006D6C34">
      <w:pPr>
        <w:snapToGrid w:val="0"/>
        <w:spacing w:line="360" w:lineRule="auto"/>
        <w:ind w:firstLineChars="200" w:firstLine="480"/>
        <w:jc w:val="both"/>
        <w:rPr>
          <w:rFonts w:ascii="Book Antiqua" w:eastAsia="Times New Roman" w:hAnsi="Book Antiqua" w:cs="Times New Roman"/>
          <w:lang w:val="en-US" w:eastAsia="da-DK"/>
        </w:rPr>
      </w:pPr>
      <w:r w:rsidRPr="006D6C34">
        <w:rPr>
          <w:rFonts w:ascii="Book Antiqua" w:hAnsi="Book Antiqua"/>
          <w:lang w:val="en-US"/>
        </w:rPr>
        <w:t xml:space="preserve">PPI-induced hypomagnesemia (PPIH) was first described by Epstein </w:t>
      </w:r>
      <w:r w:rsidRPr="006D6C34">
        <w:rPr>
          <w:rFonts w:ascii="Book Antiqua" w:hAnsi="Book Antiqua"/>
          <w:i/>
          <w:lang w:val="en-US"/>
        </w:rPr>
        <w:t>et al</w:t>
      </w:r>
      <w:r w:rsidR="006D6C34" w:rsidRPr="006D6C34">
        <w:rPr>
          <w:rFonts w:ascii="Book Antiqua" w:hAnsi="Book Antiqua"/>
          <w:lang w:val="en-US"/>
        </w:rPr>
        <w:fldChar w:fldCharType="begin" w:fldLock="1"/>
      </w:r>
      <w:r w:rsidR="006D6C34" w:rsidRPr="006D6C34">
        <w:rPr>
          <w:rFonts w:ascii="Book Antiqua" w:hAnsi="Book Antiqua"/>
          <w:lang w:val="en-US"/>
        </w:rPr>
        <w:instrText>ADDIN CSL_CITATION { "citationItems" : [ { "id" : "ITEM-1", "itemData" : { "DOI" : "10.1056/NEJMc066308", "ISSN" : "0028-4793", "PMID" : "17065651", "abstract" : "To the Editor: We report two cases of hypomagnesemic hypoparathyroidism associated with the use of proton-pump inhibitors, in which patients presented with carpopedal spasm in association with severe hypomagnesemia and hypocalcemia without an appropriate increase in the level of parathyroid hormone. Patient 1 was a 51-year-old premenopausal woman who had been taking omeprazole for more than a year (at a dose of 20 mg twice daily) and who presented with carpopedal and truncal spasm. She began receiving 2.4 g of elemental calcium per day and, later, high-dose magnesium (Figure 1A). Fourteen months later, omeprazole was discontinued, and ranitidine initiated. The .\u00a0.\u00a0.", "author" : [ { "dropping-particle" : "", "family" : "Epstein", "given" : "Martin", "non-dropping-particle" : "", "parse-names" : false, "suffix" : "" }, { "dropping-particle" : "", "family" : "McGrath", "given" : "Shaun", "non-dropping-particle" : "", "parse-names" : false, "suffix" : "" }, { "dropping-particle" : "", "family" : "Law", "given" : "Florence", "non-dropping-particle" : "", "parse-names" : false, "suffix" : "" } ], "container-title" : "http://dx.doi.org/10.1056/NEJMc066308", "id" : "ITEM-1", "issued" : { "date-parts" : [ [ "2009" ] ] }, "page" : "1834-1836", "title" : "Proton-Pump Inhibitors and Hypomagnesemic Hypoparathyroidism", "type" : "article-journal" }, "uris" : [ "http://www.mendeley.com/documents/?uuid=69e3f7a3-e7bd-429c-b5a9-ee19e5f84ade" ] } ], "mendeley" : { "formattedCitation" : "&lt;sup&gt;[5]&lt;/sup&gt;", "plainTextFormattedCitation" : "[5]", "previouslyFormattedCitation" : "&lt;sup&gt;[5]&lt;/sup&gt;" }, "properties" : { "noteIndex" : 0 }, "schema" : "https://github.com/citation-style-language/schema/raw/master/csl-citation.json" }</w:instrText>
      </w:r>
      <w:r w:rsidR="006D6C34" w:rsidRPr="006D6C34">
        <w:rPr>
          <w:rFonts w:ascii="Book Antiqua" w:hAnsi="Book Antiqua"/>
          <w:lang w:val="en-US"/>
        </w:rPr>
        <w:fldChar w:fldCharType="separate"/>
      </w:r>
      <w:r w:rsidR="006D6C34" w:rsidRPr="006D6C34">
        <w:rPr>
          <w:rFonts w:ascii="Book Antiqua" w:hAnsi="Book Antiqua"/>
          <w:noProof/>
          <w:vertAlign w:val="superscript"/>
          <w:lang w:val="en-US"/>
        </w:rPr>
        <w:t>[5]</w:t>
      </w:r>
      <w:r w:rsidR="006D6C34" w:rsidRPr="006D6C34">
        <w:rPr>
          <w:rFonts w:ascii="Book Antiqua" w:hAnsi="Book Antiqua"/>
          <w:lang w:val="en-US"/>
        </w:rPr>
        <w:fldChar w:fldCharType="end"/>
      </w:r>
      <w:r w:rsidRPr="006D6C34">
        <w:rPr>
          <w:rFonts w:ascii="Book Antiqua" w:hAnsi="Book Antiqua"/>
          <w:lang w:val="en-US"/>
        </w:rPr>
        <w:t xml:space="preserve"> in 2006, and subsequently several other case reports have demonstrated the association. In 2011, the U</w:t>
      </w:r>
      <w:r w:rsidR="006D6C34">
        <w:rPr>
          <w:rFonts w:ascii="Book Antiqua" w:hAnsi="Book Antiqua" w:hint="eastAsia"/>
          <w:lang w:val="en-US" w:eastAsia="zh-CN"/>
        </w:rPr>
        <w:t xml:space="preserve">nited States </w:t>
      </w:r>
      <w:r w:rsidRPr="006D6C34">
        <w:rPr>
          <w:rFonts w:ascii="Book Antiqua" w:hAnsi="Book Antiqua"/>
          <w:lang w:val="en-US"/>
        </w:rPr>
        <w:t>Food and Drug Administration</w:t>
      </w:r>
      <w:r w:rsidR="006C2B94">
        <w:rPr>
          <w:rFonts w:ascii="Book Antiqua" w:hAnsi="Book Antiqua" w:hint="eastAsia"/>
          <w:lang w:val="en-US" w:eastAsia="zh-CN"/>
        </w:rPr>
        <w:t xml:space="preserve"> </w:t>
      </w:r>
      <w:r w:rsidRPr="006D6C34">
        <w:rPr>
          <w:rFonts w:ascii="Book Antiqua" w:hAnsi="Book Antiqua"/>
          <w:lang w:val="en-US"/>
        </w:rPr>
        <w:t xml:space="preserve">issued a safety announcement regarding </w:t>
      </w:r>
      <w:r w:rsidRPr="006D6C34">
        <w:rPr>
          <w:rFonts w:ascii="Book Antiqua" w:hAnsi="Book Antiqua"/>
          <w:lang w:val="en-US"/>
        </w:rPr>
        <w:lastRenderedPageBreak/>
        <w:t xml:space="preserve">the association between long term PPI use and hypomagnesemia, and PPIH is now well-established as a rare, but potentially serious, adverse effect of long term PPI treatment. However, PPIH is still not widely acknowledged, and the frequency and risk factors of PPIH are not well recognized. </w:t>
      </w:r>
    </w:p>
    <w:p w14:paraId="0C0C323F" w14:textId="29801CBE" w:rsidR="002D2324" w:rsidRPr="006D6C34" w:rsidRDefault="002D2324" w:rsidP="006D6C34">
      <w:pPr>
        <w:snapToGrid w:val="0"/>
        <w:spacing w:line="360" w:lineRule="auto"/>
        <w:ind w:firstLineChars="200" w:firstLine="480"/>
        <w:jc w:val="both"/>
        <w:rPr>
          <w:rFonts w:ascii="Book Antiqua" w:hAnsi="Book Antiqua"/>
          <w:lang w:val="en-US"/>
        </w:rPr>
      </w:pPr>
      <w:r w:rsidRPr="006D6C34">
        <w:rPr>
          <w:rFonts w:ascii="Book Antiqua" w:hAnsi="Book Antiqua"/>
          <w:lang w:val="en-US"/>
        </w:rPr>
        <w:t xml:space="preserve">PPIH has been observed with all different formulations of PPIs and thus considered a class drug effect. </w:t>
      </w:r>
      <w:r w:rsidR="00D769AF" w:rsidRPr="006D6C34">
        <w:rPr>
          <w:rFonts w:ascii="Book Antiqua" w:hAnsi="Book Antiqua"/>
          <w:lang w:val="en-US"/>
        </w:rPr>
        <w:t xml:space="preserve">Similar to our case, </w:t>
      </w:r>
      <w:r w:rsidR="00775AB1" w:rsidRPr="006D6C34">
        <w:rPr>
          <w:rFonts w:ascii="Book Antiqua" w:hAnsi="Book Antiqua"/>
          <w:lang w:val="en-US"/>
        </w:rPr>
        <w:t xml:space="preserve">previous </w:t>
      </w:r>
      <w:r w:rsidR="00D769AF" w:rsidRPr="006D6C34">
        <w:rPr>
          <w:rFonts w:ascii="Book Antiqua" w:hAnsi="Book Antiqua"/>
          <w:lang w:val="en-US"/>
        </w:rPr>
        <w:t>reports have documented only partial effect of oral magnesium supplements in correcting the hypomagnes</w:t>
      </w:r>
      <w:r w:rsidR="00775AB1" w:rsidRPr="006D6C34">
        <w:rPr>
          <w:rFonts w:ascii="Book Antiqua" w:hAnsi="Book Antiqua"/>
          <w:lang w:val="en-US"/>
        </w:rPr>
        <w:t>emia during ongoing PPI-therapy</w:t>
      </w:r>
      <w:r w:rsidR="00D769AF" w:rsidRPr="006D6C34">
        <w:rPr>
          <w:rFonts w:ascii="Book Antiqua" w:hAnsi="Book Antiqua"/>
          <w:lang w:val="en-US"/>
        </w:rPr>
        <w:fldChar w:fldCharType="begin" w:fldLock="1"/>
      </w:r>
      <w:r w:rsidR="00775AB1" w:rsidRPr="006D6C34">
        <w:rPr>
          <w:rFonts w:ascii="Book Antiqua" w:hAnsi="Book Antiqua"/>
          <w:lang w:val="en-US"/>
        </w:rPr>
        <w:instrText>ADDIN CSL_CITATION { "citationItems" : [ { "id" : "ITEM-1", "itemData" : { "DOI" : "10.1093/qjmed/hcq021", "ISSN" : "1460-2393", "PMID" : "20378675", "abstract" : "Reports since 2006 have identified proton-pump inhibitor (PPI) therapy as a cause of hypomagnesaemia, in a total of 13 cases.", "author" : [ { "dropping-particle" : "", "family" : "Mackay", "given" : "J D", "non-dropping-particle" : "", "parse-names" : false, "suffix" : "" }, { "dropping-particle" : "", "family" : "Bladon", "given" : "P T", "non-dropping-particle" : "", "parse-names" : false, "suffix" : "" } ], "container-title" : "QJM : monthly journal of the Association of Physicians", "id" : "ITEM-1", "issue" : "6", "issued" : { "date-parts" : [ [ "2010" ] ] }, "page" : "387-395", "title" : "Hypomagnesaemia due to proton-pump inhibitor therapy: a clinical case series.", "type" : "article-journal", "volume" : "103" }, "uris" : [ "http://www.mendeley.com/documents/?uuid=b0d0ea2b-eb0e-406f-a5e3-00d1a7837ee2" ] } ], "mendeley" : { "formattedCitation" : "&lt;sup&gt;[2]&lt;/sup&gt;", "plainTextFormattedCitation" : "[2]", "previouslyFormattedCitation" : "&lt;sup&gt;[2]&lt;/sup&gt;" }, "properties" : { "noteIndex" : 0 }, "schema" : "https://github.com/citation-style-language/schema/raw/master/csl-citation.json" }</w:instrText>
      </w:r>
      <w:r w:rsidR="00D769AF" w:rsidRPr="006D6C34">
        <w:rPr>
          <w:rFonts w:ascii="Book Antiqua" w:hAnsi="Book Antiqua"/>
          <w:lang w:val="en-US"/>
        </w:rPr>
        <w:fldChar w:fldCharType="separate"/>
      </w:r>
      <w:r w:rsidR="00D769AF" w:rsidRPr="006D6C34">
        <w:rPr>
          <w:rFonts w:ascii="Book Antiqua" w:hAnsi="Book Antiqua"/>
          <w:noProof/>
          <w:vertAlign w:val="superscript"/>
          <w:lang w:val="en-US"/>
        </w:rPr>
        <w:t>[2]</w:t>
      </w:r>
      <w:r w:rsidR="00D769AF" w:rsidRPr="006D6C34">
        <w:rPr>
          <w:rFonts w:ascii="Book Antiqua" w:hAnsi="Book Antiqua"/>
          <w:lang w:val="en-US"/>
        </w:rPr>
        <w:fldChar w:fldCharType="end"/>
      </w:r>
      <w:r w:rsidR="00775AB1" w:rsidRPr="006D6C34">
        <w:rPr>
          <w:rFonts w:ascii="Book Antiqua" w:hAnsi="Book Antiqua"/>
          <w:lang w:val="en-US"/>
        </w:rPr>
        <w:t>, and only short term relief with intravenous magnesium infusions. In contrast, h</w:t>
      </w:r>
      <w:r w:rsidRPr="006D6C34">
        <w:rPr>
          <w:rFonts w:ascii="Book Antiqua" w:hAnsi="Book Antiqua"/>
          <w:lang w:val="en-US"/>
        </w:rPr>
        <w:t xml:space="preserve">ypomagnesemia is typically improved </w:t>
      </w:r>
      <w:r w:rsidR="00775AB1" w:rsidRPr="006D6C34">
        <w:rPr>
          <w:rFonts w:ascii="Book Antiqua" w:hAnsi="Book Antiqua"/>
          <w:lang w:val="en-US"/>
        </w:rPr>
        <w:t xml:space="preserve">promptly </w:t>
      </w:r>
      <w:r w:rsidRPr="006D6C34">
        <w:rPr>
          <w:rFonts w:ascii="Book Antiqua" w:hAnsi="Book Antiqua"/>
          <w:lang w:val="en-US"/>
        </w:rPr>
        <w:t xml:space="preserve">after the PPI is discontinued, and PPI re-challenge results in </w:t>
      </w:r>
      <w:r w:rsidR="00775AB1" w:rsidRPr="006D6C34">
        <w:rPr>
          <w:rFonts w:ascii="Book Antiqua" w:hAnsi="Book Antiqua"/>
          <w:lang w:val="en-US"/>
        </w:rPr>
        <w:t xml:space="preserve">rapid </w:t>
      </w:r>
      <w:r w:rsidR="006D6C34">
        <w:rPr>
          <w:rFonts w:ascii="Book Antiqua" w:hAnsi="Book Antiqua"/>
          <w:lang w:val="en-US"/>
        </w:rPr>
        <w:t>recurrence of hypomagnesemia</w:t>
      </w:r>
      <w:r w:rsidRPr="006D6C34">
        <w:rPr>
          <w:rFonts w:ascii="Book Antiqua" w:hAnsi="Book Antiqua"/>
          <w:lang w:val="en-US"/>
        </w:rPr>
        <w:fldChar w:fldCharType="begin" w:fldLock="1"/>
      </w:r>
      <w:r w:rsidR="002B3701" w:rsidRPr="006D6C34">
        <w:rPr>
          <w:rFonts w:ascii="Book Antiqua" w:hAnsi="Book Antiqua"/>
          <w:lang w:val="en-US"/>
        </w:rPr>
        <w:instrText>ADDIN CSL_CITATION { "citationItems" : [ { "id" : "ITEM-1", "itemData" : { "DOI" : "10.1111/j.1365-2036.2012.05201.x", "ISBN" : "1365-2036 (Electronic)\\r0269-2813 (Linking)", "ISSN" : "02692813", "PMID" : "22762246", "abstract" : "BACKGROUND: Proton pump inhibitors (PPIs) are a mainstay therapy for all gastric acid-related diseases. Clinical concerns arise from a small but growing number of case reports presenting PPI-induced hypomagnesaemia (PPIH) as a consequence of long-term PPI use. Current opinion is that reduced intestinal magnesium absorption might be involved, but nothing is known on the molecular mechanism underlying PPIH. AIM: To investigate whether or not PPIH is a true, long-term drug-class effect of all PPIs and to scrutinise a possible role of comorbidity in its aetiology. Therefore, the primary objective in particular was to investigate serum magnesium dynamics in trials drug withdrawal and re-challenge. The secondary objective was to profile the 'patient at risk'. METHODS: We reviewed systematically all currently available case reports on the subject and performed a statistical analysis on extracted data. RESULTS: Proton pump inhibitor-induced hypomagnesaemia PPIH is a drug-class effect and occurred after 5.5 years (median) of PPI use, onset was broad and ranged from 14 days to 13 years. Discontinuation of PPIs resulted in fast recovery from PPIH in 4 days and re-challenge led to reoccurrence within 4 days. Histamine-2-receptor antagonists were the preferable replacement therapy in PPIH and prevented reoccurrence of hypomagnesaemia. In PPIH no specific risk profile was identified that was linked to the hypomagnesaemia. CONCLUSIONS: The cases of PPIH show severe symptoms of magnesium depletion and identification of its causation was only possible through withdrawal of the PPI. Clinical awareness of PPIH is key to avoid putting patients at risk.", "author" : [ { "dropping-particle" : "", "family" : "Hess", "given" : "M. W.", "non-dropping-particle" : "", "parse-names" : false, "suffix" : "" }, { "dropping-particle" : "", "family" : "Hoenderop", "given" : "J. G J", "non-dropping-particle" : "", "parse-names" : false, "suffix" : "" }, { "dropping-particle" : "", "family" : "Bindels", "given" : "R. J M", "non-dropping-particle" : "", "parse-names" : false, "suffix" : "" }, { "dropping-particle" : "", "family" : "Drenth", "given" : "J. P H", "non-dropping-particle" : "", "parse-names" : false, "suffix" : "" } ], "container-title" : "Alimentary Pharmacology and Therapeutics", "id" : "ITEM-1", "issue" : "5", "issued" : { "date-parts" : [ [ "2012" ] ] }, "page" : "405-413", "title" : "Systematic review: Hypomagnesaemia induced by proton pump inhibition", "type" : "article", "volume" : "36" }, "uris" : [ "http://www.mendeley.com/documents/?uuid=39cace56-08a8-4f6e-ad80-0adda2f445c7" ] }, { "id" : "ITEM-2", "itemData" : { "DOI" : "10.1093/qjmed/hcq021", "ISSN" : "1460-2393", "PMID" : "20378675", "abstract" : "Reports since 2006 have identified proton-pump inhibitor (PPI) therapy as a cause of hypomagnesaemia, in a total of 13 cases.", "author" : [ { "dropping-particle" : "", "family" : "Mackay", "given" : "J D", "non-dropping-particle" : "", "parse-names" : false, "suffix" : "" }, { "dropping-particle" : "", "family" : "Bladon", "given" : "P T", "non-dropping-particle" : "", "parse-names" : false, "suffix" : "" } ], "container-title" : "QJM : monthly journal of the Association of Physicians", "id" : "ITEM-2", "issue" : "6", "issued" : { "date-parts" : [ [ "2010" ] ] }, "page" : "387-395", "title" : "Hypomagnesaemia due to proton-pump inhibitor therapy: a clinical case series.", "type" : "article-journal", "volume" : "103" }, "uris" : [ "http://www.mendeley.com/documents/?uuid=b0d0ea2b-eb0e-406f-a5e3-00d1a7837ee2" ] } ], "mendeley" : { "formattedCitation" : "&lt;sup&gt;[1,2]&lt;/sup&gt;", "plainTextFormattedCitation" : "[1,2]", "previouslyFormattedCitation" : "&lt;sup&gt;[1,2]&lt;/sup&gt;" }, "properties" : { "noteIndex" : 0 }, "schema" : "https://github.com/citation-style-language/schema/raw/master/csl-citation.json" }</w:instrText>
      </w:r>
      <w:r w:rsidRPr="006D6C34">
        <w:rPr>
          <w:rFonts w:ascii="Book Antiqua" w:hAnsi="Book Antiqua"/>
          <w:lang w:val="en-US"/>
        </w:rPr>
        <w:fldChar w:fldCharType="separate"/>
      </w:r>
      <w:r w:rsidR="00775AB1" w:rsidRPr="006D6C34">
        <w:rPr>
          <w:rFonts w:ascii="Book Antiqua" w:hAnsi="Book Antiqua"/>
          <w:noProof/>
          <w:vertAlign w:val="superscript"/>
          <w:lang w:val="en-US"/>
        </w:rPr>
        <w:t>[1,2]</w:t>
      </w:r>
      <w:r w:rsidRPr="006D6C34">
        <w:rPr>
          <w:rFonts w:ascii="Book Antiqua" w:hAnsi="Book Antiqua"/>
          <w:lang w:val="en-US"/>
        </w:rPr>
        <w:fldChar w:fldCharType="end"/>
      </w:r>
      <w:r w:rsidRPr="006D6C34">
        <w:rPr>
          <w:rFonts w:ascii="Book Antiqua" w:hAnsi="Book Antiqua"/>
          <w:lang w:val="en-US"/>
        </w:rPr>
        <w:t>. The same phenomenon has not been observed with histamine 2 receptor antagonists (H2RAs), although a recent population-based study suggested a similar but weaker associat</w:t>
      </w:r>
      <w:r w:rsidR="00C84103">
        <w:rPr>
          <w:rFonts w:ascii="Book Antiqua" w:hAnsi="Book Antiqua"/>
          <w:lang w:val="en-US"/>
        </w:rPr>
        <w:t>ion with the use of these drugs</w:t>
      </w:r>
      <w:r w:rsidRPr="006D6C34">
        <w:rPr>
          <w:rFonts w:ascii="Book Antiqua" w:hAnsi="Book Antiqua"/>
          <w:lang w:val="en-US"/>
        </w:rPr>
        <w:fldChar w:fldCharType="begin" w:fldLock="1"/>
      </w:r>
      <w:r w:rsidR="00D769AF" w:rsidRPr="006D6C34">
        <w:rPr>
          <w:rFonts w:ascii="Book Antiqua" w:hAnsi="Book Antiqua"/>
          <w:lang w:val="en-US"/>
        </w:rPr>
        <w:instrText>ADDIN CSL_CITATION { "citationItems" : [ { "id" : "ITEM-1", "itemData" : { "DOI" : "10.1053/j.ajkd.2015.05.012", "ISSN" : "1523-6838 (Electronic)", "PMID" : "26123862", "abstract" : "BACKGROUND: Proton pump inhibitor (PPI) use has been associated with hypomagnesemia in case reports and hospital-based cohort studies. Our objective was to determine whether PPI use is associated with hypomagnesemia in the general population and whether this is also found in histamine 2 receptor antagonist (H2RA) users. STUDY DESIGN: Prospective cohort study. SETTING &amp; PARTICIPANTS: 9,818 individuals from the general population (Rotterdam Study). PREDICTOR: PPI use and H2RA use compared to no use. OUTCOMES &amp; MEASUREMENTS: Serum magnesium and hypomagnesemia (serum magnesium &lt;/= 1.44 mEq/L). Analyses were adjusted for age, sex, body mass index, kidney function, comorbid conditions, and alcohol and diuretic use. RESULTS: Serum magnesium level was 0.022 mEq/L lower in PPI users (n=724; 95% CI, -0.032 to -0.014 mEq/L) versus those with no use. PPI use was associated with increased risk of hypomagnesemia (n=36; OR, 2.00; 95% CI, 1.36-2.93) compared to no use. Effect modification was found between the use of PPIs and loop diuretics; in participants using loop diuretics (n=270), PPI use was associated with a further increased risk of hypomagnesemia (n=5; OR, 7.22; 95% CI, 1.69-30.83) compared to no use. The increased risk with PPIs was only seen after prolonged use (range, 182-2,618 days; OR, 2.99; 95% CI, 1.73-5.15). Including dietary magnesium intake into the model did not alter results (available for 2,504 participants, including 231 PPI users). H2RA users (n=250) also had a lower serum magnesium level (-0.016 [95% CI, -0.032 to -0.002] mEq/L) and increased risk of hypomagnesemia (n=12; OR, 2.00; 95% CI, 1.08-3.72) compared to those with no use, but no interaction with loop diuretics. LIMITATIONS: Cross-sectional analysis with single serum magnesium measurement. CONCLUSIONS: PPI use is associated with hypomagnesemia in the general population. Prolonged PPI use and concomitant loop diuretic use are associated with a stronger risk increase. Similar but weaker associations were found in H2RA users, except for interaction with loop diuretics.", "author" : [ { "dropping-particle" : "", "family" : "Kieboom", "given" : "Brenda C T", "non-dropping-particle" : "", "parse-names" : false, "suffix" : "" }, { "dropping-particle" : "", "family" : "Kiefte-de Jong", "given" : "Jessica C", "non-dropping-particle" : "", "parse-names" : false, "suffix" : "" }, { "dropping-particle" : "", "family" : "Eijgelsheim", "given" : "Mark", "non-dropping-particle" : "", "parse-names" : false, "suffix" : "" }, { "dropping-particle" : "", "family" : "Franco", "given" : "Oscar H", "non-dropping-particle" : "", "parse-names" : false, "suffix" : "" }, { "dropping-particle" : "", "family" : "Kuipers", "given" : "Ernst J", "non-dropping-particle" : "", "parse-names" : false, "suffix" : "" }, { "dropping-particle" : "", "family" : "Hofman", "given" : "Albert", "non-dropping-particle" : "", "parse-names" : false, "suffix" : "" }, { "dropping-particle" : "", "family" : "Zietse", "given" : "Robert", "non-dropping-particle" : "", "parse-names" : false, "suffix" : "" }, { "dropping-particle" : "", "family" : "Stricker", "given" : "Bruno H", "non-dropping-particle" : "", "parse-names" : false, "suffix" : "" }, { "dropping-particle" : "", "family" : "Hoorn", "given" : "Ewout J", "non-dropping-particle" : "", "parse-names" : false, "suffix" : "" } ], "container-title" : "American journal of kidney diseases : the official journal of the National Kidney Foundation", "id" : "ITEM-1", "issue" : "5", "issued" : { "date-parts" : [ [ "2015" ] ] }, "page" : "775-782", "title" : "Proton pump inhibitors and hypomagnesemia in the general population: a population-based cohort study.", "type" : "article-journal", "volume" : "66" }, "uris" : [ "http://www.mendeley.com/documents/?uuid=53cda0a1-d983-4dd0-bb63-e0d3ad6d4a31" ] } ], "mendeley" : { "formattedCitation" : "&lt;sup&gt;[6]&lt;/sup&gt;", "plainTextFormattedCitation" : "[6]", "previouslyFormattedCitation" : "&lt;sup&gt;[6]&lt;/sup&gt;" }, "properties" : { "noteIndex" : 0 }, "schema" : "https://github.com/citation-style-language/schema/raw/master/csl-citation.json" }</w:instrText>
      </w:r>
      <w:r w:rsidRPr="006D6C34">
        <w:rPr>
          <w:rFonts w:ascii="Book Antiqua" w:hAnsi="Book Antiqua"/>
          <w:lang w:val="en-US"/>
        </w:rPr>
        <w:fldChar w:fldCharType="separate"/>
      </w:r>
      <w:r w:rsidR="00EF4263" w:rsidRPr="006D6C34">
        <w:rPr>
          <w:rFonts w:ascii="Book Antiqua" w:hAnsi="Book Antiqua"/>
          <w:noProof/>
          <w:vertAlign w:val="superscript"/>
          <w:lang w:val="en-US"/>
        </w:rPr>
        <w:t>[6]</w:t>
      </w:r>
      <w:r w:rsidRPr="006D6C34">
        <w:rPr>
          <w:rFonts w:ascii="Book Antiqua" w:hAnsi="Book Antiqua"/>
          <w:lang w:val="en-US"/>
        </w:rPr>
        <w:fldChar w:fldCharType="end"/>
      </w:r>
      <w:r w:rsidRPr="006D6C34">
        <w:rPr>
          <w:rFonts w:ascii="Book Antiqua" w:hAnsi="Book Antiqua"/>
          <w:lang w:val="en-US"/>
        </w:rPr>
        <w:t>. Previous reports have suggested that PPIH</w:t>
      </w:r>
      <w:r w:rsidR="006D6C34">
        <w:rPr>
          <w:rFonts w:ascii="Book Antiqua" w:hAnsi="Book Antiqua"/>
          <w:lang w:val="en-US"/>
        </w:rPr>
        <w:t xml:space="preserve"> occurs after long term PPI use</w:t>
      </w:r>
      <w:r w:rsidRPr="006D6C34">
        <w:rPr>
          <w:rFonts w:ascii="Book Antiqua" w:hAnsi="Book Antiqua"/>
          <w:lang w:val="en-US"/>
        </w:rPr>
        <w:fldChar w:fldCharType="begin" w:fldLock="1"/>
      </w:r>
      <w:r w:rsidR="00D769AF" w:rsidRPr="006D6C34">
        <w:rPr>
          <w:rFonts w:ascii="Book Antiqua" w:hAnsi="Book Antiqua"/>
          <w:lang w:val="en-US"/>
        </w:rPr>
        <w:instrText>ADDIN CSL_CITATION { "citationItems" : [ { "id" : "ITEM-1", "itemData" : { "DOI" : "10.1111/j.1365-2036.2012.05201.x", "ISBN" : "1365-2036 (Electronic)\\r0269-2813 (Linking)", "ISSN" : "02692813", "PMID" : "22762246", "abstract" : "BACKGROUND: Proton pump inhibitors (PPIs) are a mainstay therapy for all gastric acid-related diseases. Clinical concerns arise from a small but growing number of case reports presenting PPI-induced hypomagnesaemia (PPIH) as a consequence of long-term PPI use. Current opinion is that reduced intestinal magnesium absorption might be involved, but nothing is known on the molecular mechanism underlying PPIH. AIM: To investigate whether or not PPIH is a true, long-term drug-class effect of all PPIs and to scrutinise a possible role of comorbidity in its aetiology. Therefore, the primary objective in particular was to investigate serum magnesium dynamics in trials drug withdrawal and re-challenge. The secondary objective was to profile the 'patient at risk'. METHODS: We reviewed systematically all currently available case reports on the subject and performed a statistical analysis on extracted data. RESULTS: Proton pump inhibitor-induced hypomagnesaemia PPIH is a drug-class effect and occurred after 5.5 years (median) of PPI use, onset was broad and ranged from 14 days to 13 years. Discontinuation of PPIs resulted in fast recovery from PPIH in 4 days and re-challenge led to reoccurrence within 4 days. Histamine-2-receptor antagonists were the preferable replacement therapy in PPIH and prevented reoccurrence of hypomagnesaemia. In PPIH no specific risk profile was identified that was linked to the hypomagnesaemia. CONCLUSIONS: The cases of PPIH show severe symptoms of magnesium depletion and identification of its causation was only possible through withdrawal of the PPI. Clinical awareness of PPIH is key to avoid putting patients at risk.", "author" : [ { "dropping-particle" : "", "family" : "Hess", "given" : "M. W.", "non-dropping-particle" : "", "parse-names" : false, "suffix" : "" }, { "dropping-particle" : "", "family" : "Hoenderop", "given" : "J. G J", "non-dropping-particle" : "", "parse-names" : false, "suffix" : "" }, { "dropping-particle" : "", "family" : "Bindels", "given" : "R. J M", "non-dropping-particle" : "", "parse-names" : false, "suffix" : "" }, { "dropping-particle" : "", "family" : "Drenth", "given" : "J. P H", "non-dropping-particle" : "", "parse-names" : false, "suffix" : "" } ], "container-title" : "Alimentary Pharmacology and Therapeutics", "id" : "ITEM-1", "issue" : "5", "issued" : { "date-parts" : [ [ "2012" ] ] }, "page" : "405-413", "title" : "Systematic review: Hypomagnesaemia induced by proton pump inhibition", "type" : "article", "volume" : "36" }, "uris" : [ "http://www.mendeley.com/documents/?uuid=39cace56-08a8-4f6e-ad80-0adda2f445c7" ] } ], "mendeley" : { "formattedCitation" : "&lt;sup&gt;[1]&lt;/sup&gt;", "plainTextFormattedCitation" : "[1]", "previouslyFormattedCitation" : "&lt;sup&gt;[1]&lt;/sup&gt;" }, "properties" : { "noteIndex" : 0 }, "schema" : "https://github.com/citation-style-language/schema/raw/master/csl-citation.json" }</w:instrText>
      </w:r>
      <w:r w:rsidRPr="006D6C34">
        <w:rPr>
          <w:rFonts w:ascii="Book Antiqua" w:hAnsi="Book Antiqua"/>
          <w:lang w:val="en-US"/>
        </w:rPr>
        <w:fldChar w:fldCharType="separate"/>
      </w:r>
      <w:r w:rsidR="00EF4263" w:rsidRPr="006D6C34">
        <w:rPr>
          <w:rFonts w:ascii="Book Antiqua" w:hAnsi="Book Antiqua"/>
          <w:noProof/>
          <w:vertAlign w:val="superscript"/>
          <w:lang w:val="en-US"/>
        </w:rPr>
        <w:t>[1]</w:t>
      </w:r>
      <w:r w:rsidRPr="006D6C34">
        <w:rPr>
          <w:rFonts w:ascii="Book Antiqua" w:hAnsi="Book Antiqua"/>
          <w:lang w:val="en-US"/>
        </w:rPr>
        <w:fldChar w:fldCharType="end"/>
      </w:r>
      <w:r w:rsidRPr="006D6C34">
        <w:rPr>
          <w:rFonts w:ascii="Book Antiqua" w:hAnsi="Book Antiqua"/>
          <w:lang w:val="en-US"/>
        </w:rPr>
        <w:t xml:space="preserve">; however, duration of exposure to PPI therapy is often difficult to quantify retrospectively and the duration of PPI use necessary to cause PPIH remains uncertain. </w:t>
      </w:r>
    </w:p>
    <w:p w14:paraId="034DF12E" w14:textId="6FC09DF8" w:rsidR="002D2324" w:rsidRPr="006D6C34" w:rsidRDefault="002D2324" w:rsidP="006D6C34">
      <w:pPr>
        <w:snapToGrid w:val="0"/>
        <w:spacing w:line="360" w:lineRule="auto"/>
        <w:ind w:firstLineChars="200" w:firstLine="480"/>
        <w:jc w:val="both"/>
        <w:rPr>
          <w:rFonts w:ascii="Book Antiqua" w:hAnsi="Book Antiqua"/>
          <w:lang w:val="en-US"/>
        </w:rPr>
      </w:pPr>
      <w:r w:rsidRPr="006D6C34">
        <w:rPr>
          <w:rFonts w:ascii="Book Antiqua" w:hAnsi="Book Antiqua"/>
          <w:lang w:val="en-US"/>
        </w:rPr>
        <w:t>Magnesium homeostasis is mainly determined by absorption in the small intestine</w:t>
      </w:r>
      <w:r w:rsidR="002B3701" w:rsidRPr="006D6C34">
        <w:rPr>
          <w:rFonts w:ascii="Book Antiqua" w:hAnsi="Book Antiqua"/>
          <w:lang w:val="en-US"/>
        </w:rPr>
        <w:t>,</w:t>
      </w:r>
      <w:r w:rsidRPr="006D6C34">
        <w:rPr>
          <w:rFonts w:ascii="Book Antiqua" w:hAnsi="Book Antiqua"/>
          <w:lang w:val="en-US"/>
        </w:rPr>
        <w:t xml:space="preserve"> and renal excretion. Intestinal magnesium absorption is complex, and occurs via both passive and active transport mechanisms. Firstly, magnesium is passively absorbed through a paracellular pathway between the enterocytes of the intestine across a concentration gradient. Secondly, a transcellular active transport mechanism occur by means of a combined action of magnesium channels in the apical membrane of enterocytes on the luminal surface, particularly transient receptor potential melastin (TRPM) 6 and 7. It has been proposed that increased luminal pH in the intestine caused by PPIs may alter the affinity of the TRPM6/7 channel for magnesium, resulting in reduced active transport of magnesium, and that individual genetic variations in the TRPM could explain why PPIH does not develop</w:t>
      </w:r>
      <w:r w:rsidR="006D6C34">
        <w:rPr>
          <w:rFonts w:ascii="Book Antiqua" w:hAnsi="Book Antiqua"/>
          <w:lang w:val="en-US"/>
        </w:rPr>
        <w:t xml:space="preserve"> in all PPI users</w:t>
      </w:r>
      <w:r w:rsidRPr="006D6C34">
        <w:rPr>
          <w:rFonts w:ascii="Book Antiqua" w:hAnsi="Book Antiqua"/>
          <w:lang w:val="en-US"/>
        </w:rPr>
        <w:fldChar w:fldCharType="begin" w:fldLock="1"/>
      </w:r>
      <w:r w:rsidR="00D769AF" w:rsidRPr="006D6C34">
        <w:rPr>
          <w:rFonts w:ascii="Book Antiqua" w:hAnsi="Book Antiqua"/>
          <w:lang w:val="en-US"/>
        </w:rPr>
        <w:instrText>ADDIN CSL_CITATION { "citationItems" : [ { "id" : "ITEM-1", "itemData" : { "DOI" : "10.5527/wjn.v5.i2.152", "ISBN" : "1617632988", "ISSN" : "2220-6124", "PMID" : "26981439", "abstract" : "Since the early reports nearly a decade ago, proton-pump inhibitor-induced hypomagnesemia (PPIH) has become a well-recognized phenomenon. While many observational studies in the inpatient and outpatient populations have confirmed the association of PPI exposure and serum magnesium concentrations, there are no prospective, controlled studies to support causation. Molecular mechanisms of magnesium transporters, including the pH-dependent regulation of transient receptor potential melastatin-6 transporters in the colonic enterocyte, have been proposed to explain the effect of PPIs on magnesium reabsorption, but may be a small part of a more complicated interplay of molecular biology, pharmacology, and genetic predisposition. This review explores the current state of research in the field of PPIH and the proposed mechanisms of this effect.", "author" : [ { "dropping-particle" : "", "family" : "William", "given" : "Jeffrey H", "non-dropping-particle" : "", "parse-names" : false, "suffix" : "" }, { "dropping-particle" : "", "family" : "Danziger", "given" : "John", "non-dropping-particle" : "", "parse-names" : false, "suffix" : "" } ], "container-title" : "World journal of nephrology", "id" : "ITEM-1", "issue" : "2", "issued" : { "date-parts" : [ [ "2016" ] ] }, "page" : "152-7", "title" : "Proton-pump inhibitor-induced hypomagnesemia: Current research and proposed mechanisms.", "type" : "article-journal", "volume" : "5" }, "uris" : [ "http://www.mendeley.com/documents/?uuid=19c74215-2faf-4ec9-b259-289496ce2e4c" ] } ], "mendeley" : { "formattedCitation" : "&lt;sup&gt;[4]&lt;/sup&gt;", "plainTextFormattedCitation" : "[4]", "previouslyFormattedCitation" : "&lt;sup&gt;[4]&lt;/sup&gt;" }, "properties" : { "noteIndex" : 0 }, "schema" : "https://github.com/citation-style-language/schema/raw/master/csl-citation.json" }</w:instrText>
      </w:r>
      <w:r w:rsidRPr="006D6C34">
        <w:rPr>
          <w:rFonts w:ascii="Book Antiqua" w:hAnsi="Book Antiqua"/>
          <w:lang w:val="en-US"/>
        </w:rPr>
        <w:fldChar w:fldCharType="separate"/>
      </w:r>
      <w:r w:rsidR="00EF4263" w:rsidRPr="006D6C34">
        <w:rPr>
          <w:rFonts w:ascii="Book Antiqua" w:hAnsi="Book Antiqua"/>
          <w:noProof/>
          <w:vertAlign w:val="superscript"/>
          <w:lang w:val="en-US"/>
        </w:rPr>
        <w:t>[4]</w:t>
      </w:r>
      <w:r w:rsidRPr="006D6C34">
        <w:rPr>
          <w:rFonts w:ascii="Book Antiqua" w:hAnsi="Book Antiqua"/>
          <w:lang w:val="en-US"/>
        </w:rPr>
        <w:fldChar w:fldCharType="end"/>
      </w:r>
      <w:r w:rsidRPr="006D6C34">
        <w:rPr>
          <w:rFonts w:ascii="Book Antiqua" w:hAnsi="Book Antiqua"/>
          <w:lang w:val="en-US"/>
        </w:rPr>
        <w:t xml:space="preserve">. </w:t>
      </w:r>
      <w:r w:rsidR="00F53569" w:rsidRPr="006D6C34">
        <w:rPr>
          <w:rFonts w:ascii="Book Antiqua" w:hAnsi="Book Antiqua"/>
          <w:lang w:val="en-US"/>
        </w:rPr>
        <w:t>S</w:t>
      </w:r>
      <w:r w:rsidR="002B3701" w:rsidRPr="006D6C34">
        <w:rPr>
          <w:rFonts w:ascii="Book Antiqua" w:hAnsi="Book Antiqua"/>
          <w:lang w:val="en-US"/>
        </w:rPr>
        <w:t xml:space="preserve">everal other drugs can </w:t>
      </w:r>
      <w:r w:rsidR="00FC50B7" w:rsidRPr="006D6C34">
        <w:rPr>
          <w:rFonts w:ascii="Book Antiqua" w:hAnsi="Book Antiqua"/>
          <w:lang w:val="en-US"/>
        </w:rPr>
        <w:t xml:space="preserve">cause </w:t>
      </w:r>
      <w:r w:rsidR="002B3701" w:rsidRPr="006D6C34">
        <w:rPr>
          <w:rFonts w:ascii="Book Antiqua" w:hAnsi="Book Antiqua"/>
          <w:lang w:val="en-US"/>
        </w:rPr>
        <w:t>hypomag</w:t>
      </w:r>
      <w:r w:rsidR="00FC50B7" w:rsidRPr="006D6C34">
        <w:rPr>
          <w:rFonts w:ascii="Book Antiqua" w:hAnsi="Book Antiqua"/>
          <w:lang w:val="en-US"/>
        </w:rPr>
        <w:t xml:space="preserve">nesemia, where the underlying mechanism is </w:t>
      </w:r>
      <w:r w:rsidR="002B3701" w:rsidRPr="006D6C34">
        <w:rPr>
          <w:rFonts w:ascii="Book Antiqua" w:hAnsi="Book Antiqua"/>
          <w:lang w:val="en-US"/>
        </w:rPr>
        <w:t>tubular magnesium wasting</w:t>
      </w:r>
      <w:r w:rsidR="00F53569" w:rsidRPr="006D6C34">
        <w:rPr>
          <w:rFonts w:ascii="Book Antiqua" w:hAnsi="Book Antiqua"/>
          <w:lang w:val="en-US"/>
        </w:rPr>
        <w:fldChar w:fldCharType="begin" w:fldLock="1"/>
      </w:r>
      <w:r w:rsidR="00F53569" w:rsidRPr="006D6C34">
        <w:rPr>
          <w:rFonts w:ascii="Book Antiqua" w:hAnsi="Book Antiqua"/>
          <w:lang w:val="en-US"/>
        </w:rPr>
        <w:instrText>ADDIN CSL_CITATION { "citationItems" : [ { "id" : "ITEM-1", "itemData" : { "DOI" : "10.1111/j.1365-2036.2012.05201.x", "ISBN" : "1365-2036 (Electronic)\\r0269-2813 (Linking)", "ISSN" : "02692813", "PMID" : "22762246", "abstract" : "BACKGROUND: Proton pump inhibitors (PPIs) are a mainstay therapy for all gastric acid-related diseases. Clinical concerns arise from a small but growing number of case reports presenting PPI-induced hypomagnesaemia (PPIH) as a consequence of long-term PPI use. Current opinion is that reduced intestinal magnesium absorption might be involved, but nothing is known on the molecular mechanism underlying PPIH. AIM: To investigate whether or not PPIH is a true, long-term drug-class effect of all PPIs and to scrutinise a possible role of comorbidity in its aetiology. Therefore, the primary objective in particular was to investigate serum magnesium dynamics in trials drug withdrawal and re-challenge. The secondary objective was to profile the 'patient at risk'. METHODS: We reviewed systematically all currently available case reports on the subject and performed a statistical analysis on extracted data. RESULTS: Proton pump inhibitor-induced hypomagnesaemia PPIH is a drug-class effect and occurred after 5.5 years (median) of PPI use, onset was broad and ranged from 14 days to 13 years. Discontinuation of PPIs resulted in fast recovery from PPIH in 4 days and re-challenge led to reoccurrence within 4 days. Histamine-2-receptor antagonists were the preferable replacement therapy in PPIH and prevented reoccurrence of hypomagnesaemia. In PPIH no specific risk profile was identified that was linked to the hypomagnesaemia. CONCLUSIONS: The cases of PPIH show severe symptoms of magnesium depletion and identification of its causation was only possible through withdrawal of the PPI. Clinical awareness of PPIH is key to avoid putting patients at risk.", "author" : [ { "dropping-particle" : "", "family" : "Hess", "given" : "M. W.", "non-dropping-particle" : "", "parse-names" : false, "suffix" : "" }, { "dropping-particle" : "", "family" : "Hoenderop", "given" : "J. G J", "non-dropping-particle" : "", "parse-names" : false, "suffix" : "" }, { "dropping-particle" : "", "family" : "Bindels", "given" : "R. J M", "non-dropping-particle" : "", "parse-names" : false, "suffix" : "" }, { "dropping-particle" : "", "family" : "Drenth", "given" : "J. P H", "non-dropping-particle" : "", "parse-names" : false, "suffix" : "" } ], "container-title" : "Alimentary Pharmacology and Therapeutics", "id" : "ITEM-1", "issue" : "5", "issued" : { "date-parts" : [ [ "2012" ] ] }, "page" : "405-413", "title" : "Systematic review: Hypomagnesaemia induced by proton pump inhibition", "type" : "article", "volume" : "36" }, "uris" : [ "http://www.mendeley.com/documents/?uuid=39cace56-08a8-4f6e-ad80-0adda2f445c7" ] } ], "mendeley" : { "formattedCitation" : "&lt;sup&gt;[1]&lt;/sup&gt;", "plainTextFormattedCitation" : "[1]" }, "properties" : { "noteIndex" : 0 }, "schema" : "https://github.com/citation-style-language/schema/raw/master/csl-citation.json" }</w:instrText>
      </w:r>
      <w:r w:rsidR="00F53569" w:rsidRPr="006D6C34">
        <w:rPr>
          <w:rFonts w:ascii="Book Antiqua" w:hAnsi="Book Antiqua"/>
          <w:lang w:val="en-US"/>
        </w:rPr>
        <w:fldChar w:fldCharType="separate"/>
      </w:r>
      <w:r w:rsidR="00F53569" w:rsidRPr="006D6C34">
        <w:rPr>
          <w:rFonts w:ascii="Book Antiqua" w:hAnsi="Book Antiqua"/>
          <w:noProof/>
          <w:vertAlign w:val="superscript"/>
          <w:lang w:val="en-US"/>
        </w:rPr>
        <w:t>[1]</w:t>
      </w:r>
      <w:r w:rsidR="00F53569" w:rsidRPr="006D6C34">
        <w:rPr>
          <w:rFonts w:ascii="Book Antiqua" w:hAnsi="Book Antiqua"/>
          <w:lang w:val="en-US"/>
        </w:rPr>
        <w:fldChar w:fldCharType="end"/>
      </w:r>
      <w:r w:rsidR="002B3701" w:rsidRPr="006D6C34">
        <w:rPr>
          <w:rFonts w:ascii="Book Antiqua" w:hAnsi="Book Antiqua"/>
          <w:lang w:val="en-US"/>
        </w:rPr>
        <w:t xml:space="preserve">. In contrast, </w:t>
      </w:r>
      <w:r w:rsidRPr="006D6C34">
        <w:rPr>
          <w:rFonts w:ascii="Book Antiqua" w:hAnsi="Book Antiqua"/>
          <w:lang w:val="en-US"/>
        </w:rPr>
        <w:t xml:space="preserve">previous case reports of PPIH have documented </w:t>
      </w:r>
      <w:r w:rsidR="00B97244" w:rsidRPr="006D6C34">
        <w:rPr>
          <w:rFonts w:ascii="Book Antiqua" w:hAnsi="Book Antiqua"/>
          <w:lang w:val="en-US"/>
        </w:rPr>
        <w:t xml:space="preserve">consistently </w:t>
      </w:r>
      <w:r w:rsidRPr="006D6C34">
        <w:rPr>
          <w:rFonts w:ascii="Book Antiqua" w:hAnsi="Book Antiqua"/>
          <w:lang w:val="en-US"/>
        </w:rPr>
        <w:t>low urinary excretion</w:t>
      </w:r>
      <w:r w:rsidR="00FC50B7" w:rsidRPr="006D6C34">
        <w:rPr>
          <w:rFonts w:ascii="Book Antiqua" w:hAnsi="Book Antiqua"/>
          <w:lang w:val="en-US"/>
        </w:rPr>
        <w:t xml:space="preserve"> coherent</w:t>
      </w:r>
      <w:r w:rsidR="002B3701" w:rsidRPr="006D6C34">
        <w:rPr>
          <w:rFonts w:ascii="Book Antiqua" w:hAnsi="Book Antiqua"/>
          <w:lang w:val="en-US"/>
        </w:rPr>
        <w:t xml:space="preserve"> with efficient tubular magnesium retention</w:t>
      </w:r>
      <w:r w:rsidR="002B3701" w:rsidRPr="006D6C34">
        <w:rPr>
          <w:rFonts w:ascii="Book Antiqua" w:hAnsi="Book Antiqua"/>
          <w:lang w:val="en-US"/>
        </w:rPr>
        <w:fldChar w:fldCharType="begin" w:fldLock="1"/>
      </w:r>
      <w:r w:rsidR="005C408D" w:rsidRPr="006D6C34">
        <w:rPr>
          <w:rFonts w:ascii="Book Antiqua" w:hAnsi="Book Antiqua"/>
          <w:lang w:val="en-US"/>
        </w:rPr>
        <w:instrText>ADDIN CSL_CITATION { "citationItems" : [ { "id" : "ITEM-1", "itemData" : { "DOI" : "10.1111/j.1365-2036.2012.05201.x", "ISBN" : "1365-2036 (Electronic)\\r0269-2813 (Linking)", "ISSN" : "02692813", "PMID" : "22762246", "abstract" : "BACKGROUND: Proton pump inhibitors (PPIs) are a mainstay therapy for all gastric acid-related diseases. Clinical concerns arise from a small but growing number of case reports presenting PPI-induced hypomagnesaemia (PPIH) as a consequence of long-term PPI use. Current opinion is that reduced intestinal magnesium absorption might be involved, but nothing is known on the molecular mechanism underlying PPIH. AIM: To investigate whether or not PPIH is a true, long-term drug-class effect of all PPIs and to scrutinise a possible role of comorbidity in its aetiology. Therefore, the primary objective in particular was to investigate serum magnesium dynamics in trials drug withdrawal and re-challenge. The secondary objective was to profile the 'patient at risk'. METHODS: We reviewed systematically all currently available case reports on the subject and performed a statistical analysis on extracted data. RESULTS: Proton pump inhibitor-induced hypomagnesaemia PPIH is a drug-class effect and occurred after 5.5 years (median) of PPI use, onset was broad and ranged from 14 days to 13 years. Discontinuation of PPIs resulted in fast recovery from PPIH in 4 days and re-challenge led to reoccurrence within 4 days. Histamine-2-receptor antagonists were the preferable replacement therapy in PPIH and prevented reoccurrence of hypomagnesaemia. In PPIH no specific risk profile was identified that was linked to the hypomagnesaemia. CONCLUSIONS: The cases of PPIH show severe symptoms of magnesium depletion and identification of its causation was only possible through withdrawal of the PPI. Clinical awareness of PPIH is key to avoid putting patients at risk.", "author" : [ { "dropping-particle" : "", "family" : "Hess", "given" : "M. W.", "non-dropping-particle" : "", "parse-names" : false, "suffix" : "" }, { "dropping-particle" : "", "family" : "Hoenderop", "given" : "J. G J", "non-dropping-particle" : "", "parse-names" : false, "suffix" : "" }, { "dropping-particle" : "", "family" : "Bindels", "given" : "R. J M", "non-dropping-particle" : "", "parse-names" : false, "suffix" : "" }, { "dropping-particle" : "", "family" : "Drenth", "given" : "J. P H", "non-dropping-particle" : "", "parse-names" : false, "suffix" : "" } ], "container-title" : "Alimentary Pharmacology and Therapeutics", "id" : "ITEM-1", "issue" : "5", "issued" : { "date-parts" : [ [ "2012" ] ] }, "page" : "405-413", "title" : "Systematic review: Hypomagnesaemia induced by proton pump inhibition", "type" : "article", "volume" : "36" }, "uris" : [ "http://www.mendeley.com/documents/?uuid=39cace56-08a8-4f6e-ad80-0adda2f445c7" ] }, { "id" : "ITEM-2", "itemData" : { "DOI" : "10.1093/qjmed/hcq021", "ISSN" : "1460-2393", "PMID" : "20378675", "abstract" : "Reports since 2006 have identified proton-pump inhibitor (PPI) therapy as a cause of hypomagnesaemia, in a total of 13 cases.", "author" : [ { "dropping-particle" : "", "family" : "Mackay", "given" : "J D", "non-dropping-particle" : "", "parse-names" : false, "suffix" : "" }, { "dropping-particle" : "", "family" : "Bladon", "given" : "P T", "non-dropping-particle" : "", "parse-names" : false, "suffix" : "" } ], "container-title" : "QJM : monthly journal of the Association of Physicians", "id" : "ITEM-2", "issue" : "6", "issued" : { "date-parts" : [ [ "2010" ] ] }, "page" : "387-395", "title" : "Hypomagnesaemia due to proton-pump inhibitor therapy: a clinical case series.", "type" : "article-journal", "volume" : "103" }, "uris" : [ "http://www.mendeley.com/documents/?uuid=b0d0ea2b-eb0e-406f-a5e3-00d1a7837ee2" ] } ], "mendeley" : { "formattedCitation" : "&lt;sup&gt;[1,2]&lt;/sup&gt;", "plainTextFormattedCitation" : "[1,2]", "previouslyFormattedCitation" : "&lt;sup&gt;[1,2]&lt;/sup&gt;" }, "properties" : { "noteIndex" : 0 }, "schema" : "https://github.com/citation-style-language/schema/raw/master/csl-citation.json" }</w:instrText>
      </w:r>
      <w:r w:rsidR="002B3701" w:rsidRPr="006D6C34">
        <w:rPr>
          <w:rFonts w:ascii="Book Antiqua" w:hAnsi="Book Antiqua"/>
          <w:lang w:val="en-US"/>
        </w:rPr>
        <w:fldChar w:fldCharType="separate"/>
      </w:r>
      <w:r w:rsidR="002B3701" w:rsidRPr="006D6C34">
        <w:rPr>
          <w:rFonts w:ascii="Book Antiqua" w:hAnsi="Book Antiqua"/>
          <w:noProof/>
          <w:vertAlign w:val="superscript"/>
          <w:lang w:val="en-US"/>
        </w:rPr>
        <w:t>[1,2]</w:t>
      </w:r>
      <w:r w:rsidR="002B3701" w:rsidRPr="006D6C34">
        <w:rPr>
          <w:rFonts w:ascii="Book Antiqua" w:hAnsi="Book Antiqua"/>
          <w:lang w:val="en-US"/>
        </w:rPr>
        <w:fldChar w:fldCharType="end"/>
      </w:r>
      <w:r w:rsidRPr="006D6C34">
        <w:rPr>
          <w:rFonts w:ascii="Book Antiqua" w:hAnsi="Book Antiqua"/>
          <w:lang w:val="en-US"/>
        </w:rPr>
        <w:t xml:space="preserve">, </w:t>
      </w:r>
      <w:r w:rsidR="00FC50B7" w:rsidRPr="006D6C34">
        <w:rPr>
          <w:rFonts w:ascii="Book Antiqua" w:hAnsi="Book Antiqua"/>
          <w:lang w:val="en-US"/>
        </w:rPr>
        <w:t>which is thought to support</w:t>
      </w:r>
      <w:r w:rsidRPr="006D6C34">
        <w:rPr>
          <w:rFonts w:ascii="Book Antiqua" w:hAnsi="Book Antiqua"/>
          <w:lang w:val="en-US"/>
        </w:rPr>
        <w:t xml:space="preserve"> the theory of impaired gastrointestinal absorption a</w:t>
      </w:r>
      <w:r w:rsidR="002B3701" w:rsidRPr="006D6C34">
        <w:rPr>
          <w:rFonts w:ascii="Book Antiqua" w:hAnsi="Book Antiqua"/>
          <w:lang w:val="en-US"/>
        </w:rPr>
        <w:t>s the mechanism leading to PPIH.</w:t>
      </w:r>
    </w:p>
    <w:p w14:paraId="5EB0D91E" w14:textId="26F15B4C" w:rsidR="00F53569" w:rsidRPr="006D6C34" w:rsidRDefault="002D2324" w:rsidP="006D6C34">
      <w:pPr>
        <w:snapToGrid w:val="0"/>
        <w:spacing w:line="360" w:lineRule="auto"/>
        <w:ind w:firstLineChars="200" w:firstLine="480"/>
        <w:jc w:val="both"/>
        <w:rPr>
          <w:rFonts w:ascii="Book Antiqua" w:hAnsi="Book Antiqua"/>
          <w:lang w:val="en-US"/>
        </w:rPr>
      </w:pPr>
      <w:r w:rsidRPr="006D6C34">
        <w:rPr>
          <w:rFonts w:ascii="Book Antiqua" w:hAnsi="Book Antiqua"/>
          <w:lang w:val="en-US"/>
        </w:rPr>
        <w:lastRenderedPageBreak/>
        <w:t>Some patients might be more susceptible to PPIH due to other coexisting risk factors such as concomitant medication (diuretics) or other medical conditions associated with hypomagnesemia such as diabetes mellitus, inflammatory bowel disease, short-bowel disease, chronic pancreatitis, diarrhea and/or alcoholism. It remains controversial whether serum magnesium should be monitored in all long-term PPI users, or perhaps in specific subsets of patients with additional risk factors. Nonetheless, PPIH should be remembered as a differential diagnosis in patients with PPI use and unexplained hypomagnesemia.</w:t>
      </w:r>
      <w:r w:rsidR="006178C1" w:rsidRPr="006D6C34">
        <w:rPr>
          <w:rFonts w:ascii="Book Antiqua" w:hAnsi="Book Antiqua"/>
          <w:lang w:val="en-US"/>
        </w:rPr>
        <w:t xml:space="preserve"> Patients with PPIH and persistent troublesome reflux symptoms after PPI discontinuation could be considered for anti</w:t>
      </w:r>
      <w:r w:rsidR="00F625C2" w:rsidRPr="006D6C34">
        <w:rPr>
          <w:rFonts w:ascii="Book Antiqua" w:hAnsi="Book Antiqua"/>
          <w:lang w:val="en-US"/>
        </w:rPr>
        <w:t>-</w:t>
      </w:r>
      <w:r w:rsidR="006178C1" w:rsidRPr="006D6C34">
        <w:rPr>
          <w:rFonts w:ascii="Book Antiqua" w:hAnsi="Book Antiqua"/>
          <w:lang w:val="en-US"/>
        </w:rPr>
        <w:t xml:space="preserve">reflux surgery.  </w:t>
      </w:r>
      <w:r w:rsidR="00B97966" w:rsidRPr="006D6C34">
        <w:rPr>
          <w:rFonts w:ascii="Book Antiqua" w:hAnsi="Book Antiqua"/>
          <w:lang w:val="en-US"/>
        </w:rPr>
        <w:t xml:space="preserve">It should be remembered, however, that </w:t>
      </w:r>
      <w:r w:rsidR="00F625C2" w:rsidRPr="006D6C34">
        <w:rPr>
          <w:rFonts w:ascii="Book Antiqua" w:hAnsi="Book Antiqua"/>
          <w:lang w:val="en-US"/>
        </w:rPr>
        <w:t xml:space="preserve">a majority </w:t>
      </w:r>
      <w:r w:rsidR="00B97966" w:rsidRPr="006D6C34">
        <w:rPr>
          <w:rFonts w:ascii="Book Antiqua" w:hAnsi="Book Antiqua"/>
          <w:lang w:val="en-US"/>
        </w:rPr>
        <w:t>of patients treated with anti</w:t>
      </w:r>
      <w:r w:rsidR="00F625C2" w:rsidRPr="006D6C34">
        <w:rPr>
          <w:rFonts w:ascii="Book Antiqua" w:hAnsi="Book Antiqua"/>
          <w:lang w:val="en-US"/>
        </w:rPr>
        <w:t>-</w:t>
      </w:r>
      <w:r w:rsidR="00B97966" w:rsidRPr="006D6C34">
        <w:rPr>
          <w:rFonts w:ascii="Book Antiqua" w:hAnsi="Book Antiqua"/>
          <w:lang w:val="en-US"/>
        </w:rPr>
        <w:t xml:space="preserve">reflux surgery have resumed </w:t>
      </w:r>
      <w:r w:rsidR="00275897" w:rsidRPr="006D6C34">
        <w:rPr>
          <w:rFonts w:ascii="Book Antiqua" w:hAnsi="Book Antiqua"/>
          <w:lang w:val="en-US"/>
        </w:rPr>
        <w:t xml:space="preserve">PPI </w:t>
      </w:r>
      <w:r w:rsidR="00B97966" w:rsidRPr="006D6C34">
        <w:rPr>
          <w:rFonts w:ascii="Book Antiqua" w:hAnsi="Book Antiqua"/>
          <w:lang w:val="en-US"/>
        </w:rPr>
        <w:t xml:space="preserve">therapy </w:t>
      </w:r>
      <w:r w:rsidR="005C408D" w:rsidRPr="006D6C34">
        <w:rPr>
          <w:rFonts w:ascii="Book Antiqua" w:hAnsi="Book Antiqua"/>
          <w:lang w:val="en-US"/>
        </w:rPr>
        <w:t xml:space="preserve">10-15 </w:t>
      </w:r>
      <w:r w:rsidR="00B97966" w:rsidRPr="006D6C34">
        <w:rPr>
          <w:rFonts w:ascii="Book Antiqua" w:hAnsi="Book Antiqua"/>
          <w:lang w:val="en-US"/>
        </w:rPr>
        <w:t>years after the operation</w:t>
      </w:r>
      <w:r w:rsidR="005C408D" w:rsidRPr="006D6C34">
        <w:rPr>
          <w:rFonts w:ascii="Book Antiqua" w:hAnsi="Book Antiqua"/>
          <w:lang w:val="en-US"/>
        </w:rPr>
        <w:fldChar w:fldCharType="begin" w:fldLock="1"/>
      </w:r>
      <w:r w:rsidR="00F53569" w:rsidRPr="006D6C34">
        <w:rPr>
          <w:rFonts w:ascii="Book Antiqua" w:hAnsi="Book Antiqua"/>
          <w:lang w:val="en-US"/>
        </w:rPr>
        <w:instrText>ADDIN CSL_CITATION { "citationItems" : [ { "id" : "ITEM-1", "itemData" : { "DOI" : "10.1136/gutjnl-2013-306532", "ISBN" : "1468-3288", "ISSN" : "1468-3288", "PMID" : "24474384", "abstract" : "OBJECTIVE: Antireflux surgery (ARS) has been suggested as an alternative to lifelong use of proton pump inhibitors (PPI) in reflux disease. Data from clinical trials on PPI use after ARS have been conflicting. We investigated PPI use after ARS in the general Danish population using nationwide healthcare registries.\\n\\nDESIGN: A nationwide retrospective follow-up study of all patients aged \u226518 and undergoing first-time ARS in Denmark during 1996-2010. Two outcome measures were used: redemption of first PPI prescription after ARS (index prescription) and a marker of long-term use, defined by an average PPI use of \u2265180 defined daily doses (DDDs) per year. Kaplan-Meier curves and Cox proportional hazards model were used for statistics.\\n\\nRESULTS: 3465 patients entered the analysis. 12.7% used no PPI in the year before surgery, while 14.2%, 13.4% and 59.7% used 1-89 DDD, 90-179 DDD and \u2265180 DDD, respectively. Five-, 10- and 15-year risks of redeeming index PPI prescription were 57.5%, 72.4% and 82.6%, respectively. Similarly, 5-, 10- and 15-year risks of taking up long-term PPI use were 29.4%, 41.1% and 56.6%. Female gender, high age, ARS performed in most recent years, previous use of PPI and use of nonsteroidal anti-inflammatory drugs or antiplatelet therapy significantly increased the risk of PPI use.\\n\\nCONCLUSIONS: Risk of PPI use after ARS was higher than previously reported, and more than 50% of patients became long-term PPI users 10-15\u2005years postsurgery. Patients should be made aware that long-term PPI therapy is often necessary after ARS.", "author" : [ { "dropping-particle" : "", "family" : "L\u00f8drup", "given" : "Anders", "non-dropping-particle" : "", "parse-names" : false, "suffix" : "" }, { "dropping-particle" : "", "family" : "Potteg\u00e5rd", "given" : "Anton", "non-dropping-particle" : "", "parse-names" : false, "suffix" : "" }, { "dropping-particle" : "", "family" : "Hallas", "given" : "Jesper", "non-dropping-particle" : "", "parse-names" : false, "suffix" : "" }, { "dropping-particle" : "", "family" : "Bytzer", "given" : "Peter", "non-dropping-particle" : "", "parse-names" : false, "suffix" : "" } ], "container-title" : "Gut", "id" : "ITEM-1", "issue" : "10", "issued" : { "date-parts" : [ [ "2014" ] ] }, "page" : "1544-9", "title" : "Use of proton pump inhibitors after antireflux surgery: a nationwide register-based follow-up study.", "type" : "article-journal", "volume" : "63" }, "uris" : [ "http://www.mendeley.com/documents/?uuid=6e8d89c4-17e6-44a4-955e-e25c94c74fbb" ] } ], "mendeley" : { "formattedCitation" : "&lt;sup&gt;[7]&lt;/sup&gt;", "plainTextFormattedCitation" : "[7]", "previouslyFormattedCitation" : "&lt;sup&gt;[7]&lt;/sup&gt;" }, "properties" : { "noteIndex" : 0 }, "schema" : "https://github.com/citation-style-language/schema/raw/master/csl-citation.json" }</w:instrText>
      </w:r>
      <w:r w:rsidR="005C408D" w:rsidRPr="006D6C34">
        <w:rPr>
          <w:rFonts w:ascii="Book Antiqua" w:hAnsi="Book Antiqua"/>
          <w:lang w:val="en-US"/>
        </w:rPr>
        <w:fldChar w:fldCharType="separate"/>
      </w:r>
      <w:r w:rsidR="005C408D" w:rsidRPr="006D6C34">
        <w:rPr>
          <w:rFonts w:ascii="Book Antiqua" w:hAnsi="Book Antiqua"/>
          <w:noProof/>
          <w:vertAlign w:val="superscript"/>
          <w:lang w:val="en-US"/>
        </w:rPr>
        <w:t>[7]</w:t>
      </w:r>
      <w:r w:rsidR="005C408D" w:rsidRPr="006D6C34">
        <w:rPr>
          <w:rFonts w:ascii="Book Antiqua" w:hAnsi="Book Antiqua"/>
          <w:lang w:val="en-US"/>
        </w:rPr>
        <w:fldChar w:fldCharType="end"/>
      </w:r>
      <w:r w:rsidR="00F53569" w:rsidRPr="006D6C34">
        <w:rPr>
          <w:rFonts w:ascii="Book Antiqua" w:hAnsi="Book Antiqua"/>
          <w:lang w:val="en-US"/>
        </w:rPr>
        <w:t>, and it is mandatory to control for hypomagnesemia if patients resume PPI treatment.</w:t>
      </w:r>
    </w:p>
    <w:p w14:paraId="5A24CFD9" w14:textId="77777777" w:rsidR="002D2324" w:rsidRPr="006D6C34" w:rsidRDefault="002D2324" w:rsidP="006D6C34">
      <w:pPr>
        <w:snapToGrid w:val="0"/>
        <w:spacing w:line="360" w:lineRule="auto"/>
        <w:jc w:val="both"/>
        <w:rPr>
          <w:rFonts w:ascii="Book Antiqua" w:hAnsi="Book Antiqua"/>
          <w:lang w:val="en-US" w:eastAsia="zh-CN"/>
        </w:rPr>
      </w:pPr>
    </w:p>
    <w:p w14:paraId="405910B5" w14:textId="77777777" w:rsidR="00266CAB" w:rsidRPr="006D6C34" w:rsidRDefault="00266CAB" w:rsidP="006D6C34">
      <w:pPr>
        <w:snapToGrid w:val="0"/>
        <w:spacing w:line="360" w:lineRule="auto"/>
        <w:jc w:val="both"/>
        <w:rPr>
          <w:rFonts w:ascii="Book Antiqua" w:hAnsi="Book Antiqua" w:cs="Times New Roman"/>
          <w:b/>
          <w:lang w:val="en-US"/>
        </w:rPr>
      </w:pPr>
      <w:r w:rsidRPr="006D6C34">
        <w:rPr>
          <w:rFonts w:ascii="Book Antiqua" w:hAnsi="Book Antiqua" w:cs="Times New Roman"/>
          <w:b/>
          <w:lang w:val="en-US"/>
        </w:rPr>
        <w:t>COMMENTS</w:t>
      </w:r>
    </w:p>
    <w:p w14:paraId="1C659486" w14:textId="77777777" w:rsidR="00266CAB" w:rsidRPr="006D6C34" w:rsidRDefault="00266CAB" w:rsidP="006D6C34">
      <w:pPr>
        <w:snapToGrid w:val="0"/>
        <w:spacing w:line="360" w:lineRule="auto"/>
        <w:jc w:val="both"/>
        <w:rPr>
          <w:rFonts w:ascii="Book Antiqua" w:hAnsi="Book Antiqua" w:cs="Times New Roman"/>
          <w:b/>
          <w:i/>
          <w:lang w:val="en-US"/>
        </w:rPr>
      </w:pPr>
      <w:r w:rsidRPr="006D6C34">
        <w:rPr>
          <w:rFonts w:ascii="Book Antiqua" w:hAnsi="Book Antiqua" w:cs="Times New Roman"/>
          <w:b/>
          <w:i/>
          <w:lang w:val="en-US"/>
        </w:rPr>
        <w:t>Case characteristics</w:t>
      </w:r>
    </w:p>
    <w:p w14:paraId="7FFFAA59" w14:textId="40E33359" w:rsidR="00266CAB" w:rsidRPr="006D6C34" w:rsidRDefault="00C0321F" w:rsidP="006D6C34">
      <w:pPr>
        <w:snapToGrid w:val="0"/>
        <w:spacing w:line="360" w:lineRule="auto"/>
        <w:jc w:val="both"/>
        <w:rPr>
          <w:rFonts w:ascii="Book Antiqua" w:hAnsi="Book Antiqua" w:cs="Times New Roman"/>
          <w:lang w:val="en-US"/>
        </w:rPr>
      </w:pPr>
      <w:r w:rsidRPr="006D6C34">
        <w:rPr>
          <w:rFonts w:ascii="Book Antiqua" w:hAnsi="Book Antiqua" w:cs="Times New Roman"/>
          <w:lang w:val="en-US"/>
        </w:rPr>
        <w:t xml:space="preserve">A 67-year old male with gastroesophageal reflux disease and persistent severe hypomagnesemia demanding weekly intravenous magnesium infusions. </w:t>
      </w:r>
    </w:p>
    <w:p w14:paraId="4DCB3C1E" w14:textId="77777777" w:rsidR="00C0321F" w:rsidRPr="006D6C34" w:rsidRDefault="00C0321F" w:rsidP="006D6C34">
      <w:pPr>
        <w:snapToGrid w:val="0"/>
        <w:spacing w:line="360" w:lineRule="auto"/>
        <w:jc w:val="both"/>
        <w:rPr>
          <w:rFonts w:ascii="Book Antiqua" w:hAnsi="Book Antiqua" w:cs="Times New Roman"/>
          <w:b/>
          <w:lang w:val="en-US"/>
        </w:rPr>
      </w:pPr>
    </w:p>
    <w:p w14:paraId="0E371817" w14:textId="77777777" w:rsidR="00266CAB" w:rsidRPr="006D6C34" w:rsidRDefault="00266CAB" w:rsidP="006D6C34">
      <w:pPr>
        <w:snapToGrid w:val="0"/>
        <w:spacing w:line="360" w:lineRule="auto"/>
        <w:jc w:val="both"/>
        <w:rPr>
          <w:rFonts w:ascii="Book Antiqua" w:hAnsi="Book Antiqua" w:cs="Times New Roman"/>
          <w:b/>
          <w:i/>
          <w:lang w:val="en-US"/>
        </w:rPr>
      </w:pPr>
      <w:r w:rsidRPr="006D6C34">
        <w:rPr>
          <w:rFonts w:ascii="Book Antiqua" w:hAnsi="Book Antiqua" w:cs="Times New Roman"/>
          <w:b/>
          <w:i/>
          <w:lang w:val="en-US"/>
        </w:rPr>
        <w:t>Clinical diagnosis</w:t>
      </w:r>
    </w:p>
    <w:p w14:paraId="33517425" w14:textId="71D26EA1" w:rsidR="00C0321F" w:rsidRPr="006D6C34" w:rsidRDefault="00C0321F" w:rsidP="006D6C34">
      <w:pPr>
        <w:snapToGrid w:val="0"/>
        <w:spacing w:line="360" w:lineRule="auto"/>
        <w:jc w:val="both"/>
        <w:rPr>
          <w:rFonts w:ascii="Book Antiqua" w:hAnsi="Book Antiqua"/>
          <w:lang w:val="en-US"/>
        </w:rPr>
      </w:pPr>
      <w:r w:rsidRPr="006D6C34">
        <w:rPr>
          <w:rFonts w:ascii="Book Antiqua" w:hAnsi="Book Antiqua"/>
          <w:lang w:val="en-US"/>
        </w:rPr>
        <w:t xml:space="preserve">Extensive work-up did not reveal any other cause of hypomagnesaemia. Serum magnesium levels rapidly normalized upon </w:t>
      </w:r>
      <w:r w:rsidR="0012292B" w:rsidRPr="0012292B">
        <w:rPr>
          <w:rFonts w:ascii="Book Antiqua" w:hAnsi="Book Antiqua"/>
          <w:lang w:val="en-US"/>
        </w:rPr>
        <w:t>pump inhibitor (PPI)</w:t>
      </w:r>
      <w:r w:rsidR="0012292B">
        <w:rPr>
          <w:rFonts w:ascii="Book Antiqua" w:hAnsi="Book Antiqua" w:hint="eastAsia"/>
          <w:lang w:val="en-US" w:eastAsia="zh-CN"/>
        </w:rPr>
        <w:t xml:space="preserve"> </w:t>
      </w:r>
      <w:r w:rsidRPr="006D6C34">
        <w:rPr>
          <w:rFonts w:ascii="Book Antiqua" w:hAnsi="Book Antiqua"/>
          <w:lang w:val="en-US"/>
        </w:rPr>
        <w:t xml:space="preserve">discontinuation, and re-challenge of PPI treatment resulted in a prompt drop in serum magnesium within days. Magnesium levels again normalized following PPI withdrawal after laparoscopic fundoplication. </w:t>
      </w:r>
    </w:p>
    <w:p w14:paraId="2EE1CAB7" w14:textId="77777777" w:rsidR="000D1D49" w:rsidRPr="006D6C34" w:rsidRDefault="000D1D49" w:rsidP="006D6C34">
      <w:pPr>
        <w:snapToGrid w:val="0"/>
        <w:spacing w:line="360" w:lineRule="auto"/>
        <w:jc w:val="both"/>
        <w:rPr>
          <w:rFonts w:ascii="Book Antiqua" w:hAnsi="Book Antiqua" w:cs="Times New Roman"/>
          <w:b/>
          <w:lang w:val="en-US"/>
        </w:rPr>
      </w:pPr>
    </w:p>
    <w:p w14:paraId="11C759F8" w14:textId="4B7935B2" w:rsidR="00266CAB" w:rsidRPr="006D6C34" w:rsidRDefault="00266CAB" w:rsidP="006D6C34">
      <w:pPr>
        <w:snapToGrid w:val="0"/>
        <w:spacing w:line="360" w:lineRule="auto"/>
        <w:jc w:val="both"/>
        <w:rPr>
          <w:rFonts w:ascii="Book Antiqua" w:hAnsi="Book Antiqua" w:cs="Times New Roman"/>
          <w:b/>
          <w:i/>
          <w:lang w:val="en-US" w:eastAsia="zh-CN"/>
        </w:rPr>
      </w:pPr>
      <w:r w:rsidRPr="006D6C34">
        <w:rPr>
          <w:rFonts w:ascii="Book Antiqua" w:hAnsi="Book Antiqua" w:cs="Times New Roman"/>
          <w:b/>
          <w:i/>
          <w:lang w:val="en-US"/>
        </w:rPr>
        <w:t>Differential diagnosis</w:t>
      </w:r>
    </w:p>
    <w:p w14:paraId="27D346F4" w14:textId="7FF685C9" w:rsidR="00266CAB" w:rsidRPr="006D6C34" w:rsidRDefault="00EF4662" w:rsidP="006D6C34">
      <w:pPr>
        <w:snapToGrid w:val="0"/>
        <w:spacing w:line="360" w:lineRule="auto"/>
        <w:jc w:val="both"/>
        <w:rPr>
          <w:rFonts w:ascii="Book Antiqua" w:hAnsi="Book Antiqua" w:cs="Times New Roman"/>
          <w:lang w:val="en-US"/>
        </w:rPr>
      </w:pPr>
      <w:r w:rsidRPr="006D6C34">
        <w:rPr>
          <w:rFonts w:ascii="Book Antiqua" w:hAnsi="Book Antiqua" w:cs="Times New Roman"/>
          <w:lang w:val="en-US"/>
        </w:rPr>
        <w:t>Gastrointestinal or renal disease</w:t>
      </w:r>
      <w:r w:rsidR="002A5D91" w:rsidRPr="006D6C34">
        <w:rPr>
          <w:rFonts w:ascii="Book Antiqua" w:hAnsi="Book Antiqua" w:cs="Times New Roman"/>
          <w:lang w:val="en-US"/>
        </w:rPr>
        <w:t xml:space="preserve"> causing either impaired absorption or increased excretion of magnesium. </w:t>
      </w:r>
    </w:p>
    <w:p w14:paraId="592DBC16" w14:textId="77777777" w:rsidR="00EF4662" w:rsidRPr="006D6C34" w:rsidRDefault="00EF4662" w:rsidP="006D6C34">
      <w:pPr>
        <w:snapToGrid w:val="0"/>
        <w:spacing w:line="360" w:lineRule="auto"/>
        <w:jc w:val="both"/>
        <w:rPr>
          <w:rFonts w:ascii="Book Antiqua" w:hAnsi="Book Antiqua" w:cs="Times New Roman"/>
          <w:b/>
          <w:lang w:val="en-US"/>
        </w:rPr>
      </w:pPr>
    </w:p>
    <w:p w14:paraId="6F55B988" w14:textId="77777777" w:rsidR="00266CAB" w:rsidRPr="006D6C34" w:rsidRDefault="00266CAB" w:rsidP="006D6C34">
      <w:pPr>
        <w:snapToGrid w:val="0"/>
        <w:spacing w:line="360" w:lineRule="auto"/>
        <w:jc w:val="both"/>
        <w:rPr>
          <w:rFonts w:ascii="Book Antiqua" w:hAnsi="Book Antiqua" w:cs="Times New Roman"/>
          <w:b/>
          <w:i/>
          <w:lang w:val="en-US"/>
        </w:rPr>
      </w:pPr>
      <w:r w:rsidRPr="006D6C34">
        <w:rPr>
          <w:rFonts w:ascii="Book Antiqua" w:hAnsi="Book Antiqua" w:cs="Times New Roman"/>
          <w:b/>
          <w:i/>
          <w:lang w:val="en-US"/>
        </w:rPr>
        <w:t>Laboratory diagnosis</w:t>
      </w:r>
    </w:p>
    <w:p w14:paraId="46BB8DC4" w14:textId="1D610BEC" w:rsidR="00266CAB" w:rsidRPr="006D6C34" w:rsidRDefault="002A5D91" w:rsidP="006D6C34">
      <w:pPr>
        <w:snapToGrid w:val="0"/>
        <w:spacing w:line="360" w:lineRule="auto"/>
        <w:jc w:val="both"/>
        <w:rPr>
          <w:rFonts w:ascii="Book Antiqua" w:hAnsi="Book Antiqua"/>
          <w:lang w:val="en-US"/>
        </w:rPr>
      </w:pPr>
      <w:r w:rsidRPr="006D6C34">
        <w:rPr>
          <w:rFonts w:ascii="Book Antiqua" w:hAnsi="Book Antiqua" w:cs="Times New Roman"/>
          <w:lang w:val="en-US"/>
        </w:rPr>
        <w:lastRenderedPageBreak/>
        <w:t xml:space="preserve">Initially the patient had severe </w:t>
      </w:r>
      <w:r w:rsidR="001B41DB" w:rsidRPr="006D6C34">
        <w:rPr>
          <w:rFonts w:ascii="Book Antiqua" w:hAnsi="Book Antiqua" w:cs="Times New Roman"/>
          <w:lang w:val="en-US"/>
        </w:rPr>
        <w:t>hypomagnesemia</w:t>
      </w:r>
      <w:r w:rsidRPr="006D6C34">
        <w:rPr>
          <w:rFonts w:ascii="Book Antiqua" w:hAnsi="Book Antiqua" w:cs="Times New Roman"/>
          <w:lang w:val="en-US"/>
        </w:rPr>
        <w:t xml:space="preserve"> (</w:t>
      </w:r>
      <w:r w:rsidRPr="006D6C34">
        <w:rPr>
          <w:rFonts w:ascii="Book Antiqua" w:hAnsi="Book Antiqua"/>
          <w:lang w:val="en-US"/>
        </w:rPr>
        <w:t>0.23</w:t>
      </w:r>
      <w:r w:rsidR="006D6C34">
        <w:rPr>
          <w:rFonts w:ascii="Book Antiqua" w:hAnsi="Book Antiqua" w:hint="eastAsia"/>
          <w:lang w:val="en-US" w:eastAsia="zh-CN"/>
        </w:rPr>
        <w:t xml:space="preserve"> </w:t>
      </w:r>
      <w:r w:rsidRPr="006D6C34">
        <w:rPr>
          <w:rFonts w:ascii="Book Antiqua" w:hAnsi="Book Antiqua"/>
          <w:lang w:val="en-US"/>
        </w:rPr>
        <w:t>mmol</w:t>
      </w:r>
      <w:r w:rsidR="001B41DB" w:rsidRPr="006D6C34">
        <w:rPr>
          <w:rFonts w:ascii="Book Antiqua" w:hAnsi="Book Antiqua"/>
          <w:lang w:val="en-US"/>
        </w:rPr>
        <w:t>/</w:t>
      </w:r>
      <w:r w:rsidR="001B41DB" w:rsidRPr="006D6C34">
        <w:rPr>
          <w:rFonts w:ascii="Book Antiqua" w:hAnsi="Book Antiqua"/>
          <w:caps/>
          <w:lang w:val="en-US"/>
        </w:rPr>
        <w:t>l</w:t>
      </w:r>
      <w:r w:rsidRPr="006D6C34">
        <w:rPr>
          <w:rFonts w:ascii="Book Antiqua" w:hAnsi="Book Antiqua"/>
          <w:lang w:val="en-US"/>
        </w:rPr>
        <w:t>) with associated hypokalemia</w:t>
      </w:r>
      <w:r w:rsidR="001B41DB" w:rsidRPr="006D6C34">
        <w:rPr>
          <w:rFonts w:ascii="Book Antiqua" w:hAnsi="Book Antiqua"/>
          <w:lang w:val="en-US"/>
        </w:rPr>
        <w:t xml:space="preserve">, which both resolved with intravenous magnesium infusions. However, the patient had continuously low S-Mg levels during the disease course despite both oral and intravenous magnesium supplementation, where other laboratory tests were normal. </w:t>
      </w:r>
    </w:p>
    <w:p w14:paraId="71B0422B" w14:textId="77777777" w:rsidR="001B41DB" w:rsidRPr="006D6C34" w:rsidRDefault="001B41DB" w:rsidP="006D6C34">
      <w:pPr>
        <w:snapToGrid w:val="0"/>
        <w:spacing w:line="360" w:lineRule="auto"/>
        <w:jc w:val="both"/>
        <w:rPr>
          <w:rFonts w:ascii="Book Antiqua" w:hAnsi="Book Antiqua" w:cs="Times New Roman"/>
          <w:lang w:val="en-US"/>
        </w:rPr>
      </w:pPr>
    </w:p>
    <w:p w14:paraId="243A7FAE" w14:textId="77777777" w:rsidR="00266CAB" w:rsidRPr="006D6C34" w:rsidRDefault="00266CAB" w:rsidP="006D6C34">
      <w:pPr>
        <w:snapToGrid w:val="0"/>
        <w:spacing w:line="360" w:lineRule="auto"/>
        <w:jc w:val="both"/>
        <w:rPr>
          <w:rFonts w:ascii="Book Antiqua" w:hAnsi="Book Antiqua" w:cs="Times New Roman"/>
          <w:b/>
          <w:i/>
          <w:lang w:val="en-US"/>
        </w:rPr>
      </w:pPr>
      <w:r w:rsidRPr="006D6C34">
        <w:rPr>
          <w:rFonts w:ascii="Book Antiqua" w:hAnsi="Book Antiqua" w:cs="Times New Roman"/>
          <w:b/>
          <w:i/>
          <w:lang w:val="en-US"/>
        </w:rPr>
        <w:t>Imaging diagnosis</w:t>
      </w:r>
    </w:p>
    <w:p w14:paraId="73410A21" w14:textId="5DB73048" w:rsidR="00266CAB" w:rsidRPr="006D6C34" w:rsidRDefault="001B41DB" w:rsidP="006D6C34">
      <w:pPr>
        <w:snapToGrid w:val="0"/>
        <w:spacing w:line="360" w:lineRule="auto"/>
        <w:jc w:val="both"/>
        <w:rPr>
          <w:rFonts w:ascii="Book Antiqua" w:hAnsi="Book Antiqua" w:cs="Times New Roman"/>
          <w:lang w:val="en-US"/>
        </w:rPr>
      </w:pPr>
      <w:r w:rsidRPr="006D6C34">
        <w:rPr>
          <w:rFonts w:ascii="Book Antiqua" w:hAnsi="Book Antiqua" w:cs="Times New Roman"/>
          <w:lang w:val="en-US"/>
        </w:rPr>
        <w:t xml:space="preserve">Neither colonoscopy nor CT scans revealed any other explanation for the patient´s persistent hypomagnesaemia. </w:t>
      </w:r>
    </w:p>
    <w:p w14:paraId="5A493D2B" w14:textId="77777777" w:rsidR="001B41DB" w:rsidRPr="006D6C34" w:rsidRDefault="001B41DB" w:rsidP="006D6C34">
      <w:pPr>
        <w:snapToGrid w:val="0"/>
        <w:spacing w:line="360" w:lineRule="auto"/>
        <w:jc w:val="both"/>
        <w:rPr>
          <w:rFonts w:ascii="Book Antiqua" w:hAnsi="Book Antiqua" w:cs="Times New Roman"/>
          <w:lang w:val="en-US"/>
        </w:rPr>
      </w:pPr>
    </w:p>
    <w:p w14:paraId="212E7E9D" w14:textId="77777777" w:rsidR="00266CAB" w:rsidRPr="006D6C34" w:rsidRDefault="00266CAB" w:rsidP="006D6C34">
      <w:pPr>
        <w:snapToGrid w:val="0"/>
        <w:spacing w:line="360" w:lineRule="auto"/>
        <w:jc w:val="both"/>
        <w:rPr>
          <w:rFonts w:ascii="Book Antiqua" w:hAnsi="Book Antiqua" w:cs="Times New Roman"/>
          <w:b/>
          <w:i/>
          <w:lang w:val="en-US"/>
        </w:rPr>
      </w:pPr>
      <w:r w:rsidRPr="006D6C34">
        <w:rPr>
          <w:rFonts w:ascii="Book Antiqua" w:hAnsi="Book Antiqua" w:cs="Times New Roman"/>
          <w:b/>
          <w:i/>
          <w:lang w:val="en-US"/>
        </w:rPr>
        <w:t>Pathological diagnosis</w:t>
      </w:r>
    </w:p>
    <w:p w14:paraId="0FBC12CC" w14:textId="57C42215" w:rsidR="00266CAB" w:rsidRPr="006D6C34" w:rsidRDefault="001B41DB" w:rsidP="006D6C34">
      <w:pPr>
        <w:snapToGrid w:val="0"/>
        <w:spacing w:line="360" w:lineRule="auto"/>
        <w:jc w:val="both"/>
        <w:rPr>
          <w:rFonts w:ascii="Book Antiqua" w:hAnsi="Book Antiqua" w:cs="Times New Roman"/>
          <w:lang w:val="en-US"/>
        </w:rPr>
      </w:pPr>
      <w:r w:rsidRPr="006D6C34">
        <w:rPr>
          <w:rFonts w:ascii="Book Antiqua" w:hAnsi="Book Antiqua" w:cs="Times New Roman"/>
          <w:lang w:val="en-US"/>
        </w:rPr>
        <w:t>Biopsies taken from terminal ileum and colon during colonoscopy were normal.</w:t>
      </w:r>
    </w:p>
    <w:p w14:paraId="1A5C56FF" w14:textId="77777777" w:rsidR="001B41DB" w:rsidRPr="006D6C34" w:rsidRDefault="001B41DB" w:rsidP="006D6C34">
      <w:pPr>
        <w:snapToGrid w:val="0"/>
        <w:spacing w:line="360" w:lineRule="auto"/>
        <w:jc w:val="both"/>
        <w:rPr>
          <w:rFonts w:ascii="Book Antiqua" w:hAnsi="Book Antiqua" w:cs="Times New Roman"/>
          <w:lang w:val="en-US"/>
        </w:rPr>
      </w:pPr>
    </w:p>
    <w:p w14:paraId="3D29D3B5" w14:textId="77777777" w:rsidR="00266CAB" w:rsidRPr="006D6C34" w:rsidRDefault="00266CAB" w:rsidP="006D6C34">
      <w:pPr>
        <w:snapToGrid w:val="0"/>
        <w:spacing w:line="360" w:lineRule="auto"/>
        <w:jc w:val="both"/>
        <w:rPr>
          <w:rFonts w:ascii="Book Antiqua" w:hAnsi="Book Antiqua" w:cs="Times New Roman"/>
          <w:b/>
          <w:i/>
          <w:lang w:val="en-US"/>
        </w:rPr>
      </w:pPr>
      <w:r w:rsidRPr="006D6C34">
        <w:rPr>
          <w:rFonts w:ascii="Book Antiqua" w:hAnsi="Book Antiqua" w:cs="Times New Roman"/>
          <w:b/>
          <w:i/>
          <w:lang w:val="en-US"/>
        </w:rPr>
        <w:t>Treatment</w:t>
      </w:r>
    </w:p>
    <w:p w14:paraId="7BBD58E9" w14:textId="7BE20CDE" w:rsidR="00EF4662" w:rsidRPr="006D6C34" w:rsidRDefault="00EF4662" w:rsidP="006D6C34">
      <w:pPr>
        <w:snapToGrid w:val="0"/>
        <w:spacing w:line="360" w:lineRule="auto"/>
        <w:jc w:val="both"/>
        <w:rPr>
          <w:rFonts w:ascii="Book Antiqua" w:hAnsi="Book Antiqua"/>
          <w:lang w:val="en-US"/>
        </w:rPr>
      </w:pPr>
      <w:r w:rsidRPr="006D6C34">
        <w:rPr>
          <w:rFonts w:ascii="Book Antiqua" w:hAnsi="Book Antiqua" w:cs="Times New Roman"/>
          <w:lang w:val="en-US"/>
        </w:rPr>
        <w:t xml:space="preserve">The patient underwent a successful laparoscopic fundoplication, and </w:t>
      </w:r>
      <w:r w:rsidRPr="006D6C34">
        <w:rPr>
          <w:rFonts w:ascii="Book Antiqua" w:hAnsi="Book Antiqua"/>
          <w:lang w:val="en-US"/>
        </w:rPr>
        <w:t>his serum magnesium levels again normalized following PPI withdrawal the surgery.</w:t>
      </w:r>
    </w:p>
    <w:p w14:paraId="08AB980E" w14:textId="1D69B7D0" w:rsidR="00266CAB" w:rsidRPr="006D6C34" w:rsidRDefault="00266CAB" w:rsidP="006D6C34">
      <w:pPr>
        <w:snapToGrid w:val="0"/>
        <w:spacing w:line="360" w:lineRule="auto"/>
        <w:jc w:val="both"/>
        <w:rPr>
          <w:rFonts w:ascii="Book Antiqua" w:hAnsi="Book Antiqua" w:cs="Times New Roman"/>
          <w:b/>
          <w:lang w:val="en-US"/>
        </w:rPr>
      </w:pPr>
    </w:p>
    <w:p w14:paraId="39F507A2" w14:textId="77777777" w:rsidR="00266CAB" w:rsidRPr="006D6C34" w:rsidRDefault="00266CAB" w:rsidP="006D6C34">
      <w:pPr>
        <w:snapToGrid w:val="0"/>
        <w:spacing w:line="360" w:lineRule="auto"/>
        <w:jc w:val="both"/>
        <w:rPr>
          <w:rFonts w:ascii="Book Antiqua" w:hAnsi="Book Antiqua" w:cs="Times New Roman"/>
          <w:b/>
          <w:i/>
          <w:lang w:val="en-US"/>
        </w:rPr>
      </w:pPr>
      <w:r w:rsidRPr="006D6C34">
        <w:rPr>
          <w:rFonts w:ascii="Book Antiqua" w:hAnsi="Book Antiqua" w:cs="Times New Roman"/>
          <w:b/>
          <w:i/>
          <w:lang w:val="en-US"/>
        </w:rPr>
        <w:t>Related reports</w:t>
      </w:r>
    </w:p>
    <w:p w14:paraId="0832B4B0" w14:textId="1E29E2E4" w:rsidR="00266CAB" w:rsidRPr="006D6C34" w:rsidRDefault="00EF4662" w:rsidP="006D6C34">
      <w:pPr>
        <w:snapToGrid w:val="0"/>
        <w:spacing w:line="360" w:lineRule="auto"/>
        <w:jc w:val="both"/>
        <w:rPr>
          <w:rFonts w:ascii="Book Antiqua" w:hAnsi="Book Antiqua" w:cs="Times New Roman"/>
          <w:b/>
          <w:lang w:val="en-US"/>
        </w:rPr>
      </w:pPr>
      <w:r w:rsidRPr="006D6C34">
        <w:rPr>
          <w:rFonts w:ascii="Book Antiqua" w:hAnsi="Book Antiqua"/>
          <w:lang w:val="en-US"/>
        </w:rPr>
        <w:t xml:space="preserve">PPI-induced hypomagnesemia (PPIH) was first described </w:t>
      </w:r>
      <w:r w:rsidR="002A5D91" w:rsidRPr="006D6C34">
        <w:rPr>
          <w:rFonts w:ascii="Book Antiqua" w:hAnsi="Book Antiqua"/>
          <w:lang w:val="en-US"/>
        </w:rPr>
        <w:t>in 2006,</w:t>
      </w:r>
      <w:r w:rsidRPr="006D6C34">
        <w:rPr>
          <w:rFonts w:ascii="Book Antiqua" w:hAnsi="Book Antiqua"/>
          <w:lang w:val="en-US"/>
        </w:rPr>
        <w:t xml:space="preserve"> and subsequently several other case reports have demonstrated the association. In 2011, the US Food and Drug Administration</w:t>
      </w:r>
      <w:r w:rsidR="006C2B94">
        <w:rPr>
          <w:rFonts w:ascii="Book Antiqua" w:hAnsi="Book Antiqua" w:hint="eastAsia"/>
          <w:lang w:val="en-US" w:eastAsia="zh-CN"/>
        </w:rPr>
        <w:t xml:space="preserve"> </w:t>
      </w:r>
      <w:r w:rsidRPr="006D6C34">
        <w:rPr>
          <w:rFonts w:ascii="Book Antiqua" w:hAnsi="Book Antiqua"/>
          <w:lang w:val="en-US"/>
        </w:rPr>
        <w:t>issued a safety announcement regarding the association between long term PPI use and hypomagnesemia, and PPIH is now well-established as a rare, but potentially serious, adverse effect of long term PPI treatment.</w:t>
      </w:r>
    </w:p>
    <w:p w14:paraId="3FB93CEA" w14:textId="77777777" w:rsidR="000D1D49" w:rsidRPr="006D6C34" w:rsidRDefault="000D1D49" w:rsidP="006D6C34">
      <w:pPr>
        <w:snapToGrid w:val="0"/>
        <w:spacing w:line="360" w:lineRule="auto"/>
        <w:jc w:val="both"/>
        <w:rPr>
          <w:rFonts w:ascii="Book Antiqua" w:hAnsi="Book Antiqua" w:cs="Times New Roman"/>
          <w:b/>
          <w:i/>
          <w:lang w:val="en-US"/>
        </w:rPr>
      </w:pPr>
    </w:p>
    <w:p w14:paraId="702C7005" w14:textId="45617597" w:rsidR="00EF4662" w:rsidRPr="006D6C34" w:rsidRDefault="00266CAB" w:rsidP="006D6C34">
      <w:pPr>
        <w:snapToGrid w:val="0"/>
        <w:spacing w:line="360" w:lineRule="auto"/>
        <w:jc w:val="both"/>
        <w:rPr>
          <w:rFonts w:ascii="Book Antiqua" w:hAnsi="Book Antiqua" w:cs="Times New Roman"/>
          <w:b/>
          <w:i/>
          <w:lang w:val="en-US"/>
        </w:rPr>
      </w:pPr>
      <w:r w:rsidRPr="006D6C34">
        <w:rPr>
          <w:rFonts w:ascii="Book Antiqua" w:hAnsi="Book Antiqua" w:cs="Times New Roman"/>
          <w:b/>
          <w:i/>
          <w:lang w:val="en-US"/>
        </w:rPr>
        <w:t>Term explanation</w:t>
      </w:r>
    </w:p>
    <w:p w14:paraId="6D6FAAB9" w14:textId="27C6B8B6" w:rsidR="00266CAB" w:rsidRPr="006D6C34" w:rsidRDefault="00EF4662" w:rsidP="006D6C34">
      <w:pPr>
        <w:snapToGrid w:val="0"/>
        <w:spacing w:line="360" w:lineRule="auto"/>
        <w:jc w:val="both"/>
        <w:rPr>
          <w:rFonts w:ascii="Book Antiqua" w:hAnsi="Book Antiqua"/>
          <w:lang w:val="en-US"/>
        </w:rPr>
      </w:pPr>
      <w:r w:rsidRPr="006D6C34">
        <w:rPr>
          <w:rFonts w:ascii="Book Antiqua" w:hAnsi="Book Antiqua"/>
          <w:lang w:val="en-US"/>
        </w:rPr>
        <w:t>PPIH</w:t>
      </w:r>
      <w:r w:rsidR="006C2B94">
        <w:rPr>
          <w:rFonts w:ascii="Book Antiqua" w:hAnsi="Book Antiqua" w:hint="eastAsia"/>
          <w:lang w:val="en-US" w:eastAsia="zh-CN"/>
        </w:rPr>
        <w:t xml:space="preserve"> </w:t>
      </w:r>
      <w:r w:rsidR="002A5D91" w:rsidRPr="006D6C34">
        <w:rPr>
          <w:rFonts w:ascii="Book Antiqua" w:hAnsi="Book Antiqua"/>
          <w:lang w:val="en-US"/>
        </w:rPr>
        <w:t xml:space="preserve">is a rare, but potentially serious adverse effect where persistent severe hypomagnesemia is associated with of </w:t>
      </w:r>
      <w:r w:rsidR="000D1D49" w:rsidRPr="006D6C34">
        <w:rPr>
          <w:rFonts w:ascii="Book Antiqua" w:hAnsi="Book Antiqua"/>
          <w:lang w:val="en-US"/>
        </w:rPr>
        <w:t>long-term</w:t>
      </w:r>
      <w:r w:rsidR="002A5D91" w:rsidRPr="006D6C34">
        <w:rPr>
          <w:rFonts w:ascii="Book Antiqua" w:hAnsi="Book Antiqua"/>
          <w:lang w:val="en-US"/>
        </w:rPr>
        <w:t xml:space="preserve"> PPI treatment. PPIH is probably caused by impaired intestinal magnesium absorption through a molecular effect on magnesium transporters in genetically predisposed individuals.</w:t>
      </w:r>
    </w:p>
    <w:p w14:paraId="435BA2A6" w14:textId="77777777" w:rsidR="00EF4662" w:rsidRPr="006D6C34" w:rsidRDefault="00EF4662" w:rsidP="006D6C34">
      <w:pPr>
        <w:snapToGrid w:val="0"/>
        <w:spacing w:line="360" w:lineRule="auto"/>
        <w:jc w:val="both"/>
        <w:rPr>
          <w:rFonts w:ascii="Book Antiqua" w:hAnsi="Book Antiqua" w:cs="Times New Roman"/>
          <w:b/>
          <w:lang w:val="en-US"/>
        </w:rPr>
      </w:pPr>
    </w:p>
    <w:p w14:paraId="6FF57663" w14:textId="77777777" w:rsidR="00266CAB" w:rsidRPr="006D6C34" w:rsidRDefault="00266CAB" w:rsidP="006D6C34">
      <w:pPr>
        <w:snapToGrid w:val="0"/>
        <w:spacing w:line="360" w:lineRule="auto"/>
        <w:jc w:val="both"/>
        <w:rPr>
          <w:rFonts w:ascii="Book Antiqua" w:hAnsi="Book Antiqua" w:cs="Times New Roman"/>
          <w:b/>
          <w:i/>
          <w:lang w:val="en-US"/>
        </w:rPr>
      </w:pPr>
      <w:r w:rsidRPr="006D6C34">
        <w:rPr>
          <w:rFonts w:ascii="Book Antiqua" w:hAnsi="Book Antiqua" w:cs="Times New Roman"/>
          <w:b/>
          <w:i/>
          <w:lang w:val="en-US"/>
        </w:rPr>
        <w:t>Experiences and lessons</w:t>
      </w:r>
    </w:p>
    <w:p w14:paraId="0719B86B" w14:textId="00C4909B" w:rsidR="002A5D91" w:rsidRPr="006D6C34" w:rsidRDefault="002A5D91" w:rsidP="006D6C34">
      <w:pPr>
        <w:snapToGrid w:val="0"/>
        <w:spacing w:line="360" w:lineRule="auto"/>
        <w:jc w:val="both"/>
        <w:rPr>
          <w:rFonts w:ascii="Book Antiqua" w:hAnsi="Book Antiqua" w:cs="Times New Roman"/>
          <w:b/>
          <w:lang w:val="en-US"/>
        </w:rPr>
      </w:pPr>
      <w:r w:rsidRPr="006D6C34">
        <w:rPr>
          <w:rFonts w:ascii="Book Antiqua" w:hAnsi="Book Antiqua"/>
          <w:lang w:val="en-US"/>
        </w:rPr>
        <w:lastRenderedPageBreak/>
        <w:t>PPIH should be remembered as a differential diagnosis in patients with PPI use and unexplained hypomagnesemia. Patients with PPIH and persistent troublesome reflux symptoms after PPI discontinuation could be considered for anti-reflux surgery</w:t>
      </w:r>
    </w:p>
    <w:p w14:paraId="36CBA57B" w14:textId="77777777" w:rsidR="00266CAB" w:rsidRPr="006D6C34" w:rsidRDefault="00266CAB" w:rsidP="006D6C34">
      <w:pPr>
        <w:snapToGrid w:val="0"/>
        <w:spacing w:line="360" w:lineRule="auto"/>
        <w:jc w:val="both"/>
        <w:rPr>
          <w:rFonts w:ascii="Book Antiqua" w:hAnsi="Book Antiqua" w:cs="Times New Roman"/>
          <w:b/>
          <w:i/>
          <w:lang w:val="en-US"/>
        </w:rPr>
      </w:pPr>
    </w:p>
    <w:p w14:paraId="3D9840B7" w14:textId="77777777" w:rsidR="00266CAB" w:rsidRPr="006D6C34" w:rsidRDefault="00266CAB" w:rsidP="006D6C34">
      <w:pPr>
        <w:snapToGrid w:val="0"/>
        <w:spacing w:line="360" w:lineRule="auto"/>
        <w:jc w:val="both"/>
        <w:rPr>
          <w:rFonts w:ascii="Book Antiqua" w:hAnsi="Book Antiqua" w:cs="Times New Roman"/>
          <w:b/>
          <w:i/>
          <w:lang w:val="en-US"/>
        </w:rPr>
      </w:pPr>
      <w:bookmarkStart w:id="94" w:name="OLE_LINK454"/>
      <w:bookmarkStart w:id="95" w:name="OLE_LINK455"/>
      <w:r w:rsidRPr="006D6C34">
        <w:rPr>
          <w:rFonts w:ascii="Book Antiqua" w:hAnsi="Book Antiqua" w:cs="Times New Roman"/>
          <w:b/>
          <w:i/>
          <w:lang w:val="en-US"/>
        </w:rPr>
        <w:t>Peer-review</w:t>
      </w:r>
      <w:bookmarkEnd w:id="94"/>
      <w:bookmarkEnd w:id="95"/>
    </w:p>
    <w:p w14:paraId="1DB6697C" w14:textId="37F864F3" w:rsidR="002D2324" w:rsidRPr="006D6C34" w:rsidRDefault="005945D3" w:rsidP="006D6C34">
      <w:pPr>
        <w:snapToGrid w:val="0"/>
        <w:spacing w:line="360" w:lineRule="auto"/>
        <w:jc w:val="both"/>
        <w:rPr>
          <w:rFonts w:ascii="Book Antiqua" w:hAnsi="Book Antiqua"/>
          <w:lang w:val="en-US"/>
        </w:rPr>
      </w:pPr>
      <w:r w:rsidRPr="005945D3">
        <w:rPr>
          <w:rFonts w:ascii="Book Antiqua" w:hAnsi="Book Antiqua"/>
          <w:bCs/>
          <w:lang w:val="en-US"/>
        </w:rPr>
        <w:t>The manuscript describes surgical option in the management of hypomagnesemia induced by PPIs. The condition has been described earlier but fundoplication as an option has not been discussed in earlier reports.</w:t>
      </w:r>
      <w:r>
        <w:rPr>
          <w:rFonts w:ascii="Book Antiqua" w:hAnsi="Book Antiqua" w:hint="eastAsia"/>
          <w:bCs/>
          <w:lang w:val="en-US" w:eastAsia="zh-CN"/>
        </w:rPr>
        <w:t xml:space="preserve"> </w:t>
      </w:r>
      <w:r w:rsidRPr="005945D3">
        <w:rPr>
          <w:rFonts w:ascii="Book Antiqua" w:hAnsi="Book Antiqua"/>
          <w:bCs/>
          <w:lang w:val="en-US"/>
        </w:rPr>
        <w:t>The manuscript is well written and may be accepted with few clarifications.</w:t>
      </w:r>
    </w:p>
    <w:p w14:paraId="0B5AB1BD" w14:textId="77777777" w:rsidR="00266CAB" w:rsidRPr="006D6C34" w:rsidRDefault="00266CAB" w:rsidP="006D6C34">
      <w:pPr>
        <w:snapToGrid w:val="0"/>
        <w:spacing w:line="360" w:lineRule="auto"/>
        <w:rPr>
          <w:rFonts w:ascii="Book Antiqua" w:hAnsi="Book Antiqua"/>
          <w:b/>
          <w:lang w:val="en-US"/>
        </w:rPr>
      </w:pPr>
      <w:r w:rsidRPr="006D6C34">
        <w:rPr>
          <w:rFonts w:ascii="Book Antiqua" w:hAnsi="Book Antiqua"/>
          <w:b/>
          <w:lang w:val="en-US"/>
        </w:rPr>
        <w:br w:type="page"/>
      </w:r>
    </w:p>
    <w:p w14:paraId="24A2C074" w14:textId="204ED554" w:rsidR="002D2324" w:rsidRDefault="002D2324" w:rsidP="006D6C34">
      <w:pPr>
        <w:snapToGrid w:val="0"/>
        <w:spacing w:line="360" w:lineRule="auto"/>
        <w:jc w:val="both"/>
        <w:rPr>
          <w:rFonts w:ascii="Book Antiqua" w:hAnsi="Book Antiqua"/>
          <w:b/>
          <w:caps/>
          <w:lang w:val="en-US" w:eastAsia="zh-CN"/>
        </w:rPr>
      </w:pPr>
      <w:r w:rsidRPr="006D6C34">
        <w:rPr>
          <w:rFonts w:ascii="Book Antiqua" w:hAnsi="Book Antiqua"/>
          <w:b/>
          <w:caps/>
          <w:lang w:val="en-US"/>
        </w:rPr>
        <w:lastRenderedPageBreak/>
        <w:t>References</w:t>
      </w:r>
    </w:p>
    <w:p w14:paraId="18CF5D29" w14:textId="77777777" w:rsidR="005945D3" w:rsidRPr="005945D3" w:rsidRDefault="005945D3" w:rsidP="005945D3">
      <w:pPr>
        <w:widowControl w:val="0"/>
        <w:snapToGrid w:val="0"/>
        <w:spacing w:line="360" w:lineRule="auto"/>
        <w:jc w:val="both"/>
        <w:rPr>
          <w:rFonts w:ascii="Book Antiqua" w:eastAsia="SimSun" w:hAnsi="Book Antiqua" w:cs="Times New Roman"/>
          <w:kern w:val="2"/>
          <w:lang w:val="en-US" w:eastAsia="zh-CN"/>
        </w:rPr>
      </w:pPr>
      <w:r w:rsidRPr="005945D3">
        <w:rPr>
          <w:rFonts w:ascii="Book Antiqua" w:eastAsia="SimSun" w:hAnsi="Book Antiqua" w:cs="Times New Roman"/>
          <w:kern w:val="2"/>
          <w:lang w:val="en-US" w:eastAsia="zh-CN"/>
        </w:rPr>
        <w:t xml:space="preserve">1 </w:t>
      </w:r>
      <w:r w:rsidRPr="005945D3">
        <w:rPr>
          <w:rFonts w:ascii="Book Antiqua" w:eastAsia="SimSun" w:hAnsi="Book Antiqua" w:cs="Times New Roman"/>
          <w:b/>
          <w:kern w:val="2"/>
          <w:lang w:val="en-US" w:eastAsia="zh-CN"/>
        </w:rPr>
        <w:t>Hess MW</w:t>
      </w:r>
      <w:r w:rsidRPr="005945D3">
        <w:rPr>
          <w:rFonts w:ascii="Book Antiqua" w:eastAsia="SimSun" w:hAnsi="Book Antiqua" w:cs="Times New Roman"/>
          <w:kern w:val="2"/>
          <w:lang w:val="en-US" w:eastAsia="zh-CN"/>
        </w:rPr>
        <w:t xml:space="preserve">, Hoenderop JG, Bindels RJ, Drenth JP. Systematic review: hypomagnesaemia induced by proton pump inhibition. </w:t>
      </w:r>
      <w:r w:rsidRPr="005945D3">
        <w:rPr>
          <w:rFonts w:ascii="Book Antiqua" w:eastAsia="SimSun" w:hAnsi="Book Antiqua" w:cs="Times New Roman"/>
          <w:i/>
          <w:kern w:val="2"/>
          <w:lang w:val="en-US" w:eastAsia="zh-CN"/>
        </w:rPr>
        <w:t>Aliment Pharmacol Ther</w:t>
      </w:r>
      <w:r w:rsidRPr="005945D3">
        <w:rPr>
          <w:rFonts w:ascii="Book Antiqua" w:eastAsia="SimSun" w:hAnsi="Book Antiqua" w:cs="Times New Roman"/>
          <w:kern w:val="2"/>
          <w:lang w:val="en-US" w:eastAsia="zh-CN"/>
        </w:rPr>
        <w:t xml:space="preserve"> 2012; </w:t>
      </w:r>
      <w:r w:rsidRPr="005945D3">
        <w:rPr>
          <w:rFonts w:ascii="Book Antiqua" w:eastAsia="SimSun" w:hAnsi="Book Antiqua" w:cs="Times New Roman"/>
          <w:b/>
          <w:kern w:val="2"/>
          <w:lang w:val="en-US" w:eastAsia="zh-CN"/>
        </w:rPr>
        <w:t>36</w:t>
      </w:r>
      <w:r w:rsidRPr="005945D3">
        <w:rPr>
          <w:rFonts w:ascii="Book Antiqua" w:eastAsia="SimSun" w:hAnsi="Book Antiqua" w:cs="Times New Roman"/>
          <w:kern w:val="2"/>
          <w:lang w:val="en-US" w:eastAsia="zh-CN"/>
        </w:rPr>
        <w:t>: 405-413 [PMID: 22762246 DOI: 10.1111/j.1365-2036.2012.05201.x]</w:t>
      </w:r>
    </w:p>
    <w:p w14:paraId="6635AC9C" w14:textId="77777777" w:rsidR="005945D3" w:rsidRPr="005945D3" w:rsidRDefault="005945D3" w:rsidP="005945D3">
      <w:pPr>
        <w:widowControl w:val="0"/>
        <w:snapToGrid w:val="0"/>
        <w:spacing w:line="360" w:lineRule="auto"/>
        <w:jc w:val="both"/>
        <w:rPr>
          <w:rFonts w:ascii="Book Antiqua" w:eastAsia="SimSun" w:hAnsi="Book Antiqua" w:cs="Times New Roman"/>
          <w:kern w:val="2"/>
          <w:lang w:val="en-US" w:eastAsia="zh-CN"/>
        </w:rPr>
      </w:pPr>
      <w:r w:rsidRPr="005945D3">
        <w:rPr>
          <w:rFonts w:ascii="Book Antiqua" w:eastAsia="SimSun" w:hAnsi="Book Antiqua" w:cs="Times New Roman"/>
          <w:kern w:val="2"/>
          <w:lang w:val="en-US" w:eastAsia="zh-CN"/>
        </w:rPr>
        <w:t xml:space="preserve">2 </w:t>
      </w:r>
      <w:r w:rsidRPr="005945D3">
        <w:rPr>
          <w:rFonts w:ascii="Book Antiqua" w:eastAsia="SimSun" w:hAnsi="Book Antiqua" w:cs="Times New Roman"/>
          <w:b/>
          <w:kern w:val="2"/>
          <w:lang w:val="en-US" w:eastAsia="zh-CN"/>
        </w:rPr>
        <w:t>Mackay JD</w:t>
      </w:r>
      <w:r w:rsidRPr="005945D3">
        <w:rPr>
          <w:rFonts w:ascii="Book Antiqua" w:eastAsia="SimSun" w:hAnsi="Book Antiqua" w:cs="Times New Roman"/>
          <w:kern w:val="2"/>
          <w:lang w:val="en-US" w:eastAsia="zh-CN"/>
        </w:rPr>
        <w:t xml:space="preserve">, Bladon PT. Hypomagnesaemia due to proton-pump inhibitor therapy: a clinical case series. </w:t>
      </w:r>
      <w:r w:rsidRPr="005945D3">
        <w:rPr>
          <w:rFonts w:ascii="Book Antiqua" w:eastAsia="SimSun" w:hAnsi="Book Antiqua" w:cs="Times New Roman"/>
          <w:i/>
          <w:kern w:val="2"/>
          <w:lang w:val="en-US" w:eastAsia="zh-CN"/>
        </w:rPr>
        <w:t>QJM</w:t>
      </w:r>
      <w:r w:rsidRPr="005945D3">
        <w:rPr>
          <w:rFonts w:ascii="Book Antiqua" w:eastAsia="SimSun" w:hAnsi="Book Antiqua" w:cs="Times New Roman"/>
          <w:kern w:val="2"/>
          <w:lang w:val="en-US" w:eastAsia="zh-CN"/>
        </w:rPr>
        <w:t xml:space="preserve"> 2010; </w:t>
      </w:r>
      <w:r w:rsidRPr="005945D3">
        <w:rPr>
          <w:rFonts w:ascii="Book Antiqua" w:eastAsia="SimSun" w:hAnsi="Book Antiqua" w:cs="Times New Roman"/>
          <w:b/>
          <w:kern w:val="2"/>
          <w:lang w:val="en-US" w:eastAsia="zh-CN"/>
        </w:rPr>
        <w:t>103</w:t>
      </w:r>
      <w:r w:rsidRPr="005945D3">
        <w:rPr>
          <w:rFonts w:ascii="Book Antiqua" w:eastAsia="SimSun" w:hAnsi="Book Antiqua" w:cs="Times New Roman"/>
          <w:kern w:val="2"/>
          <w:lang w:val="en-US" w:eastAsia="zh-CN"/>
        </w:rPr>
        <w:t>: 387-395 [PMID: 20378675 DOI: 10.1093/qjmed/hcq021]</w:t>
      </w:r>
    </w:p>
    <w:p w14:paraId="342BB7C9" w14:textId="77777777" w:rsidR="005945D3" w:rsidRPr="005945D3" w:rsidRDefault="005945D3" w:rsidP="005945D3">
      <w:pPr>
        <w:widowControl w:val="0"/>
        <w:snapToGrid w:val="0"/>
        <w:spacing w:line="360" w:lineRule="auto"/>
        <w:jc w:val="both"/>
        <w:rPr>
          <w:rFonts w:ascii="Book Antiqua" w:eastAsia="SimSun" w:hAnsi="Book Antiqua" w:cs="Times New Roman"/>
          <w:kern w:val="2"/>
          <w:lang w:val="en-US" w:eastAsia="zh-CN"/>
        </w:rPr>
      </w:pPr>
      <w:r w:rsidRPr="005945D3">
        <w:rPr>
          <w:rFonts w:ascii="Book Antiqua" w:eastAsia="SimSun" w:hAnsi="Book Antiqua" w:cs="Times New Roman"/>
          <w:kern w:val="2"/>
          <w:lang w:val="en-US" w:eastAsia="zh-CN"/>
        </w:rPr>
        <w:t xml:space="preserve">3 </w:t>
      </w:r>
      <w:r w:rsidRPr="005945D3">
        <w:rPr>
          <w:rFonts w:ascii="Book Antiqua" w:eastAsia="SimSun" w:hAnsi="Book Antiqua" w:cs="Times New Roman"/>
          <w:b/>
          <w:kern w:val="2"/>
          <w:lang w:val="en-US" w:eastAsia="zh-CN"/>
        </w:rPr>
        <w:t>Forgacs I</w:t>
      </w:r>
      <w:r w:rsidRPr="005945D3">
        <w:rPr>
          <w:rFonts w:ascii="Book Antiqua" w:eastAsia="SimSun" w:hAnsi="Book Antiqua" w:cs="Times New Roman"/>
          <w:kern w:val="2"/>
          <w:lang w:val="en-US" w:eastAsia="zh-CN"/>
        </w:rPr>
        <w:t xml:space="preserve">, Loganayagam A. Overprescribing proton pump inhibitors. </w:t>
      </w:r>
      <w:r w:rsidRPr="005945D3">
        <w:rPr>
          <w:rFonts w:ascii="Book Antiqua" w:eastAsia="SimSun" w:hAnsi="Book Antiqua" w:cs="Times New Roman"/>
          <w:i/>
          <w:kern w:val="2"/>
          <w:lang w:val="en-US" w:eastAsia="zh-CN"/>
        </w:rPr>
        <w:t>BMJ</w:t>
      </w:r>
      <w:r w:rsidRPr="005945D3">
        <w:rPr>
          <w:rFonts w:ascii="Book Antiqua" w:eastAsia="SimSun" w:hAnsi="Book Antiqua" w:cs="Times New Roman"/>
          <w:kern w:val="2"/>
          <w:lang w:val="en-US" w:eastAsia="zh-CN"/>
        </w:rPr>
        <w:t xml:space="preserve"> 2008; </w:t>
      </w:r>
      <w:r w:rsidRPr="005945D3">
        <w:rPr>
          <w:rFonts w:ascii="Book Antiqua" w:eastAsia="SimSun" w:hAnsi="Book Antiqua" w:cs="Times New Roman"/>
          <w:b/>
          <w:kern w:val="2"/>
          <w:lang w:val="en-US" w:eastAsia="zh-CN"/>
        </w:rPr>
        <w:t>336</w:t>
      </w:r>
      <w:r w:rsidRPr="005945D3">
        <w:rPr>
          <w:rFonts w:ascii="Book Antiqua" w:eastAsia="SimSun" w:hAnsi="Book Antiqua" w:cs="Times New Roman"/>
          <w:kern w:val="2"/>
          <w:lang w:val="en-US" w:eastAsia="zh-CN"/>
        </w:rPr>
        <w:t>: 2-3 [PMID: 18174564 DOI: 10.1136/bmj.39406.449456.BE]</w:t>
      </w:r>
    </w:p>
    <w:p w14:paraId="0C366F11" w14:textId="77777777" w:rsidR="005945D3" w:rsidRPr="005945D3" w:rsidRDefault="005945D3" w:rsidP="005945D3">
      <w:pPr>
        <w:widowControl w:val="0"/>
        <w:snapToGrid w:val="0"/>
        <w:spacing w:line="360" w:lineRule="auto"/>
        <w:jc w:val="both"/>
        <w:rPr>
          <w:rFonts w:ascii="Book Antiqua" w:eastAsia="SimSun" w:hAnsi="Book Antiqua" w:cs="Times New Roman"/>
          <w:kern w:val="2"/>
          <w:lang w:val="en-US" w:eastAsia="zh-CN"/>
        </w:rPr>
      </w:pPr>
      <w:r w:rsidRPr="005945D3">
        <w:rPr>
          <w:rFonts w:ascii="Book Antiqua" w:eastAsia="SimSun" w:hAnsi="Book Antiqua" w:cs="Times New Roman"/>
          <w:kern w:val="2"/>
          <w:lang w:val="en-US" w:eastAsia="zh-CN"/>
        </w:rPr>
        <w:t xml:space="preserve">4 </w:t>
      </w:r>
      <w:r w:rsidRPr="005945D3">
        <w:rPr>
          <w:rFonts w:ascii="Book Antiqua" w:eastAsia="SimSun" w:hAnsi="Book Antiqua" w:cs="Times New Roman"/>
          <w:b/>
          <w:kern w:val="2"/>
          <w:lang w:val="en-US" w:eastAsia="zh-CN"/>
        </w:rPr>
        <w:t>William JH</w:t>
      </w:r>
      <w:r w:rsidRPr="005945D3">
        <w:rPr>
          <w:rFonts w:ascii="Book Antiqua" w:eastAsia="SimSun" w:hAnsi="Book Antiqua" w:cs="Times New Roman"/>
          <w:kern w:val="2"/>
          <w:lang w:val="en-US" w:eastAsia="zh-CN"/>
        </w:rPr>
        <w:t xml:space="preserve">, Danziger J. Proton-pump inhibitor-induced hypomagnesemia: Current research and proposed mechanisms. </w:t>
      </w:r>
      <w:r w:rsidRPr="005945D3">
        <w:rPr>
          <w:rFonts w:ascii="Book Antiqua" w:eastAsia="SimSun" w:hAnsi="Book Antiqua" w:cs="Times New Roman"/>
          <w:i/>
          <w:kern w:val="2"/>
          <w:lang w:val="en-US" w:eastAsia="zh-CN"/>
        </w:rPr>
        <w:t>World J Nephrol</w:t>
      </w:r>
      <w:r w:rsidRPr="005945D3">
        <w:rPr>
          <w:rFonts w:ascii="Book Antiqua" w:eastAsia="SimSun" w:hAnsi="Book Antiqua" w:cs="Times New Roman"/>
          <w:kern w:val="2"/>
          <w:lang w:val="en-US" w:eastAsia="zh-CN"/>
        </w:rPr>
        <w:t xml:space="preserve"> 2016; </w:t>
      </w:r>
      <w:r w:rsidRPr="005945D3">
        <w:rPr>
          <w:rFonts w:ascii="Book Antiqua" w:eastAsia="SimSun" w:hAnsi="Book Antiqua" w:cs="Times New Roman"/>
          <w:b/>
          <w:kern w:val="2"/>
          <w:lang w:val="en-US" w:eastAsia="zh-CN"/>
        </w:rPr>
        <w:t>5</w:t>
      </w:r>
      <w:r w:rsidRPr="005945D3">
        <w:rPr>
          <w:rFonts w:ascii="Book Antiqua" w:eastAsia="SimSun" w:hAnsi="Book Antiqua" w:cs="Times New Roman"/>
          <w:kern w:val="2"/>
          <w:lang w:val="en-US" w:eastAsia="zh-CN"/>
        </w:rPr>
        <w:t>: 152-157 [PMID: 26981439 DOI: 10.5527/wjn.v5.i2.152]</w:t>
      </w:r>
    </w:p>
    <w:p w14:paraId="1F4F98DF" w14:textId="77777777" w:rsidR="005945D3" w:rsidRPr="005945D3" w:rsidRDefault="005945D3" w:rsidP="005945D3">
      <w:pPr>
        <w:widowControl w:val="0"/>
        <w:snapToGrid w:val="0"/>
        <w:spacing w:line="360" w:lineRule="auto"/>
        <w:jc w:val="both"/>
        <w:rPr>
          <w:rFonts w:ascii="Book Antiqua" w:eastAsia="SimSun" w:hAnsi="Book Antiqua" w:cs="Times New Roman"/>
          <w:kern w:val="2"/>
          <w:lang w:val="en-US" w:eastAsia="zh-CN"/>
        </w:rPr>
      </w:pPr>
      <w:r w:rsidRPr="005945D3">
        <w:rPr>
          <w:rFonts w:ascii="Book Antiqua" w:eastAsia="SimSun" w:hAnsi="Book Antiqua" w:cs="Times New Roman"/>
          <w:kern w:val="2"/>
          <w:lang w:val="en-US" w:eastAsia="zh-CN"/>
        </w:rPr>
        <w:t xml:space="preserve">5 </w:t>
      </w:r>
      <w:r w:rsidRPr="005945D3">
        <w:rPr>
          <w:rFonts w:ascii="Book Antiqua" w:eastAsia="SimSun" w:hAnsi="Book Antiqua" w:cs="Times New Roman"/>
          <w:b/>
          <w:kern w:val="2"/>
          <w:lang w:val="en-US" w:eastAsia="zh-CN"/>
        </w:rPr>
        <w:t>Epstein M</w:t>
      </w:r>
      <w:r w:rsidRPr="005945D3">
        <w:rPr>
          <w:rFonts w:ascii="Book Antiqua" w:eastAsia="SimSun" w:hAnsi="Book Antiqua" w:cs="Times New Roman"/>
          <w:kern w:val="2"/>
          <w:lang w:val="en-US" w:eastAsia="zh-CN"/>
        </w:rPr>
        <w:t>, McGrath S, Law F. Proton-pump inhibitors and hypomagnesemic</w:t>
      </w:r>
      <w:r w:rsidRPr="005945D3">
        <w:rPr>
          <w:rFonts w:ascii="Book Antiqua" w:eastAsia="SimSun" w:hAnsi="Book Antiqua" w:cs="Times New Roman" w:hint="eastAsia"/>
          <w:kern w:val="2"/>
          <w:lang w:val="en-US" w:eastAsia="zh-CN"/>
        </w:rPr>
        <w:t xml:space="preserve"> </w:t>
      </w:r>
      <w:r w:rsidRPr="005945D3">
        <w:rPr>
          <w:rFonts w:ascii="Book Antiqua" w:eastAsia="SimSun" w:hAnsi="Book Antiqua" w:cs="Times New Roman"/>
          <w:kern w:val="2"/>
          <w:lang w:val="en-US" w:eastAsia="zh-CN"/>
        </w:rPr>
        <w:t xml:space="preserve">hypoparathyroidism. </w:t>
      </w:r>
      <w:r w:rsidRPr="005945D3">
        <w:rPr>
          <w:rFonts w:ascii="Book Antiqua" w:eastAsia="SimSun" w:hAnsi="Book Antiqua" w:cs="Times New Roman"/>
          <w:i/>
          <w:kern w:val="2"/>
          <w:lang w:val="en-US" w:eastAsia="zh-CN"/>
        </w:rPr>
        <w:t>N Engl J Med</w:t>
      </w:r>
      <w:r w:rsidRPr="005945D3">
        <w:rPr>
          <w:rFonts w:ascii="Book Antiqua" w:eastAsia="SimSun" w:hAnsi="Book Antiqua" w:cs="Times New Roman"/>
          <w:kern w:val="2"/>
          <w:lang w:val="en-US" w:eastAsia="zh-CN"/>
        </w:rPr>
        <w:t xml:space="preserve"> 2006; </w:t>
      </w:r>
      <w:r w:rsidRPr="005945D3">
        <w:rPr>
          <w:rFonts w:ascii="Book Antiqua" w:eastAsia="SimSun" w:hAnsi="Book Antiqua" w:cs="Times New Roman"/>
          <w:b/>
          <w:kern w:val="2"/>
          <w:lang w:val="en-US" w:eastAsia="zh-CN"/>
        </w:rPr>
        <w:t>355</w:t>
      </w:r>
      <w:r w:rsidRPr="005945D3">
        <w:rPr>
          <w:rFonts w:ascii="Book Antiqua" w:eastAsia="SimSun" w:hAnsi="Book Antiqua" w:cs="Times New Roman"/>
          <w:kern w:val="2"/>
          <w:lang w:val="en-US" w:eastAsia="zh-CN"/>
        </w:rPr>
        <w:t>: 1834-1836 [PMID: 17065651 DOI: 10.1056/NEJMc066308]</w:t>
      </w:r>
    </w:p>
    <w:p w14:paraId="4BA8779B" w14:textId="77777777" w:rsidR="005945D3" w:rsidRPr="005945D3" w:rsidRDefault="005945D3" w:rsidP="005945D3">
      <w:pPr>
        <w:widowControl w:val="0"/>
        <w:snapToGrid w:val="0"/>
        <w:spacing w:line="360" w:lineRule="auto"/>
        <w:jc w:val="both"/>
        <w:rPr>
          <w:rFonts w:ascii="Book Antiqua" w:eastAsia="SimSun" w:hAnsi="Book Antiqua" w:cs="Times New Roman"/>
          <w:kern w:val="2"/>
          <w:lang w:val="en-US" w:eastAsia="zh-CN"/>
        </w:rPr>
      </w:pPr>
      <w:r w:rsidRPr="005945D3">
        <w:rPr>
          <w:rFonts w:ascii="Book Antiqua" w:eastAsia="SimSun" w:hAnsi="Book Antiqua" w:cs="Times New Roman"/>
          <w:kern w:val="2"/>
          <w:lang w:val="en-US" w:eastAsia="zh-CN"/>
        </w:rPr>
        <w:t xml:space="preserve">6 </w:t>
      </w:r>
      <w:r w:rsidRPr="005945D3">
        <w:rPr>
          <w:rFonts w:ascii="Book Antiqua" w:eastAsia="SimSun" w:hAnsi="Book Antiqua" w:cs="Times New Roman"/>
          <w:b/>
          <w:kern w:val="2"/>
          <w:lang w:val="en-US" w:eastAsia="zh-CN"/>
        </w:rPr>
        <w:t>Kieboom BC</w:t>
      </w:r>
      <w:r w:rsidRPr="005945D3">
        <w:rPr>
          <w:rFonts w:ascii="Book Antiqua" w:eastAsia="SimSun" w:hAnsi="Book Antiqua" w:cs="Times New Roman"/>
          <w:kern w:val="2"/>
          <w:lang w:val="en-US" w:eastAsia="zh-CN"/>
        </w:rPr>
        <w:t xml:space="preserve">, Kiefte-de Jong JC, Eijgelsheim M, Franco OH, Kuipers EJ, Hofman A, Zietse R, Stricker BH, Hoorn EJ. Proton pump inhibitors and hypomagnesemia in the general population: a population-based cohort study. </w:t>
      </w:r>
      <w:r w:rsidRPr="005945D3">
        <w:rPr>
          <w:rFonts w:ascii="Book Antiqua" w:eastAsia="SimSun" w:hAnsi="Book Antiqua" w:cs="Times New Roman"/>
          <w:i/>
          <w:kern w:val="2"/>
          <w:lang w:val="en-US" w:eastAsia="zh-CN"/>
        </w:rPr>
        <w:t>Am J Kidney Dis</w:t>
      </w:r>
      <w:r w:rsidRPr="005945D3">
        <w:rPr>
          <w:rFonts w:ascii="Book Antiqua" w:eastAsia="SimSun" w:hAnsi="Book Antiqua" w:cs="Times New Roman"/>
          <w:kern w:val="2"/>
          <w:lang w:val="en-US" w:eastAsia="zh-CN"/>
        </w:rPr>
        <w:t xml:space="preserve"> 2015; </w:t>
      </w:r>
      <w:r w:rsidRPr="005945D3">
        <w:rPr>
          <w:rFonts w:ascii="Book Antiqua" w:eastAsia="SimSun" w:hAnsi="Book Antiqua" w:cs="Times New Roman"/>
          <w:b/>
          <w:kern w:val="2"/>
          <w:lang w:val="en-US" w:eastAsia="zh-CN"/>
        </w:rPr>
        <w:t>66</w:t>
      </w:r>
      <w:r w:rsidRPr="005945D3">
        <w:rPr>
          <w:rFonts w:ascii="Book Antiqua" w:eastAsia="SimSun" w:hAnsi="Book Antiqua" w:cs="Times New Roman"/>
          <w:kern w:val="2"/>
          <w:lang w:val="en-US" w:eastAsia="zh-CN"/>
        </w:rPr>
        <w:t>: 775-782 [PMID: 26123862 DOI: 10.1053/j.ajkd.2015.05.012]</w:t>
      </w:r>
    </w:p>
    <w:p w14:paraId="190151EC" w14:textId="77777777" w:rsidR="005945D3" w:rsidRPr="005945D3" w:rsidRDefault="005945D3" w:rsidP="005945D3">
      <w:pPr>
        <w:widowControl w:val="0"/>
        <w:snapToGrid w:val="0"/>
        <w:spacing w:line="360" w:lineRule="auto"/>
        <w:jc w:val="both"/>
        <w:rPr>
          <w:rFonts w:ascii="Book Antiqua" w:eastAsia="SimSun" w:hAnsi="Book Antiqua" w:cs="Times New Roman"/>
          <w:kern w:val="2"/>
          <w:lang w:val="en-US" w:eastAsia="zh-CN"/>
        </w:rPr>
      </w:pPr>
      <w:r w:rsidRPr="005945D3">
        <w:rPr>
          <w:rFonts w:ascii="Book Antiqua" w:eastAsia="SimSun" w:hAnsi="Book Antiqua" w:cs="Times New Roman"/>
          <w:kern w:val="2"/>
          <w:lang w:val="en-US" w:eastAsia="zh-CN"/>
        </w:rPr>
        <w:t xml:space="preserve">7 </w:t>
      </w:r>
      <w:r w:rsidRPr="005945D3">
        <w:rPr>
          <w:rFonts w:ascii="Book Antiqua" w:eastAsia="SimSun" w:hAnsi="Book Antiqua" w:cs="Times New Roman"/>
          <w:b/>
          <w:kern w:val="2"/>
          <w:lang w:val="en-US" w:eastAsia="zh-CN"/>
        </w:rPr>
        <w:t>Lødrup A</w:t>
      </w:r>
      <w:r w:rsidRPr="005945D3">
        <w:rPr>
          <w:rFonts w:ascii="Book Antiqua" w:eastAsia="SimSun" w:hAnsi="Book Antiqua" w:cs="Times New Roman"/>
          <w:kern w:val="2"/>
          <w:lang w:val="en-US" w:eastAsia="zh-CN"/>
        </w:rPr>
        <w:t xml:space="preserve">, Pottegård A, Hallas J, Bytzer P. Use of proton pump inhibitors after antireflux surgery: a nationwide register-based follow-up study. </w:t>
      </w:r>
      <w:r w:rsidRPr="005945D3">
        <w:rPr>
          <w:rFonts w:ascii="Book Antiqua" w:eastAsia="SimSun" w:hAnsi="Book Antiqua" w:cs="Times New Roman"/>
          <w:i/>
          <w:kern w:val="2"/>
          <w:lang w:val="en-US" w:eastAsia="zh-CN"/>
        </w:rPr>
        <w:t>Gut</w:t>
      </w:r>
      <w:r w:rsidRPr="005945D3">
        <w:rPr>
          <w:rFonts w:ascii="Book Antiqua" w:eastAsia="SimSun" w:hAnsi="Book Antiqua" w:cs="Times New Roman"/>
          <w:kern w:val="2"/>
          <w:lang w:val="en-US" w:eastAsia="zh-CN"/>
        </w:rPr>
        <w:t xml:space="preserve"> 2014; </w:t>
      </w:r>
      <w:r w:rsidRPr="005945D3">
        <w:rPr>
          <w:rFonts w:ascii="Book Antiqua" w:eastAsia="SimSun" w:hAnsi="Book Antiqua" w:cs="Times New Roman"/>
          <w:b/>
          <w:kern w:val="2"/>
          <w:lang w:val="en-US" w:eastAsia="zh-CN"/>
        </w:rPr>
        <w:t>63</w:t>
      </w:r>
      <w:r w:rsidRPr="005945D3">
        <w:rPr>
          <w:rFonts w:ascii="Book Antiqua" w:eastAsia="SimSun" w:hAnsi="Book Antiqua" w:cs="Times New Roman"/>
          <w:kern w:val="2"/>
          <w:lang w:val="en-US" w:eastAsia="zh-CN"/>
        </w:rPr>
        <w:t>: 1544-1549 [PMID: 24474384 DOI: 10.1136/gutjnl-2013-306532]</w:t>
      </w:r>
    </w:p>
    <w:p w14:paraId="62B091B1" w14:textId="77777777" w:rsidR="005945D3" w:rsidRPr="005945D3" w:rsidRDefault="005945D3" w:rsidP="005945D3">
      <w:pPr>
        <w:wordWrap w:val="0"/>
        <w:snapToGrid w:val="0"/>
        <w:spacing w:line="360" w:lineRule="auto"/>
        <w:jc w:val="right"/>
        <w:rPr>
          <w:rFonts w:ascii="Book Antiqua" w:eastAsia="SimSun" w:hAnsi="Book Antiqua" w:cs="Times New Roman"/>
          <w:lang w:val="en-US" w:eastAsia="zh-CN"/>
        </w:rPr>
      </w:pPr>
      <w:bookmarkStart w:id="96" w:name="OLE_LINK51"/>
      <w:bookmarkStart w:id="97" w:name="OLE_LINK52"/>
      <w:bookmarkStart w:id="98" w:name="OLE_LINK120"/>
      <w:bookmarkStart w:id="99" w:name="OLE_LINK148"/>
      <w:bookmarkStart w:id="100" w:name="OLE_LINK72"/>
      <w:bookmarkStart w:id="101" w:name="OLE_LINK112"/>
      <w:bookmarkStart w:id="102" w:name="OLE_LINK320"/>
      <w:bookmarkStart w:id="103" w:name="OLE_LINK387"/>
      <w:bookmarkStart w:id="104" w:name="OLE_LINK183"/>
      <w:bookmarkStart w:id="105" w:name="OLE_LINK254"/>
      <w:bookmarkStart w:id="106" w:name="OLE_LINK149"/>
      <w:bookmarkStart w:id="107" w:name="OLE_LINK225"/>
      <w:bookmarkStart w:id="108" w:name="OLE_LINK207"/>
      <w:bookmarkStart w:id="109" w:name="OLE_LINK226"/>
      <w:bookmarkStart w:id="110" w:name="OLE_LINK212"/>
      <w:bookmarkStart w:id="111" w:name="OLE_LINK250"/>
      <w:bookmarkStart w:id="112" w:name="OLE_LINK281"/>
      <w:bookmarkStart w:id="113" w:name="OLE_LINK282"/>
      <w:bookmarkStart w:id="114" w:name="OLE_LINK313"/>
      <w:bookmarkStart w:id="115" w:name="OLE_LINK304"/>
      <w:bookmarkStart w:id="116" w:name="OLE_LINK321"/>
      <w:bookmarkStart w:id="117" w:name="OLE_LINK385"/>
      <w:bookmarkStart w:id="118" w:name="OLE_LINK400"/>
      <w:bookmarkStart w:id="119" w:name="OLE_LINK346"/>
      <w:bookmarkStart w:id="120" w:name="OLE_LINK371"/>
      <w:bookmarkStart w:id="121" w:name="OLE_LINK334"/>
      <w:bookmarkStart w:id="122" w:name="OLE_LINK1830"/>
      <w:bookmarkStart w:id="123" w:name="OLE_LINK457"/>
      <w:bookmarkStart w:id="124" w:name="OLE_LINK288"/>
      <w:bookmarkStart w:id="125" w:name="OLE_LINK384"/>
      <w:bookmarkStart w:id="126" w:name="OLE_LINK379"/>
      <w:bookmarkStart w:id="127" w:name="OLE_LINK303"/>
      <w:bookmarkStart w:id="128" w:name="OLE_LINK450"/>
      <w:bookmarkStart w:id="129" w:name="OLE_LINK489"/>
      <w:bookmarkStart w:id="130" w:name="OLE_LINK535"/>
      <w:bookmarkStart w:id="131" w:name="OLE_LINK648"/>
      <w:bookmarkStart w:id="132" w:name="OLE_LINK686"/>
      <w:bookmarkStart w:id="133" w:name="OLE_LINK471"/>
      <w:bookmarkStart w:id="134" w:name="OLE_LINK462"/>
      <w:bookmarkStart w:id="135" w:name="OLE_LINK519"/>
      <w:bookmarkStart w:id="136" w:name="OLE_LINK575"/>
      <w:bookmarkStart w:id="137" w:name="OLE_LINK491"/>
      <w:bookmarkStart w:id="138" w:name="OLE_LINK532"/>
      <w:bookmarkStart w:id="139" w:name="OLE_LINK572"/>
      <w:bookmarkStart w:id="140" w:name="OLE_LINK574"/>
      <w:bookmarkStart w:id="141" w:name="OLE_LINK480"/>
      <w:bookmarkStart w:id="142" w:name="OLE_LINK567"/>
      <w:bookmarkStart w:id="143" w:name="OLE_LINK2700"/>
      <w:bookmarkStart w:id="144" w:name="OLE_LINK581"/>
      <w:bookmarkStart w:id="145" w:name="OLE_LINK639"/>
      <w:bookmarkStart w:id="146" w:name="OLE_LINK688"/>
      <w:bookmarkStart w:id="147" w:name="OLE_LINK722"/>
      <w:bookmarkStart w:id="148" w:name="OLE_LINK542"/>
      <w:bookmarkStart w:id="149" w:name="OLE_LINK589"/>
      <w:bookmarkStart w:id="150" w:name="OLE_LINK582"/>
      <w:bookmarkStart w:id="151" w:name="OLE_LINK640"/>
      <w:bookmarkStart w:id="152" w:name="OLE_LINK714"/>
      <w:bookmarkStart w:id="153" w:name="OLE_LINK593"/>
      <w:bookmarkStart w:id="154" w:name="OLE_LINK716"/>
      <w:bookmarkStart w:id="155" w:name="OLE_LINK770"/>
      <w:bookmarkStart w:id="156" w:name="OLE_LINK801"/>
      <w:bookmarkStart w:id="157" w:name="OLE_LINK660"/>
      <w:bookmarkStart w:id="158" w:name="OLE_LINK781"/>
      <w:bookmarkStart w:id="159" w:name="OLE_LINK833"/>
      <w:bookmarkStart w:id="160" w:name="OLE_LINK642"/>
      <w:bookmarkStart w:id="161" w:name="OLE_LINK700"/>
      <w:bookmarkStart w:id="162" w:name="OLE_LINK792"/>
      <w:bookmarkStart w:id="163" w:name="OLE_LINK2882"/>
      <w:bookmarkStart w:id="164" w:name="OLE_LINK836"/>
      <w:bookmarkStart w:id="165" w:name="OLE_LINK889"/>
      <w:bookmarkStart w:id="166" w:name="OLE_LINK782"/>
      <w:bookmarkStart w:id="167" w:name="OLE_LINK826"/>
      <w:bookmarkStart w:id="168" w:name="OLE_LINK865"/>
      <w:bookmarkStart w:id="169" w:name="OLE_LINK856"/>
      <w:bookmarkStart w:id="170" w:name="OLE_LINK908"/>
      <w:bookmarkStart w:id="171" w:name="OLE_LINK980"/>
      <w:bookmarkStart w:id="172" w:name="OLE_LINK1018"/>
      <w:bookmarkStart w:id="173" w:name="OLE_LINK1049"/>
      <w:bookmarkStart w:id="174" w:name="OLE_LINK1076"/>
      <w:bookmarkStart w:id="175" w:name="OLE_LINK1106"/>
      <w:bookmarkStart w:id="176" w:name="OLE_LINK891"/>
      <w:bookmarkStart w:id="177" w:name="OLE_LINK943"/>
      <w:bookmarkStart w:id="178" w:name="OLE_LINK981"/>
      <w:bookmarkStart w:id="179" w:name="OLE_LINK1030"/>
      <w:bookmarkStart w:id="180" w:name="OLE_LINK847"/>
      <w:bookmarkStart w:id="181" w:name="OLE_LINK909"/>
      <w:bookmarkStart w:id="182" w:name="OLE_LINK906"/>
      <w:bookmarkStart w:id="183" w:name="OLE_LINK992"/>
      <w:bookmarkStart w:id="184" w:name="OLE_LINK993"/>
      <w:bookmarkStart w:id="185" w:name="OLE_LINK1052"/>
      <w:bookmarkStart w:id="186" w:name="OLE_LINK946"/>
      <w:bookmarkStart w:id="187" w:name="OLE_LINK911"/>
      <w:bookmarkStart w:id="188" w:name="OLE_LINK930"/>
      <w:bookmarkStart w:id="189" w:name="OLE_LINK1059"/>
      <w:bookmarkStart w:id="190" w:name="OLE_LINK1174"/>
      <w:bookmarkStart w:id="191" w:name="OLE_LINK1137"/>
      <w:bookmarkStart w:id="192" w:name="OLE_LINK1167"/>
      <w:bookmarkStart w:id="193" w:name="OLE_LINK1200"/>
      <w:bookmarkStart w:id="194" w:name="OLE_LINK1241"/>
      <w:bookmarkStart w:id="195" w:name="OLE_LINK1288"/>
      <w:bookmarkStart w:id="196" w:name="OLE_LINK1056"/>
      <w:bookmarkStart w:id="197" w:name="OLE_LINK1158"/>
      <w:bookmarkStart w:id="198" w:name="OLE_LINK1175"/>
      <w:bookmarkStart w:id="199" w:name="OLE_LINK1074"/>
      <w:bookmarkStart w:id="200" w:name="OLE_LINK1169"/>
      <w:bookmarkStart w:id="201" w:name="OLE_LINK1053"/>
      <w:bookmarkStart w:id="202" w:name="OLE_LINK1054"/>
      <w:r w:rsidRPr="005945D3">
        <w:rPr>
          <w:rFonts w:ascii="Book Antiqua" w:eastAsia="SimSun" w:hAnsi="Book Antiqua" w:cs="Times New Roman"/>
          <w:b/>
          <w:bCs/>
          <w:lang w:val="en-US" w:eastAsia="zh-CN"/>
        </w:rPr>
        <w:t>P-Reviewer:</w:t>
      </w:r>
      <w:r w:rsidRPr="005945D3">
        <w:rPr>
          <w:rFonts w:ascii="Book Antiqua" w:eastAsia="SimSun" w:hAnsi="Book Antiqua" w:cs="Times New Roman" w:hint="eastAsia"/>
          <w:b/>
          <w:bCs/>
          <w:lang w:val="en-US" w:eastAsia="zh-CN"/>
        </w:rPr>
        <w:t xml:space="preserve"> </w:t>
      </w:r>
      <w:r w:rsidRPr="005945D3">
        <w:rPr>
          <w:rFonts w:ascii="Book Antiqua" w:eastAsia="SimSun" w:hAnsi="Book Antiqua" w:cs="Times New Roman"/>
          <w:bCs/>
          <w:lang w:val="en-US" w:eastAsia="zh-CN"/>
        </w:rPr>
        <w:t>Hasegawa</w:t>
      </w:r>
      <w:r w:rsidRPr="005945D3">
        <w:rPr>
          <w:rFonts w:ascii="Book Antiqua" w:eastAsia="SimSun" w:hAnsi="Book Antiqua" w:cs="Times New Roman" w:hint="eastAsia"/>
          <w:bCs/>
          <w:lang w:val="en-US" w:eastAsia="zh-CN"/>
        </w:rPr>
        <w:t xml:space="preserve"> </w:t>
      </w:r>
      <w:r w:rsidRPr="005945D3">
        <w:rPr>
          <w:rFonts w:ascii="Book Antiqua" w:eastAsia="SimSun" w:hAnsi="Book Antiqua" w:cs="Times New Roman"/>
          <w:bCs/>
          <w:lang w:val="en-US" w:eastAsia="zh-CN"/>
        </w:rPr>
        <w:t>H</w:t>
      </w:r>
      <w:r w:rsidRPr="005945D3">
        <w:rPr>
          <w:rFonts w:ascii="Book Antiqua" w:eastAsia="SimSun" w:hAnsi="Book Antiqua" w:cs="Times New Roman" w:hint="eastAsia"/>
          <w:bCs/>
          <w:lang w:val="en-US" w:eastAsia="zh-CN"/>
        </w:rPr>
        <w:t xml:space="preserve">, </w:t>
      </w:r>
      <w:r w:rsidRPr="005945D3">
        <w:rPr>
          <w:rFonts w:ascii="Book Antiqua" w:eastAsia="SimSun" w:hAnsi="Book Antiqua" w:cs="Times New Roman"/>
          <w:bCs/>
          <w:lang w:val="en-US" w:eastAsia="zh-CN"/>
        </w:rPr>
        <w:t>Parshad</w:t>
      </w:r>
      <w:r w:rsidRPr="005945D3">
        <w:rPr>
          <w:rFonts w:ascii="Book Antiqua" w:eastAsia="SimSun" w:hAnsi="Book Antiqua" w:cs="Times New Roman" w:hint="eastAsia"/>
          <w:bCs/>
          <w:lang w:val="en-US" w:eastAsia="zh-CN"/>
        </w:rPr>
        <w:t xml:space="preserve"> </w:t>
      </w:r>
      <w:r w:rsidRPr="005945D3">
        <w:rPr>
          <w:rFonts w:ascii="Book Antiqua" w:eastAsia="SimSun" w:hAnsi="Book Antiqua" w:cs="Times New Roman"/>
          <w:bCs/>
          <w:lang w:val="en-US" w:eastAsia="zh-CN"/>
        </w:rPr>
        <w:t>R</w:t>
      </w:r>
      <w:r w:rsidRPr="005945D3">
        <w:rPr>
          <w:rFonts w:ascii="Book Antiqua" w:eastAsia="SimSun" w:hAnsi="Book Antiqua" w:cs="Times New Roman" w:hint="eastAsia"/>
          <w:b/>
          <w:bCs/>
          <w:lang w:val="en-US" w:eastAsia="zh-CN"/>
        </w:rPr>
        <w:t xml:space="preserve"> </w:t>
      </w:r>
      <w:r w:rsidRPr="005945D3">
        <w:rPr>
          <w:rFonts w:ascii="Book Antiqua" w:eastAsia="SimSun" w:hAnsi="Book Antiqua" w:cs="Times New Roman"/>
          <w:b/>
          <w:bCs/>
          <w:lang w:val="en-US" w:eastAsia="zh-CN"/>
        </w:rPr>
        <w:t>S-Editor:</w:t>
      </w:r>
      <w:r w:rsidRPr="005945D3">
        <w:rPr>
          <w:rFonts w:ascii="Book Antiqua" w:eastAsia="SimSun" w:hAnsi="Book Antiqua" w:cs="Times New Roman" w:hint="eastAsia"/>
          <w:lang w:val="en-US" w:eastAsia="zh-CN"/>
        </w:rPr>
        <w:t xml:space="preserve"> Gong ZM</w:t>
      </w:r>
    </w:p>
    <w:p w14:paraId="2AD20DAA" w14:textId="77777777" w:rsidR="005945D3" w:rsidRPr="005945D3" w:rsidRDefault="005945D3" w:rsidP="005945D3">
      <w:pPr>
        <w:snapToGrid w:val="0"/>
        <w:spacing w:line="360" w:lineRule="auto"/>
        <w:jc w:val="right"/>
        <w:rPr>
          <w:rFonts w:ascii="Book Antiqua" w:eastAsia="SimSun" w:hAnsi="Book Antiqua" w:cs="Times New Roman"/>
          <w:b/>
          <w:bCs/>
          <w:lang w:val="en-US" w:eastAsia="zh-CN"/>
        </w:rPr>
      </w:pPr>
      <w:r w:rsidRPr="005945D3">
        <w:rPr>
          <w:rFonts w:ascii="Book Antiqua" w:eastAsia="SimSun" w:hAnsi="Book Antiqua" w:cs="Times New Roman"/>
          <w:b/>
          <w:bCs/>
          <w:lang w:val="en-US" w:eastAsia="zh-CN"/>
        </w:rPr>
        <w:t>L-Editor:</w:t>
      </w:r>
      <w:r w:rsidRPr="005945D3">
        <w:rPr>
          <w:rFonts w:ascii="Book Antiqua" w:eastAsia="SimSun" w:hAnsi="Book Antiqua" w:cs="Times New Roman"/>
          <w:lang w:val="en-US" w:eastAsia="zh-CN"/>
        </w:rPr>
        <w:t xml:space="preserve"> </w:t>
      </w:r>
      <w:r w:rsidRPr="005945D3">
        <w:rPr>
          <w:rFonts w:ascii="Book Antiqua" w:eastAsia="SimSun" w:hAnsi="Book Antiqua" w:cs="Times New Roman"/>
          <w:b/>
          <w:bCs/>
          <w:lang w:val="en-US" w:eastAsia="zh-CN"/>
        </w:rPr>
        <w:t>E-Editor:</w:t>
      </w:r>
    </w:p>
    <w:p w14:paraId="57630ED8" w14:textId="77777777" w:rsidR="005945D3" w:rsidRPr="005945D3" w:rsidRDefault="005945D3" w:rsidP="005945D3">
      <w:pPr>
        <w:shd w:val="clear" w:color="auto" w:fill="FFFFFF"/>
        <w:snapToGrid w:val="0"/>
        <w:spacing w:line="360" w:lineRule="auto"/>
        <w:jc w:val="both"/>
        <w:rPr>
          <w:rFonts w:ascii="Book Antiqua" w:eastAsia="SimSun" w:hAnsi="Book Antiqua" w:cs="Helvetica"/>
          <w:b/>
          <w:lang w:val="en-US" w:eastAsia="zh-CN"/>
        </w:rPr>
      </w:pPr>
      <w:bookmarkStart w:id="203" w:name="OLE_LINK880"/>
      <w:bookmarkStart w:id="204" w:name="OLE_LINK881"/>
      <w:bookmarkStart w:id="205" w:name="OLE_LINK497"/>
      <w:bookmarkStart w:id="206" w:name="OLE_LINK81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945D3">
        <w:rPr>
          <w:rFonts w:ascii="Book Antiqua" w:eastAsia="SimSun" w:hAnsi="Book Antiqua" w:cs="Helvetica"/>
          <w:b/>
          <w:lang w:val="en-US" w:eastAsia="zh-CN"/>
        </w:rPr>
        <w:t xml:space="preserve">Specialty type: </w:t>
      </w:r>
      <w:r w:rsidRPr="005945D3">
        <w:rPr>
          <w:rFonts w:ascii="Book Antiqua" w:eastAsia="SimSun" w:hAnsi="Book Antiqua" w:cs="Helvetica"/>
          <w:lang w:val="en-US" w:eastAsia="zh-CN"/>
        </w:rPr>
        <w:t>Gastroenterology and</w:t>
      </w:r>
      <w:r w:rsidRPr="005945D3">
        <w:rPr>
          <w:rFonts w:ascii="Book Antiqua" w:eastAsia="SimSun" w:hAnsi="Book Antiqua" w:cs="Helvetica" w:hint="eastAsia"/>
          <w:lang w:val="en-US" w:eastAsia="zh-CN"/>
        </w:rPr>
        <w:t xml:space="preserve"> </w:t>
      </w:r>
      <w:r w:rsidRPr="005945D3">
        <w:rPr>
          <w:rFonts w:ascii="Book Antiqua" w:eastAsia="SimSun" w:hAnsi="Book Antiqua" w:cs="Helvetica"/>
          <w:lang w:val="en-US" w:eastAsia="zh-CN"/>
        </w:rPr>
        <w:t>hepatology</w:t>
      </w:r>
    </w:p>
    <w:p w14:paraId="0E3D5761" w14:textId="77777777" w:rsidR="005945D3" w:rsidRPr="005945D3" w:rsidRDefault="005945D3" w:rsidP="005945D3">
      <w:pPr>
        <w:shd w:val="clear" w:color="auto" w:fill="FFFFFF"/>
        <w:snapToGrid w:val="0"/>
        <w:spacing w:line="360" w:lineRule="auto"/>
        <w:jc w:val="both"/>
        <w:rPr>
          <w:rFonts w:ascii="Book Antiqua" w:eastAsia="SimSun" w:hAnsi="Book Antiqua" w:cs="Helvetica"/>
          <w:b/>
          <w:lang w:val="en-US" w:eastAsia="zh-CN"/>
        </w:rPr>
      </w:pPr>
      <w:r w:rsidRPr="005945D3">
        <w:rPr>
          <w:rFonts w:ascii="Book Antiqua" w:eastAsia="SimSun" w:hAnsi="Book Antiqua" w:cs="Helvetica"/>
          <w:b/>
          <w:lang w:val="en-US" w:eastAsia="zh-CN"/>
        </w:rPr>
        <w:t xml:space="preserve">Country of origin: </w:t>
      </w:r>
      <w:r w:rsidRPr="005945D3">
        <w:rPr>
          <w:rFonts w:ascii="Book Antiqua" w:eastAsia="SimSun" w:hAnsi="Book Antiqua" w:cs="Helvetica"/>
          <w:lang w:val="en-CA" w:eastAsia="zh-CN"/>
        </w:rPr>
        <w:t>Denmark</w:t>
      </w:r>
    </w:p>
    <w:p w14:paraId="624DCEB9" w14:textId="77777777" w:rsidR="005945D3" w:rsidRPr="005945D3" w:rsidRDefault="005945D3" w:rsidP="005945D3">
      <w:pPr>
        <w:shd w:val="clear" w:color="auto" w:fill="FFFFFF"/>
        <w:snapToGrid w:val="0"/>
        <w:spacing w:line="360" w:lineRule="auto"/>
        <w:jc w:val="both"/>
        <w:rPr>
          <w:rFonts w:ascii="Book Antiqua" w:eastAsia="SimSun" w:hAnsi="Book Antiqua" w:cs="Helvetica"/>
          <w:b/>
          <w:lang w:val="en-US" w:eastAsia="zh-CN"/>
        </w:rPr>
      </w:pPr>
      <w:r w:rsidRPr="005945D3">
        <w:rPr>
          <w:rFonts w:ascii="Book Antiqua" w:eastAsia="SimSun" w:hAnsi="Book Antiqua" w:cs="Helvetica"/>
          <w:b/>
          <w:lang w:val="en-US" w:eastAsia="zh-CN"/>
        </w:rPr>
        <w:t>Peer-review report classification</w:t>
      </w:r>
    </w:p>
    <w:p w14:paraId="5E0068AB" w14:textId="77777777" w:rsidR="005945D3" w:rsidRPr="005945D3" w:rsidRDefault="005945D3" w:rsidP="005945D3">
      <w:pPr>
        <w:shd w:val="clear" w:color="auto" w:fill="FFFFFF"/>
        <w:snapToGrid w:val="0"/>
        <w:spacing w:line="360" w:lineRule="auto"/>
        <w:jc w:val="both"/>
        <w:rPr>
          <w:rFonts w:ascii="Book Antiqua" w:eastAsia="SimSun" w:hAnsi="Book Antiqua" w:cs="Helvetica"/>
          <w:lang w:val="en-US" w:eastAsia="zh-CN"/>
        </w:rPr>
      </w:pPr>
      <w:r w:rsidRPr="005945D3">
        <w:rPr>
          <w:rFonts w:ascii="Book Antiqua" w:eastAsia="SimSun" w:hAnsi="Book Antiqua" w:cs="Helvetica"/>
          <w:lang w:val="en-US" w:eastAsia="zh-CN"/>
        </w:rPr>
        <w:t xml:space="preserve">Grade A (Excellent): </w:t>
      </w:r>
      <w:r w:rsidRPr="005945D3">
        <w:rPr>
          <w:rFonts w:ascii="Book Antiqua" w:eastAsia="SimSun" w:hAnsi="Book Antiqua" w:cs="Helvetica" w:hint="eastAsia"/>
          <w:lang w:val="en-US" w:eastAsia="zh-CN"/>
        </w:rPr>
        <w:t>A</w:t>
      </w:r>
    </w:p>
    <w:p w14:paraId="50BC63AD" w14:textId="77777777" w:rsidR="005945D3" w:rsidRPr="005945D3" w:rsidRDefault="005945D3" w:rsidP="005945D3">
      <w:pPr>
        <w:shd w:val="clear" w:color="auto" w:fill="FFFFFF"/>
        <w:snapToGrid w:val="0"/>
        <w:spacing w:line="360" w:lineRule="auto"/>
        <w:jc w:val="both"/>
        <w:rPr>
          <w:rFonts w:ascii="Book Antiqua" w:eastAsia="SimSun" w:hAnsi="Book Antiqua" w:cs="Helvetica"/>
          <w:lang w:val="en-US" w:eastAsia="zh-CN"/>
        </w:rPr>
      </w:pPr>
      <w:r w:rsidRPr="005945D3">
        <w:rPr>
          <w:rFonts w:ascii="Book Antiqua" w:eastAsia="SimSun" w:hAnsi="Book Antiqua" w:cs="Helvetica"/>
          <w:lang w:val="en-US" w:eastAsia="zh-CN"/>
        </w:rPr>
        <w:t xml:space="preserve">Grade B (Very good): </w:t>
      </w:r>
      <w:r w:rsidRPr="005945D3">
        <w:rPr>
          <w:rFonts w:ascii="Book Antiqua" w:eastAsia="SimSun" w:hAnsi="Book Antiqua" w:cs="Helvetica" w:hint="eastAsia"/>
          <w:lang w:val="en-US" w:eastAsia="zh-CN"/>
        </w:rPr>
        <w:t>0</w:t>
      </w:r>
    </w:p>
    <w:p w14:paraId="6648D1D7" w14:textId="77777777" w:rsidR="005945D3" w:rsidRPr="005945D3" w:rsidRDefault="005945D3" w:rsidP="005945D3">
      <w:pPr>
        <w:shd w:val="clear" w:color="auto" w:fill="FFFFFF"/>
        <w:snapToGrid w:val="0"/>
        <w:spacing w:line="360" w:lineRule="auto"/>
        <w:jc w:val="both"/>
        <w:rPr>
          <w:rFonts w:ascii="Book Antiqua" w:eastAsia="SimSun" w:hAnsi="Book Antiqua" w:cs="Helvetica"/>
          <w:lang w:val="en-US" w:eastAsia="zh-CN"/>
        </w:rPr>
      </w:pPr>
      <w:r w:rsidRPr="005945D3">
        <w:rPr>
          <w:rFonts w:ascii="Book Antiqua" w:eastAsia="SimSun" w:hAnsi="Book Antiqua" w:cs="Helvetica"/>
          <w:lang w:val="en-US" w:eastAsia="zh-CN"/>
        </w:rPr>
        <w:t xml:space="preserve">Grade C (Good): </w:t>
      </w:r>
      <w:r w:rsidRPr="005945D3">
        <w:rPr>
          <w:rFonts w:ascii="Book Antiqua" w:eastAsia="SimSun" w:hAnsi="Book Antiqua" w:cs="Helvetica" w:hint="eastAsia"/>
          <w:lang w:val="en-US" w:eastAsia="zh-CN"/>
        </w:rPr>
        <w:t>C</w:t>
      </w:r>
    </w:p>
    <w:p w14:paraId="12A717D3" w14:textId="77777777" w:rsidR="005945D3" w:rsidRPr="005945D3" w:rsidRDefault="005945D3" w:rsidP="005945D3">
      <w:pPr>
        <w:shd w:val="clear" w:color="auto" w:fill="FFFFFF"/>
        <w:snapToGrid w:val="0"/>
        <w:spacing w:line="360" w:lineRule="auto"/>
        <w:jc w:val="both"/>
        <w:rPr>
          <w:rFonts w:ascii="Book Antiqua" w:eastAsia="SimSun" w:hAnsi="Book Antiqua" w:cs="Helvetica"/>
          <w:lang w:val="en-US" w:eastAsia="zh-CN"/>
        </w:rPr>
      </w:pPr>
      <w:r w:rsidRPr="005945D3">
        <w:rPr>
          <w:rFonts w:ascii="Book Antiqua" w:eastAsia="SimSun" w:hAnsi="Book Antiqua" w:cs="Helvetica"/>
          <w:lang w:val="en-US" w:eastAsia="zh-CN"/>
        </w:rPr>
        <w:t xml:space="preserve">Grade D (Fair): </w:t>
      </w:r>
      <w:r w:rsidRPr="005945D3">
        <w:rPr>
          <w:rFonts w:ascii="Book Antiqua" w:eastAsia="SimSun" w:hAnsi="Book Antiqua" w:cs="Helvetica" w:hint="eastAsia"/>
          <w:lang w:val="en-US" w:eastAsia="zh-CN"/>
        </w:rPr>
        <w:t>0</w:t>
      </w:r>
    </w:p>
    <w:p w14:paraId="2F49B0A7" w14:textId="77777777" w:rsidR="005945D3" w:rsidRPr="005945D3" w:rsidRDefault="005945D3" w:rsidP="005945D3">
      <w:pPr>
        <w:shd w:val="clear" w:color="auto" w:fill="FFFFFF"/>
        <w:snapToGrid w:val="0"/>
        <w:spacing w:line="360" w:lineRule="auto"/>
        <w:jc w:val="both"/>
        <w:rPr>
          <w:rFonts w:ascii="Book Antiqua" w:eastAsia="SimSun" w:hAnsi="Book Antiqua" w:cs="Helvetica"/>
          <w:lang w:val="en-US" w:eastAsia="zh-CN"/>
        </w:rPr>
      </w:pPr>
      <w:r w:rsidRPr="005945D3">
        <w:rPr>
          <w:rFonts w:ascii="Book Antiqua" w:eastAsia="SimSun" w:hAnsi="Book Antiqua" w:cs="Helvetica"/>
          <w:lang w:val="en-US" w:eastAsia="zh-CN"/>
        </w:rPr>
        <w:lastRenderedPageBreak/>
        <w:t xml:space="preserve">Grade E (Poor): </w:t>
      </w:r>
      <w:r w:rsidRPr="005945D3">
        <w:rPr>
          <w:rFonts w:ascii="Book Antiqua" w:eastAsia="SimSun" w:hAnsi="Book Antiqua" w:cs="Helvetica" w:hint="eastAsia"/>
          <w:lang w:val="en-US" w:eastAsia="zh-CN"/>
        </w:rPr>
        <w:t>0</w:t>
      </w:r>
      <w:bookmarkEnd w:id="203"/>
      <w:bookmarkEnd w:id="204"/>
    </w:p>
    <w:bookmarkEnd w:id="201"/>
    <w:bookmarkEnd w:id="202"/>
    <w:bookmarkEnd w:id="205"/>
    <w:bookmarkEnd w:id="206"/>
    <w:p w14:paraId="304096FA" w14:textId="77777777" w:rsidR="005945D3" w:rsidRDefault="005945D3" w:rsidP="006D6C34">
      <w:pPr>
        <w:snapToGrid w:val="0"/>
        <w:spacing w:line="360" w:lineRule="auto"/>
        <w:jc w:val="both"/>
        <w:rPr>
          <w:rFonts w:ascii="Book Antiqua" w:hAnsi="Book Antiqua"/>
          <w:b/>
          <w:caps/>
          <w:lang w:val="en-US" w:eastAsia="zh-CN"/>
        </w:rPr>
      </w:pPr>
    </w:p>
    <w:p w14:paraId="159306D8" w14:textId="4A59E600" w:rsidR="005945D3" w:rsidRDefault="005945D3">
      <w:pPr>
        <w:spacing w:after="160" w:line="259" w:lineRule="auto"/>
        <w:rPr>
          <w:rFonts w:ascii="Book Antiqua" w:hAnsi="Book Antiqua"/>
          <w:b/>
          <w:caps/>
          <w:lang w:val="en-US" w:eastAsia="zh-CN"/>
        </w:rPr>
      </w:pPr>
      <w:r>
        <w:rPr>
          <w:rFonts w:ascii="Book Antiqua" w:hAnsi="Book Antiqua"/>
          <w:b/>
          <w:caps/>
          <w:lang w:val="en-US" w:eastAsia="zh-CN"/>
        </w:rPr>
        <w:br w:type="page"/>
      </w:r>
    </w:p>
    <w:p w14:paraId="1A0C8892" w14:textId="77777777" w:rsidR="00C01AF6" w:rsidRPr="006D6C34" w:rsidRDefault="003B46A6" w:rsidP="006D6C34">
      <w:pPr>
        <w:snapToGrid w:val="0"/>
        <w:spacing w:line="360" w:lineRule="auto"/>
        <w:jc w:val="both"/>
        <w:rPr>
          <w:rFonts w:ascii="Book Antiqua" w:hAnsi="Book Antiqua"/>
          <w:lang w:val="en-US"/>
        </w:rPr>
      </w:pPr>
      <w:r w:rsidRPr="006D6C34">
        <w:rPr>
          <w:rFonts w:ascii="Book Antiqua" w:hAnsi="Book Antiqua"/>
          <w:noProof/>
          <w:lang w:val="en-US" w:eastAsia="zh-CN"/>
        </w:rPr>
        <w:lastRenderedPageBreak/>
        <w:drawing>
          <wp:inline distT="0" distB="0" distL="0" distR="0" wp14:anchorId="4925B4BD" wp14:editId="46939F2F">
            <wp:extent cx="6096851" cy="342947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14:paraId="694A2A96" w14:textId="65500C85" w:rsidR="009B0339" w:rsidRPr="006D6C34" w:rsidRDefault="0032536C" w:rsidP="006D6C34">
      <w:pPr>
        <w:snapToGrid w:val="0"/>
        <w:spacing w:line="360" w:lineRule="auto"/>
        <w:jc w:val="both"/>
        <w:rPr>
          <w:rFonts w:ascii="Book Antiqua" w:hAnsi="Book Antiqua"/>
          <w:lang w:val="en-US"/>
        </w:rPr>
      </w:pPr>
      <w:r w:rsidRPr="005945D3">
        <w:rPr>
          <w:rFonts w:ascii="Book Antiqua" w:hAnsi="Book Antiqua"/>
          <w:b/>
          <w:lang w:val="en-US" w:eastAsia="zh-CN"/>
        </w:rPr>
        <w:t>Figure 1</w:t>
      </w:r>
      <w:r w:rsidR="0012292B">
        <w:rPr>
          <w:rFonts w:ascii="Book Antiqua" w:hAnsi="Book Antiqua" w:hint="eastAsia"/>
          <w:b/>
          <w:lang w:val="en-US" w:eastAsia="zh-CN"/>
        </w:rPr>
        <w:t xml:space="preserve"> </w:t>
      </w:r>
      <w:r w:rsidR="0012292B" w:rsidRPr="006D6C34">
        <w:rPr>
          <w:rFonts w:ascii="Book Antiqua" w:hAnsi="Book Antiqua"/>
          <w:b/>
          <w:lang w:val="en-US"/>
        </w:rPr>
        <w:t xml:space="preserve">Course </w:t>
      </w:r>
      <w:r w:rsidR="009B0339" w:rsidRPr="006D6C34">
        <w:rPr>
          <w:rFonts w:ascii="Book Antiqua" w:hAnsi="Book Antiqua"/>
          <w:b/>
          <w:lang w:val="en-US"/>
        </w:rPr>
        <w:t>of the patient’s magnesium levels.</w:t>
      </w:r>
      <w:r w:rsidR="009B0339" w:rsidRPr="006D6C34">
        <w:rPr>
          <w:rFonts w:ascii="Book Antiqua" w:hAnsi="Book Antiqua"/>
          <w:lang w:val="en-US"/>
        </w:rPr>
        <w:t xml:space="preserve"> The figure illustrates how the patient´s S-Mg level stays persistently below the normal range while he is on PPI therapy despite receiving magnesium infusions.</w:t>
      </w:r>
      <w:r w:rsidR="005945D3">
        <w:rPr>
          <w:rFonts w:ascii="Book Antiqua" w:hAnsi="Book Antiqua" w:hint="eastAsia"/>
          <w:lang w:val="en-US" w:eastAsia="zh-CN"/>
        </w:rPr>
        <w:t xml:space="preserve"> </w:t>
      </w:r>
      <w:r w:rsidR="009B0339" w:rsidRPr="006D6C34">
        <w:rPr>
          <w:rFonts w:ascii="Book Antiqua" w:hAnsi="Book Antiqua"/>
          <w:lang w:val="en-US"/>
        </w:rPr>
        <w:t xml:space="preserve">S-Mg normalizes promptly after cessation of PPI therapy. </w:t>
      </w:r>
    </w:p>
    <w:sectPr w:rsidR="009B0339" w:rsidRPr="006D6C34">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EC40" w14:textId="77777777" w:rsidR="0029778A" w:rsidRDefault="0029778A" w:rsidP="00F53569">
      <w:r>
        <w:separator/>
      </w:r>
    </w:p>
  </w:endnote>
  <w:endnote w:type="continuationSeparator" w:id="0">
    <w:p w14:paraId="5E711DBB" w14:textId="77777777" w:rsidR="0029778A" w:rsidRDefault="0029778A" w:rsidP="00F5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方正兰亭超细黑简体"/>
    <w:charset w:val="86"/>
    <w:family w:val="auto"/>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825842"/>
      <w:docPartObj>
        <w:docPartGallery w:val="Page Numbers (Bottom of Page)"/>
        <w:docPartUnique/>
      </w:docPartObj>
    </w:sdtPr>
    <w:sdtEndPr/>
    <w:sdtContent>
      <w:p w14:paraId="01EC6AF3" w14:textId="691981D2" w:rsidR="00F53569" w:rsidRDefault="00F53569">
        <w:pPr>
          <w:pStyle w:val="Footer"/>
          <w:jc w:val="right"/>
        </w:pPr>
        <w:r>
          <w:fldChar w:fldCharType="begin"/>
        </w:r>
        <w:r>
          <w:instrText>PAGE   \* MERGEFORMAT</w:instrText>
        </w:r>
        <w:r>
          <w:fldChar w:fldCharType="separate"/>
        </w:r>
        <w:r w:rsidR="00C62926">
          <w:rPr>
            <w:noProof/>
          </w:rPr>
          <w:t>12</w:t>
        </w:r>
        <w:r>
          <w:fldChar w:fldCharType="end"/>
        </w:r>
      </w:p>
    </w:sdtContent>
  </w:sdt>
  <w:p w14:paraId="6B319167" w14:textId="77777777" w:rsidR="00F53569" w:rsidRDefault="00F53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7899A" w14:textId="77777777" w:rsidR="0029778A" w:rsidRDefault="0029778A" w:rsidP="00F53569">
      <w:r>
        <w:separator/>
      </w:r>
    </w:p>
  </w:footnote>
  <w:footnote w:type="continuationSeparator" w:id="0">
    <w:p w14:paraId="1616FF47" w14:textId="77777777" w:rsidR="0029778A" w:rsidRDefault="0029778A" w:rsidP="00F53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24"/>
    <w:rsid w:val="00006044"/>
    <w:rsid w:val="000D1D49"/>
    <w:rsid w:val="000F4872"/>
    <w:rsid w:val="0012292B"/>
    <w:rsid w:val="00183AFB"/>
    <w:rsid w:val="001A2866"/>
    <w:rsid w:val="001B41DB"/>
    <w:rsid w:val="001E0667"/>
    <w:rsid w:val="001E09A7"/>
    <w:rsid w:val="00266CAB"/>
    <w:rsid w:val="00275897"/>
    <w:rsid w:val="00281F60"/>
    <w:rsid w:val="0029778A"/>
    <w:rsid w:val="002A5D91"/>
    <w:rsid w:val="002B3701"/>
    <w:rsid w:val="002D2324"/>
    <w:rsid w:val="003215B9"/>
    <w:rsid w:val="0032536C"/>
    <w:rsid w:val="003402E1"/>
    <w:rsid w:val="003B46A6"/>
    <w:rsid w:val="003C4A8A"/>
    <w:rsid w:val="004763B3"/>
    <w:rsid w:val="0050739D"/>
    <w:rsid w:val="005238A7"/>
    <w:rsid w:val="005945D3"/>
    <w:rsid w:val="005C408D"/>
    <w:rsid w:val="005D3A92"/>
    <w:rsid w:val="005D49A7"/>
    <w:rsid w:val="006125A2"/>
    <w:rsid w:val="006178C1"/>
    <w:rsid w:val="00646581"/>
    <w:rsid w:val="006C2B94"/>
    <w:rsid w:val="006C3B11"/>
    <w:rsid w:val="006D6C34"/>
    <w:rsid w:val="00775AB1"/>
    <w:rsid w:val="0088290E"/>
    <w:rsid w:val="008A4B8B"/>
    <w:rsid w:val="00941360"/>
    <w:rsid w:val="009B0339"/>
    <w:rsid w:val="00A12C23"/>
    <w:rsid w:val="00A23640"/>
    <w:rsid w:val="00A61C70"/>
    <w:rsid w:val="00B44B44"/>
    <w:rsid w:val="00B7199C"/>
    <w:rsid w:val="00B97244"/>
    <w:rsid w:val="00B97966"/>
    <w:rsid w:val="00BA15FE"/>
    <w:rsid w:val="00BD09DF"/>
    <w:rsid w:val="00C01AF6"/>
    <w:rsid w:val="00C0321F"/>
    <w:rsid w:val="00C04D3C"/>
    <w:rsid w:val="00C62926"/>
    <w:rsid w:val="00C84103"/>
    <w:rsid w:val="00CD7FDA"/>
    <w:rsid w:val="00D769AF"/>
    <w:rsid w:val="00DF29F8"/>
    <w:rsid w:val="00EC4698"/>
    <w:rsid w:val="00EF4263"/>
    <w:rsid w:val="00EF4662"/>
    <w:rsid w:val="00F0053A"/>
    <w:rsid w:val="00F53569"/>
    <w:rsid w:val="00F625C2"/>
    <w:rsid w:val="00F63B77"/>
    <w:rsid w:val="00FC50B7"/>
    <w:rsid w:val="00FD0B96"/>
    <w:rsid w:val="00FE641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A959"/>
  <w15:docId w15:val="{7C3A808D-6058-4647-B44D-7CCB3D8E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24"/>
    <w:pPr>
      <w:spacing w:after="0" w:line="240" w:lineRule="auto"/>
    </w:pPr>
    <w:rPr>
      <w:sz w:val="24"/>
      <w:szCs w:val="24"/>
    </w:rPr>
  </w:style>
  <w:style w:type="paragraph" w:styleId="Heading1">
    <w:name w:val="heading 1"/>
    <w:basedOn w:val="Normal"/>
    <w:link w:val="Heading1Char"/>
    <w:uiPriority w:val="9"/>
    <w:qFormat/>
    <w:rsid w:val="00275897"/>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897"/>
    <w:rPr>
      <w:sz w:val="16"/>
      <w:szCs w:val="16"/>
    </w:rPr>
  </w:style>
  <w:style w:type="paragraph" w:styleId="CommentText">
    <w:name w:val="annotation text"/>
    <w:basedOn w:val="Normal"/>
    <w:link w:val="CommentTextChar"/>
    <w:uiPriority w:val="99"/>
    <w:unhideWhenUsed/>
    <w:rsid w:val="00275897"/>
    <w:rPr>
      <w:sz w:val="20"/>
      <w:szCs w:val="20"/>
    </w:rPr>
  </w:style>
  <w:style w:type="character" w:customStyle="1" w:styleId="CommentTextChar">
    <w:name w:val="Comment Text Char"/>
    <w:basedOn w:val="DefaultParagraphFont"/>
    <w:link w:val="CommentText"/>
    <w:uiPriority w:val="99"/>
    <w:rsid w:val="00275897"/>
    <w:rPr>
      <w:sz w:val="20"/>
      <w:szCs w:val="20"/>
    </w:rPr>
  </w:style>
  <w:style w:type="paragraph" w:styleId="CommentSubject">
    <w:name w:val="annotation subject"/>
    <w:basedOn w:val="CommentText"/>
    <w:next w:val="CommentText"/>
    <w:link w:val="CommentSubjectChar"/>
    <w:uiPriority w:val="99"/>
    <w:semiHidden/>
    <w:unhideWhenUsed/>
    <w:rsid w:val="00275897"/>
    <w:rPr>
      <w:b/>
      <w:bCs/>
    </w:rPr>
  </w:style>
  <w:style w:type="character" w:customStyle="1" w:styleId="CommentSubjectChar">
    <w:name w:val="Comment Subject Char"/>
    <w:basedOn w:val="CommentTextChar"/>
    <w:link w:val="CommentSubject"/>
    <w:uiPriority w:val="99"/>
    <w:semiHidden/>
    <w:rsid w:val="00275897"/>
    <w:rPr>
      <w:b/>
      <w:bCs/>
      <w:sz w:val="20"/>
      <w:szCs w:val="20"/>
    </w:rPr>
  </w:style>
  <w:style w:type="paragraph" w:styleId="BalloonText">
    <w:name w:val="Balloon Text"/>
    <w:basedOn w:val="Normal"/>
    <w:link w:val="BalloonTextChar"/>
    <w:uiPriority w:val="99"/>
    <w:semiHidden/>
    <w:unhideWhenUsed/>
    <w:rsid w:val="00275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897"/>
    <w:rPr>
      <w:rFonts w:ascii="Segoe UI" w:hAnsi="Segoe UI" w:cs="Segoe UI"/>
      <w:sz w:val="18"/>
      <w:szCs w:val="18"/>
    </w:rPr>
  </w:style>
  <w:style w:type="character" w:customStyle="1" w:styleId="Heading1Char">
    <w:name w:val="Heading 1 Char"/>
    <w:basedOn w:val="DefaultParagraphFont"/>
    <w:link w:val="Heading1"/>
    <w:uiPriority w:val="9"/>
    <w:rsid w:val="00275897"/>
    <w:rPr>
      <w:rFonts w:ascii="Times New Roman" w:eastAsia="Times New Roman" w:hAnsi="Times New Roman" w:cs="Times New Roman"/>
      <w:b/>
      <w:bCs/>
      <w:kern w:val="36"/>
      <w:sz w:val="48"/>
      <w:szCs w:val="48"/>
      <w:lang w:eastAsia="da-DK"/>
    </w:rPr>
  </w:style>
  <w:style w:type="character" w:styleId="Hyperlink">
    <w:name w:val="Hyperlink"/>
    <w:basedOn w:val="DefaultParagraphFont"/>
    <w:uiPriority w:val="99"/>
    <w:semiHidden/>
    <w:unhideWhenUsed/>
    <w:rsid w:val="00275897"/>
    <w:rPr>
      <w:color w:val="0000FF"/>
      <w:u w:val="single"/>
    </w:rPr>
  </w:style>
  <w:style w:type="character" w:customStyle="1" w:styleId="apple-converted-space">
    <w:name w:val="apple-converted-space"/>
    <w:basedOn w:val="DefaultParagraphFont"/>
    <w:rsid w:val="00275897"/>
  </w:style>
  <w:style w:type="character" w:customStyle="1" w:styleId="highlight">
    <w:name w:val="highlight"/>
    <w:basedOn w:val="DefaultParagraphFont"/>
    <w:rsid w:val="00275897"/>
  </w:style>
  <w:style w:type="paragraph" w:styleId="Header">
    <w:name w:val="header"/>
    <w:basedOn w:val="Normal"/>
    <w:link w:val="HeaderChar"/>
    <w:uiPriority w:val="99"/>
    <w:unhideWhenUsed/>
    <w:rsid w:val="00F53569"/>
    <w:pPr>
      <w:tabs>
        <w:tab w:val="center" w:pos="4819"/>
        <w:tab w:val="right" w:pos="9638"/>
      </w:tabs>
    </w:pPr>
  </w:style>
  <w:style w:type="character" w:customStyle="1" w:styleId="HeaderChar">
    <w:name w:val="Header Char"/>
    <w:basedOn w:val="DefaultParagraphFont"/>
    <w:link w:val="Header"/>
    <w:uiPriority w:val="99"/>
    <w:rsid w:val="00F53569"/>
    <w:rPr>
      <w:sz w:val="24"/>
      <w:szCs w:val="24"/>
    </w:rPr>
  </w:style>
  <w:style w:type="paragraph" w:styleId="Footer">
    <w:name w:val="footer"/>
    <w:basedOn w:val="Normal"/>
    <w:link w:val="FooterChar"/>
    <w:uiPriority w:val="99"/>
    <w:unhideWhenUsed/>
    <w:rsid w:val="00F53569"/>
    <w:pPr>
      <w:tabs>
        <w:tab w:val="center" w:pos="4819"/>
        <w:tab w:val="right" w:pos="9638"/>
      </w:tabs>
    </w:pPr>
  </w:style>
  <w:style w:type="character" w:customStyle="1" w:styleId="FooterChar">
    <w:name w:val="Footer Char"/>
    <w:basedOn w:val="DefaultParagraphFont"/>
    <w:link w:val="Footer"/>
    <w:uiPriority w:val="99"/>
    <w:rsid w:val="00F53569"/>
    <w:rPr>
      <w:sz w:val="24"/>
      <w:szCs w:val="24"/>
    </w:rPr>
  </w:style>
  <w:style w:type="paragraph" w:customStyle="1" w:styleId="1">
    <w:name w:val="正文1"/>
    <w:uiPriority w:val="99"/>
    <w:rsid w:val="003402E1"/>
    <w:pPr>
      <w:spacing w:after="0" w:line="276" w:lineRule="auto"/>
    </w:pPr>
    <w:rPr>
      <w:rFonts w:ascii="Arial" w:eastAsia="SimSun" w:hAnsi="Arial" w:cs="Arial"/>
      <w:color w:val="000000"/>
      <w:szCs w:val="20"/>
      <w:lang w:val="pl-PL" w:eastAsia="pl-PL"/>
    </w:rPr>
  </w:style>
  <w:style w:type="character" w:customStyle="1" w:styleId="rphighlightallclass">
    <w:name w:val="rphighlightallclass"/>
    <w:basedOn w:val="DefaultParagraphFont"/>
    <w:rsid w:val="00DF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65425">
      <w:bodyDiv w:val="1"/>
      <w:marLeft w:val="0"/>
      <w:marRight w:val="0"/>
      <w:marTop w:val="0"/>
      <w:marBottom w:val="0"/>
      <w:divBdr>
        <w:top w:val="none" w:sz="0" w:space="0" w:color="auto"/>
        <w:left w:val="none" w:sz="0" w:space="0" w:color="auto"/>
        <w:bottom w:val="none" w:sz="0" w:space="0" w:color="auto"/>
        <w:right w:val="none" w:sz="0" w:space="0" w:color="auto"/>
      </w:divBdr>
    </w:div>
    <w:div w:id="1197545718">
      <w:bodyDiv w:val="1"/>
      <w:marLeft w:val="0"/>
      <w:marRight w:val="0"/>
      <w:marTop w:val="0"/>
      <w:marBottom w:val="0"/>
      <w:divBdr>
        <w:top w:val="none" w:sz="0" w:space="0" w:color="auto"/>
        <w:left w:val="none" w:sz="0" w:space="0" w:color="auto"/>
        <w:bottom w:val="none" w:sz="0" w:space="0" w:color="auto"/>
        <w:right w:val="none" w:sz="0" w:space="0" w:color="auto"/>
      </w:divBdr>
    </w:div>
    <w:div w:id="18205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C172-CA47-48B8-98B5-3186152B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7692</Words>
  <Characters>43849</Characters>
  <Application>Microsoft Office Word</Application>
  <DocSecurity>0</DocSecurity>
  <Lines>365</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Sjaelland</Company>
  <LinksUpToDate>false</LinksUpToDate>
  <CharactersWithSpaces>51439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 Semb</dc:creator>
  <cp:keywords/>
  <dc:description/>
  <cp:lastModifiedBy>Na Ma</cp:lastModifiedBy>
  <cp:revision>2</cp:revision>
  <dcterms:created xsi:type="dcterms:W3CDTF">2017-07-12T00:21:00Z</dcterms:created>
  <dcterms:modified xsi:type="dcterms:W3CDTF">2017-07-12T00:21:00Z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30e9c920-bbaf-3951-9b67-e324633fa260</vt:lpwstr>
  </property>
  <property fmtid="{D5CDD505-2E9C-101B-9397-08002B2CF9AE}" pid="24" name="Mendeley Citation Style_1">
    <vt:lpwstr>http://www.zotero.org/styles/world-journal-of-gastroenterology</vt:lpwstr>
  </property>
</Properties>
</file>