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D93F6" w14:textId="77777777" w:rsidR="00632F84" w:rsidRPr="00E23170" w:rsidRDefault="00632F84" w:rsidP="006A3266">
      <w:pPr>
        <w:adjustRightInd w:val="0"/>
        <w:snapToGrid w:val="0"/>
        <w:spacing w:line="360" w:lineRule="auto"/>
        <w:jc w:val="both"/>
        <w:rPr>
          <w:rFonts w:ascii="Book Antiqua" w:eastAsia="Times New Roman" w:hAnsi="Book Antiqua" w:cs="SimSun"/>
          <w:b/>
          <w:i/>
          <w:color w:val="000000"/>
        </w:rPr>
      </w:pPr>
      <w:bookmarkStart w:id="0" w:name="OLE_LINK543"/>
      <w:bookmarkStart w:id="1" w:name="OLE_LINK544"/>
      <w:bookmarkStart w:id="2" w:name="OLE_LINK545"/>
      <w:bookmarkStart w:id="3" w:name="OLE_LINK546"/>
      <w:bookmarkStart w:id="4" w:name="OLE_LINK592"/>
      <w:r w:rsidRPr="009F19CA">
        <w:rPr>
          <w:rFonts w:ascii="Book Antiqua" w:eastAsia="Times New Roman" w:hAnsi="Book Antiqua" w:cs="SimSun"/>
          <w:b/>
          <w:color w:val="000000"/>
        </w:rPr>
        <w:t xml:space="preserve">Name of journal: </w:t>
      </w:r>
      <w:bookmarkStart w:id="5" w:name="OLE_LINK718"/>
      <w:bookmarkStart w:id="6" w:name="OLE_LINK719"/>
      <w:bookmarkStart w:id="7" w:name="OLE_LINK645"/>
      <w:bookmarkStart w:id="8" w:name="OLE_LINK661"/>
      <w:bookmarkStart w:id="9" w:name="OLE_LINK1068"/>
      <w:r w:rsidRPr="00E23170">
        <w:rPr>
          <w:rFonts w:ascii="Book Antiqua" w:eastAsia="Times New Roman" w:hAnsi="Book Antiqua" w:cs="SimSun"/>
          <w:b/>
          <w:i/>
          <w:color w:val="000000"/>
        </w:rPr>
        <w:t xml:space="preserve">World Journal of </w:t>
      </w:r>
      <w:bookmarkStart w:id="10" w:name="OLE_LINK1222"/>
      <w:bookmarkStart w:id="11" w:name="OLE_LINK1223"/>
      <w:r w:rsidRPr="00E23170">
        <w:rPr>
          <w:rFonts w:ascii="Book Antiqua" w:eastAsia="Times New Roman" w:hAnsi="Book Antiqua" w:cs="SimSun"/>
          <w:b/>
          <w:i/>
          <w:color w:val="000000"/>
        </w:rPr>
        <w:t>Gastroenterology</w:t>
      </w:r>
      <w:bookmarkEnd w:id="5"/>
      <w:bookmarkEnd w:id="6"/>
      <w:bookmarkEnd w:id="7"/>
      <w:bookmarkEnd w:id="8"/>
      <w:bookmarkEnd w:id="9"/>
      <w:bookmarkEnd w:id="10"/>
      <w:bookmarkEnd w:id="11"/>
    </w:p>
    <w:p w14:paraId="5A721118" w14:textId="2204B7D5" w:rsidR="00632F84" w:rsidRPr="009F19CA" w:rsidRDefault="00632F84" w:rsidP="006A3266">
      <w:pPr>
        <w:adjustRightInd w:val="0"/>
        <w:snapToGrid w:val="0"/>
        <w:spacing w:line="360" w:lineRule="auto"/>
        <w:jc w:val="both"/>
        <w:rPr>
          <w:rFonts w:ascii="Book Antiqua" w:hAnsi="Book Antiqua" w:cs="Arial"/>
          <w:color w:val="000000"/>
          <w:lang w:val="en" w:eastAsia="zh-CN"/>
        </w:rPr>
      </w:pPr>
      <w:r w:rsidRPr="009F19CA">
        <w:rPr>
          <w:rFonts w:ascii="Book Antiqua" w:hAnsi="Book Antiqua" w:cs="Arial"/>
          <w:b/>
          <w:color w:val="000000"/>
          <w:lang w:val="en"/>
        </w:rPr>
        <w:t xml:space="preserve">ESPS Manuscript NO: </w:t>
      </w:r>
      <w:r>
        <w:rPr>
          <w:rFonts w:ascii="Book Antiqua" w:hAnsi="Book Antiqua" w:cs="Arial" w:hint="eastAsia"/>
          <w:b/>
          <w:color w:val="000000"/>
          <w:lang w:val="en" w:eastAsia="zh-CN"/>
        </w:rPr>
        <w:t>33703</w:t>
      </w:r>
    </w:p>
    <w:p w14:paraId="0E18648A" w14:textId="5311BDF4" w:rsidR="0048741D" w:rsidRDefault="00632F84" w:rsidP="006A3266">
      <w:pPr>
        <w:spacing w:line="360" w:lineRule="auto"/>
        <w:jc w:val="both"/>
        <w:rPr>
          <w:rFonts w:ascii="Book Antiqua" w:hAnsi="Book Antiqua"/>
          <w:b/>
          <w:lang w:eastAsia="zh-CN"/>
        </w:rPr>
      </w:pPr>
      <w:r w:rsidRPr="00753939">
        <w:rPr>
          <w:rFonts w:ascii="Book Antiqua" w:hAnsi="Book Antiqua"/>
          <w:b/>
        </w:rPr>
        <w:t>Manuscript Type</w:t>
      </w:r>
      <w:r w:rsidRPr="00753939">
        <w:rPr>
          <w:rFonts w:ascii="Book Antiqua" w:hAnsi="Book Antiqua" w:hint="eastAsia"/>
          <w:b/>
        </w:rPr>
        <w:t xml:space="preserve">: </w:t>
      </w:r>
      <w:bookmarkEnd w:id="0"/>
      <w:bookmarkEnd w:id="1"/>
      <w:bookmarkEnd w:id="2"/>
      <w:bookmarkEnd w:id="3"/>
      <w:bookmarkEnd w:id="4"/>
      <w:r w:rsidR="0022205E" w:rsidRPr="00632F84">
        <w:rPr>
          <w:rFonts w:ascii="Book Antiqua" w:hAnsi="Book Antiqua"/>
          <w:b/>
        </w:rPr>
        <w:t>MINIREVIEWS</w:t>
      </w:r>
    </w:p>
    <w:p w14:paraId="1A5E66B9" w14:textId="77777777" w:rsidR="00632F84" w:rsidRPr="00043244" w:rsidRDefault="00632F84" w:rsidP="006A3266">
      <w:pPr>
        <w:spacing w:line="360" w:lineRule="auto"/>
        <w:jc w:val="both"/>
        <w:rPr>
          <w:rFonts w:ascii="Book Antiqua" w:hAnsi="Book Antiqua"/>
          <w:b/>
          <w:lang w:val="en-GB" w:eastAsia="zh-CN"/>
        </w:rPr>
      </w:pPr>
    </w:p>
    <w:p w14:paraId="58D5B409" w14:textId="0D25D631" w:rsidR="001267A1" w:rsidRPr="00043244" w:rsidRDefault="008714A7" w:rsidP="006A3266">
      <w:pPr>
        <w:spacing w:line="360" w:lineRule="auto"/>
        <w:jc w:val="both"/>
        <w:rPr>
          <w:rFonts w:ascii="Book Antiqua" w:hAnsi="Book Antiqua"/>
          <w:b/>
          <w:lang w:val="en-GB" w:eastAsia="zh-CN"/>
        </w:rPr>
      </w:pPr>
      <w:r w:rsidRPr="00043244">
        <w:rPr>
          <w:rFonts w:ascii="Book Antiqua" w:hAnsi="Book Antiqua"/>
          <w:b/>
          <w:lang w:val="en-GB"/>
        </w:rPr>
        <w:t>Treating children with inflammatory bowel disease</w:t>
      </w:r>
      <w:r w:rsidR="00D43973" w:rsidRPr="00043244">
        <w:rPr>
          <w:rFonts w:ascii="Book Antiqua" w:hAnsi="Book Antiqua"/>
          <w:b/>
          <w:lang w:val="en-GB"/>
        </w:rPr>
        <w:t xml:space="preserve">: </w:t>
      </w:r>
      <w:r w:rsidRPr="00043244">
        <w:rPr>
          <w:rFonts w:ascii="Book Antiqua" w:hAnsi="Book Antiqua"/>
          <w:b/>
          <w:lang w:val="en-GB"/>
        </w:rPr>
        <w:t xml:space="preserve">Current </w:t>
      </w:r>
      <w:r w:rsidR="00D43973" w:rsidRPr="00043244">
        <w:rPr>
          <w:rFonts w:ascii="Book Antiqua" w:hAnsi="Book Antiqua"/>
          <w:b/>
          <w:lang w:val="en-GB"/>
        </w:rPr>
        <w:t>and new perspectives</w:t>
      </w:r>
    </w:p>
    <w:p w14:paraId="19689610" w14:textId="77777777" w:rsidR="00D43973" w:rsidRPr="00043244" w:rsidRDefault="00D43973" w:rsidP="006A3266">
      <w:pPr>
        <w:spacing w:line="360" w:lineRule="auto"/>
        <w:jc w:val="both"/>
        <w:rPr>
          <w:rFonts w:ascii="Book Antiqua" w:hAnsi="Book Antiqua"/>
          <w:lang w:val="en-GB"/>
        </w:rPr>
      </w:pPr>
    </w:p>
    <w:p w14:paraId="5C51A0A7" w14:textId="6E8AFAF8" w:rsidR="00D43973" w:rsidRPr="00043244" w:rsidRDefault="00043244" w:rsidP="006A3266">
      <w:pPr>
        <w:spacing w:line="360" w:lineRule="auto"/>
        <w:jc w:val="both"/>
        <w:rPr>
          <w:rFonts w:ascii="Book Antiqua" w:hAnsi="Book Antiqua"/>
          <w:lang w:val="en-GB" w:eastAsia="zh-CN"/>
        </w:rPr>
      </w:pPr>
      <w:r w:rsidRPr="00043244">
        <w:rPr>
          <w:rFonts w:ascii="Book Antiqua" w:hAnsi="Book Antiqua"/>
          <w:lang w:val="en-GB"/>
        </w:rPr>
        <w:t xml:space="preserve">Guariso G </w:t>
      </w:r>
      <w:r w:rsidRPr="00043244">
        <w:rPr>
          <w:rFonts w:ascii="Book Antiqua" w:hAnsi="Book Antiqua"/>
          <w:i/>
          <w:lang w:val="en-GB"/>
        </w:rPr>
        <w:t>et al</w:t>
      </w:r>
      <w:r w:rsidRPr="00043244">
        <w:rPr>
          <w:rFonts w:ascii="Book Antiqua" w:hAnsi="Book Antiqua"/>
          <w:lang w:val="en-GB"/>
        </w:rPr>
        <w:t xml:space="preserve">. </w:t>
      </w:r>
      <w:r w:rsidR="00D43973" w:rsidRPr="00043244">
        <w:rPr>
          <w:rFonts w:ascii="Book Antiqua" w:hAnsi="Book Antiqua"/>
          <w:lang w:val="en-GB"/>
        </w:rPr>
        <w:t>Advances in treating paediatric</w:t>
      </w:r>
      <w:r w:rsidR="00FD3B2E">
        <w:rPr>
          <w:rFonts w:ascii="Book Antiqua" w:hAnsi="Book Antiqua" w:hint="eastAsia"/>
          <w:lang w:val="en-GB" w:eastAsia="zh-CN"/>
        </w:rPr>
        <w:t xml:space="preserve"> IBD</w:t>
      </w:r>
    </w:p>
    <w:p w14:paraId="1B3766B3" w14:textId="77777777" w:rsidR="004B0A75" w:rsidRPr="008714A7" w:rsidRDefault="004B0A75" w:rsidP="006A3266">
      <w:pPr>
        <w:spacing w:line="360" w:lineRule="auto"/>
        <w:jc w:val="both"/>
        <w:rPr>
          <w:rFonts w:ascii="Book Antiqua" w:hAnsi="Book Antiqua"/>
          <w:color w:val="0070C0"/>
          <w:lang w:val="en-GB"/>
        </w:rPr>
      </w:pPr>
    </w:p>
    <w:p w14:paraId="392DAC4F" w14:textId="1933599F" w:rsidR="00994975" w:rsidRPr="008714A7" w:rsidRDefault="00994975" w:rsidP="006A3266">
      <w:pPr>
        <w:spacing w:line="360" w:lineRule="auto"/>
        <w:jc w:val="both"/>
        <w:rPr>
          <w:rFonts w:ascii="Book Antiqua" w:hAnsi="Book Antiqua"/>
          <w:color w:val="000000" w:themeColor="text1"/>
          <w:lang w:val="it-IT"/>
        </w:rPr>
      </w:pPr>
      <w:r w:rsidRPr="008714A7">
        <w:rPr>
          <w:rFonts w:ascii="Book Antiqua" w:hAnsi="Book Antiqua"/>
          <w:color w:val="000000" w:themeColor="text1"/>
          <w:lang w:val="it-IT"/>
        </w:rPr>
        <w:t>Graziella Guariso</w:t>
      </w:r>
      <w:r w:rsidR="00091001" w:rsidRPr="008714A7">
        <w:rPr>
          <w:rFonts w:ascii="Book Antiqua" w:hAnsi="Book Antiqua"/>
          <w:color w:val="000000" w:themeColor="text1"/>
          <w:lang w:val="it-IT"/>
        </w:rPr>
        <w:t>, Marco Gasparetto</w:t>
      </w:r>
    </w:p>
    <w:p w14:paraId="13E033FF" w14:textId="77777777" w:rsidR="004B0A75" w:rsidRDefault="004B0A75" w:rsidP="006A3266">
      <w:pPr>
        <w:spacing w:line="360" w:lineRule="auto"/>
        <w:jc w:val="both"/>
        <w:rPr>
          <w:rFonts w:ascii="Book Antiqua" w:hAnsi="Book Antiqua"/>
          <w:b/>
          <w:lang w:val="it-IT"/>
        </w:rPr>
      </w:pPr>
    </w:p>
    <w:p w14:paraId="12465670" w14:textId="77777777" w:rsidR="00091001" w:rsidRPr="00994975" w:rsidRDefault="00091001" w:rsidP="006A3266">
      <w:pPr>
        <w:spacing w:line="360" w:lineRule="auto"/>
        <w:jc w:val="both"/>
        <w:rPr>
          <w:rFonts w:ascii="Book Antiqua" w:hAnsi="Book Antiqua"/>
          <w:lang w:val="it-IT"/>
        </w:rPr>
      </w:pPr>
      <w:r w:rsidRPr="00994975">
        <w:rPr>
          <w:rFonts w:ascii="Book Antiqua" w:hAnsi="Book Antiqua"/>
          <w:b/>
          <w:lang w:val="it-IT"/>
        </w:rPr>
        <w:t>Graziella Guariso</w:t>
      </w:r>
      <w:r w:rsidRPr="00994975">
        <w:rPr>
          <w:rFonts w:ascii="Book Antiqua" w:hAnsi="Book Antiqua"/>
          <w:lang w:val="it-IT"/>
        </w:rPr>
        <w:t>, University of Padova, Padova 35100, Italy</w:t>
      </w:r>
    </w:p>
    <w:p w14:paraId="2E050966" w14:textId="77777777" w:rsidR="00091001" w:rsidRPr="00932691" w:rsidRDefault="00091001" w:rsidP="006A3266">
      <w:pPr>
        <w:spacing w:line="360" w:lineRule="auto"/>
        <w:jc w:val="both"/>
        <w:rPr>
          <w:rFonts w:ascii="Book Antiqua" w:hAnsi="Book Antiqua"/>
          <w:b/>
          <w:lang w:val="it-IT"/>
        </w:rPr>
      </w:pPr>
    </w:p>
    <w:p w14:paraId="0D98C13D" w14:textId="7C884DA7" w:rsidR="00043244" w:rsidRPr="00043244" w:rsidRDefault="00043244" w:rsidP="006A3266">
      <w:pPr>
        <w:spacing w:line="360" w:lineRule="auto"/>
        <w:jc w:val="both"/>
        <w:rPr>
          <w:rFonts w:ascii="Book Antiqua" w:hAnsi="Book Antiqua"/>
          <w:lang w:val="en-GB" w:eastAsia="zh-CN"/>
        </w:rPr>
      </w:pPr>
      <w:r w:rsidRPr="00043244">
        <w:rPr>
          <w:rFonts w:ascii="Book Antiqua" w:hAnsi="Book Antiqua"/>
          <w:b/>
          <w:lang w:val="en-GB"/>
        </w:rPr>
        <w:t>Marco Gasparetto</w:t>
      </w:r>
      <w:r w:rsidRPr="00043244">
        <w:rPr>
          <w:rFonts w:ascii="Book Antiqua" w:hAnsi="Book Antiqua"/>
          <w:lang w:val="en-GB"/>
        </w:rPr>
        <w:t>,</w:t>
      </w:r>
      <w:r w:rsidR="00020B09">
        <w:rPr>
          <w:rFonts w:ascii="Book Antiqua" w:hAnsi="Book Antiqua" w:hint="eastAsia"/>
          <w:lang w:val="en-GB" w:eastAsia="zh-CN"/>
        </w:rPr>
        <w:t xml:space="preserve"> </w:t>
      </w:r>
      <w:r w:rsidRPr="00043244">
        <w:rPr>
          <w:rFonts w:ascii="Book Antiqua" w:hAnsi="Book Antiqua"/>
          <w:lang w:val="en-GB"/>
        </w:rPr>
        <w:t>Cambridge University Hospitals CUH-FT,</w:t>
      </w:r>
      <w:r w:rsidR="00020B09">
        <w:rPr>
          <w:rFonts w:ascii="Book Antiqua" w:hAnsi="Book Antiqua" w:hint="eastAsia"/>
          <w:lang w:val="en-GB" w:eastAsia="zh-CN"/>
        </w:rPr>
        <w:t xml:space="preserve"> </w:t>
      </w:r>
      <w:r w:rsidR="000742E6">
        <w:rPr>
          <w:rFonts w:ascii="Book Antiqua" w:hAnsi="Book Antiqua"/>
          <w:lang w:val="en-GB"/>
        </w:rPr>
        <w:t xml:space="preserve">Department of Paediatric Gastroenterology, </w:t>
      </w:r>
      <w:r w:rsidRPr="00043244">
        <w:rPr>
          <w:rFonts w:ascii="Book Antiqua" w:hAnsi="Book Antiqua"/>
          <w:lang w:val="en-GB"/>
        </w:rPr>
        <w:t>Ca</w:t>
      </w:r>
      <w:r w:rsidR="008714A7">
        <w:rPr>
          <w:rFonts w:ascii="Book Antiqua" w:hAnsi="Book Antiqua"/>
          <w:lang w:val="en-GB"/>
        </w:rPr>
        <w:t>mbridge CB2 0QQ, United Kingdom</w:t>
      </w:r>
    </w:p>
    <w:p w14:paraId="254AC1C8" w14:textId="77777777" w:rsidR="00D43973" w:rsidRPr="00932691" w:rsidRDefault="00D43973" w:rsidP="006A3266">
      <w:pPr>
        <w:spacing w:line="360" w:lineRule="auto"/>
        <w:jc w:val="both"/>
        <w:rPr>
          <w:rFonts w:ascii="Book Antiqua" w:hAnsi="Book Antiqua"/>
          <w:lang w:val="it-IT"/>
        </w:rPr>
      </w:pPr>
    </w:p>
    <w:p w14:paraId="3FF8DBDD" w14:textId="010B2C8E" w:rsidR="003F587C" w:rsidRPr="00043244" w:rsidRDefault="00091001" w:rsidP="006A3266">
      <w:pPr>
        <w:spacing w:line="360" w:lineRule="auto"/>
        <w:jc w:val="both"/>
        <w:rPr>
          <w:rFonts w:ascii="Book Antiqua" w:hAnsi="Book Antiqua"/>
          <w:lang w:val="en-GB"/>
        </w:rPr>
      </w:pPr>
      <w:r>
        <w:rPr>
          <w:rFonts w:ascii="Book Antiqua" w:hAnsi="Book Antiqua"/>
          <w:b/>
          <w:lang w:val="en-GB"/>
        </w:rPr>
        <w:t>Author contri</w:t>
      </w:r>
      <w:r w:rsidR="00043244" w:rsidRPr="00043244">
        <w:rPr>
          <w:rFonts w:ascii="Book Antiqua" w:hAnsi="Book Antiqua"/>
          <w:b/>
          <w:lang w:val="en-GB"/>
        </w:rPr>
        <w:t>butions</w:t>
      </w:r>
      <w:r w:rsidR="00D43973" w:rsidRPr="00043244">
        <w:rPr>
          <w:rFonts w:ascii="Book Antiqua" w:hAnsi="Book Antiqua"/>
          <w:b/>
          <w:lang w:val="en-GB"/>
        </w:rPr>
        <w:t>:</w:t>
      </w:r>
      <w:r w:rsidR="00043244" w:rsidRPr="00043244">
        <w:rPr>
          <w:rFonts w:ascii="Book Antiqua" w:hAnsi="Book Antiqua"/>
          <w:b/>
          <w:lang w:val="en-GB"/>
        </w:rPr>
        <w:t xml:space="preserve"> </w:t>
      </w:r>
      <w:r w:rsidR="003F587C" w:rsidRPr="00043244">
        <w:rPr>
          <w:rFonts w:ascii="Book Antiqua" w:hAnsi="Book Antiqua"/>
          <w:lang w:val="en-GB"/>
        </w:rPr>
        <w:t>Guariso G and Gasparetto M contributed equally to this work in respect to designing the review, contributing to the manuscript with intellectual content, writing the paper and final approval of the version to be published.</w:t>
      </w:r>
    </w:p>
    <w:p w14:paraId="27C9FB3D" w14:textId="1D2EB368" w:rsidR="00043244" w:rsidRPr="00043244" w:rsidRDefault="00043244" w:rsidP="006A3266">
      <w:pPr>
        <w:spacing w:line="360" w:lineRule="auto"/>
        <w:jc w:val="both"/>
        <w:rPr>
          <w:rFonts w:ascii="Book Antiqua" w:hAnsi="Book Antiqua"/>
          <w:lang w:val="en-GB" w:eastAsia="zh-CN"/>
        </w:rPr>
      </w:pPr>
    </w:p>
    <w:p w14:paraId="0AB80BF6" w14:textId="77777777" w:rsidR="00043244" w:rsidRDefault="00043244" w:rsidP="006A3266">
      <w:pPr>
        <w:spacing w:line="360" w:lineRule="auto"/>
        <w:jc w:val="both"/>
        <w:rPr>
          <w:rFonts w:ascii="Book Antiqua" w:hAnsi="Book Antiqua" w:cs="≠ò[ˇ"/>
          <w:lang w:eastAsia="zh-CN"/>
        </w:rPr>
      </w:pPr>
      <w:r w:rsidRPr="00043244">
        <w:rPr>
          <w:rFonts w:ascii="Book Antiqua" w:hAnsi="Book Antiqua" w:cs="≠ò[ˇ"/>
          <w:b/>
        </w:rPr>
        <w:t>Conflict-of-interest statement:</w:t>
      </w:r>
      <w:r w:rsidRPr="00043244">
        <w:rPr>
          <w:rFonts w:ascii="Book Antiqua" w:hAnsi="Book Antiqua" w:cs="≠ò[ˇ"/>
        </w:rPr>
        <w:t xml:space="preserve"> No potential conflicts of interest. No financial support.</w:t>
      </w:r>
    </w:p>
    <w:p w14:paraId="1570A320" w14:textId="77777777" w:rsidR="008714A7" w:rsidRPr="00717BA3" w:rsidRDefault="008714A7" w:rsidP="006A3266">
      <w:pPr>
        <w:spacing w:line="360" w:lineRule="auto"/>
        <w:jc w:val="both"/>
        <w:rPr>
          <w:rFonts w:ascii="Book Antiqua" w:hAnsi="Book Antiqua"/>
          <w:b/>
          <w:lang w:val="en-GB" w:eastAsia="zh-CN"/>
        </w:rPr>
      </w:pPr>
    </w:p>
    <w:p w14:paraId="035BB057" w14:textId="77777777" w:rsidR="00632F84" w:rsidRPr="00164EDB" w:rsidRDefault="00632F84" w:rsidP="006A3266">
      <w:pPr>
        <w:spacing w:line="360" w:lineRule="auto"/>
        <w:jc w:val="both"/>
        <w:rPr>
          <w:rFonts w:ascii="Book Antiqua" w:hAnsi="Book Antiqua"/>
          <w:b/>
          <w:color w:val="000000"/>
        </w:rPr>
      </w:pPr>
      <w:bookmarkStart w:id="12" w:name="OLE_LINK155"/>
      <w:bookmarkStart w:id="13" w:name="OLE_LINK183"/>
      <w:bookmarkStart w:id="14" w:name="OLE_LINK441"/>
      <w:r w:rsidRPr="00164EDB">
        <w:rPr>
          <w:rFonts w:ascii="Book Antiqua" w:hAnsi="Book Antiqua"/>
          <w:b/>
          <w:color w:val="000000"/>
        </w:rPr>
        <w:t xml:space="preserve">Open-Access: </w:t>
      </w:r>
      <w:r w:rsidRPr="00164EDB">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bookmarkEnd w:id="14"/>
    <w:p w14:paraId="6F88AF67" w14:textId="77777777" w:rsidR="00632F84" w:rsidRPr="00712F63" w:rsidRDefault="00632F84" w:rsidP="006A3266">
      <w:pPr>
        <w:spacing w:line="360" w:lineRule="auto"/>
        <w:jc w:val="both"/>
        <w:rPr>
          <w:rFonts w:ascii="Book Antiqua" w:hAnsi="Book Antiqua" w:cs="Arial Unicode MS"/>
          <w:color w:val="000000"/>
        </w:rPr>
      </w:pPr>
    </w:p>
    <w:p w14:paraId="69BDEC4A" w14:textId="77777777" w:rsidR="00632F84" w:rsidRPr="00712F63" w:rsidRDefault="00632F84" w:rsidP="006A3266">
      <w:pPr>
        <w:spacing w:line="360" w:lineRule="auto"/>
        <w:jc w:val="both"/>
        <w:rPr>
          <w:rFonts w:ascii="Book Antiqua" w:hAnsi="Book Antiqua" w:cs="Arial Unicode MS"/>
          <w:color w:val="000000"/>
        </w:rPr>
      </w:pPr>
    </w:p>
    <w:p w14:paraId="361EC60C" w14:textId="77777777" w:rsidR="00632F84" w:rsidRPr="000D1F92" w:rsidRDefault="00632F84" w:rsidP="006A3266">
      <w:pPr>
        <w:spacing w:line="360" w:lineRule="auto"/>
        <w:jc w:val="both"/>
        <w:rPr>
          <w:rFonts w:ascii="Book Antiqua" w:hAnsi="Book Antiqua" w:cs="Arial Unicode MS"/>
          <w:color w:val="000000"/>
        </w:rPr>
      </w:pPr>
      <w:r w:rsidRPr="000D1F92">
        <w:rPr>
          <w:rFonts w:ascii="Book Antiqua" w:hAnsi="Book Antiqua" w:cs="Arial Unicode MS"/>
          <w:b/>
          <w:color w:val="000000"/>
        </w:rPr>
        <w:t>Manuscript source:</w:t>
      </w:r>
      <w:r w:rsidRPr="000D1F92">
        <w:rPr>
          <w:rFonts w:ascii="Book Antiqua" w:hAnsi="Book Antiqua" w:cs="Arial Unicode MS"/>
          <w:color w:val="000000"/>
        </w:rPr>
        <w:t xml:space="preserve"> Invited manuscript</w:t>
      </w:r>
    </w:p>
    <w:p w14:paraId="55A09B2A" w14:textId="77777777" w:rsidR="00632F84" w:rsidRDefault="00632F84" w:rsidP="006A3266">
      <w:pPr>
        <w:spacing w:line="360" w:lineRule="auto"/>
        <w:jc w:val="both"/>
        <w:rPr>
          <w:rFonts w:ascii="Book Antiqua" w:hAnsi="Book Antiqua"/>
          <w:b/>
          <w:lang w:eastAsia="zh-CN"/>
        </w:rPr>
      </w:pPr>
    </w:p>
    <w:p w14:paraId="555C7817" w14:textId="5C06F4F8" w:rsidR="003F587C" w:rsidRPr="008714A7" w:rsidRDefault="00043244" w:rsidP="006A3266">
      <w:pPr>
        <w:spacing w:line="360" w:lineRule="auto"/>
        <w:jc w:val="both"/>
        <w:rPr>
          <w:rFonts w:ascii="Book Antiqua" w:hAnsi="Book Antiqua"/>
          <w:b/>
          <w:color w:val="4472C4" w:themeColor="accent5"/>
          <w:lang w:val="en-GB" w:eastAsia="zh-CN"/>
        </w:rPr>
      </w:pPr>
      <w:r w:rsidRPr="00043244">
        <w:rPr>
          <w:rFonts w:ascii="Book Antiqua" w:hAnsi="Book Antiqua"/>
          <w:b/>
          <w:lang w:val="en-GB"/>
        </w:rPr>
        <w:t xml:space="preserve">Correspondence to: </w:t>
      </w:r>
      <w:r w:rsidR="003F587C" w:rsidRPr="008714A7">
        <w:rPr>
          <w:rFonts w:ascii="Book Antiqua" w:hAnsi="Book Antiqua" w:cs="≠ò[ˇ"/>
          <w:b/>
        </w:rPr>
        <w:t>Graziella Guariso</w:t>
      </w:r>
      <w:r w:rsidR="004B0A75" w:rsidRPr="008714A7">
        <w:rPr>
          <w:rFonts w:ascii="Book Antiqua" w:hAnsi="Book Antiqua" w:cs="≠ò[ˇ"/>
          <w:b/>
        </w:rPr>
        <w:t>, Prof</w:t>
      </w:r>
      <w:r w:rsidR="008714A7" w:rsidRPr="008714A7">
        <w:rPr>
          <w:rFonts w:ascii="Book Antiqua" w:hAnsi="Book Antiqua" w:cs="≠ò[ˇ" w:hint="eastAsia"/>
          <w:b/>
          <w:lang w:eastAsia="zh-CN"/>
        </w:rPr>
        <w:t>essor,</w:t>
      </w:r>
      <w:r w:rsidR="0041501B" w:rsidRPr="008714A7">
        <w:rPr>
          <w:rFonts w:ascii="Book Antiqua" w:hAnsi="Book Antiqua" w:cs="≠ò[ˇ"/>
          <w:b/>
        </w:rPr>
        <w:t xml:space="preserve"> Paediatric Gastroenterolog</w:t>
      </w:r>
      <w:r w:rsidR="009347D2" w:rsidRPr="008714A7">
        <w:rPr>
          <w:rFonts w:ascii="Book Antiqua" w:hAnsi="Book Antiqua" w:cs="≠ò[ˇ"/>
          <w:b/>
        </w:rPr>
        <w:t>ist</w:t>
      </w:r>
      <w:r w:rsidR="00717BA3" w:rsidRPr="008714A7">
        <w:rPr>
          <w:rFonts w:ascii="Book Antiqua" w:hAnsi="Book Antiqua" w:cs="≠ò[ˇ"/>
          <w:b/>
        </w:rPr>
        <w:t>,</w:t>
      </w:r>
      <w:r w:rsidR="00091001" w:rsidRPr="008714A7">
        <w:rPr>
          <w:rFonts w:ascii="Book Antiqua" w:hAnsi="Book Antiqua" w:cs="≠ò[ˇ"/>
          <w:b/>
        </w:rPr>
        <w:t xml:space="preserve"> </w:t>
      </w:r>
      <w:r w:rsidR="00091001" w:rsidRPr="00091001">
        <w:rPr>
          <w:rFonts w:ascii="Book Antiqua" w:hAnsi="Book Antiqua" w:cs="≠ò[ˇ"/>
        </w:rPr>
        <w:t xml:space="preserve">University Lecturer, </w:t>
      </w:r>
      <w:r w:rsidR="00717BA3" w:rsidRPr="00091001">
        <w:rPr>
          <w:rFonts w:ascii="Book Antiqua" w:hAnsi="Book Antiqua" w:cs="≠ò[ˇ"/>
        </w:rPr>
        <w:t xml:space="preserve">University of Padova, </w:t>
      </w:r>
      <w:r w:rsidR="008714A7" w:rsidRPr="008714A7">
        <w:rPr>
          <w:rFonts w:ascii="Book Antiqua" w:hAnsi="Book Antiqua" w:cs="≠ò[ˇ"/>
        </w:rPr>
        <w:t xml:space="preserve">Via 8 Febbraio 1848, 2, </w:t>
      </w:r>
      <w:r w:rsidR="00717BA3" w:rsidRPr="00091001">
        <w:rPr>
          <w:rFonts w:ascii="Book Antiqua" w:hAnsi="Book Antiqua" w:cs="≠ò[ˇ"/>
        </w:rPr>
        <w:t>Padova 35100, Italy</w:t>
      </w:r>
      <w:r w:rsidR="008714A7">
        <w:rPr>
          <w:rFonts w:ascii="Book Antiqua" w:hAnsi="Book Antiqua" w:cs="≠ò[ˇ" w:hint="eastAsia"/>
          <w:lang w:eastAsia="zh-CN"/>
        </w:rPr>
        <w:t>.</w:t>
      </w:r>
      <w:r w:rsidR="0041501B" w:rsidRPr="00091001">
        <w:rPr>
          <w:rFonts w:ascii="Book Antiqua" w:hAnsi="Book Antiqua"/>
        </w:rPr>
        <w:t xml:space="preserve"> </w:t>
      </w:r>
      <w:hyperlink r:id="rId8" w:history="1">
        <w:r w:rsidR="008921C6" w:rsidRPr="00091001">
          <w:rPr>
            <w:rStyle w:val="Hyperlink"/>
            <w:rFonts w:ascii="Book Antiqua" w:hAnsi="Book Antiqua"/>
          </w:rPr>
          <w:t>graziella.guariso@gmail.com</w:t>
        </w:r>
      </w:hyperlink>
    </w:p>
    <w:p w14:paraId="5777F32E" w14:textId="58FCC32B" w:rsidR="00043244" w:rsidRPr="00091001" w:rsidRDefault="00043244" w:rsidP="006A3266">
      <w:pPr>
        <w:spacing w:line="360" w:lineRule="auto"/>
        <w:jc w:val="both"/>
        <w:rPr>
          <w:rFonts w:ascii="Book Antiqua" w:hAnsi="Book Antiqua"/>
        </w:rPr>
      </w:pPr>
      <w:r w:rsidRPr="00091001">
        <w:rPr>
          <w:rFonts w:ascii="Book Antiqua" w:hAnsi="Book Antiqua"/>
          <w:b/>
        </w:rPr>
        <w:t>Telephone:</w:t>
      </w:r>
      <w:r w:rsidR="00091001">
        <w:rPr>
          <w:rFonts w:ascii="Book Antiqua" w:hAnsi="Book Antiqua"/>
          <w:b/>
        </w:rPr>
        <w:t xml:space="preserve"> </w:t>
      </w:r>
      <w:r w:rsidR="008714A7">
        <w:rPr>
          <w:rFonts w:ascii="Book Antiqua" w:hAnsi="Book Antiqua" w:hint="eastAsia"/>
          <w:lang w:eastAsia="zh-CN"/>
        </w:rPr>
        <w:t>+</w:t>
      </w:r>
      <w:r w:rsidR="009347D2" w:rsidRPr="00091001">
        <w:rPr>
          <w:rFonts w:ascii="Book Antiqua" w:hAnsi="Book Antiqua"/>
        </w:rPr>
        <w:t>39</w:t>
      </w:r>
      <w:r w:rsidR="008714A7">
        <w:rPr>
          <w:rFonts w:ascii="Book Antiqua" w:hAnsi="Book Antiqua" w:hint="eastAsia"/>
          <w:lang w:eastAsia="zh-CN"/>
        </w:rPr>
        <w:t>-</w:t>
      </w:r>
      <w:r w:rsidR="009347D2" w:rsidRPr="00091001">
        <w:rPr>
          <w:rFonts w:ascii="Book Antiqua" w:hAnsi="Book Antiqua"/>
        </w:rPr>
        <w:t>49</w:t>
      </w:r>
      <w:r w:rsidR="008714A7">
        <w:rPr>
          <w:rFonts w:ascii="Book Antiqua" w:hAnsi="Book Antiqua" w:hint="eastAsia"/>
          <w:lang w:eastAsia="zh-CN"/>
        </w:rPr>
        <w:t>-</w:t>
      </w:r>
      <w:r w:rsidR="009347D2" w:rsidRPr="00091001">
        <w:rPr>
          <w:rFonts w:ascii="Book Antiqua" w:hAnsi="Book Antiqua"/>
        </w:rPr>
        <w:t>8</w:t>
      </w:r>
      <w:r w:rsidR="00214C0D" w:rsidRPr="00091001">
        <w:rPr>
          <w:rFonts w:ascii="Book Antiqua" w:hAnsi="Book Antiqua"/>
        </w:rPr>
        <w:t>6</w:t>
      </w:r>
      <w:r w:rsidR="009347D2" w:rsidRPr="00091001">
        <w:rPr>
          <w:rFonts w:ascii="Book Antiqua" w:hAnsi="Book Antiqua"/>
        </w:rPr>
        <w:t>25753</w:t>
      </w:r>
    </w:p>
    <w:p w14:paraId="2FB909F9" w14:textId="320A7FFD" w:rsidR="00043244" w:rsidRPr="00091001" w:rsidRDefault="00043244" w:rsidP="006A3266">
      <w:pPr>
        <w:spacing w:line="360" w:lineRule="auto"/>
        <w:jc w:val="both"/>
        <w:rPr>
          <w:rFonts w:ascii="Book Antiqua" w:hAnsi="Book Antiqua"/>
          <w:lang w:val="en-GB"/>
        </w:rPr>
      </w:pPr>
      <w:r w:rsidRPr="00091001">
        <w:rPr>
          <w:rFonts w:ascii="Book Antiqua" w:hAnsi="Book Antiqua"/>
          <w:b/>
        </w:rPr>
        <w:t>Fax:</w:t>
      </w:r>
      <w:r w:rsidR="008714A7">
        <w:rPr>
          <w:rFonts w:ascii="Book Antiqua" w:hAnsi="Book Antiqua" w:hint="eastAsia"/>
          <w:b/>
          <w:lang w:eastAsia="zh-CN"/>
        </w:rPr>
        <w:t xml:space="preserve"> </w:t>
      </w:r>
      <w:r w:rsidR="008714A7">
        <w:rPr>
          <w:rFonts w:ascii="Book Antiqua" w:hAnsi="Book Antiqua" w:hint="eastAsia"/>
          <w:lang w:eastAsia="zh-CN"/>
        </w:rPr>
        <w:t>+</w:t>
      </w:r>
      <w:r w:rsidR="00214C0D" w:rsidRPr="00091001">
        <w:rPr>
          <w:rFonts w:ascii="Book Antiqua" w:hAnsi="Book Antiqua"/>
        </w:rPr>
        <w:t>39</w:t>
      </w:r>
      <w:r w:rsidR="008714A7">
        <w:rPr>
          <w:rFonts w:ascii="Book Antiqua" w:hAnsi="Book Antiqua" w:hint="eastAsia"/>
          <w:lang w:eastAsia="zh-CN"/>
        </w:rPr>
        <w:t>-</w:t>
      </w:r>
      <w:r w:rsidR="00214C0D" w:rsidRPr="00091001">
        <w:rPr>
          <w:rFonts w:ascii="Book Antiqua" w:hAnsi="Book Antiqua"/>
        </w:rPr>
        <w:t>49</w:t>
      </w:r>
      <w:r w:rsidR="008714A7">
        <w:rPr>
          <w:rFonts w:ascii="Book Antiqua" w:hAnsi="Book Antiqua" w:hint="eastAsia"/>
          <w:lang w:eastAsia="zh-CN"/>
        </w:rPr>
        <w:t>-</w:t>
      </w:r>
      <w:r w:rsidR="00214C0D" w:rsidRPr="00091001">
        <w:rPr>
          <w:rFonts w:ascii="Book Antiqua" w:hAnsi="Book Antiqua"/>
        </w:rPr>
        <w:t>8625753</w:t>
      </w:r>
    </w:p>
    <w:p w14:paraId="68C05C43" w14:textId="77777777" w:rsidR="008921C6" w:rsidRDefault="008921C6" w:rsidP="006A3266">
      <w:pPr>
        <w:spacing w:line="360" w:lineRule="auto"/>
        <w:jc w:val="both"/>
        <w:rPr>
          <w:sz w:val="23"/>
          <w:szCs w:val="23"/>
        </w:rPr>
      </w:pPr>
    </w:p>
    <w:p w14:paraId="2F9777B5" w14:textId="3D3DF6E2" w:rsidR="008714A7" w:rsidRDefault="008714A7" w:rsidP="006A3266">
      <w:pPr>
        <w:spacing w:line="360" w:lineRule="auto"/>
        <w:jc w:val="both"/>
        <w:rPr>
          <w:rFonts w:ascii="Book Antiqua" w:hAnsi="Book Antiqua"/>
          <w:b/>
          <w:lang w:eastAsia="zh-CN"/>
        </w:rPr>
      </w:pPr>
      <w:bookmarkStart w:id="15" w:name="OLE_LINK476"/>
      <w:bookmarkStart w:id="16" w:name="OLE_LINK477"/>
      <w:bookmarkStart w:id="17" w:name="OLE_LINK117"/>
      <w:bookmarkStart w:id="18" w:name="OLE_LINK528"/>
      <w:bookmarkStart w:id="19" w:name="OLE_LINK557"/>
      <w:r>
        <w:rPr>
          <w:rFonts w:ascii="Book Antiqua" w:hAnsi="Book Antiqua"/>
          <w:b/>
        </w:rPr>
        <w:t>Received:</w:t>
      </w:r>
      <w:r>
        <w:rPr>
          <w:rFonts w:ascii="Book Antiqua" w:hAnsi="Book Antiqua" w:hint="eastAsia"/>
          <w:b/>
          <w:lang w:eastAsia="zh-CN"/>
        </w:rPr>
        <w:t xml:space="preserve"> </w:t>
      </w:r>
      <w:r w:rsidRPr="008714A7">
        <w:rPr>
          <w:rFonts w:ascii="Book Antiqua" w:hAnsi="Book Antiqua" w:hint="eastAsia"/>
          <w:lang w:eastAsia="zh-CN"/>
        </w:rPr>
        <w:t>February 26, 2017</w:t>
      </w:r>
    </w:p>
    <w:p w14:paraId="60D81B44" w14:textId="6605FE36" w:rsidR="008714A7" w:rsidRDefault="008714A7" w:rsidP="006A3266">
      <w:pPr>
        <w:spacing w:line="360" w:lineRule="auto"/>
        <w:jc w:val="both"/>
        <w:rPr>
          <w:rFonts w:ascii="Book Antiqua" w:hAnsi="Book Antiqua"/>
          <w:b/>
        </w:rPr>
      </w:pPr>
      <w:r w:rsidRPr="009659DA">
        <w:rPr>
          <w:rFonts w:ascii="Book Antiqua" w:hAnsi="Book Antiqua" w:hint="eastAsia"/>
          <w:b/>
        </w:rPr>
        <w:t>Peer-review started</w:t>
      </w:r>
      <w:r>
        <w:rPr>
          <w:rFonts w:ascii="Book Antiqua" w:hAnsi="Book Antiqua"/>
          <w:b/>
        </w:rPr>
        <w:t>:</w:t>
      </w:r>
      <w:r w:rsidRPr="008714A7">
        <w:rPr>
          <w:rFonts w:ascii="Book Antiqua" w:hAnsi="Book Antiqua" w:hint="eastAsia"/>
          <w:lang w:eastAsia="zh-CN"/>
        </w:rPr>
        <w:t xml:space="preserve"> February </w:t>
      </w:r>
      <w:r>
        <w:rPr>
          <w:rFonts w:ascii="Book Antiqua" w:hAnsi="Book Antiqua" w:hint="eastAsia"/>
          <w:lang w:eastAsia="zh-CN"/>
        </w:rPr>
        <w:t>28</w:t>
      </w:r>
      <w:r w:rsidRPr="008714A7">
        <w:rPr>
          <w:rFonts w:ascii="Book Antiqua" w:hAnsi="Book Antiqua" w:hint="eastAsia"/>
          <w:lang w:eastAsia="zh-CN"/>
        </w:rPr>
        <w:t>, 2017</w:t>
      </w:r>
    </w:p>
    <w:p w14:paraId="5D9AE89A" w14:textId="3E5D0331" w:rsidR="008714A7" w:rsidRDefault="008714A7" w:rsidP="006A3266">
      <w:pPr>
        <w:spacing w:line="360" w:lineRule="auto"/>
        <w:jc w:val="both"/>
        <w:rPr>
          <w:rFonts w:ascii="Book Antiqua" w:hAnsi="Book Antiqua"/>
          <w:b/>
          <w:lang w:eastAsia="zh-CN"/>
        </w:rPr>
      </w:pPr>
      <w:r w:rsidRPr="009659DA">
        <w:rPr>
          <w:rFonts w:ascii="Book Antiqua" w:hAnsi="Book Antiqua"/>
          <w:b/>
        </w:rPr>
        <w:t>First decision:</w:t>
      </w:r>
      <w:r>
        <w:rPr>
          <w:rFonts w:ascii="Book Antiqua" w:hAnsi="Book Antiqua" w:hint="eastAsia"/>
          <w:b/>
          <w:lang w:eastAsia="zh-CN"/>
        </w:rPr>
        <w:t xml:space="preserve"> </w:t>
      </w:r>
      <w:r w:rsidRPr="008714A7">
        <w:rPr>
          <w:rFonts w:ascii="Book Antiqua" w:hAnsi="Book Antiqua" w:hint="eastAsia"/>
          <w:lang w:eastAsia="zh-CN"/>
        </w:rPr>
        <w:t>April 7, 2017</w:t>
      </w:r>
    </w:p>
    <w:p w14:paraId="1ADA412D" w14:textId="115056E1" w:rsidR="008714A7" w:rsidRDefault="008714A7" w:rsidP="006A3266">
      <w:pPr>
        <w:spacing w:line="360" w:lineRule="auto"/>
        <w:jc w:val="both"/>
        <w:rPr>
          <w:rFonts w:ascii="Book Antiqua" w:hAnsi="Book Antiqua"/>
          <w:b/>
          <w:lang w:eastAsia="zh-CN"/>
        </w:rPr>
      </w:pPr>
      <w:r>
        <w:rPr>
          <w:rFonts w:ascii="Book Antiqua" w:hAnsi="Book Antiqua"/>
          <w:b/>
        </w:rPr>
        <w:t>Revised:</w:t>
      </w:r>
      <w:r>
        <w:rPr>
          <w:rFonts w:ascii="Book Antiqua" w:hAnsi="Book Antiqua" w:hint="eastAsia"/>
          <w:b/>
          <w:lang w:eastAsia="zh-CN"/>
        </w:rPr>
        <w:t xml:space="preserve"> </w:t>
      </w:r>
      <w:r w:rsidRPr="008714A7">
        <w:rPr>
          <w:rFonts w:ascii="Book Antiqua" w:hAnsi="Book Antiqua" w:hint="eastAsia"/>
          <w:lang w:eastAsia="zh-CN"/>
        </w:rPr>
        <w:t>June 2, 2017</w:t>
      </w:r>
    </w:p>
    <w:p w14:paraId="42031E09" w14:textId="26561A42" w:rsidR="008714A7" w:rsidRPr="001C5B5E" w:rsidRDefault="008714A7" w:rsidP="001C5B5E">
      <w:pPr>
        <w:spacing w:line="360" w:lineRule="auto"/>
        <w:rPr>
          <w:rFonts w:ascii="Book Antiqua" w:hAnsi="Book Antiqua"/>
          <w:color w:val="000000"/>
        </w:rPr>
      </w:pPr>
      <w:r>
        <w:rPr>
          <w:rFonts w:ascii="Book Antiqua" w:hAnsi="Book Antiqua"/>
          <w:b/>
        </w:rPr>
        <w:t>Accepted:</w:t>
      </w:r>
      <w:bookmarkStart w:id="20" w:name="OLE_LINK135"/>
      <w:bookmarkStart w:id="21" w:name="OLE_LINK136"/>
      <w:bookmarkStart w:id="22" w:name="OLE_LINK137"/>
      <w:r w:rsidR="001C5B5E" w:rsidRPr="001C5B5E">
        <w:rPr>
          <w:rFonts w:ascii="Book Antiqua" w:hAnsi="Book Antiqua"/>
          <w:color w:val="000000"/>
        </w:rPr>
        <w:t xml:space="preserve"> </w:t>
      </w:r>
      <w:r w:rsidR="001C5B5E">
        <w:rPr>
          <w:rFonts w:ascii="Book Antiqua" w:hAnsi="Book Antiqua"/>
          <w:color w:val="000000"/>
        </w:rPr>
        <w:t>July 22, 2017</w:t>
      </w:r>
      <w:bookmarkStart w:id="23" w:name="_GoBack"/>
      <w:bookmarkEnd w:id="20"/>
      <w:bookmarkEnd w:id="21"/>
      <w:bookmarkEnd w:id="22"/>
      <w:bookmarkEnd w:id="23"/>
      <w:r>
        <w:rPr>
          <w:rFonts w:ascii="Book Antiqua" w:hAnsi="Book Antiqua" w:hint="eastAsia"/>
          <w:b/>
        </w:rPr>
        <w:t xml:space="preserve">  </w:t>
      </w:r>
    </w:p>
    <w:p w14:paraId="0CA40C13" w14:textId="77777777" w:rsidR="008714A7" w:rsidRDefault="008714A7" w:rsidP="006A3266">
      <w:pPr>
        <w:spacing w:line="360" w:lineRule="auto"/>
        <w:jc w:val="both"/>
        <w:rPr>
          <w:rFonts w:ascii="Book Antiqua" w:hAnsi="Book Antiqua"/>
          <w:b/>
        </w:rPr>
      </w:pPr>
      <w:r w:rsidRPr="009659DA">
        <w:rPr>
          <w:rFonts w:ascii="Book Antiqua" w:hAnsi="Book Antiqua"/>
          <w:b/>
        </w:rPr>
        <w:t>Article in press:</w:t>
      </w:r>
    </w:p>
    <w:p w14:paraId="0C6FEF5A" w14:textId="77777777" w:rsidR="008714A7" w:rsidRPr="00ED7CB9" w:rsidRDefault="008714A7" w:rsidP="006A3266">
      <w:pPr>
        <w:spacing w:line="360" w:lineRule="auto"/>
        <w:jc w:val="both"/>
        <w:rPr>
          <w:rFonts w:ascii="Book Antiqua" w:hAnsi="Book Antiqua"/>
          <w:b/>
        </w:rPr>
      </w:pPr>
      <w:r>
        <w:rPr>
          <w:rFonts w:ascii="Book Antiqua" w:hAnsi="Book Antiqua"/>
          <w:b/>
        </w:rPr>
        <w:t>Published online:</w:t>
      </w:r>
    </w:p>
    <w:bookmarkEnd w:id="15"/>
    <w:bookmarkEnd w:id="16"/>
    <w:bookmarkEnd w:id="17"/>
    <w:bookmarkEnd w:id="18"/>
    <w:bookmarkEnd w:id="19"/>
    <w:p w14:paraId="36A06922" w14:textId="77777777" w:rsidR="00BD53D9" w:rsidRDefault="00BD53D9" w:rsidP="006A3266">
      <w:pPr>
        <w:spacing w:line="360" w:lineRule="auto"/>
        <w:jc w:val="both"/>
        <w:rPr>
          <w:sz w:val="23"/>
          <w:szCs w:val="23"/>
        </w:rPr>
      </w:pPr>
    </w:p>
    <w:p w14:paraId="42EDFB51" w14:textId="77777777" w:rsidR="00BD53D9" w:rsidRDefault="00BD53D9" w:rsidP="006A3266">
      <w:pPr>
        <w:spacing w:line="360" w:lineRule="auto"/>
        <w:jc w:val="both"/>
        <w:rPr>
          <w:sz w:val="23"/>
          <w:szCs w:val="23"/>
        </w:rPr>
      </w:pPr>
    </w:p>
    <w:p w14:paraId="3ECF3495" w14:textId="77777777" w:rsidR="00BD53D9" w:rsidRDefault="00BD53D9" w:rsidP="006A3266">
      <w:pPr>
        <w:spacing w:line="360" w:lineRule="auto"/>
        <w:jc w:val="both"/>
        <w:rPr>
          <w:sz w:val="23"/>
          <w:szCs w:val="23"/>
        </w:rPr>
      </w:pPr>
    </w:p>
    <w:p w14:paraId="2E211005" w14:textId="77777777" w:rsidR="00BD53D9" w:rsidRDefault="00BD53D9" w:rsidP="006A3266">
      <w:pPr>
        <w:spacing w:line="360" w:lineRule="auto"/>
        <w:jc w:val="both"/>
        <w:rPr>
          <w:sz w:val="23"/>
          <w:szCs w:val="23"/>
        </w:rPr>
      </w:pPr>
    </w:p>
    <w:p w14:paraId="45706C21" w14:textId="77777777" w:rsidR="00BD53D9" w:rsidRDefault="00BD53D9" w:rsidP="006A3266">
      <w:pPr>
        <w:spacing w:line="360" w:lineRule="auto"/>
        <w:jc w:val="both"/>
        <w:rPr>
          <w:sz w:val="23"/>
          <w:szCs w:val="23"/>
        </w:rPr>
      </w:pPr>
    </w:p>
    <w:p w14:paraId="04F0FF70" w14:textId="77777777" w:rsidR="00BD53D9" w:rsidRDefault="00BD53D9" w:rsidP="006A3266">
      <w:pPr>
        <w:spacing w:line="360" w:lineRule="auto"/>
        <w:jc w:val="both"/>
        <w:rPr>
          <w:sz w:val="23"/>
          <w:szCs w:val="23"/>
        </w:rPr>
      </w:pPr>
    </w:p>
    <w:p w14:paraId="674E4D54" w14:textId="77777777" w:rsidR="008714A7" w:rsidRDefault="008714A7" w:rsidP="006A3266">
      <w:pPr>
        <w:spacing w:line="360" w:lineRule="auto"/>
        <w:jc w:val="both"/>
        <w:rPr>
          <w:rFonts w:ascii="Book Antiqua" w:hAnsi="Book Antiqua"/>
          <w:b/>
        </w:rPr>
      </w:pPr>
      <w:r>
        <w:rPr>
          <w:rFonts w:ascii="Book Antiqua" w:hAnsi="Book Antiqua"/>
          <w:b/>
        </w:rPr>
        <w:br w:type="page"/>
      </w:r>
    </w:p>
    <w:p w14:paraId="55E6DD18" w14:textId="721D40DD" w:rsidR="00F66D5B" w:rsidRPr="008714A7" w:rsidRDefault="00F66D5B" w:rsidP="006A3266">
      <w:pPr>
        <w:spacing w:line="360" w:lineRule="auto"/>
        <w:jc w:val="both"/>
        <w:rPr>
          <w:rFonts w:ascii="Book Antiqua" w:hAnsi="Book Antiqua"/>
          <w:b/>
          <w:lang w:eastAsia="zh-CN"/>
        </w:rPr>
      </w:pPr>
      <w:r w:rsidRPr="00BD53D9">
        <w:rPr>
          <w:rFonts w:ascii="Book Antiqua" w:hAnsi="Book Antiqua"/>
          <w:b/>
        </w:rPr>
        <w:lastRenderedPageBreak/>
        <w:t>Abstract</w:t>
      </w:r>
    </w:p>
    <w:p w14:paraId="14BCD1D0" w14:textId="6F473FF9" w:rsidR="00F66D5B" w:rsidRPr="00D43973" w:rsidRDefault="00F66D5B" w:rsidP="006A3266">
      <w:pPr>
        <w:widowControl w:val="0"/>
        <w:autoSpaceDE w:val="0"/>
        <w:autoSpaceDN w:val="0"/>
        <w:adjustRightInd w:val="0"/>
        <w:spacing w:line="360" w:lineRule="auto"/>
        <w:jc w:val="both"/>
        <w:rPr>
          <w:rFonts w:ascii="Book Antiqua" w:hAnsi="Book Antiqua"/>
          <w:lang w:val="en-GB"/>
        </w:rPr>
      </w:pPr>
      <w:r w:rsidRPr="00D43973">
        <w:rPr>
          <w:rFonts w:ascii="Book Antiqua" w:hAnsi="Book Antiqua"/>
          <w:lang w:val="en-GB"/>
        </w:rPr>
        <w:t xml:space="preserve">Inflammatory bowel disease (IBD) is a chronic inflammatory </w:t>
      </w:r>
      <w:r>
        <w:rPr>
          <w:rFonts w:ascii="Book Antiqua" w:hAnsi="Book Antiqua"/>
          <w:lang w:val="en-GB"/>
        </w:rPr>
        <w:t>condition of the gut characteris</w:t>
      </w:r>
      <w:r w:rsidRPr="00D43973">
        <w:rPr>
          <w:rFonts w:ascii="Book Antiqua" w:hAnsi="Book Antiqua"/>
          <w:lang w:val="en-GB"/>
        </w:rPr>
        <w:t>ed by alternating periods of remission and relapse. Whilst the mec</w:t>
      </w:r>
      <w:r w:rsidR="00C50AB0">
        <w:rPr>
          <w:rFonts w:ascii="Book Antiqua" w:hAnsi="Book Antiqua"/>
          <w:lang w:val="en-GB"/>
        </w:rPr>
        <w:t>hanism underlying this disease</w:t>
      </w:r>
      <w:r w:rsidRPr="00D43973">
        <w:rPr>
          <w:rFonts w:ascii="Book Antiqua" w:hAnsi="Book Antiqua"/>
          <w:lang w:val="en-GB"/>
        </w:rPr>
        <w:t xml:space="preserve"> is yet to be fully understood, old and newer generation treatments can only target selected pathways of </w:t>
      </w:r>
      <w:r>
        <w:rPr>
          <w:rFonts w:ascii="Book Antiqua" w:hAnsi="Book Antiqua"/>
          <w:lang w:val="en-GB"/>
        </w:rPr>
        <w:t xml:space="preserve">this </w:t>
      </w:r>
      <w:r w:rsidRPr="00D43973">
        <w:rPr>
          <w:rFonts w:ascii="Book Antiqua" w:hAnsi="Book Antiqua"/>
          <w:lang w:val="en-GB"/>
        </w:rPr>
        <w:t xml:space="preserve">complex </w:t>
      </w:r>
      <w:r>
        <w:rPr>
          <w:rFonts w:ascii="Book Antiqua" w:hAnsi="Book Antiqua"/>
          <w:lang w:val="en-GB"/>
        </w:rPr>
        <w:t xml:space="preserve">inflammatory </w:t>
      </w:r>
      <w:r w:rsidRPr="00D43973">
        <w:rPr>
          <w:rFonts w:ascii="Book Antiqua" w:hAnsi="Book Antiqua"/>
          <w:lang w:val="en-GB"/>
        </w:rPr>
        <w:t>process. This narrative review aims to provide an update on the most recent advances in treatment of paediatric IBD. A Medline search was conducted using "paediatric inflammatory bowel disease", "paediatric Crohn's disease", "paediatric ulcerative colitis", "treatment", "therapy", “immunosuppressant”, “biologic”, “monitoring” and "biomarkers" as key words. Clinical trials, systematic reviews, and meta-analyses published between 2014 and 2016 were selected. Studies referring to earlier periods were also considered in case the data was relevant to our scope. Major advances have been achieved in monitoring the individual metabolism, toxicity and response to relevant medications in IBD including thiopurines and biologics.</w:t>
      </w:r>
      <w:r>
        <w:rPr>
          <w:rFonts w:ascii="Book Antiqua" w:hAnsi="Book Antiqua"/>
          <w:lang w:val="en-GB"/>
        </w:rPr>
        <w:t xml:space="preserve"> </w:t>
      </w:r>
      <w:r w:rsidRPr="00D43973">
        <w:rPr>
          <w:rFonts w:ascii="Book Antiqua" w:hAnsi="Book Antiqua"/>
          <w:lang w:val="en-GB"/>
        </w:rPr>
        <w:t>New biologics acting on novel mechanisms such as selective interference with lymphocyte trafficking are emerging</w:t>
      </w:r>
      <w:r>
        <w:rPr>
          <w:rFonts w:ascii="Book Antiqua" w:hAnsi="Book Antiqua"/>
          <w:lang w:val="en-GB"/>
        </w:rPr>
        <w:t xml:space="preserve"> treatment options</w:t>
      </w:r>
      <w:r w:rsidRPr="00D43973">
        <w:rPr>
          <w:rFonts w:ascii="Book Antiqua" w:hAnsi="Book Antiqua"/>
          <w:lang w:val="en-GB"/>
        </w:rPr>
        <w:t>.</w:t>
      </w:r>
      <w:r>
        <w:rPr>
          <w:rFonts w:ascii="Book Antiqua" w:hAnsi="Book Antiqua"/>
          <w:lang w:val="en-GB"/>
        </w:rPr>
        <w:t xml:space="preserve"> </w:t>
      </w:r>
      <w:r w:rsidRPr="00D43973">
        <w:rPr>
          <w:rFonts w:ascii="Book Antiqua" w:hAnsi="Book Antiqua"/>
          <w:lang w:val="en-GB"/>
        </w:rPr>
        <w:t>Current research is investing in the development of reliable prognostic biomarkers, aiming to move towards personalised treatments targeted to individual patients.</w:t>
      </w:r>
    </w:p>
    <w:p w14:paraId="2AC9E837" w14:textId="77777777" w:rsidR="00F66D5B" w:rsidRPr="00D43973" w:rsidRDefault="00F66D5B" w:rsidP="006A3266">
      <w:pPr>
        <w:widowControl w:val="0"/>
        <w:autoSpaceDE w:val="0"/>
        <w:autoSpaceDN w:val="0"/>
        <w:adjustRightInd w:val="0"/>
        <w:spacing w:line="360" w:lineRule="auto"/>
        <w:jc w:val="both"/>
        <w:rPr>
          <w:rFonts w:ascii="Book Antiqua" w:hAnsi="Book Antiqua"/>
          <w:b/>
          <w:color w:val="FF0000"/>
          <w:lang w:val="en-GB"/>
        </w:rPr>
      </w:pPr>
    </w:p>
    <w:p w14:paraId="1EDE3CAE" w14:textId="56F5137E" w:rsidR="00F66D5B" w:rsidRDefault="00F66D5B" w:rsidP="006A3266">
      <w:pPr>
        <w:widowControl w:val="0"/>
        <w:autoSpaceDE w:val="0"/>
        <w:autoSpaceDN w:val="0"/>
        <w:adjustRightInd w:val="0"/>
        <w:spacing w:line="360" w:lineRule="auto"/>
        <w:jc w:val="both"/>
        <w:rPr>
          <w:rFonts w:ascii="Book Antiqua" w:hAnsi="Book Antiqua"/>
          <w:lang w:val="en-GB" w:eastAsia="zh-CN"/>
        </w:rPr>
      </w:pPr>
      <w:r w:rsidRPr="00BD53D9">
        <w:rPr>
          <w:rFonts w:ascii="Book Antiqua" w:hAnsi="Book Antiqua"/>
          <w:b/>
          <w:lang w:val="en-GB"/>
        </w:rPr>
        <w:t>Key words:</w:t>
      </w:r>
      <w:r>
        <w:rPr>
          <w:rFonts w:ascii="Book Antiqua" w:hAnsi="Book Antiqua"/>
          <w:lang w:val="en-GB"/>
        </w:rPr>
        <w:t xml:space="preserve"> </w:t>
      </w:r>
      <w:r w:rsidRPr="00D43973">
        <w:rPr>
          <w:rFonts w:ascii="Book Antiqua" w:hAnsi="Book Antiqua"/>
          <w:lang w:val="en-GB"/>
        </w:rPr>
        <w:t xml:space="preserve">Paediatric inflammatory bowel disease; Crohn’s disease; </w:t>
      </w:r>
      <w:r w:rsidR="008714A7" w:rsidRPr="00D43973">
        <w:rPr>
          <w:rFonts w:ascii="Book Antiqua" w:hAnsi="Book Antiqua"/>
          <w:lang w:val="en-GB"/>
        </w:rPr>
        <w:t xml:space="preserve">Ulcerative </w:t>
      </w:r>
      <w:r w:rsidRPr="00D43973">
        <w:rPr>
          <w:rFonts w:ascii="Book Antiqua" w:hAnsi="Book Antiqua"/>
          <w:lang w:val="en-GB"/>
        </w:rPr>
        <w:t xml:space="preserve">colitis; treatment; </w:t>
      </w:r>
      <w:r w:rsidR="008714A7" w:rsidRPr="00D43973">
        <w:rPr>
          <w:rFonts w:ascii="Book Antiqua" w:hAnsi="Book Antiqua"/>
          <w:lang w:val="en-GB"/>
        </w:rPr>
        <w:t>Therapy</w:t>
      </w:r>
      <w:r w:rsidRPr="00D43973">
        <w:rPr>
          <w:rFonts w:ascii="Book Antiqua" w:hAnsi="Book Antiqua"/>
          <w:lang w:val="en-GB"/>
        </w:rPr>
        <w:t xml:space="preserve">; </w:t>
      </w:r>
      <w:r w:rsidR="008714A7" w:rsidRPr="00D43973">
        <w:rPr>
          <w:rFonts w:ascii="Book Antiqua" w:hAnsi="Book Antiqua"/>
          <w:lang w:val="en-GB"/>
        </w:rPr>
        <w:t>Immunosuppressant</w:t>
      </w:r>
      <w:r w:rsidRPr="00D43973">
        <w:rPr>
          <w:rFonts w:ascii="Book Antiqua" w:hAnsi="Book Antiqua"/>
          <w:lang w:val="en-GB"/>
        </w:rPr>
        <w:t xml:space="preserve">; </w:t>
      </w:r>
      <w:r w:rsidR="008714A7" w:rsidRPr="00D43973">
        <w:rPr>
          <w:rFonts w:ascii="Book Antiqua" w:hAnsi="Book Antiqua"/>
          <w:lang w:val="en-GB"/>
        </w:rPr>
        <w:t>Biologic</w:t>
      </w:r>
      <w:r w:rsidRPr="00D43973">
        <w:rPr>
          <w:rFonts w:ascii="Book Antiqua" w:hAnsi="Book Antiqua"/>
          <w:lang w:val="en-GB"/>
        </w:rPr>
        <w:t xml:space="preserve">; </w:t>
      </w:r>
      <w:r w:rsidR="008714A7" w:rsidRPr="00D43973">
        <w:rPr>
          <w:rFonts w:ascii="Book Antiqua" w:hAnsi="Book Antiqua"/>
          <w:lang w:val="en-GB"/>
        </w:rPr>
        <w:t>Monitoring</w:t>
      </w:r>
      <w:r w:rsidRPr="00D43973">
        <w:rPr>
          <w:rFonts w:ascii="Book Antiqua" w:hAnsi="Book Antiqua"/>
          <w:lang w:val="en-GB"/>
        </w:rPr>
        <w:t xml:space="preserve">; </w:t>
      </w:r>
      <w:r w:rsidR="008714A7" w:rsidRPr="00D43973">
        <w:rPr>
          <w:rFonts w:ascii="Book Antiqua" w:hAnsi="Book Antiqua"/>
          <w:lang w:val="en-GB"/>
        </w:rPr>
        <w:t>Biomarker</w:t>
      </w:r>
    </w:p>
    <w:p w14:paraId="578A3D87" w14:textId="77777777" w:rsidR="008714A7" w:rsidRDefault="008714A7" w:rsidP="006A3266">
      <w:pPr>
        <w:widowControl w:val="0"/>
        <w:autoSpaceDE w:val="0"/>
        <w:autoSpaceDN w:val="0"/>
        <w:adjustRightInd w:val="0"/>
        <w:spacing w:line="360" w:lineRule="auto"/>
        <w:jc w:val="both"/>
        <w:rPr>
          <w:rFonts w:ascii="Book Antiqua" w:hAnsi="Book Antiqua"/>
          <w:lang w:val="en-GB" w:eastAsia="zh-CN"/>
        </w:rPr>
      </w:pPr>
    </w:p>
    <w:p w14:paraId="20A7919F" w14:textId="77777777" w:rsidR="008714A7" w:rsidRDefault="008714A7" w:rsidP="006A3266">
      <w:pPr>
        <w:spacing w:line="360" w:lineRule="auto"/>
        <w:jc w:val="both"/>
        <w:rPr>
          <w:rFonts w:ascii="Book Antiqua" w:hAnsi="Book Antiqua" w:cs="Arial"/>
        </w:rPr>
      </w:pPr>
      <w:bookmarkStart w:id="24" w:name="OLE_LINK55"/>
      <w:bookmarkStart w:id="25" w:name="OLE_LINK56"/>
      <w:bookmarkStart w:id="26" w:name="OLE_LINK105"/>
      <w:bookmarkStart w:id="27" w:name="OLE_LINK116"/>
      <w:bookmarkStart w:id="28" w:name="OLE_LINK89"/>
      <w:r w:rsidRPr="0071780A">
        <w:rPr>
          <w:rFonts w:ascii="Book Antiqua" w:hAnsi="Book Antiqua"/>
          <w:b/>
        </w:rPr>
        <w:t>©</w:t>
      </w:r>
      <w:bookmarkEnd w:id="24"/>
      <w:bookmarkEnd w:id="25"/>
      <w:r w:rsidRPr="0071780A">
        <w:rPr>
          <w:rFonts w:ascii="Book Antiqua" w:hAnsi="Book Antiqua" w:hint="eastAsia"/>
          <w:b/>
        </w:rPr>
        <w:t xml:space="preserve"> </w:t>
      </w:r>
      <w:r w:rsidRPr="0071780A">
        <w:rPr>
          <w:rFonts w:ascii="Book Antiqua" w:hAnsi="Book Antiqua" w:cs="Arial"/>
          <w:b/>
        </w:rPr>
        <w:t>The Author(s) 201</w:t>
      </w:r>
      <w:r>
        <w:rPr>
          <w:rFonts w:ascii="Book Antiqua" w:hAnsi="Book Antiqua" w:cs="Arial" w:hint="eastAsia"/>
          <w:b/>
        </w:rPr>
        <w:t>7</w:t>
      </w:r>
      <w:r w:rsidRPr="0071780A">
        <w:rPr>
          <w:rFonts w:ascii="Book Antiqua" w:hAnsi="Book Antiqua" w:cs="Arial"/>
          <w:b/>
        </w:rPr>
        <w:t xml:space="preserve">. </w:t>
      </w:r>
      <w:r w:rsidRPr="00B55A90">
        <w:rPr>
          <w:rFonts w:ascii="Book Antiqua" w:hAnsi="Book Antiqua" w:cs="Arial"/>
        </w:rPr>
        <w:t>Published by Baishideng Publishing Group Inc. All rights reserved.</w:t>
      </w:r>
    </w:p>
    <w:bookmarkEnd w:id="26"/>
    <w:bookmarkEnd w:id="27"/>
    <w:bookmarkEnd w:id="28"/>
    <w:p w14:paraId="4ECAA99D" w14:textId="77777777" w:rsidR="00F66D5B" w:rsidRPr="008714A7" w:rsidRDefault="00F66D5B" w:rsidP="006A3266">
      <w:pPr>
        <w:widowControl w:val="0"/>
        <w:autoSpaceDE w:val="0"/>
        <w:autoSpaceDN w:val="0"/>
        <w:adjustRightInd w:val="0"/>
        <w:spacing w:line="360" w:lineRule="auto"/>
        <w:jc w:val="both"/>
        <w:rPr>
          <w:rFonts w:ascii="Book Antiqua" w:hAnsi="Book Antiqua"/>
          <w:b/>
          <w:lang w:val="en-GB"/>
        </w:rPr>
      </w:pPr>
    </w:p>
    <w:p w14:paraId="4FD9D409" w14:textId="4738B120" w:rsidR="00F66D5B" w:rsidRDefault="008714A7" w:rsidP="006A3266">
      <w:pPr>
        <w:widowControl w:val="0"/>
        <w:autoSpaceDE w:val="0"/>
        <w:autoSpaceDN w:val="0"/>
        <w:adjustRightInd w:val="0"/>
        <w:spacing w:line="360" w:lineRule="auto"/>
        <w:jc w:val="both"/>
        <w:rPr>
          <w:rFonts w:ascii="Book Antiqua" w:hAnsi="Book Antiqua"/>
          <w:lang w:val="en-GB" w:eastAsia="zh-CN"/>
        </w:rPr>
      </w:pPr>
      <w:r>
        <w:rPr>
          <w:rFonts w:ascii="Book Antiqua" w:hAnsi="Book Antiqua"/>
          <w:b/>
          <w:lang w:val="en-GB"/>
        </w:rPr>
        <w:t>Core tip</w:t>
      </w:r>
      <w:r w:rsidR="00F66D5B" w:rsidRPr="00BD53D9">
        <w:rPr>
          <w:rFonts w:ascii="Book Antiqua" w:hAnsi="Book Antiqua"/>
          <w:b/>
          <w:lang w:val="en-GB"/>
        </w:rPr>
        <w:t>:</w:t>
      </w:r>
      <w:r w:rsidR="00F66D5B">
        <w:rPr>
          <w:rFonts w:ascii="Book Antiqua" w:hAnsi="Book Antiqua"/>
          <w:lang w:val="en-GB"/>
        </w:rPr>
        <w:t xml:space="preserve"> </w:t>
      </w:r>
      <w:r w:rsidR="00F66D5B" w:rsidRPr="008634A6">
        <w:rPr>
          <w:rFonts w:ascii="Book Antiqua" w:hAnsi="Book Antiqua"/>
          <w:lang w:val="en-GB"/>
        </w:rPr>
        <w:t>This narrative review summarises the current practice in treating children with</w:t>
      </w:r>
      <w:r w:rsidRPr="008634A6">
        <w:rPr>
          <w:rFonts w:ascii="Book Antiqua" w:hAnsi="Book Antiqua"/>
          <w:lang w:val="en-GB"/>
        </w:rPr>
        <w:t xml:space="preserve"> inflammatory bowel dis</w:t>
      </w:r>
      <w:r w:rsidR="00F66D5B" w:rsidRPr="008634A6">
        <w:rPr>
          <w:rFonts w:ascii="Book Antiqua" w:hAnsi="Book Antiqua"/>
          <w:lang w:val="en-GB"/>
        </w:rPr>
        <w:t xml:space="preserve">ease (IBD) and explores the new advances </w:t>
      </w:r>
      <w:r w:rsidR="00F66D5B">
        <w:rPr>
          <w:rFonts w:ascii="Book Antiqua" w:hAnsi="Book Antiqua"/>
          <w:lang w:val="en-GB"/>
        </w:rPr>
        <w:t xml:space="preserve">and </w:t>
      </w:r>
      <w:r w:rsidR="00F66D5B" w:rsidRPr="008634A6">
        <w:rPr>
          <w:rFonts w:ascii="Book Antiqua" w:hAnsi="Book Antiqua"/>
          <w:lang w:val="en-GB"/>
        </w:rPr>
        <w:t>future aims. A particular focus of the review are the peculiarities of the paediatric age in respect to the standard practice in adult patients with IBD.</w:t>
      </w:r>
      <w:r w:rsidR="00F66D5B">
        <w:rPr>
          <w:rFonts w:ascii="Book Antiqua" w:hAnsi="Book Antiqua"/>
          <w:lang w:val="en-GB"/>
        </w:rPr>
        <w:t xml:space="preserve"> </w:t>
      </w:r>
      <w:r w:rsidR="00F66D5B" w:rsidRPr="008634A6">
        <w:rPr>
          <w:rFonts w:ascii="Book Antiqua" w:hAnsi="Book Antiqua"/>
          <w:lang w:val="en-GB"/>
        </w:rPr>
        <w:t>Whilst the cause of this condition remains only partly understood, a significant proportion of children does not respond to the treatment options currently available.</w:t>
      </w:r>
      <w:r w:rsidR="00F66D5B">
        <w:rPr>
          <w:rFonts w:ascii="Book Antiqua" w:hAnsi="Book Antiqua"/>
          <w:lang w:val="en-GB"/>
        </w:rPr>
        <w:t xml:space="preserve"> Developing new treatments </w:t>
      </w:r>
      <w:r w:rsidR="00F66D5B">
        <w:rPr>
          <w:rFonts w:ascii="Book Antiqua" w:hAnsi="Book Antiqua"/>
          <w:lang w:val="en-GB"/>
        </w:rPr>
        <w:lastRenderedPageBreak/>
        <w:t>is therefore a key target. Major advances have already been achieved in therapeutic drug monitoring.</w:t>
      </w:r>
    </w:p>
    <w:p w14:paraId="64EFEFC4" w14:textId="77777777" w:rsidR="008714A7" w:rsidRDefault="008714A7" w:rsidP="006A3266">
      <w:pPr>
        <w:widowControl w:val="0"/>
        <w:autoSpaceDE w:val="0"/>
        <w:autoSpaceDN w:val="0"/>
        <w:adjustRightInd w:val="0"/>
        <w:spacing w:line="360" w:lineRule="auto"/>
        <w:jc w:val="both"/>
        <w:rPr>
          <w:rFonts w:ascii="Book Antiqua" w:hAnsi="Book Antiqua"/>
          <w:lang w:val="en-GB" w:eastAsia="zh-CN"/>
        </w:rPr>
      </w:pPr>
    </w:p>
    <w:p w14:paraId="27B29FAB" w14:textId="77777777" w:rsidR="008714A7" w:rsidRPr="00712F63" w:rsidRDefault="00F66D5B" w:rsidP="006A3266">
      <w:pPr>
        <w:adjustRightInd w:val="0"/>
        <w:snapToGrid w:val="0"/>
        <w:spacing w:line="360" w:lineRule="auto"/>
        <w:jc w:val="both"/>
        <w:rPr>
          <w:rFonts w:ascii="Book Antiqua" w:hAnsi="Book Antiqua"/>
        </w:rPr>
      </w:pPr>
      <w:r w:rsidRPr="00BD53D9">
        <w:rPr>
          <w:rFonts w:ascii="Book Antiqua" w:hAnsi="Book Antiqua" w:cs="≠ò[ˇ"/>
        </w:rPr>
        <w:t xml:space="preserve">Guariso G, Gasparetto M. </w:t>
      </w:r>
      <w:r w:rsidRPr="008714A7">
        <w:rPr>
          <w:rFonts w:ascii="Book Antiqua" w:hAnsi="Book Antiqua"/>
          <w:lang w:val="en-GB"/>
        </w:rPr>
        <w:t xml:space="preserve">Treating children </w:t>
      </w:r>
      <w:r w:rsidR="008714A7" w:rsidRPr="008714A7">
        <w:rPr>
          <w:rFonts w:ascii="Book Antiqua" w:hAnsi="Book Antiqua"/>
          <w:lang w:val="en-GB"/>
        </w:rPr>
        <w:t>with inflammatory bowel dis</w:t>
      </w:r>
      <w:r w:rsidRPr="008714A7">
        <w:rPr>
          <w:rFonts w:ascii="Book Antiqua" w:hAnsi="Book Antiqua"/>
          <w:lang w:val="en-GB"/>
        </w:rPr>
        <w:t xml:space="preserve">ease: </w:t>
      </w:r>
      <w:r w:rsidR="008714A7" w:rsidRPr="008714A7">
        <w:rPr>
          <w:rFonts w:ascii="Book Antiqua" w:hAnsi="Book Antiqua"/>
          <w:lang w:val="en-GB"/>
        </w:rPr>
        <w:t xml:space="preserve">Current </w:t>
      </w:r>
      <w:r w:rsidRPr="008714A7">
        <w:rPr>
          <w:rFonts w:ascii="Book Antiqua" w:hAnsi="Book Antiqua"/>
          <w:lang w:val="en-GB"/>
        </w:rPr>
        <w:t>and new perspectives.</w:t>
      </w:r>
      <w:r w:rsidR="008714A7">
        <w:rPr>
          <w:rFonts w:ascii="Book Antiqua" w:hAnsi="Book Antiqua" w:hint="eastAsia"/>
          <w:lang w:val="en-GB" w:eastAsia="zh-CN"/>
        </w:rPr>
        <w:t xml:space="preserve"> </w:t>
      </w:r>
      <w:bookmarkStart w:id="29" w:name="OLE_LINK424"/>
      <w:bookmarkStart w:id="30" w:name="OLE_LINK425"/>
      <w:r w:rsidR="008714A7" w:rsidRPr="00712F63">
        <w:rPr>
          <w:rFonts w:ascii="Book Antiqua" w:hAnsi="Book Antiqua"/>
          <w:i/>
        </w:rPr>
        <w:t>World J Gastroenterol</w:t>
      </w:r>
      <w:r w:rsidR="008714A7" w:rsidRPr="00712F63">
        <w:rPr>
          <w:rFonts w:ascii="Book Antiqua" w:hAnsi="Book Antiqua"/>
        </w:rPr>
        <w:t xml:space="preserve"> 201</w:t>
      </w:r>
      <w:r w:rsidR="008714A7">
        <w:rPr>
          <w:rFonts w:ascii="Book Antiqua" w:hAnsi="Book Antiqua" w:hint="eastAsia"/>
        </w:rPr>
        <w:t>7</w:t>
      </w:r>
      <w:r w:rsidR="008714A7" w:rsidRPr="00712F63">
        <w:rPr>
          <w:rFonts w:ascii="Book Antiqua" w:hAnsi="Book Antiqua"/>
        </w:rPr>
        <w:t xml:space="preserve">; </w:t>
      </w:r>
      <w:bookmarkStart w:id="31" w:name="OLE_LINK1689"/>
      <w:bookmarkStart w:id="32" w:name="OLE_LINK1298"/>
      <w:bookmarkStart w:id="33" w:name="OLE_LINK1297"/>
      <w:r w:rsidR="008714A7" w:rsidRPr="00712F63">
        <w:rPr>
          <w:rFonts w:ascii="Book Antiqua" w:hAnsi="Book Antiqua"/>
        </w:rPr>
        <w:t>In press</w:t>
      </w:r>
      <w:bookmarkEnd w:id="31"/>
      <w:bookmarkEnd w:id="32"/>
      <w:bookmarkEnd w:id="33"/>
    </w:p>
    <w:bookmarkEnd w:id="29"/>
    <w:bookmarkEnd w:id="30"/>
    <w:p w14:paraId="72A83B9A" w14:textId="24D5588B" w:rsidR="00F66D5B" w:rsidRPr="00BD53D9" w:rsidRDefault="00F66D5B" w:rsidP="006A3266">
      <w:pPr>
        <w:spacing w:line="360" w:lineRule="auto"/>
        <w:jc w:val="both"/>
        <w:rPr>
          <w:rFonts w:ascii="Book Antiqua" w:hAnsi="Book Antiqua"/>
          <w:b/>
          <w:lang w:val="en-GB" w:eastAsia="zh-CN"/>
        </w:rPr>
      </w:pPr>
    </w:p>
    <w:p w14:paraId="3B037716" w14:textId="77777777" w:rsidR="00F66D5B" w:rsidRPr="00D43973" w:rsidRDefault="00F66D5B" w:rsidP="006A3266">
      <w:pPr>
        <w:widowControl w:val="0"/>
        <w:autoSpaceDE w:val="0"/>
        <w:autoSpaceDN w:val="0"/>
        <w:adjustRightInd w:val="0"/>
        <w:spacing w:line="360" w:lineRule="auto"/>
        <w:jc w:val="both"/>
        <w:rPr>
          <w:rFonts w:ascii="Book Antiqua" w:hAnsi="Book Antiqua"/>
          <w:b/>
          <w:color w:val="FF0000"/>
          <w:lang w:val="en-GB"/>
        </w:rPr>
      </w:pPr>
    </w:p>
    <w:p w14:paraId="29F7C93C" w14:textId="77777777" w:rsidR="008714A7" w:rsidRDefault="008714A7" w:rsidP="006A3266">
      <w:pPr>
        <w:spacing w:line="360" w:lineRule="auto"/>
        <w:jc w:val="both"/>
        <w:rPr>
          <w:rFonts w:ascii="Book Antiqua" w:hAnsi="Book Antiqua"/>
          <w:b/>
          <w:color w:val="000000" w:themeColor="text1"/>
          <w:lang w:val="en-GB"/>
        </w:rPr>
      </w:pPr>
      <w:r>
        <w:rPr>
          <w:rFonts w:ascii="Book Antiqua" w:hAnsi="Book Antiqua"/>
          <w:b/>
          <w:color w:val="000000" w:themeColor="text1"/>
          <w:lang w:val="en-GB"/>
        </w:rPr>
        <w:br w:type="page"/>
      </w:r>
    </w:p>
    <w:p w14:paraId="38123143" w14:textId="77777777" w:rsidR="00563BB7" w:rsidRPr="00130821" w:rsidRDefault="00563BB7" w:rsidP="006A3266">
      <w:pPr>
        <w:widowControl w:val="0"/>
        <w:autoSpaceDE w:val="0"/>
        <w:autoSpaceDN w:val="0"/>
        <w:adjustRightInd w:val="0"/>
        <w:spacing w:line="360" w:lineRule="auto"/>
        <w:jc w:val="both"/>
        <w:rPr>
          <w:rFonts w:ascii="Book Antiqua" w:hAnsi="Book Antiqua"/>
          <w:b/>
          <w:color w:val="000000"/>
          <w:lang w:val="en-GB"/>
        </w:rPr>
      </w:pPr>
      <w:r w:rsidRPr="00130821">
        <w:rPr>
          <w:rFonts w:ascii="Book Antiqua" w:hAnsi="Book Antiqua"/>
          <w:b/>
          <w:color w:val="000000"/>
          <w:lang w:val="en-GB"/>
        </w:rPr>
        <w:lastRenderedPageBreak/>
        <w:t>INTRODUCTION</w:t>
      </w:r>
    </w:p>
    <w:p w14:paraId="2CF8B394" w14:textId="77777777" w:rsidR="00563BB7" w:rsidRDefault="00563BB7" w:rsidP="006A3266">
      <w:pPr>
        <w:widowControl w:val="0"/>
        <w:autoSpaceDE w:val="0"/>
        <w:autoSpaceDN w:val="0"/>
        <w:adjustRightInd w:val="0"/>
        <w:spacing w:line="360" w:lineRule="auto"/>
        <w:jc w:val="both"/>
        <w:rPr>
          <w:rFonts w:ascii="Book Antiqua" w:hAnsi="Book Antiqua"/>
          <w:lang w:val="en-GB" w:eastAsia="zh-CN"/>
        </w:rPr>
      </w:pPr>
      <w:r w:rsidRPr="00D43973">
        <w:rPr>
          <w:rFonts w:ascii="Book Antiqua" w:hAnsi="Book Antiqua"/>
          <w:lang w:val="en-GB"/>
        </w:rPr>
        <w:t>Inflammatory bowel disease (IBD) is a chronic inflammatory condition of the gut characterized by alternating periods of remission and relapse</w:t>
      </w:r>
      <w:r>
        <w:rPr>
          <w:rFonts w:ascii="Book Antiqua" w:hAnsi="Book Antiqua"/>
          <w:vertAlign w:val="superscript"/>
          <w:lang w:val="en-GB"/>
        </w:rPr>
        <w:t>[1</w:t>
      </w:r>
      <w:r w:rsidRPr="00CF63DC">
        <w:rPr>
          <w:rFonts w:ascii="Book Antiqua" w:hAnsi="Book Antiqua"/>
          <w:vertAlign w:val="superscript"/>
          <w:lang w:val="en-GB"/>
        </w:rPr>
        <w:t>]</w:t>
      </w:r>
      <w:r>
        <w:rPr>
          <w:rFonts w:ascii="Book Antiqua" w:hAnsi="Book Antiqua"/>
          <w:lang w:val="en-GB"/>
        </w:rPr>
        <w:t>.</w:t>
      </w:r>
      <w:r w:rsidRPr="00D43973">
        <w:rPr>
          <w:rFonts w:ascii="Book Antiqua" w:hAnsi="Book Antiqua"/>
          <w:lang w:val="en-GB"/>
        </w:rPr>
        <w:t xml:space="preserve"> </w:t>
      </w:r>
    </w:p>
    <w:p w14:paraId="5C0DFF3E" w14:textId="77777777" w:rsidR="00563BB7" w:rsidRPr="00953227" w:rsidRDefault="00563BB7" w:rsidP="006A3266">
      <w:pPr>
        <w:widowControl w:val="0"/>
        <w:autoSpaceDE w:val="0"/>
        <w:autoSpaceDN w:val="0"/>
        <w:adjustRightInd w:val="0"/>
        <w:spacing w:line="360" w:lineRule="auto"/>
        <w:ind w:firstLineChars="100" w:firstLine="240"/>
        <w:jc w:val="both"/>
        <w:rPr>
          <w:rFonts w:ascii="Book Antiqua" w:hAnsi="Book Antiqua"/>
          <w:vertAlign w:val="superscript"/>
          <w:lang w:val="en-GB"/>
        </w:rPr>
      </w:pPr>
      <w:r w:rsidRPr="00130821">
        <w:rPr>
          <w:rFonts w:ascii="Book Antiqua" w:hAnsi="Book Antiqua"/>
          <w:lang w:val="en-GB"/>
        </w:rPr>
        <w:t>It comprises Crohn’s disease (CD), ulcerative colitis (UC) and IBD-Unclassified (IBD-U), and its incidence has increased steadily worldwide, pa</w:t>
      </w:r>
      <w:r>
        <w:rPr>
          <w:rFonts w:ascii="Book Antiqua" w:hAnsi="Book Antiqua"/>
          <w:lang w:val="en-GB"/>
        </w:rPr>
        <w:t>rticularly in Western countries</w:t>
      </w:r>
      <w:r w:rsidRPr="00130821">
        <w:rPr>
          <w:rFonts w:ascii="Book Antiqua" w:hAnsi="Book Antiqua"/>
          <w:vertAlign w:val="superscript"/>
          <w:lang w:val="en-GB"/>
        </w:rPr>
        <w:t>[2-4]</w:t>
      </w:r>
      <w:r>
        <w:rPr>
          <w:rFonts w:ascii="Book Antiqua" w:hAnsi="Book Antiqua"/>
          <w:lang w:val="en-GB"/>
        </w:rPr>
        <w:t>. The disease affects b</w:t>
      </w:r>
      <w:r w:rsidRPr="00130821">
        <w:rPr>
          <w:rFonts w:ascii="Book Antiqua" w:hAnsi="Book Antiqua"/>
          <w:lang w:val="en-GB"/>
        </w:rPr>
        <w:t xml:space="preserve">oth </w:t>
      </w:r>
      <w:r>
        <w:rPr>
          <w:rFonts w:ascii="Book Antiqua" w:hAnsi="Book Antiqua"/>
          <w:lang w:val="en-GB"/>
        </w:rPr>
        <w:t>children and adults</w:t>
      </w:r>
      <w:r w:rsidRPr="00130821">
        <w:rPr>
          <w:rFonts w:ascii="Book Antiqua" w:hAnsi="Book Antiqua"/>
          <w:lang w:val="en-GB"/>
        </w:rPr>
        <w:t xml:space="preserve">, with current </w:t>
      </w:r>
      <w:r>
        <w:rPr>
          <w:rFonts w:ascii="Book Antiqua" w:hAnsi="Book Antiqua"/>
          <w:lang w:val="en-GB"/>
        </w:rPr>
        <w:t xml:space="preserve">estimated prevalence </w:t>
      </w:r>
      <w:r w:rsidRPr="00130821">
        <w:rPr>
          <w:rFonts w:ascii="Book Antiqua" w:hAnsi="Book Antiqua"/>
          <w:lang w:val="en-GB"/>
        </w:rPr>
        <w:t>of 2.6 million people in Europe and 1.2 million in North America</w:t>
      </w:r>
      <w:r w:rsidRPr="00130821">
        <w:rPr>
          <w:rFonts w:ascii="Book Antiqua" w:hAnsi="Book Antiqua"/>
          <w:vertAlign w:val="superscript"/>
          <w:lang w:val="en-GB"/>
        </w:rPr>
        <w:t>[5]</w:t>
      </w:r>
      <w:r w:rsidRPr="00130821">
        <w:rPr>
          <w:rFonts w:ascii="Book Antiqua" w:hAnsi="Book Antiqua"/>
          <w:lang w:val="en-GB"/>
        </w:rPr>
        <w:t>. Approximately 25% of IBD patients are</w:t>
      </w:r>
      <w:r>
        <w:rPr>
          <w:rFonts w:ascii="Book Antiqua" w:hAnsi="Book Antiqua"/>
          <w:lang w:val="en-GB"/>
        </w:rPr>
        <w:t xml:space="preserve"> diagnosed before the age of 18</w:t>
      </w:r>
      <w:r w:rsidRPr="00130821">
        <w:rPr>
          <w:rFonts w:ascii="Book Antiqua" w:hAnsi="Book Antiqua"/>
          <w:vertAlign w:val="superscript"/>
          <w:lang w:val="en-GB"/>
        </w:rPr>
        <w:t>[6]</w:t>
      </w:r>
      <w:r w:rsidRPr="00130821">
        <w:rPr>
          <w:rFonts w:ascii="Book Antiqua" w:hAnsi="Book Antiqua"/>
          <w:lang w:val="en-GB"/>
        </w:rPr>
        <w:t xml:space="preserve">. </w:t>
      </w:r>
      <w:r>
        <w:rPr>
          <w:rFonts w:ascii="Book Antiqua" w:hAnsi="Book Antiqua"/>
          <w:lang w:val="en-GB"/>
        </w:rPr>
        <w:t xml:space="preserve">Given that a cure for IBD hasn’t been developed so far, </w:t>
      </w:r>
      <w:r w:rsidRPr="00D43973">
        <w:rPr>
          <w:rFonts w:ascii="Book Antiqua" w:hAnsi="Book Antiqua"/>
          <w:lang w:val="en-GB"/>
        </w:rPr>
        <w:t xml:space="preserve">treatments </w:t>
      </w:r>
      <w:r>
        <w:rPr>
          <w:rFonts w:ascii="Book Antiqua" w:hAnsi="Book Antiqua"/>
          <w:lang w:val="en-GB"/>
        </w:rPr>
        <w:t xml:space="preserve">currently </w:t>
      </w:r>
      <w:r w:rsidRPr="00D43973">
        <w:rPr>
          <w:rFonts w:ascii="Book Antiqua" w:hAnsi="Book Antiqua"/>
          <w:lang w:val="en-GB"/>
        </w:rPr>
        <w:t xml:space="preserve">available are mainly aimed to induce and maintain remission. Therapeutic options include corticosteroids which </w:t>
      </w:r>
      <w:r>
        <w:rPr>
          <w:rFonts w:ascii="Book Antiqua" w:hAnsi="Book Antiqua"/>
          <w:lang w:val="en-GB"/>
        </w:rPr>
        <w:t>have shown up to 80% efficacy in inducing remission in patients with CD. Other immunomodulators used for the treatment of IBD include thiopurines (</w:t>
      </w:r>
      <w:r w:rsidRPr="00953227">
        <w:rPr>
          <w:rFonts w:ascii="Book Antiqua" w:hAnsi="Book Antiqua"/>
          <w:i/>
          <w:lang w:val="en-GB"/>
        </w:rPr>
        <w:t>i.e.</w:t>
      </w:r>
      <w:r w:rsidRPr="00953227">
        <w:rPr>
          <w:rFonts w:ascii="Book Antiqua" w:hAnsi="Book Antiqua" w:hint="eastAsia"/>
          <w:i/>
          <w:lang w:val="en-GB" w:eastAsia="zh-CN"/>
        </w:rPr>
        <w:t>,</w:t>
      </w:r>
      <w:r>
        <w:rPr>
          <w:rFonts w:ascii="Book Antiqua" w:hAnsi="Book Antiqua"/>
          <w:lang w:val="en-GB"/>
        </w:rPr>
        <w:t xml:space="preserve"> azathioprine (AZA) and 6-mercaptopurine (6MP)),</w:t>
      </w:r>
      <w:r w:rsidRPr="00D43973">
        <w:rPr>
          <w:rFonts w:ascii="Book Antiqua" w:hAnsi="Book Antiqua"/>
          <w:lang w:val="en-GB"/>
        </w:rPr>
        <w:t xml:space="preserve"> methotrexate (MTX) and biological treatments such as anti-tumour necrosis factor (anti-TNF</w:t>
      </w:r>
      <w:r>
        <w:rPr>
          <w:rFonts w:ascii="Book Antiqua" w:hAnsi="Book Antiqua"/>
          <w:lang w:val="en-GB"/>
        </w:rPr>
        <w:t>a</w:t>
      </w:r>
      <w:r w:rsidRPr="00D43973">
        <w:rPr>
          <w:rFonts w:ascii="Book Antiqua" w:hAnsi="Book Antiqua"/>
          <w:lang w:val="en-GB"/>
        </w:rPr>
        <w:t>) therapies like infliximab (IFX) and adalimumab (ADA)</w:t>
      </w:r>
      <w:r w:rsidRPr="00953227">
        <w:rPr>
          <w:rFonts w:ascii="Book Antiqua" w:hAnsi="Book Antiqua"/>
          <w:vertAlign w:val="superscript"/>
          <w:lang w:val="en-GB"/>
        </w:rPr>
        <w:t>[</w:t>
      </w:r>
      <w:r>
        <w:rPr>
          <w:rFonts w:ascii="Book Antiqua" w:hAnsi="Book Antiqua"/>
          <w:vertAlign w:val="superscript"/>
          <w:lang w:val="en-GB"/>
        </w:rPr>
        <w:t>5</w:t>
      </w:r>
      <w:r w:rsidRPr="00E85D25">
        <w:rPr>
          <w:rFonts w:ascii="Book Antiqua" w:hAnsi="Book Antiqua"/>
          <w:vertAlign w:val="superscript"/>
          <w:lang w:val="en-GB"/>
        </w:rPr>
        <w:t>]</w:t>
      </w:r>
      <w:r w:rsidRPr="00D43973">
        <w:rPr>
          <w:rFonts w:ascii="Book Antiqua" w:hAnsi="Book Antiqua"/>
          <w:lang w:val="en-GB"/>
        </w:rPr>
        <w:t>.</w:t>
      </w:r>
    </w:p>
    <w:p w14:paraId="2005DC7F" w14:textId="77777777" w:rsidR="00563BB7" w:rsidRPr="00D43973"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sidRPr="00D43973">
        <w:rPr>
          <w:rFonts w:ascii="Book Antiqua" w:hAnsi="Book Antiqua"/>
          <w:lang w:val="en-GB"/>
        </w:rPr>
        <w:t xml:space="preserve">CD is characterized by focal, patchy, transmural and granulomatous inflammation </w:t>
      </w:r>
      <w:r>
        <w:rPr>
          <w:rFonts w:ascii="Book Antiqua" w:hAnsi="Book Antiqua"/>
          <w:lang w:val="en-GB"/>
        </w:rPr>
        <w:t xml:space="preserve">and it </w:t>
      </w:r>
      <w:r w:rsidRPr="00D43973">
        <w:rPr>
          <w:rFonts w:ascii="Book Antiqua" w:hAnsi="Book Antiqua"/>
          <w:lang w:val="en-GB"/>
        </w:rPr>
        <w:t>can affect any part of the intestinal tract as</w:t>
      </w:r>
      <w:r>
        <w:rPr>
          <w:rFonts w:ascii="Book Antiqua" w:hAnsi="Book Antiqua"/>
          <w:lang w:val="en-GB"/>
        </w:rPr>
        <w:t xml:space="preserve"> well as extra-intestinal tissue</w:t>
      </w:r>
      <w:r w:rsidRPr="00953227">
        <w:rPr>
          <w:rFonts w:ascii="Book Antiqua" w:hAnsi="Book Antiqua"/>
          <w:vertAlign w:val="superscript"/>
          <w:lang w:val="en-GB"/>
        </w:rPr>
        <w:t>[</w:t>
      </w:r>
      <w:r>
        <w:rPr>
          <w:rFonts w:ascii="Book Antiqua" w:hAnsi="Book Antiqua"/>
          <w:vertAlign w:val="superscript"/>
          <w:lang w:val="en-GB"/>
        </w:rPr>
        <w:t>4</w:t>
      </w:r>
      <w:r w:rsidRPr="00E85D25">
        <w:rPr>
          <w:rFonts w:ascii="Book Antiqua" w:hAnsi="Book Antiqua"/>
          <w:vertAlign w:val="superscript"/>
          <w:lang w:val="en-GB"/>
        </w:rPr>
        <w:t>]</w:t>
      </w:r>
      <w:r>
        <w:rPr>
          <w:rFonts w:ascii="Book Antiqua" w:hAnsi="Book Antiqua"/>
          <w:lang w:val="en-GB"/>
        </w:rPr>
        <w:t>.</w:t>
      </w:r>
      <w:r w:rsidRPr="00D43973">
        <w:rPr>
          <w:rFonts w:ascii="Book Antiqua" w:hAnsi="Book Antiqua"/>
          <w:lang w:val="en-GB"/>
        </w:rPr>
        <w:t xml:space="preserve"> Peak age of diagnosis of CD is </w:t>
      </w:r>
      <w:r>
        <w:rPr>
          <w:rFonts w:ascii="Book Antiqua" w:hAnsi="Book Antiqua"/>
          <w:lang w:val="en-GB"/>
        </w:rPr>
        <w:t>between 12 and 25</w:t>
      </w:r>
      <w:r w:rsidRPr="00953227">
        <w:rPr>
          <w:rFonts w:ascii="Book Antiqua" w:hAnsi="Book Antiqua"/>
          <w:vertAlign w:val="superscript"/>
          <w:lang w:val="en-GB"/>
        </w:rPr>
        <w:t>[</w:t>
      </w:r>
      <w:r>
        <w:rPr>
          <w:rFonts w:ascii="Book Antiqua" w:hAnsi="Book Antiqua"/>
          <w:vertAlign w:val="superscript"/>
          <w:lang w:val="en-GB"/>
        </w:rPr>
        <w:t>7</w:t>
      </w:r>
      <w:r w:rsidRPr="00E85D25">
        <w:rPr>
          <w:rFonts w:ascii="Book Antiqua" w:hAnsi="Book Antiqua"/>
          <w:vertAlign w:val="superscript"/>
          <w:lang w:val="en-GB"/>
        </w:rPr>
        <w:t>]</w:t>
      </w:r>
      <w:r w:rsidRPr="00D43973">
        <w:rPr>
          <w:rFonts w:ascii="Book Antiqua" w:hAnsi="Book Antiqua"/>
          <w:lang w:val="en-GB"/>
        </w:rPr>
        <w:t xml:space="preserve">. </w:t>
      </w:r>
    </w:p>
    <w:p w14:paraId="1BE8A7FD" w14:textId="563EBB15" w:rsidR="00563BB7" w:rsidRPr="00D43973" w:rsidRDefault="00563BB7" w:rsidP="006A3266">
      <w:pPr>
        <w:widowControl w:val="0"/>
        <w:autoSpaceDE w:val="0"/>
        <w:autoSpaceDN w:val="0"/>
        <w:adjustRightInd w:val="0"/>
        <w:spacing w:line="360" w:lineRule="auto"/>
        <w:ind w:firstLineChars="150" w:firstLine="360"/>
        <w:jc w:val="both"/>
        <w:rPr>
          <w:rFonts w:ascii="Book Antiqua" w:hAnsi="Book Antiqua"/>
          <w:lang w:val="en-GB"/>
        </w:rPr>
      </w:pPr>
      <w:r>
        <w:rPr>
          <w:rFonts w:ascii="Book Antiqua" w:hAnsi="Book Antiqua"/>
          <w:lang w:val="en-GB"/>
        </w:rPr>
        <w:t>Due to its typical onset in the young age and to the chronicity of the disease, m</w:t>
      </w:r>
      <w:r w:rsidRPr="00D43973">
        <w:rPr>
          <w:rFonts w:ascii="Book Antiqua" w:hAnsi="Book Antiqua"/>
          <w:lang w:val="en-GB"/>
        </w:rPr>
        <w:t>edical treatment remains the cornerstone in CD, with most patients requiring lifelong therapy</w:t>
      </w:r>
      <w:r w:rsidRPr="00953227">
        <w:rPr>
          <w:rFonts w:ascii="Book Antiqua" w:hAnsi="Book Antiqua"/>
          <w:vertAlign w:val="superscript"/>
          <w:lang w:val="en-GB"/>
        </w:rPr>
        <w:t>[</w:t>
      </w:r>
      <w:r>
        <w:rPr>
          <w:rFonts w:ascii="Book Antiqua" w:hAnsi="Book Antiqua"/>
          <w:vertAlign w:val="superscript"/>
          <w:lang w:val="en-GB"/>
        </w:rPr>
        <w:t>4}</w:t>
      </w:r>
      <w:r>
        <w:rPr>
          <w:rFonts w:ascii="Book Antiqua" w:hAnsi="Book Antiqua"/>
          <w:lang w:val="en-GB"/>
        </w:rPr>
        <w:t>. Whilst for CD s</w:t>
      </w:r>
      <w:r w:rsidRPr="00D43973">
        <w:rPr>
          <w:rFonts w:ascii="Book Antiqua" w:hAnsi="Book Antiqua"/>
          <w:lang w:val="en-GB"/>
        </w:rPr>
        <w:t xml:space="preserve">urgery is </w:t>
      </w:r>
      <w:r>
        <w:rPr>
          <w:rFonts w:ascii="Book Antiqua" w:hAnsi="Book Antiqua"/>
          <w:lang w:val="en-GB"/>
        </w:rPr>
        <w:t xml:space="preserve">generally an option restricted to </w:t>
      </w:r>
      <w:r w:rsidRPr="00D43973">
        <w:rPr>
          <w:rFonts w:ascii="Book Antiqua" w:hAnsi="Book Antiqua"/>
          <w:lang w:val="en-GB"/>
        </w:rPr>
        <w:t xml:space="preserve">patients resistant to </w:t>
      </w:r>
      <w:r>
        <w:rPr>
          <w:rFonts w:ascii="Book Antiqua" w:hAnsi="Book Antiqua"/>
          <w:lang w:val="en-GB"/>
        </w:rPr>
        <w:t>maximised medical treatments or with</w:t>
      </w:r>
      <w:r w:rsidRPr="00D43973">
        <w:rPr>
          <w:rFonts w:ascii="Book Antiqua" w:hAnsi="Book Antiqua"/>
          <w:lang w:val="en-GB"/>
        </w:rPr>
        <w:t xml:space="preserve"> specific complications</w:t>
      </w:r>
      <w:r>
        <w:rPr>
          <w:rFonts w:ascii="Book Antiqua" w:hAnsi="Book Antiqua"/>
          <w:lang w:val="en-GB"/>
        </w:rPr>
        <w:t>,</w:t>
      </w:r>
      <w:r w:rsidRPr="00D43973">
        <w:rPr>
          <w:rFonts w:ascii="Book Antiqua" w:hAnsi="Book Antiqua"/>
          <w:lang w:val="en-GB"/>
        </w:rPr>
        <w:t xml:space="preserve"> </w:t>
      </w:r>
      <w:r>
        <w:rPr>
          <w:rFonts w:ascii="Book Antiqua" w:hAnsi="Book Antiqua"/>
          <w:lang w:val="en-GB"/>
        </w:rPr>
        <w:t>a</w:t>
      </w:r>
      <w:r w:rsidRPr="00D43973">
        <w:rPr>
          <w:rFonts w:ascii="Book Antiqua" w:hAnsi="Book Antiqua"/>
          <w:lang w:val="en-GB"/>
        </w:rPr>
        <w:t>pproximately 75% of patients with CD will eventually undergo surgical resection</w:t>
      </w:r>
      <w:r w:rsidRPr="00953227">
        <w:rPr>
          <w:rFonts w:ascii="Book Antiqua" w:hAnsi="Book Antiqua"/>
          <w:vertAlign w:val="superscript"/>
          <w:lang w:val="en-GB"/>
        </w:rPr>
        <w:t>[</w:t>
      </w:r>
      <w:r>
        <w:rPr>
          <w:rFonts w:ascii="Book Antiqua" w:hAnsi="Book Antiqua"/>
          <w:vertAlign w:val="superscript"/>
          <w:lang w:val="en-GB"/>
        </w:rPr>
        <w:t>4,8</w:t>
      </w:r>
      <w:r w:rsidRPr="00E85D25">
        <w:rPr>
          <w:rFonts w:ascii="Book Antiqua" w:hAnsi="Book Antiqua"/>
          <w:vertAlign w:val="superscript"/>
          <w:lang w:val="en-GB"/>
        </w:rPr>
        <w:t>]</w:t>
      </w:r>
      <w:r w:rsidRPr="00D43973">
        <w:rPr>
          <w:rFonts w:ascii="Book Antiqua" w:hAnsi="Book Antiqua"/>
          <w:lang w:val="en-GB"/>
        </w:rPr>
        <w:t>. </w:t>
      </w:r>
      <w:r>
        <w:rPr>
          <w:rFonts w:ascii="Book Antiqua" w:hAnsi="Book Antiqua"/>
          <w:lang w:val="en-GB"/>
        </w:rPr>
        <w:t>Nevertheless, according to the current epidemiology data available, up to 73% of these patients will experience e</w:t>
      </w:r>
      <w:r w:rsidRPr="00D43973">
        <w:rPr>
          <w:rFonts w:ascii="Book Antiqua" w:hAnsi="Book Antiqua"/>
          <w:lang w:val="en-GB"/>
        </w:rPr>
        <w:t xml:space="preserve">ndoscopic recurrence of disease </w:t>
      </w:r>
      <w:r>
        <w:rPr>
          <w:rFonts w:ascii="Book Antiqua" w:hAnsi="Book Antiqua"/>
          <w:lang w:val="en-GB"/>
        </w:rPr>
        <w:t xml:space="preserve">at one </w:t>
      </w:r>
      <w:r w:rsidRPr="00D43973">
        <w:rPr>
          <w:rFonts w:ascii="Book Antiqua" w:hAnsi="Book Antiqua"/>
          <w:lang w:val="en-GB"/>
        </w:rPr>
        <w:t xml:space="preserve">year post surgery and </w:t>
      </w:r>
      <w:r>
        <w:rPr>
          <w:rFonts w:ascii="Book Antiqua" w:hAnsi="Book Antiqua"/>
          <w:lang w:val="en-GB"/>
        </w:rPr>
        <w:t>22</w:t>
      </w:r>
      <w:r w:rsidR="00020B09">
        <w:rPr>
          <w:rFonts w:ascii="Book Antiqua" w:hAnsi="Book Antiqua" w:hint="eastAsia"/>
          <w:lang w:val="en-GB" w:eastAsia="zh-CN"/>
        </w:rPr>
        <w:t>%</w:t>
      </w:r>
      <w:r>
        <w:rPr>
          <w:rFonts w:ascii="Book Antiqua" w:hAnsi="Book Antiqua"/>
          <w:lang w:val="en-GB"/>
        </w:rPr>
        <w:t xml:space="preserve"> to 55% will have a </w:t>
      </w:r>
      <w:r w:rsidRPr="00D43973">
        <w:rPr>
          <w:rFonts w:ascii="Book Antiqua" w:hAnsi="Book Antiqua"/>
          <w:lang w:val="en-GB"/>
        </w:rPr>
        <w:t>clinical relapse at five years</w:t>
      </w:r>
      <w:r w:rsidRPr="00953227">
        <w:rPr>
          <w:rFonts w:ascii="Book Antiqua" w:hAnsi="Book Antiqua"/>
          <w:vertAlign w:val="superscript"/>
          <w:lang w:val="en-GB"/>
        </w:rPr>
        <w:t>[</w:t>
      </w:r>
      <w:r>
        <w:rPr>
          <w:rFonts w:ascii="Book Antiqua" w:hAnsi="Book Antiqua"/>
          <w:vertAlign w:val="superscript"/>
          <w:lang w:val="en-GB"/>
        </w:rPr>
        <w:t>8</w:t>
      </w:r>
      <w:r w:rsidRPr="00E85D25">
        <w:rPr>
          <w:rFonts w:ascii="Book Antiqua" w:hAnsi="Book Antiqua"/>
          <w:vertAlign w:val="superscript"/>
          <w:lang w:val="en-GB"/>
        </w:rPr>
        <w:t>]</w:t>
      </w:r>
      <w:r w:rsidRPr="00D43973">
        <w:rPr>
          <w:rFonts w:ascii="Book Antiqua" w:hAnsi="Book Antiqua"/>
          <w:lang w:val="en-GB"/>
        </w:rPr>
        <w:t xml:space="preserve">. </w:t>
      </w:r>
    </w:p>
    <w:p w14:paraId="4781630F" w14:textId="77777777" w:rsidR="00563BB7"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sidRPr="00D43973">
        <w:rPr>
          <w:rFonts w:ascii="Book Antiqua" w:hAnsi="Book Antiqua"/>
          <w:lang w:val="en-GB"/>
        </w:rPr>
        <w:t xml:space="preserve">UC mainly </w:t>
      </w:r>
      <w:r>
        <w:rPr>
          <w:rFonts w:ascii="Book Antiqua" w:hAnsi="Book Antiqua"/>
          <w:lang w:val="en-GB"/>
        </w:rPr>
        <w:t xml:space="preserve">involves the large bowel mucosa, with </w:t>
      </w:r>
      <w:r w:rsidRPr="00D43973">
        <w:rPr>
          <w:rFonts w:ascii="Book Antiqua" w:hAnsi="Book Antiqua"/>
          <w:lang w:val="en-GB"/>
        </w:rPr>
        <w:t xml:space="preserve">inflammation extending proximally from the rectum in a continuous fashion. In </w:t>
      </w:r>
      <w:r>
        <w:rPr>
          <w:rFonts w:ascii="Book Antiqua" w:hAnsi="Book Antiqua"/>
          <w:lang w:val="en-GB"/>
        </w:rPr>
        <w:t xml:space="preserve">approximately 80% of </w:t>
      </w:r>
      <w:r w:rsidRPr="00D43973">
        <w:rPr>
          <w:rFonts w:ascii="Book Antiqua" w:hAnsi="Book Antiqua"/>
          <w:lang w:val="en-GB"/>
        </w:rPr>
        <w:t>ch</w:t>
      </w:r>
      <w:r>
        <w:rPr>
          <w:rFonts w:ascii="Book Antiqua" w:hAnsi="Book Antiqua"/>
          <w:lang w:val="en-GB"/>
        </w:rPr>
        <w:t>ildren, the disease extent</w:t>
      </w:r>
      <w:r w:rsidRPr="00D43973">
        <w:rPr>
          <w:rFonts w:ascii="Book Antiqua" w:hAnsi="Book Antiqua"/>
          <w:lang w:val="en-GB"/>
        </w:rPr>
        <w:t xml:space="preserve"> </w:t>
      </w:r>
      <w:r>
        <w:rPr>
          <w:rFonts w:ascii="Book Antiqua" w:hAnsi="Book Antiqua"/>
          <w:lang w:val="en-GB"/>
        </w:rPr>
        <w:t xml:space="preserve">is </w:t>
      </w:r>
      <w:r w:rsidRPr="00D43973">
        <w:rPr>
          <w:rFonts w:ascii="Book Antiqua" w:hAnsi="Book Antiqua"/>
          <w:lang w:val="en-GB"/>
        </w:rPr>
        <w:t>pr</w:t>
      </w:r>
      <w:r>
        <w:rPr>
          <w:rFonts w:ascii="Book Antiqua" w:hAnsi="Book Antiqua"/>
          <w:lang w:val="en-GB"/>
        </w:rPr>
        <w:t>oximal to the splenic flexure</w:t>
      </w:r>
      <w:r w:rsidRPr="00D43973">
        <w:rPr>
          <w:rFonts w:ascii="Book Antiqua" w:hAnsi="Book Antiqua"/>
          <w:lang w:val="en-GB"/>
        </w:rPr>
        <w:t xml:space="preserve">, whereas </w:t>
      </w:r>
      <w:r>
        <w:rPr>
          <w:rFonts w:ascii="Book Antiqua" w:hAnsi="Book Antiqua"/>
          <w:lang w:val="en-GB"/>
        </w:rPr>
        <w:t>in adults it’s more frequently left sided. Prolonged severe</w:t>
      </w:r>
      <w:r w:rsidRPr="00D43973">
        <w:rPr>
          <w:rFonts w:ascii="Book Antiqua" w:hAnsi="Book Antiqua"/>
          <w:lang w:val="en-GB"/>
        </w:rPr>
        <w:t xml:space="preserve"> inflammation of the colonic mucosa is a </w:t>
      </w:r>
      <w:r>
        <w:rPr>
          <w:rFonts w:ascii="Book Antiqua" w:hAnsi="Book Antiqua"/>
          <w:lang w:val="en-GB"/>
        </w:rPr>
        <w:t xml:space="preserve">known </w:t>
      </w:r>
      <w:r w:rsidRPr="00D43973">
        <w:rPr>
          <w:rFonts w:ascii="Book Antiqua" w:hAnsi="Book Antiqua"/>
          <w:lang w:val="en-GB"/>
        </w:rPr>
        <w:t>risk factor for the development of colorectal carcinoma</w:t>
      </w:r>
      <w:r w:rsidRPr="00953227">
        <w:rPr>
          <w:rFonts w:ascii="Book Antiqua" w:hAnsi="Book Antiqua"/>
          <w:vertAlign w:val="superscript"/>
          <w:lang w:val="en-GB"/>
        </w:rPr>
        <w:t>[</w:t>
      </w:r>
      <w:r>
        <w:rPr>
          <w:rFonts w:ascii="Book Antiqua" w:hAnsi="Book Antiqua"/>
          <w:vertAlign w:val="superscript"/>
          <w:lang w:val="en-GB"/>
        </w:rPr>
        <w:t>9</w:t>
      </w:r>
      <w:r w:rsidRPr="00E85D25">
        <w:rPr>
          <w:rFonts w:ascii="Book Antiqua" w:hAnsi="Book Antiqua"/>
          <w:vertAlign w:val="superscript"/>
          <w:lang w:val="en-GB"/>
        </w:rPr>
        <w:t>]</w:t>
      </w:r>
      <w:r w:rsidRPr="00D43973">
        <w:rPr>
          <w:rFonts w:ascii="Book Antiqua" w:hAnsi="Book Antiqua"/>
          <w:lang w:val="en-GB"/>
        </w:rPr>
        <w:t xml:space="preserve">. </w:t>
      </w:r>
    </w:p>
    <w:p w14:paraId="49C22199" w14:textId="77777777" w:rsidR="00563BB7" w:rsidRPr="000E4A7F" w:rsidRDefault="00563BB7" w:rsidP="006A3266">
      <w:pPr>
        <w:widowControl w:val="0"/>
        <w:autoSpaceDE w:val="0"/>
        <w:autoSpaceDN w:val="0"/>
        <w:adjustRightInd w:val="0"/>
        <w:spacing w:line="360" w:lineRule="auto"/>
        <w:jc w:val="both"/>
        <w:rPr>
          <w:rFonts w:ascii="Book Antiqua" w:hAnsi="Book Antiqua"/>
          <w:lang w:val="en-GB"/>
        </w:rPr>
      </w:pPr>
      <w:r>
        <w:rPr>
          <w:rFonts w:ascii="Book Antiqua" w:hAnsi="Book Antiqua"/>
          <w:lang w:val="en-GB"/>
        </w:rPr>
        <w:lastRenderedPageBreak/>
        <w:t>Currently, proven</w:t>
      </w:r>
      <w:r w:rsidRPr="00D43973">
        <w:rPr>
          <w:rFonts w:ascii="Book Antiqua" w:hAnsi="Book Antiqua"/>
          <w:lang w:val="en-GB"/>
        </w:rPr>
        <w:t xml:space="preserve"> medical treatment of paediatr</w:t>
      </w:r>
      <w:r>
        <w:rPr>
          <w:rFonts w:ascii="Book Antiqua" w:hAnsi="Book Antiqua"/>
          <w:lang w:val="en-GB"/>
        </w:rPr>
        <w:t>ic UC is limited to a few options</w:t>
      </w:r>
      <w:r w:rsidRPr="00D43973">
        <w:rPr>
          <w:rFonts w:ascii="Book Antiqua" w:hAnsi="Book Antiqua"/>
          <w:lang w:val="en-GB"/>
        </w:rPr>
        <w:t>, including am</w:t>
      </w:r>
      <w:r>
        <w:rPr>
          <w:rFonts w:ascii="Book Antiqua" w:hAnsi="Book Antiqua"/>
          <w:lang w:val="en-GB"/>
        </w:rPr>
        <w:t>ino-salicylates, corticosteroids and thiopurines. More recently,</w:t>
      </w:r>
      <w:r w:rsidRPr="00D43973">
        <w:rPr>
          <w:rFonts w:ascii="Book Antiqua" w:hAnsi="Book Antiqua"/>
          <w:lang w:val="en-GB"/>
        </w:rPr>
        <w:t xml:space="preserve"> anti-TNF agents have been established for the management of patients with UC who are refractory</w:t>
      </w:r>
      <w:r>
        <w:rPr>
          <w:rFonts w:ascii="Book Antiqua" w:hAnsi="Book Antiqua"/>
          <w:lang w:val="en-GB"/>
        </w:rPr>
        <w:t xml:space="preserve"> to conventional medical treatment</w:t>
      </w:r>
      <w:r w:rsidRPr="00953227">
        <w:rPr>
          <w:rFonts w:ascii="Book Antiqua" w:hAnsi="Book Antiqua"/>
          <w:vertAlign w:val="superscript"/>
          <w:lang w:val="en-GB"/>
        </w:rPr>
        <w:t>[</w:t>
      </w:r>
      <w:r>
        <w:rPr>
          <w:rFonts w:ascii="Book Antiqua" w:hAnsi="Book Antiqua"/>
          <w:vertAlign w:val="superscript"/>
          <w:lang w:val="en-GB"/>
        </w:rPr>
        <w:t>10</w:t>
      </w:r>
      <w:r w:rsidRPr="00E85D25">
        <w:rPr>
          <w:rFonts w:ascii="Book Antiqua" w:hAnsi="Book Antiqua"/>
          <w:vertAlign w:val="superscript"/>
          <w:lang w:val="en-GB"/>
        </w:rPr>
        <w:t>]</w:t>
      </w:r>
      <w:r>
        <w:rPr>
          <w:rFonts w:ascii="Book Antiqua" w:hAnsi="Book Antiqua"/>
          <w:lang w:val="en-GB"/>
        </w:rPr>
        <w:t>. Choice of therapy</w:t>
      </w:r>
      <w:r w:rsidRPr="00D43973">
        <w:rPr>
          <w:rFonts w:ascii="Book Antiqua" w:hAnsi="Book Antiqua"/>
          <w:lang w:val="en-GB"/>
        </w:rPr>
        <w:t xml:space="preserve"> </w:t>
      </w:r>
      <w:r>
        <w:rPr>
          <w:rFonts w:ascii="Book Antiqua" w:hAnsi="Book Antiqua"/>
          <w:lang w:val="en-GB"/>
        </w:rPr>
        <w:t xml:space="preserve">is mainly based </w:t>
      </w:r>
      <w:r w:rsidRPr="00D43973">
        <w:rPr>
          <w:rFonts w:ascii="Book Antiqua" w:hAnsi="Book Antiqua"/>
          <w:lang w:val="en-GB"/>
        </w:rPr>
        <w:t xml:space="preserve">on disease extension and severity of inflammation. </w:t>
      </w:r>
      <w:r>
        <w:rPr>
          <w:rFonts w:ascii="Book Antiqua" w:hAnsi="Book Antiqua"/>
          <w:lang w:val="en-GB"/>
        </w:rPr>
        <w:t xml:space="preserve">Up to 25% of the total patients with UC currently require a colectomy because of </w:t>
      </w:r>
      <w:r w:rsidRPr="00D43973">
        <w:rPr>
          <w:rFonts w:ascii="Book Antiqua" w:hAnsi="Book Antiqua"/>
          <w:lang w:val="en-GB"/>
        </w:rPr>
        <w:t xml:space="preserve">ongoing, severe inflammation, unresponsive to medical therapy, or </w:t>
      </w:r>
      <w:r>
        <w:rPr>
          <w:rFonts w:ascii="Book Antiqua" w:hAnsi="Book Antiqua"/>
          <w:lang w:val="en-GB"/>
        </w:rPr>
        <w:t xml:space="preserve">when the disease is </w:t>
      </w:r>
      <w:r w:rsidRPr="00D43973">
        <w:rPr>
          <w:rFonts w:ascii="Book Antiqua" w:hAnsi="Book Antiqua"/>
          <w:lang w:val="en-GB"/>
        </w:rPr>
        <w:t>steroid-dependent</w:t>
      </w:r>
      <w:r w:rsidRPr="00953227">
        <w:rPr>
          <w:rFonts w:ascii="Book Antiqua" w:hAnsi="Book Antiqua"/>
          <w:vertAlign w:val="superscript"/>
          <w:lang w:val="en-GB"/>
        </w:rPr>
        <w:t>[</w:t>
      </w:r>
      <w:r w:rsidRPr="000E4A7F">
        <w:rPr>
          <w:rFonts w:ascii="Book Antiqua" w:hAnsi="Book Antiqua"/>
          <w:vertAlign w:val="superscript"/>
          <w:lang w:val="en-GB"/>
        </w:rPr>
        <w:t>1</w:t>
      </w:r>
      <w:r>
        <w:rPr>
          <w:rFonts w:ascii="Book Antiqua" w:hAnsi="Book Antiqua"/>
          <w:vertAlign w:val="superscript"/>
          <w:lang w:val="en-GB"/>
        </w:rPr>
        <w:t>1</w:t>
      </w:r>
      <w:r w:rsidRPr="000E4A7F">
        <w:rPr>
          <w:rFonts w:ascii="Book Antiqua" w:hAnsi="Book Antiqua"/>
          <w:vertAlign w:val="superscript"/>
          <w:lang w:val="en-GB"/>
        </w:rPr>
        <w:t>]</w:t>
      </w:r>
      <w:r w:rsidRPr="000E4A7F">
        <w:rPr>
          <w:rFonts w:ascii="Book Antiqua" w:hAnsi="Book Antiqua"/>
          <w:lang w:val="en-GB"/>
        </w:rPr>
        <w:t xml:space="preserve">. </w:t>
      </w:r>
    </w:p>
    <w:p w14:paraId="378FBAAE" w14:textId="77777777" w:rsidR="00563BB7"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sidRPr="000E4A7F">
        <w:rPr>
          <w:rFonts w:ascii="Book Antiqua" w:hAnsi="Book Antiqua"/>
          <w:lang w:val="en-GB"/>
        </w:rPr>
        <w:t xml:space="preserve">When </w:t>
      </w:r>
      <w:r>
        <w:rPr>
          <w:rFonts w:ascii="Book Antiqua" w:hAnsi="Book Antiqua"/>
          <w:lang w:val="en-GB"/>
        </w:rPr>
        <w:t xml:space="preserve">a child is diagnosed with </w:t>
      </w:r>
      <w:r w:rsidRPr="000E4A7F">
        <w:rPr>
          <w:rFonts w:ascii="Book Antiqua" w:hAnsi="Book Antiqua"/>
          <w:lang w:val="en-GB"/>
        </w:rPr>
        <w:t xml:space="preserve">IBD, achieving early remission </w:t>
      </w:r>
      <w:r>
        <w:rPr>
          <w:rFonts w:ascii="Book Antiqua" w:hAnsi="Book Antiqua"/>
          <w:lang w:val="en-GB"/>
        </w:rPr>
        <w:t xml:space="preserve">has a positive impact on </w:t>
      </w:r>
      <w:r w:rsidRPr="000E4A7F">
        <w:rPr>
          <w:rFonts w:ascii="Book Antiqua" w:hAnsi="Book Antiqua"/>
          <w:lang w:val="en-GB"/>
        </w:rPr>
        <w:t>normal child growth and development, long-term remission and quality of life, thus reducing the psychological burden</w:t>
      </w:r>
      <w:r w:rsidRPr="00953227">
        <w:rPr>
          <w:rFonts w:ascii="Book Antiqua" w:hAnsi="Book Antiqua"/>
          <w:vertAlign w:val="superscript"/>
          <w:lang w:val="en-GB"/>
        </w:rPr>
        <w:t>[</w:t>
      </w:r>
      <w:r>
        <w:rPr>
          <w:rFonts w:ascii="Book Antiqua" w:hAnsi="Book Antiqua"/>
          <w:vertAlign w:val="superscript"/>
          <w:lang w:val="en-GB"/>
        </w:rPr>
        <w:t>2</w:t>
      </w:r>
      <w:r w:rsidRPr="000E4A7F">
        <w:rPr>
          <w:rFonts w:ascii="Book Antiqua" w:hAnsi="Book Antiqua"/>
          <w:vertAlign w:val="superscript"/>
          <w:lang w:val="en-GB"/>
        </w:rPr>
        <w:t>]</w:t>
      </w:r>
      <w:r w:rsidRPr="000E4A7F">
        <w:rPr>
          <w:rFonts w:ascii="Book Antiqua" w:hAnsi="Book Antiqua"/>
          <w:lang w:val="en-GB"/>
        </w:rPr>
        <w:t xml:space="preserve">. </w:t>
      </w:r>
      <w:r>
        <w:rPr>
          <w:rFonts w:ascii="Book Antiqua" w:hAnsi="Book Antiqua"/>
          <w:lang w:val="en-GB"/>
        </w:rPr>
        <w:t>Children tend to present with a more aggressive course of IBD, therefore immunomodulators</w:t>
      </w:r>
      <w:r w:rsidRPr="000E4A7F">
        <w:rPr>
          <w:rFonts w:ascii="Book Antiqua" w:hAnsi="Book Antiqua"/>
          <w:lang w:val="en-GB"/>
        </w:rPr>
        <w:t xml:space="preserve"> and biological treatments are used extensively</w:t>
      </w:r>
      <w:r w:rsidRPr="00953227">
        <w:rPr>
          <w:rFonts w:ascii="Book Antiqua" w:hAnsi="Book Antiqua"/>
          <w:vertAlign w:val="superscript"/>
          <w:lang w:val="en-GB"/>
        </w:rPr>
        <w:t>[</w:t>
      </w:r>
      <w:r>
        <w:rPr>
          <w:rFonts w:ascii="Book Antiqua" w:hAnsi="Book Antiqua"/>
          <w:vertAlign w:val="superscript"/>
          <w:lang w:val="en-GB"/>
        </w:rPr>
        <w:t>2</w:t>
      </w:r>
      <w:r w:rsidRPr="000E4A7F">
        <w:rPr>
          <w:rFonts w:ascii="Book Antiqua" w:hAnsi="Book Antiqua"/>
          <w:vertAlign w:val="superscript"/>
          <w:lang w:val="en-GB"/>
        </w:rPr>
        <w:t>]</w:t>
      </w:r>
      <w:r w:rsidRPr="000E4A7F">
        <w:rPr>
          <w:rFonts w:ascii="Book Antiqua" w:hAnsi="Book Antiqua"/>
          <w:lang w:val="en-GB"/>
        </w:rPr>
        <w:t xml:space="preserve">. </w:t>
      </w:r>
    </w:p>
    <w:p w14:paraId="1FF985B9" w14:textId="77777777" w:rsidR="00563BB7" w:rsidRPr="000E4A7F" w:rsidRDefault="00563BB7" w:rsidP="006A3266">
      <w:pPr>
        <w:spacing w:line="360" w:lineRule="auto"/>
        <w:ind w:firstLineChars="100" w:firstLine="240"/>
        <w:jc w:val="both"/>
        <w:rPr>
          <w:rFonts w:ascii="Book Antiqua" w:hAnsi="Book Antiqua" w:cs="Arial"/>
        </w:rPr>
      </w:pPr>
      <w:r>
        <w:rPr>
          <w:rFonts w:ascii="Book Antiqua" w:hAnsi="Book Antiqua" w:cs="Arial"/>
        </w:rPr>
        <w:t>A</w:t>
      </w:r>
      <w:r w:rsidRPr="000E4A7F">
        <w:rPr>
          <w:rFonts w:ascii="Book Antiqua" w:hAnsi="Book Antiqua" w:cs="Arial"/>
        </w:rPr>
        <w:t>chieving satisfactory nutritional status and reaching growth target should be one of the focuses</w:t>
      </w:r>
      <w:r>
        <w:rPr>
          <w:rFonts w:ascii="Book Antiqua" w:hAnsi="Book Antiqua" w:cs="Arial"/>
        </w:rPr>
        <w:t xml:space="preserve"> in paediatric IBD</w:t>
      </w:r>
      <w:r w:rsidRPr="000E4A7F">
        <w:rPr>
          <w:rFonts w:ascii="Book Antiqua" w:hAnsi="Book Antiqua" w:cs="Arial"/>
        </w:rPr>
        <w:t xml:space="preserve">. In fact, nutritional concerns are </w:t>
      </w:r>
      <w:r>
        <w:rPr>
          <w:rFonts w:ascii="Book Antiqua" w:hAnsi="Book Antiqua" w:cs="Arial"/>
        </w:rPr>
        <w:t xml:space="preserve">still </w:t>
      </w:r>
      <w:r w:rsidRPr="000E4A7F">
        <w:rPr>
          <w:rFonts w:ascii="Book Antiqua" w:hAnsi="Book Antiqua" w:cs="Arial"/>
        </w:rPr>
        <w:t xml:space="preserve">common in </w:t>
      </w:r>
      <w:r>
        <w:rPr>
          <w:rFonts w:ascii="Book Antiqua" w:hAnsi="Book Antiqua" w:cs="Arial"/>
        </w:rPr>
        <w:t xml:space="preserve">children with CD </w:t>
      </w:r>
      <w:r w:rsidRPr="000E4A7F">
        <w:rPr>
          <w:rFonts w:ascii="Book Antiqua" w:hAnsi="Book Antiqua" w:cs="Arial"/>
        </w:rPr>
        <w:t>(up to 65</w:t>
      </w:r>
      <w:r>
        <w:rPr>
          <w:rFonts w:ascii="Book Antiqua" w:hAnsi="Book Antiqua" w:cs="Arial" w:hint="eastAsia"/>
          <w:lang w:eastAsia="zh-CN"/>
        </w:rPr>
        <w:t>%</w:t>
      </w:r>
      <w:r w:rsidRPr="000E4A7F">
        <w:rPr>
          <w:rFonts w:ascii="Book Antiqua" w:hAnsi="Book Antiqua" w:cs="Arial"/>
        </w:rPr>
        <w:t>-75% of cases) who are often underweight at presentation</w:t>
      </w:r>
      <w:r w:rsidRPr="00953227">
        <w:rPr>
          <w:rFonts w:ascii="Book Antiqua" w:hAnsi="Book Antiqua" w:cs="Arial"/>
          <w:vertAlign w:val="superscript"/>
        </w:rPr>
        <w:t>[</w:t>
      </w:r>
      <w:r>
        <w:rPr>
          <w:rFonts w:ascii="Book Antiqua" w:hAnsi="Book Antiqua" w:cs="Arial"/>
          <w:vertAlign w:val="superscript"/>
        </w:rPr>
        <w:t>3,6,1</w:t>
      </w:r>
      <w:r w:rsidRPr="000E4A7F">
        <w:rPr>
          <w:rFonts w:ascii="Book Antiqua" w:hAnsi="Book Antiqua" w:cs="Arial"/>
          <w:vertAlign w:val="superscript"/>
        </w:rPr>
        <w:t>2]</w:t>
      </w:r>
      <w:r>
        <w:rPr>
          <w:rFonts w:ascii="Book Antiqua" w:hAnsi="Book Antiqua" w:cs="Arial"/>
        </w:rPr>
        <w:t>. Even in the longer term</w:t>
      </w:r>
      <w:r w:rsidRPr="000E4A7F">
        <w:rPr>
          <w:rFonts w:ascii="Book Antiqua" w:hAnsi="Book Antiqua" w:cs="Arial"/>
        </w:rPr>
        <w:t xml:space="preserve">, despite current treatment strategies for CD including biologics, short stature and slow growth are still encountered in </w:t>
      </w:r>
      <w:r>
        <w:rPr>
          <w:rFonts w:ascii="Book Antiqua" w:hAnsi="Book Antiqua" w:cs="Arial"/>
        </w:rPr>
        <w:t xml:space="preserve">paediatric </w:t>
      </w:r>
      <w:r w:rsidRPr="000E4A7F">
        <w:rPr>
          <w:rFonts w:ascii="Book Antiqua" w:hAnsi="Book Antiqua" w:cs="Arial"/>
        </w:rPr>
        <w:t xml:space="preserve">CD. </w:t>
      </w:r>
    </w:p>
    <w:p w14:paraId="428BBBE2" w14:textId="77777777" w:rsidR="00563BB7" w:rsidRPr="000E4A7F" w:rsidRDefault="00563BB7" w:rsidP="006A3266">
      <w:pPr>
        <w:spacing w:line="360" w:lineRule="auto"/>
        <w:ind w:firstLineChars="100" w:firstLine="240"/>
        <w:jc w:val="both"/>
        <w:rPr>
          <w:rFonts w:ascii="Book Antiqua" w:hAnsi="Book Antiqua" w:cs="Arial"/>
        </w:rPr>
      </w:pPr>
      <w:r w:rsidRPr="000E4A7F">
        <w:rPr>
          <w:rFonts w:ascii="Book Antiqua" w:hAnsi="Book Antiqua" w:cs="Arial"/>
        </w:rPr>
        <w:t xml:space="preserve">Whilst an early diagnosis is </w:t>
      </w:r>
      <w:r>
        <w:rPr>
          <w:rFonts w:ascii="Book Antiqua" w:hAnsi="Book Antiqua" w:cs="Arial"/>
        </w:rPr>
        <w:t>pivotal to minimize</w:t>
      </w:r>
      <w:r w:rsidRPr="000E4A7F">
        <w:rPr>
          <w:rFonts w:ascii="Book Antiqua" w:hAnsi="Book Antiqua" w:cs="Arial"/>
        </w:rPr>
        <w:t xml:space="preserve"> grow</w:t>
      </w:r>
      <w:r>
        <w:rPr>
          <w:rFonts w:ascii="Book Antiqua" w:hAnsi="Book Antiqua" w:cs="Arial"/>
        </w:rPr>
        <w:t>th deficiency, the signs of C</w:t>
      </w:r>
      <w:r w:rsidRPr="000E4A7F">
        <w:rPr>
          <w:rFonts w:ascii="Book Antiqua" w:hAnsi="Book Antiqua" w:cs="Arial"/>
        </w:rPr>
        <w:t xml:space="preserve">D onset vary and can easily go unnoticed, causing growth deficiency and </w:t>
      </w:r>
      <w:r>
        <w:rPr>
          <w:rFonts w:ascii="Book Antiqua" w:hAnsi="Book Antiqua" w:cs="Arial"/>
        </w:rPr>
        <w:t xml:space="preserve">pubertal delay to </w:t>
      </w:r>
      <w:r w:rsidRPr="000E4A7F">
        <w:rPr>
          <w:rFonts w:ascii="Book Antiqua" w:hAnsi="Book Antiqua" w:cs="Arial"/>
        </w:rPr>
        <w:t>precede the intestinal manifestations of the disease</w:t>
      </w:r>
      <w:r w:rsidRPr="00953227">
        <w:rPr>
          <w:rFonts w:ascii="Book Antiqua" w:hAnsi="Book Antiqua" w:cs="Arial"/>
          <w:vertAlign w:val="superscript"/>
        </w:rPr>
        <w:t>[</w:t>
      </w:r>
      <w:r>
        <w:rPr>
          <w:rFonts w:ascii="Book Antiqua" w:hAnsi="Book Antiqua" w:cs="Arial"/>
          <w:vertAlign w:val="superscript"/>
        </w:rPr>
        <w:t>12</w:t>
      </w:r>
      <w:r w:rsidRPr="000E4A7F">
        <w:rPr>
          <w:rFonts w:ascii="Book Antiqua" w:hAnsi="Book Antiqua" w:cs="Arial"/>
          <w:vertAlign w:val="superscript"/>
        </w:rPr>
        <w:t>]</w:t>
      </w:r>
      <w:r w:rsidRPr="000E4A7F">
        <w:rPr>
          <w:rFonts w:ascii="Book Antiqua" w:hAnsi="Book Antiqua" w:cs="Arial"/>
        </w:rPr>
        <w:t>.</w:t>
      </w:r>
    </w:p>
    <w:p w14:paraId="05B3B75B" w14:textId="77777777" w:rsidR="00563BB7" w:rsidRPr="000E4A7F" w:rsidRDefault="00563BB7" w:rsidP="006A3266">
      <w:pPr>
        <w:spacing w:line="360" w:lineRule="auto"/>
        <w:ind w:firstLineChars="100" w:firstLine="240"/>
        <w:jc w:val="both"/>
        <w:rPr>
          <w:rFonts w:ascii="Book Antiqua" w:hAnsi="Book Antiqua" w:cs="Arial"/>
        </w:rPr>
      </w:pPr>
      <w:r w:rsidRPr="000E4A7F">
        <w:rPr>
          <w:rFonts w:ascii="Book Antiqua" w:hAnsi="Book Antiqua" w:cs="Arial"/>
        </w:rPr>
        <w:t xml:space="preserve">Poor bone health, delayed puberty, and growth failure may </w:t>
      </w:r>
      <w:r>
        <w:rPr>
          <w:rFonts w:ascii="Book Antiqua" w:hAnsi="Book Antiqua" w:cs="Arial"/>
        </w:rPr>
        <w:t xml:space="preserve">go on to </w:t>
      </w:r>
      <w:r w:rsidRPr="000E4A7F">
        <w:rPr>
          <w:rFonts w:ascii="Book Antiqua" w:hAnsi="Book Antiqua" w:cs="Arial"/>
        </w:rPr>
        <w:t>complicate these patients’ clinical management</w:t>
      </w:r>
      <w:r w:rsidRPr="00953227">
        <w:rPr>
          <w:rFonts w:ascii="Book Antiqua" w:hAnsi="Book Antiqua" w:cs="Arial"/>
          <w:vertAlign w:val="superscript"/>
        </w:rPr>
        <w:t>[</w:t>
      </w:r>
      <w:r>
        <w:rPr>
          <w:rFonts w:ascii="Book Antiqua" w:hAnsi="Book Antiqua" w:cs="Arial"/>
          <w:vertAlign w:val="superscript"/>
        </w:rPr>
        <w:t>2,6,1</w:t>
      </w:r>
      <w:r w:rsidRPr="000E4A7F">
        <w:rPr>
          <w:rFonts w:ascii="Book Antiqua" w:hAnsi="Book Antiqua" w:cs="Arial"/>
          <w:vertAlign w:val="superscript"/>
        </w:rPr>
        <w:t>2]</w:t>
      </w:r>
      <w:r w:rsidRPr="000E4A7F">
        <w:rPr>
          <w:rFonts w:ascii="Book Antiqua" w:hAnsi="Book Antiqua" w:cs="Arial"/>
        </w:rPr>
        <w:t>.</w:t>
      </w:r>
    </w:p>
    <w:p w14:paraId="5A8DC0E6" w14:textId="77777777" w:rsidR="00563BB7" w:rsidRPr="000E4A7F" w:rsidRDefault="00563BB7" w:rsidP="006A3266">
      <w:pPr>
        <w:widowControl w:val="0"/>
        <w:autoSpaceDE w:val="0"/>
        <w:autoSpaceDN w:val="0"/>
        <w:adjustRightInd w:val="0"/>
        <w:spacing w:line="360" w:lineRule="auto"/>
        <w:ind w:firstLineChars="100" w:firstLine="240"/>
        <w:jc w:val="both"/>
        <w:rPr>
          <w:rFonts w:ascii="Book Antiqua" w:hAnsi="Book Antiqua" w:cs="Arial"/>
        </w:rPr>
      </w:pPr>
      <w:r w:rsidRPr="000E4A7F">
        <w:rPr>
          <w:rFonts w:ascii="Book Antiqua" w:hAnsi="Book Antiqua" w:cs="Arial"/>
        </w:rPr>
        <w:t xml:space="preserve">The pharmacokinetics </w:t>
      </w:r>
      <w:r>
        <w:rPr>
          <w:rFonts w:ascii="Book Antiqua" w:hAnsi="Book Antiqua" w:cs="Arial"/>
        </w:rPr>
        <w:t xml:space="preserve">(PK) </w:t>
      </w:r>
      <w:r w:rsidRPr="000E4A7F">
        <w:rPr>
          <w:rFonts w:ascii="Book Antiqua" w:hAnsi="Book Antiqua" w:cs="Arial"/>
        </w:rPr>
        <w:t xml:space="preserve">and pharmacodynamics </w:t>
      </w:r>
      <w:r>
        <w:rPr>
          <w:rFonts w:ascii="Book Antiqua" w:hAnsi="Book Antiqua" w:cs="Arial"/>
        </w:rPr>
        <w:t xml:space="preserve">(PD) </w:t>
      </w:r>
      <w:r w:rsidRPr="000E4A7F">
        <w:rPr>
          <w:rFonts w:ascii="Book Antiqua" w:hAnsi="Book Antiqua" w:cs="Arial"/>
        </w:rPr>
        <w:t>of drugs in children are different from those in adults and the approach to paediatric drug dosing needs to be based on the physiological characteristics of the child and the pharmacokinetic parameters of the drug</w:t>
      </w:r>
      <w:r w:rsidRPr="00953227">
        <w:rPr>
          <w:rFonts w:ascii="Book Antiqua" w:hAnsi="Book Antiqua" w:cs="Arial"/>
          <w:vertAlign w:val="superscript"/>
        </w:rPr>
        <w:t>[</w:t>
      </w:r>
      <w:r>
        <w:rPr>
          <w:rFonts w:ascii="Book Antiqua" w:hAnsi="Book Antiqua" w:cs="Arial"/>
          <w:vertAlign w:val="superscript"/>
        </w:rPr>
        <w:t>1</w:t>
      </w:r>
      <w:r w:rsidRPr="000E4A7F">
        <w:rPr>
          <w:rFonts w:ascii="Book Antiqua" w:hAnsi="Book Antiqua" w:cs="Arial"/>
          <w:vertAlign w:val="superscript"/>
        </w:rPr>
        <w:t>3]</w:t>
      </w:r>
      <w:r w:rsidRPr="000E4A7F">
        <w:rPr>
          <w:rFonts w:ascii="Book Antiqua" w:hAnsi="Book Antiqua" w:cs="Arial"/>
        </w:rPr>
        <w:t>.</w:t>
      </w:r>
    </w:p>
    <w:p w14:paraId="0B2E2328" w14:textId="77777777" w:rsidR="00563BB7" w:rsidRPr="00953227" w:rsidRDefault="00563BB7" w:rsidP="006A3266">
      <w:pPr>
        <w:widowControl w:val="0"/>
        <w:autoSpaceDE w:val="0"/>
        <w:autoSpaceDN w:val="0"/>
        <w:adjustRightInd w:val="0"/>
        <w:spacing w:line="360" w:lineRule="auto"/>
        <w:ind w:firstLineChars="100" w:firstLine="240"/>
        <w:jc w:val="both"/>
        <w:rPr>
          <w:rFonts w:ascii="Book Antiqua" w:hAnsi="Book Antiqua" w:cs="Arial"/>
          <w:lang w:val="en-GB"/>
        </w:rPr>
      </w:pPr>
      <w:r w:rsidRPr="000E4A7F">
        <w:rPr>
          <w:rFonts w:ascii="Book Antiqua" w:hAnsi="Book Antiqua" w:cs="Arial"/>
          <w:lang w:val="en-GB"/>
        </w:rPr>
        <w:t>Current European Medicines Agency (EMA) and US Food and Dru</w:t>
      </w:r>
      <w:r>
        <w:rPr>
          <w:rFonts w:ascii="Book Antiqua" w:hAnsi="Book Antiqua" w:cs="Arial"/>
          <w:lang w:val="en-GB"/>
        </w:rPr>
        <w:t>g Administration (FDA) guidance</w:t>
      </w:r>
      <w:r w:rsidRPr="000E4A7F">
        <w:rPr>
          <w:rFonts w:ascii="Book Antiqua" w:hAnsi="Book Antiqua" w:cs="Arial"/>
          <w:lang w:val="en-GB"/>
        </w:rPr>
        <w:t xml:space="preserve"> recommend</w:t>
      </w:r>
      <w:r>
        <w:rPr>
          <w:rFonts w:ascii="Book Antiqua" w:hAnsi="Book Antiqua" w:cs="Arial"/>
          <w:lang w:val="en-GB"/>
        </w:rPr>
        <w:t>s</w:t>
      </w:r>
      <w:r w:rsidRPr="000E4A7F">
        <w:rPr>
          <w:rFonts w:ascii="Book Antiqua" w:hAnsi="Book Antiqua" w:cs="Arial"/>
          <w:lang w:val="en-GB"/>
        </w:rPr>
        <w:t xml:space="preserve"> that dose selection for paediatric studies is based on extensive and detailed prior information, st</w:t>
      </w:r>
      <w:r>
        <w:rPr>
          <w:rFonts w:ascii="Book Antiqua" w:hAnsi="Book Antiqua" w:cs="Arial"/>
          <w:lang w:val="en-GB"/>
        </w:rPr>
        <w:t>arting with what has been learnt</w:t>
      </w:r>
      <w:r w:rsidRPr="000E4A7F">
        <w:rPr>
          <w:rFonts w:ascii="Book Antiqua" w:hAnsi="Book Antiqua" w:cs="Arial"/>
          <w:lang w:val="en-GB"/>
        </w:rPr>
        <w:t xml:space="preserve"> in adult populations</w:t>
      </w:r>
      <w:r w:rsidRPr="00953227">
        <w:rPr>
          <w:rFonts w:ascii="Book Antiqua" w:hAnsi="Book Antiqua" w:cs="Arial"/>
          <w:vertAlign w:val="superscript"/>
          <w:lang w:val="en-GB"/>
        </w:rPr>
        <w:t>[</w:t>
      </w:r>
      <w:r>
        <w:rPr>
          <w:rFonts w:ascii="Book Antiqua" w:hAnsi="Book Antiqua" w:cs="Arial"/>
          <w:vertAlign w:val="superscript"/>
          <w:lang w:val="en-GB"/>
        </w:rPr>
        <w:t>14</w:t>
      </w:r>
      <w:r w:rsidRPr="000E4A7F">
        <w:rPr>
          <w:rFonts w:ascii="Book Antiqua" w:hAnsi="Book Antiqua" w:cs="Arial"/>
          <w:vertAlign w:val="superscript"/>
          <w:lang w:val="en-GB"/>
        </w:rPr>
        <w:t>]</w:t>
      </w:r>
      <w:r w:rsidRPr="000E4A7F">
        <w:rPr>
          <w:rFonts w:ascii="Book Antiqua" w:hAnsi="Book Antiqua" w:cs="Arial"/>
          <w:lang w:val="en-GB"/>
        </w:rPr>
        <w:t>.</w:t>
      </w:r>
      <w:r>
        <w:rPr>
          <w:rFonts w:ascii="Book Antiqua" w:hAnsi="Book Antiqua" w:cs="Arial" w:hint="eastAsia"/>
          <w:lang w:val="en-GB" w:eastAsia="zh-CN"/>
        </w:rPr>
        <w:t xml:space="preserve"> </w:t>
      </w:r>
      <w:r>
        <w:rPr>
          <w:rFonts w:ascii="Book Antiqua" w:hAnsi="Book Antiqua" w:cs="Arial"/>
          <w:lang w:val="en-GB"/>
        </w:rPr>
        <w:t>Paediatric pharmacometric</w:t>
      </w:r>
      <w:r w:rsidRPr="000E4A7F">
        <w:rPr>
          <w:rFonts w:ascii="Book Antiqua" w:hAnsi="Book Antiqua" w:cs="Arial"/>
          <w:lang w:val="en-GB"/>
        </w:rPr>
        <w:t xml:space="preserve"> approaches are </w:t>
      </w:r>
      <w:r w:rsidRPr="000E4A7F">
        <w:rPr>
          <w:rFonts w:ascii="Book Antiqua" w:hAnsi="Book Antiqua" w:cs="Arial"/>
          <w:lang w:val="en-GB"/>
        </w:rPr>
        <w:lastRenderedPageBreak/>
        <w:t xml:space="preserve">increasingly being applied </w:t>
      </w:r>
      <w:r>
        <w:rPr>
          <w:rFonts w:ascii="Book Antiqua" w:hAnsi="Book Antiqua" w:cs="Arial"/>
          <w:lang w:val="en-GB"/>
        </w:rPr>
        <w:t xml:space="preserve">to </w:t>
      </w:r>
      <w:r w:rsidRPr="000E4A7F">
        <w:rPr>
          <w:rFonts w:ascii="Book Antiqua" w:hAnsi="Book Antiqua" w:cs="Arial"/>
          <w:lang w:val="en-GB"/>
        </w:rPr>
        <w:t xml:space="preserve">drugs already </w:t>
      </w:r>
      <w:r>
        <w:rPr>
          <w:rFonts w:ascii="Book Antiqua" w:hAnsi="Book Antiqua" w:cs="Arial"/>
          <w:lang w:val="en-GB"/>
        </w:rPr>
        <w:t>in use, but that remain unlicensed and off-label</w:t>
      </w:r>
      <w:r w:rsidRPr="000E4A7F">
        <w:rPr>
          <w:rFonts w:ascii="Book Antiqua" w:hAnsi="Book Antiqua" w:cs="Arial"/>
          <w:lang w:val="en-GB"/>
        </w:rPr>
        <w:t xml:space="preserve"> in children</w:t>
      </w:r>
      <w:r w:rsidRPr="00953227">
        <w:rPr>
          <w:rFonts w:ascii="Book Antiqua" w:hAnsi="Book Antiqua" w:cs="Arial"/>
          <w:vertAlign w:val="superscript"/>
          <w:lang w:val="en-GB"/>
        </w:rPr>
        <w:t>[</w:t>
      </w:r>
      <w:r>
        <w:rPr>
          <w:rFonts w:ascii="Book Antiqua" w:hAnsi="Book Antiqua" w:cs="Arial"/>
          <w:vertAlign w:val="superscript"/>
          <w:lang w:val="en-GB"/>
        </w:rPr>
        <w:t>14</w:t>
      </w:r>
      <w:r w:rsidRPr="000E4A7F">
        <w:rPr>
          <w:rFonts w:ascii="Book Antiqua" w:hAnsi="Book Antiqua" w:cs="Arial"/>
          <w:vertAlign w:val="superscript"/>
          <w:lang w:val="en-GB"/>
        </w:rPr>
        <w:t>]</w:t>
      </w:r>
      <w:r w:rsidRPr="000E4A7F">
        <w:rPr>
          <w:rFonts w:ascii="Book Antiqua" w:hAnsi="Book Antiqua" w:cs="Arial"/>
          <w:lang w:val="en-GB"/>
        </w:rPr>
        <w:t>.</w:t>
      </w:r>
      <w:r>
        <w:rPr>
          <w:rFonts w:ascii="Book Antiqua" w:hAnsi="Book Antiqua" w:cs="Arial" w:hint="eastAsia"/>
          <w:lang w:val="en-GB" w:eastAsia="zh-CN"/>
        </w:rPr>
        <w:t xml:space="preserve"> </w:t>
      </w:r>
      <w:r>
        <w:rPr>
          <w:rFonts w:ascii="Book Antiqua" w:hAnsi="Book Antiqua"/>
          <w:lang w:val="en-GB"/>
        </w:rPr>
        <w:t>There are multiple factors contributing</w:t>
      </w:r>
      <w:r w:rsidRPr="00130821">
        <w:rPr>
          <w:rFonts w:ascii="Book Antiqua" w:hAnsi="Book Antiqua"/>
          <w:lang w:val="en-GB"/>
        </w:rPr>
        <w:t xml:space="preserve"> towards the pathogenesis of IBD</w:t>
      </w:r>
      <w:r>
        <w:rPr>
          <w:rFonts w:ascii="Book Antiqua" w:hAnsi="Book Antiqua"/>
          <w:lang w:val="en-GB"/>
        </w:rPr>
        <w:t>, and the whole mechanism is</w:t>
      </w:r>
      <w:r w:rsidRPr="00130821">
        <w:rPr>
          <w:rFonts w:ascii="Book Antiqua" w:hAnsi="Book Antiqua"/>
          <w:lang w:val="en-GB"/>
        </w:rPr>
        <w:t xml:space="preserve"> yet </w:t>
      </w:r>
      <w:r>
        <w:rPr>
          <w:rFonts w:ascii="Book Antiqua" w:hAnsi="Book Antiqua"/>
          <w:lang w:val="en-GB"/>
        </w:rPr>
        <w:t xml:space="preserve">to be </w:t>
      </w:r>
      <w:r w:rsidRPr="00130821">
        <w:rPr>
          <w:rFonts w:ascii="Book Antiqua" w:hAnsi="Book Antiqua"/>
          <w:lang w:val="en-GB"/>
        </w:rPr>
        <w:t>entirely defined</w:t>
      </w:r>
      <w:r>
        <w:rPr>
          <w:rFonts w:ascii="Book Antiqua" w:hAnsi="Book Antiqua"/>
          <w:lang w:val="en-GB"/>
        </w:rPr>
        <w:t xml:space="preserve"> in its complexity</w:t>
      </w:r>
      <w:r w:rsidRPr="00130821">
        <w:rPr>
          <w:rFonts w:ascii="Book Antiqua" w:hAnsi="Book Antiqua"/>
          <w:lang w:val="en-GB"/>
        </w:rPr>
        <w:t xml:space="preserve">. Current hypotheses </w:t>
      </w:r>
      <w:r>
        <w:rPr>
          <w:rFonts w:ascii="Book Antiqua" w:hAnsi="Book Antiqua"/>
          <w:lang w:val="en-GB"/>
        </w:rPr>
        <w:t xml:space="preserve">suggest </w:t>
      </w:r>
      <w:r w:rsidRPr="00130821">
        <w:rPr>
          <w:rFonts w:ascii="Book Antiqua" w:hAnsi="Book Antiqua"/>
          <w:lang w:val="en-GB"/>
        </w:rPr>
        <w:t>the host’s genetic profile, immune system and environmental factors such as the gut microbiota</w:t>
      </w:r>
      <w:r>
        <w:rPr>
          <w:rFonts w:ascii="Book Antiqua" w:hAnsi="Book Antiqua"/>
          <w:lang w:val="en-GB"/>
        </w:rPr>
        <w:t xml:space="preserve"> as possible key factors</w:t>
      </w:r>
      <w:r w:rsidRPr="00953227">
        <w:rPr>
          <w:rFonts w:ascii="Book Antiqua" w:hAnsi="Book Antiqua"/>
          <w:vertAlign w:val="superscript"/>
          <w:lang w:val="en-GB"/>
        </w:rPr>
        <w:t>[</w:t>
      </w:r>
      <w:r w:rsidRPr="00130821">
        <w:rPr>
          <w:rFonts w:ascii="Book Antiqua" w:hAnsi="Book Antiqua"/>
          <w:vertAlign w:val="superscript"/>
          <w:lang w:val="en-GB"/>
        </w:rPr>
        <w:t>3]</w:t>
      </w:r>
      <w:r w:rsidRPr="00130821">
        <w:rPr>
          <w:rFonts w:ascii="Book Antiqua" w:hAnsi="Book Antiqua"/>
          <w:lang w:val="en-GB"/>
        </w:rPr>
        <w:t>.</w:t>
      </w:r>
    </w:p>
    <w:p w14:paraId="040762B8" w14:textId="77777777" w:rsidR="00563BB7" w:rsidRPr="00130821" w:rsidRDefault="00563BB7" w:rsidP="006A3266">
      <w:pPr>
        <w:pStyle w:val="NormalWeb"/>
        <w:spacing w:before="0" w:beforeAutospacing="0" w:after="0" w:afterAutospacing="0" w:line="360" w:lineRule="auto"/>
        <w:ind w:firstLineChars="100" w:firstLine="240"/>
        <w:jc w:val="both"/>
        <w:rPr>
          <w:rFonts w:ascii="Book Antiqua" w:hAnsi="Book Antiqua"/>
          <w:lang w:val="en-GB"/>
        </w:rPr>
      </w:pPr>
      <w:r>
        <w:rPr>
          <w:rFonts w:ascii="Book Antiqua" w:hAnsi="Book Antiqua"/>
          <w:lang w:val="en-GB"/>
        </w:rPr>
        <w:t xml:space="preserve">IBD may develop from </w:t>
      </w:r>
      <w:r w:rsidRPr="00130821">
        <w:rPr>
          <w:rFonts w:ascii="Book Antiqua" w:hAnsi="Book Antiqua"/>
          <w:lang w:val="en-GB"/>
        </w:rPr>
        <w:t xml:space="preserve">a </w:t>
      </w:r>
      <w:r>
        <w:rPr>
          <w:rFonts w:ascii="Book Antiqua" w:hAnsi="Book Antiqua"/>
          <w:lang w:val="en-GB"/>
        </w:rPr>
        <w:t xml:space="preserve">chain </w:t>
      </w:r>
      <w:r w:rsidRPr="00130821">
        <w:rPr>
          <w:rFonts w:ascii="Book Antiqua" w:hAnsi="Book Antiqua"/>
          <w:lang w:val="en-GB"/>
        </w:rPr>
        <w:t xml:space="preserve">of events involving </w:t>
      </w:r>
      <w:r>
        <w:rPr>
          <w:rFonts w:ascii="Book Antiqua" w:hAnsi="Book Antiqua"/>
          <w:lang w:val="en-GB"/>
        </w:rPr>
        <w:t>alteration in the microbiome, increase in</w:t>
      </w:r>
      <w:r w:rsidRPr="00130821">
        <w:rPr>
          <w:rFonts w:ascii="Book Antiqua" w:hAnsi="Book Antiqua"/>
          <w:lang w:val="en-GB"/>
        </w:rPr>
        <w:t xml:space="preserve"> intestinal permeability leading to bacterial</w:t>
      </w:r>
      <w:r>
        <w:rPr>
          <w:rFonts w:ascii="Book Antiqua" w:hAnsi="Book Antiqua"/>
          <w:lang w:val="en-GB"/>
        </w:rPr>
        <w:t xml:space="preserve"> translocation</w:t>
      </w:r>
      <w:r w:rsidRPr="00130821">
        <w:rPr>
          <w:rFonts w:ascii="Book Antiqua" w:hAnsi="Book Antiqua"/>
          <w:lang w:val="en-GB"/>
        </w:rPr>
        <w:t xml:space="preserve">, and subsequent </w:t>
      </w:r>
      <w:r>
        <w:rPr>
          <w:rFonts w:ascii="Book Antiqua" w:hAnsi="Book Antiqua"/>
          <w:lang w:val="en-GB"/>
        </w:rPr>
        <w:t xml:space="preserve">activation </w:t>
      </w:r>
      <w:r w:rsidRPr="00130821">
        <w:rPr>
          <w:rFonts w:ascii="Book Antiqua" w:hAnsi="Book Antiqua"/>
          <w:lang w:val="en-GB"/>
        </w:rPr>
        <w:t xml:space="preserve">of the adaptive immune response </w:t>
      </w:r>
      <w:r>
        <w:rPr>
          <w:rFonts w:ascii="Book Antiqua" w:hAnsi="Book Antiqua"/>
          <w:lang w:val="en-GB"/>
        </w:rPr>
        <w:t xml:space="preserve">to cause tissue damage (a model known </w:t>
      </w:r>
      <w:r w:rsidRPr="00130821">
        <w:rPr>
          <w:rFonts w:ascii="Book Antiqua" w:hAnsi="Book Antiqua"/>
          <w:lang w:val="en-GB"/>
        </w:rPr>
        <w:t>as “bacterial penetration cycle hypothesis”)</w:t>
      </w:r>
      <w:r w:rsidRPr="00953227">
        <w:rPr>
          <w:rFonts w:ascii="Book Antiqua" w:hAnsi="Book Antiqua"/>
          <w:vertAlign w:val="superscript"/>
          <w:lang w:val="en-GB"/>
        </w:rPr>
        <w:t>[</w:t>
      </w:r>
      <w:r w:rsidRPr="00130821">
        <w:rPr>
          <w:rFonts w:ascii="Book Antiqua" w:hAnsi="Book Antiqua"/>
          <w:vertAlign w:val="superscript"/>
          <w:lang w:val="en-GB"/>
        </w:rPr>
        <w:t>15]</w:t>
      </w:r>
      <w:r w:rsidRPr="00130821">
        <w:rPr>
          <w:rFonts w:ascii="Book Antiqua" w:hAnsi="Book Antiqua"/>
          <w:lang w:val="en-GB"/>
        </w:rPr>
        <w:t xml:space="preserve">. </w:t>
      </w:r>
    </w:p>
    <w:p w14:paraId="2A62CE43" w14:textId="77777777" w:rsidR="00563BB7" w:rsidRPr="00130821" w:rsidRDefault="00563BB7" w:rsidP="006A3266">
      <w:pPr>
        <w:pStyle w:val="NormalWeb"/>
        <w:spacing w:before="0" w:beforeAutospacing="0" w:after="0" w:afterAutospacing="0" w:line="360" w:lineRule="auto"/>
        <w:ind w:firstLineChars="100" w:firstLine="240"/>
        <w:jc w:val="both"/>
        <w:rPr>
          <w:rFonts w:ascii="Book Antiqua" w:hAnsi="Book Antiqua"/>
          <w:lang w:val="en-GB"/>
        </w:rPr>
      </w:pPr>
      <w:r>
        <w:rPr>
          <w:rFonts w:ascii="Book Antiqua" w:hAnsi="Book Antiqua"/>
          <w:lang w:val="en-GB"/>
        </w:rPr>
        <w:t xml:space="preserve">As a result of the </w:t>
      </w:r>
      <w:r w:rsidRPr="00130821">
        <w:rPr>
          <w:rFonts w:ascii="Book Antiqua" w:hAnsi="Book Antiqua"/>
          <w:lang w:val="en-GB"/>
        </w:rPr>
        <w:t>uncontrolled activati</w:t>
      </w:r>
      <w:r>
        <w:rPr>
          <w:rFonts w:ascii="Book Antiqua" w:hAnsi="Book Antiqua"/>
          <w:lang w:val="en-GB"/>
        </w:rPr>
        <w:t xml:space="preserve">on of the mucosal immune system, the </w:t>
      </w:r>
      <w:r w:rsidRPr="00130821">
        <w:rPr>
          <w:rFonts w:ascii="Book Antiqua" w:hAnsi="Book Antiqua"/>
          <w:lang w:val="en-GB"/>
        </w:rPr>
        <w:t>pro</w:t>
      </w:r>
      <w:r>
        <w:rPr>
          <w:rFonts w:ascii="Book Antiqua" w:hAnsi="Book Antiqua"/>
          <w:lang w:val="en-GB"/>
        </w:rPr>
        <w:t xml:space="preserve">-inflammatory </w:t>
      </w:r>
      <w:r w:rsidRPr="00130821">
        <w:rPr>
          <w:rFonts w:ascii="Book Antiqua" w:hAnsi="Book Antiqua"/>
          <w:lang w:val="en-GB"/>
        </w:rPr>
        <w:t xml:space="preserve">cytokines </w:t>
      </w:r>
      <w:r>
        <w:rPr>
          <w:rFonts w:ascii="Book Antiqua" w:hAnsi="Book Antiqua"/>
          <w:lang w:val="en-GB"/>
        </w:rPr>
        <w:t xml:space="preserve">released cause </w:t>
      </w:r>
      <w:r w:rsidRPr="00130821">
        <w:rPr>
          <w:rFonts w:ascii="Book Antiqua" w:hAnsi="Book Antiqua"/>
          <w:lang w:val="en-GB"/>
        </w:rPr>
        <w:t>chronic inflammation of the gastrointestinal tract</w:t>
      </w:r>
      <w:r w:rsidRPr="00953227">
        <w:rPr>
          <w:rFonts w:ascii="Book Antiqua" w:hAnsi="Book Antiqua"/>
          <w:vertAlign w:val="superscript"/>
          <w:lang w:val="en-GB"/>
        </w:rPr>
        <w:t>[</w:t>
      </w:r>
      <w:r w:rsidRPr="00130821">
        <w:rPr>
          <w:rFonts w:ascii="Book Antiqua" w:hAnsi="Book Antiqua"/>
          <w:vertAlign w:val="superscript"/>
          <w:lang w:val="en-GB"/>
        </w:rPr>
        <w:t>5]</w:t>
      </w:r>
      <w:r>
        <w:rPr>
          <w:rFonts w:ascii="Book Antiqua" w:hAnsi="Book Antiqua"/>
          <w:lang w:val="en-GB"/>
        </w:rPr>
        <w:t xml:space="preserve">. In consideration of the </w:t>
      </w:r>
      <w:r w:rsidRPr="00130821">
        <w:rPr>
          <w:rFonts w:ascii="Book Antiqua" w:hAnsi="Book Antiqua"/>
          <w:lang w:val="en-GB"/>
        </w:rPr>
        <w:t xml:space="preserve">crucial role </w:t>
      </w:r>
      <w:r>
        <w:rPr>
          <w:rFonts w:ascii="Book Antiqua" w:hAnsi="Book Antiqua"/>
          <w:lang w:val="en-GB"/>
        </w:rPr>
        <w:t xml:space="preserve">played by cytokines </w:t>
      </w:r>
      <w:r w:rsidRPr="00130821">
        <w:rPr>
          <w:rFonts w:ascii="Book Antiqua" w:hAnsi="Book Antiqua"/>
          <w:lang w:val="en-GB"/>
        </w:rPr>
        <w:t xml:space="preserve">in </w:t>
      </w:r>
      <w:r>
        <w:rPr>
          <w:rFonts w:ascii="Book Antiqua" w:hAnsi="Book Antiqua"/>
          <w:lang w:val="en-GB"/>
        </w:rPr>
        <w:t xml:space="preserve">the development of </w:t>
      </w:r>
      <w:r w:rsidRPr="00130821">
        <w:rPr>
          <w:rFonts w:ascii="Book Antiqua" w:hAnsi="Book Antiqua"/>
          <w:lang w:val="en-GB"/>
        </w:rPr>
        <w:t xml:space="preserve">intestinal inflammation, </w:t>
      </w:r>
      <w:r>
        <w:rPr>
          <w:rFonts w:ascii="Book Antiqua" w:hAnsi="Book Antiqua"/>
          <w:lang w:val="en-GB"/>
        </w:rPr>
        <w:t>all current treatments for</w:t>
      </w:r>
      <w:r w:rsidRPr="00130821">
        <w:rPr>
          <w:rFonts w:ascii="Book Antiqua" w:hAnsi="Book Antiqua"/>
          <w:lang w:val="en-GB"/>
        </w:rPr>
        <w:t xml:space="preserve"> IBD </w:t>
      </w:r>
      <w:r>
        <w:rPr>
          <w:rFonts w:ascii="Book Antiqua" w:hAnsi="Book Antiqua"/>
          <w:lang w:val="en-GB"/>
        </w:rPr>
        <w:t>target downstream events</w:t>
      </w:r>
      <w:r w:rsidRPr="00130821">
        <w:rPr>
          <w:rFonts w:ascii="Book Antiqua" w:hAnsi="Book Antiqua"/>
          <w:lang w:val="en-GB"/>
        </w:rPr>
        <w:t xml:space="preserve"> </w:t>
      </w:r>
      <w:r>
        <w:rPr>
          <w:rFonts w:ascii="Book Antiqua" w:hAnsi="Book Antiqua"/>
          <w:lang w:val="en-GB"/>
        </w:rPr>
        <w:t xml:space="preserve">in </w:t>
      </w:r>
      <w:r w:rsidRPr="00130821">
        <w:rPr>
          <w:rFonts w:ascii="Book Antiqua" w:hAnsi="Book Antiqua"/>
          <w:lang w:val="en-GB"/>
        </w:rPr>
        <w:t>the host inflammatory response</w:t>
      </w:r>
      <w:r w:rsidRPr="00953227">
        <w:rPr>
          <w:rFonts w:ascii="Book Antiqua" w:hAnsi="Book Antiqua"/>
          <w:vertAlign w:val="superscript"/>
          <w:lang w:val="en-GB"/>
        </w:rPr>
        <w:t>[</w:t>
      </w:r>
      <w:r w:rsidRPr="00130821">
        <w:rPr>
          <w:rFonts w:ascii="Book Antiqua" w:hAnsi="Book Antiqua"/>
          <w:vertAlign w:val="superscript"/>
          <w:lang w:val="en-GB"/>
        </w:rPr>
        <w:t>15]</w:t>
      </w:r>
      <w:r w:rsidRPr="00130821">
        <w:rPr>
          <w:rFonts w:ascii="Book Antiqua" w:hAnsi="Book Antiqua"/>
          <w:lang w:val="en-GB"/>
        </w:rPr>
        <w:t xml:space="preserve">. </w:t>
      </w:r>
    </w:p>
    <w:p w14:paraId="2B8FBAA1" w14:textId="77777777" w:rsidR="00563BB7" w:rsidRPr="00D43973"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sidRPr="00D43973">
        <w:rPr>
          <w:rFonts w:ascii="Book Antiqua" w:hAnsi="Book Antiqua"/>
          <w:lang w:val="en-GB"/>
        </w:rPr>
        <w:t xml:space="preserve">Given the complexity and heterogeneity of IBD, </w:t>
      </w:r>
      <w:r>
        <w:rPr>
          <w:rFonts w:ascii="Book Antiqua" w:hAnsi="Book Antiqua"/>
          <w:lang w:val="en-GB"/>
        </w:rPr>
        <w:t xml:space="preserve">a holy grail of </w:t>
      </w:r>
      <w:r w:rsidRPr="00D43973">
        <w:rPr>
          <w:rFonts w:ascii="Book Antiqua" w:hAnsi="Book Antiqua"/>
          <w:lang w:val="en-GB"/>
        </w:rPr>
        <w:t xml:space="preserve">current research is to </w:t>
      </w:r>
      <w:r>
        <w:rPr>
          <w:rFonts w:ascii="Book Antiqua" w:hAnsi="Book Antiqua"/>
          <w:lang w:val="en-GB"/>
        </w:rPr>
        <w:t xml:space="preserve">be able to </w:t>
      </w:r>
      <w:r w:rsidRPr="00D43973">
        <w:rPr>
          <w:rFonts w:ascii="Book Antiqua" w:hAnsi="Book Antiqua"/>
          <w:lang w:val="en-GB"/>
        </w:rPr>
        <w:t>customize therapy to a patient’s predictive biomarker profile</w:t>
      </w:r>
      <w:r>
        <w:rPr>
          <w:rFonts w:ascii="Book Antiqua" w:hAnsi="Book Antiqua"/>
          <w:lang w:val="en-GB"/>
        </w:rPr>
        <w:t>, in order to personalise treatment and to maximise</w:t>
      </w:r>
      <w:r w:rsidRPr="00D43973">
        <w:rPr>
          <w:rFonts w:ascii="Book Antiqua" w:hAnsi="Book Antiqua"/>
          <w:lang w:val="en-GB"/>
        </w:rPr>
        <w:t xml:space="preserve"> response</w:t>
      </w:r>
      <w:r w:rsidRPr="00953227">
        <w:rPr>
          <w:rFonts w:ascii="Book Antiqua" w:hAnsi="Book Antiqua"/>
          <w:vertAlign w:val="superscript"/>
          <w:lang w:val="en-GB"/>
        </w:rPr>
        <w:t>[</w:t>
      </w:r>
      <w:r w:rsidRPr="00391034">
        <w:rPr>
          <w:rFonts w:ascii="Book Antiqua" w:hAnsi="Book Antiqua"/>
          <w:vertAlign w:val="superscript"/>
          <w:lang w:val="en-GB"/>
        </w:rPr>
        <w:t>1</w:t>
      </w:r>
      <w:r>
        <w:rPr>
          <w:rFonts w:ascii="Book Antiqua" w:hAnsi="Book Antiqua"/>
          <w:vertAlign w:val="superscript"/>
          <w:lang w:val="en-GB"/>
        </w:rPr>
        <w:t>1</w:t>
      </w:r>
      <w:r w:rsidRPr="00391034">
        <w:rPr>
          <w:rFonts w:ascii="Book Antiqua" w:hAnsi="Book Antiqua"/>
          <w:vertAlign w:val="superscript"/>
          <w:lang w:val="en-GB"/>
        </w:rPr>
        <w:t>]</w:t>
      </w:r>
      <w:r w:rsidRPr="00D43973">
        <w:rPr>
          <w:rFonts w:ascii="Book Antiqua" w:hAnsi="Book Antiqua"/>
          <w:lang w:val="en-GB"/>
        </w:rPr>
        <w:t>.</w:t>
      </w:r>
    </w:p>
    <w:p w14:paraId="43F7879B" w14:textId="3F9C082B" w:rsidR="00563BB7" w:rsidRPr="00130821" w:rsidRDefault="00563BB7" w:rsidP="006A3266">
      <w:pPr>
        <w:pStyle w:val="NormalWeb"/>
        <w:spacing w:before="0" w:beforeAutospacing="0" w:after="0" w:afterAutospacing="0" w:line="360" w:lineRule="auto"/>
        <w:ind w:firstLineChars="100" w:firstLine="240"/>
        <w:jc w:val="both"/>
        <w:rPr>
          <w:rFonts w:ascii="Book Antiqua" w:hAnsi="Book Antiqua"/>
          <w:lang w:val="en-GB"/>
        </w:rPr>
      </w:pPr>
      <w:r>
        <w:rPr>
          <w:rFonts w:ascii="Book Antiqua" w:hAnsi="Book Antiqua"/>
          <w:lang w:val="en-GB"/>
        </w:rPr>
        <w:t xml:space="preserve">Studies in adult patients with CD </w:t>
      </w:r>
      <w:r w:rsidRPr="00130821">
        <w:rPr>
          <w:rFonts w:ascii="Book Antiqua" w:hAnsi="Book Antiqua"/>
          <w:lang w:val="en-GB"/>
        </w:rPr>
        <w:t xml:space="preserve">have shown that treatments capable of inducing and maintaining endoscopic mucosal healing (MH) have a positive impact on the disease course, </w:t>
      </w:r>
      <w:r>
        <w:rPr>
          <w:rFonts w:ascii="Book Antiqua" w:hAnsi="Book Antiqua"/>
          <w:lang w:val="en-GB"/>
        </w:rPr>
        <w:t xml:space="preserve">by reducing the number of </w:t>
      </w:r>
      <w:r w:rsidRPr="00130821">
        <w:rPr>
          <w:rFonts w:ascii="Book Antiqua" w:hAnsi="Book Antiqua"/>
          <w:lang w:val="en-GB"/>
        </w:rPr>
        <w:t xml:space="preserve">clinical relapses, </w:t>
      </w:r>
      <w:r>
        <w:rPr>
          <w:rFonts w:ascii="Book Antiqua" w:hAnsi="Book Antiqua"/>
          <w:lang w:val="en-GB"/>
        </w:rPr>
        <w:t>hospitalizations and</w:t>
      </w:r>
      <w:r w:rsidRPr="00130821">
        <w:rPr>
          <w:rFonts w:ascii="Book Antiqua" w:hAnsi="Book Antiqua"/>
          <w:lang w:val="en-GB"/>
        </w:rPr>
        <w:t xml:space="preserve"> </w:t>
      </w:r>
      <w:r>
        <w:rPr>
          <w:rFonts w:ascii="Book Antiqua" w:hAnsi="Book Antiqua"/>
          <w:lang w:val="en-GB"/>
        </w:rPr>
        <w:t>surgical interventions</w:t>
      </w:r>
      <w:r w:rsidRPr="00953227">
        <w:rPr>
          <w:rFonts w:ascii="Book Antiqua" w:hAnsi="Book Antiqua"/>
          <w:vertAlign w:val="superscript"/>
          <w:lang w:val="en-GB"/>
        </w:rPr>
        <w:t>[</w:t>
      </w:r>
      <w:r w:rsidRPr="00130821">
        <w:rPr>
          <w:rFonts w:ascii="Book Antiqua" w:hAnsi="Book Antiqua"/>
          <w:vertAlign w:val="superscript"/>
          <w:lang w:val="en-GB"/>
        </w:rPr>
        <w:t>16]</w:t>
      </w:r>
      <w:r w:rsidRPr="00130821">
        <w:rPr>
          <w:rFonts w:ascii="Book Antiqua" w:hAnsi="Book Antiqua"/>
          <w:lang w:val="en-GB"/>
        </w:rPr>
        <w:t xml:space="preserve">. Therefore, the </w:t>
      </w:r>
      <w:r>
        <w:rPr>
          <w:rFonts w:ascii="Book Antiqua" w:hAnsi="Book Antiqua"/>
          <w:lang w:val="en-GB"/>
        </w:rPr>
        <w:t xml:space="preserve">current aim in the care of IBD </w:t>
      </w:r>
      <w:r w:rsidRPr="00130821">
        <w:rPr>
          <w:rFonts w:ascii="Book Antiqua" w:hAnsi="Book Antiqua"/>
          <w:lang w:val="en-GB"/>
        </w:rPr>
        <w:t xml:space="preserve">for all ages is </w:t>
      </w:r>
      <w:r>
        <w:rPr>
          <w:rFonts w:ascii="Book Antiqua" w:hAnsi="Book Antiqua"/>
          <w:lang w:val="en-GB"/>
        </w:rPr>
        <w:t xml:space="preserve">achieving </w:t>
      </w:r>
      <w:r w:rsidRPr="00130821">
        <w:rPr>
          <w:rFonts w:ascii="Book Antiqua" w:hAnsi="Book Antiqua"/>
          <w:lang w:val="en-GB"/>
        </w:rPr>
        <w:t>intestinal</w:t>
      </w:r>
      <w:r>
        <w:rPr>
          <w:rFonts w:ascii="Book Antiqua" w:hAnsi="Book Antiqua"/>
          <w:lang w:val="en-GB"/>
        </w:rPr>
        <w:t xml:space="preserve"> mucosal healing, </w:t>
      </w:r>
      <w:r w:rsidRPr="00020B09">
        <w:rPr>
          <w:rFonts w:ascii="Book Antiqua" w:hAnsi="Book Antiqua"/>
          <w:i/>
          <w:lang w:val="en-GB"/>
        </w:rPr>
        <w:t>i.e.</w:t>
      </w:r>
      <w:r w:rsidR="00020B09" w:rsidRPr="00020B09">
        <w:rPr>
          <w:rFonts w:ascii="Book Antiqua" w:hAnsi="Book Antiqua" w:hint="eastAsia"/>
          <w:i/>
          <w:lang w:val="en-GB" w:eastAsia="zh-CN"/>
        </w:rPr>
        <w:t>,</w:t>
      </w:r>
      <w:r w:rsidRPr="00130821">
        <w:rPr>
          <w:rFonts w:ascii="Book Antiqua" w:hAnsi="Book Antiqua"/>
          <w:lang w:val="en-GB"/>
        </w:rPr>
        <w:t xml:space="preserve"> beyond </w:t>
      </w:r>
      <w:r>
        <w:rPr>
          <w:rFonts w:ascii="Book Antiqua" w:hAnsi="Book Antiqua"/>
          <w:lang w:val="en-GB"/>
        </w:rPr>
        <w:t xml:space="preserve">the </w:t>
      </w:r>
      <w:r w:rsidRPr="00130821">
        <w:rPr>
          <w:rFonts w:ascii="Book Antiqua" w:hAnsi="Book Antiqua"/>
          <w:lang w:val="en-GB"/>
        </w:rPr>
        <w:t xml:space="preserve">simple </w:t>
      </w:r>
      <w:r>
        <w:rPr>
          <w:rFonts w:ascii="Book Antiqua" w:hAnsi="Book Antiqua"/>
          <w:lang w:val="en-GB"/>
        </w:rPr>
        <w:t xml:space="preserve">resolution of </w:t>
      </w:r>
      <w:r w:rsidRPr="00130821">
        <w:rPr>
          <w:rFonts w:ascii="Book Antiqua" w:hAnsi="Book Antiqua"/>
          <w:lang w:val="en-GB"/>
        </w:rPr>
        <w:t>symptom</w:t>
      </w:r>
      <w:r>
        <w:rPr>
          <w:rFonts w:ascii="Book Antiqua" w:hAnsi="Book Antiqua"/>
          <w:lang w:val="en-GB"/>
        </w:rPr>
        <w:t>s</w:t>
      </w:r>
      <w:r w:rsidRPr="00953227">
        <w:rPr>
          <w:rFonts w:ascii="Book Antiqua" w:hAnsi="Book Antiqua"/>
          <w:vertAlign w:val="superscript"/>
          <w:lang w:val="en-GB"/>
        </w:rPr>
        <w:t>[</w:t>
      </w:r>
      <w:r w:rsidRPr="00130821">
        <w:rPr>
          <w:rFonts w:ascii="Book Antiqua" w:hAnsi="Book Antiqua"/>
          <w:vertAlign w:val="superscript"/>
          <w:lang w:val="en-GB"/>
        </w:rPr>
        <w:t>3]</w:t>
      </w:r>
      <w:r w:rsidRPr="00130821">
        <w:rPr>
          <w:rFonts w:ascii="Book Antiqua" w:hAnsi="Book Antiqua"/>
          <w:lang w:val="en-GB"/>
        </w:rPr>
        <w:t xml:space="preserve">. </w:t>
      </w:r>
    </w:p>
    <w:p w14:paraId="0A1A2C57" w14:textId="5FF236E8" w:rsidR="00563BB7" w:rsidRPr="00130821" w:rsidRDefault="00563BB7" w:rsidP="006A3266">
      <w:pPr>
        <w:pStyle w:val="NormalWeb"/>
        <w:spacing w:before="0" w:beforeAutospacing="0" w:after="0" w:afterAutospacing="0" w:line="360" w:lineRule="auto"/>
        <w:ind w:firstLineChars="100" w:firstLine="240"/>
        <w:jc w:val="both"/>
        <w:rPr>
          <w:rFonts w:ascii="Book Antiqua" w:hAnsi="Book Antiqua"/>
          <w:lang w:val="en-GB"/>
        </w:rPr>
      </w:pPr>
      <w:r>
        <w:rPr>
          <w:rFonts w:ascii="Book Antiqua" w:hAnsi="Book Antiqua"/>
          <w:lang w:val="en-GB"/>
        </w:rPr>
        <w:t>Based on this evidence, t</w:t>
      </w:r>
      <w:r w:rsidRPr="00130821">
        <w:rPr>
          <w:rFonts w:ascii="Book Antiqua" w:hAnsi="Book Antiqua"/>
          <w:lang w:val="en-GB"/>
        </w:rPr>
        <w:t>he strategy of early introduction of immunomodulators and biological therapies (“top-down”) to induce deep remission (long-term intestinal healing) is increasingly used in high-risk paediatric patients (</w:t>
      </w:r>
      <w:r w:rsidRPr="00020B09">
        <w:rPr>
          <w:rFonts w:ascii="Book Antiqua" w:hAnsi="Book Antiqua"/>
          <w:i/>
          <w:lang w:val="en-GB"/>
        </w:rPr>
        <w:t>e.g.</w:t>
      </w:r>
      <w:r w:rsidR="00020B09" w:rsidRPr="00020B09">
        <w:rPr>
          <w:rFonts w:ascii="Book Antiqua" w:hAnsi="Book Antiqua" w:hint="eastAsia"/>
          <w:i/>
          <w:lang w:val="en-GB" w:eastAsia="zh-CN"/>
        </w:rPr>
        <w:t>,</w:t>
      </w:r>
      <w:r w:rsidRPr="00020B09">
        <w:rPr>
          <w:rFonts w:ascii="Book Antiqua" w:hAnsi="Book Antiqua"/>
          <w:i/>
          <w:lang w:val="en-GB"/>
        </w:rPr>
        <w:t xml:space="preserve"> </w:t>
      </w:r>
      <w:r>
        <w:rPr>
          <w:rFonts w:ascii="Book Antiqua" w:hAnsi="Book Antiqua"/>
          <w:lang w:val="en-GB"/>
        </w:rPr>
        <w:t xml:space="preserve">children with </w:t>
      </w:r>
      <w:r w:rsidRPr="00130821">
        <w:rPr>
          <w:rFonts w:ascii="Book Antiqua" w:hAnsi="Book Antiqua"/>
          <w:lang w:val="en-GB"/>
        </w:rPr>
        <w:t xml:space="preserve">extensive disease distribution, severe perianal disease, </w:t>
      </w:r>
      <w:r>
        <w:rPr>
          <w:rFonts w:ascii="Book Antiqua" w:hAnsi="Book Antiqua"/>
          <w:lang w:val="en-GB"/>
        </w:rPr>
        <w:t>no response to standard medical options</w:t>
      </w:r>
      <w:r w:rsidRPr="00130821">
        <w:rPr>
          <w:rFonts w:ascii="Book Antiqua" w:hAnsi="Book Antiqua"/>
          <w:lang w:val="en-GB"/>
        </w:rPr>
        <w:t xml:space="preserve">, growth retardation and delayed puberty) </w:t>
      </w:r>
      <w:r>
        <w:rPr>
          <w:rFonts w:ascii="Book Antiqua" w:hAnsi="Book Antiqua"/>
          <w:lang w:val="en-GB"/>
        </w:rPr>
        <w:t xml:space="preserve">as an attempt to </w:t>
      </w:r>
      <w:r w:rsidRPr="00130821">
        <w:rPr>
          <w:rFonts w:ascii="Book Antiqua" w:hAnsi="Book Antiqua"/>
          <w:lang w:val="en-GB"/>
        </w:rPr>
        <w:t>modify the clinical course of the disease by</w:t>
      </w:r>
      <w:r>
        <w:rPr>
          <w:rFonts w:ascii="Book Antiqua" w:hAnsi="Book Antiqua"/>
          <w:lang w:val="en-GB"/>
        </w:rPr>
        <w:t xml:space="preserve"> inducing and maintaining remission</w:t>
      </w:r>
      <w:r w:rsidRPr="00130821">
        <w:rPr>
          <w:rFonts w:ascii="Book Antiqua" w:hAnsi="Book Antiqua"/>
          <w:lang w:val="en-GB"/>
        </w:rPr>
        <w:t xml:space="preserve">, reducing </w:t>
      </w:r>
      <w:r>
        <w:rPr>
          <w:rFonts w:ascii="Book Antiqua" w:hAnsi="Book Antiqua"/>
          <w:lang w:val="en-GB"/>
        </w:rPr>
        <w:t xml:space="preserve">hospitalizations, </w:t>
      </w:r>
      <w:r w:rsidRPr="00130821">
        <w:rPr>
          <w:rFonts w:ascii="Book Antiqua" w:hAnsi="Book Antiqua"/>
          <w:lang w:val="en-GB"/>
        </w:rPr>
        <w:t xml:space="preserve">surgeries, </w:t>
      </w:r>
      <w:r>
        <w:rPr>
          <w:rFonts w:ascii="Book Antiqua" w:hAnsi="Book Antiqua"/>
          <w:lang w:val="en-GB"/>
        </w:rPr>
        <w:t xml:space="preserve">use of </w:t>
      </w:r>
      <w:r w:rsidRPr="00130821">
        <w:rPr>
          <w:rFonts w:ascii="Book Antiqua" w:hAnsi="Book Antiqua"/>
          <w:lang w:val="en-GB"/>
        </w:rPr>
        <w:t>corticosteroids, as well as promoting growth and pubertal development</w:t>
      </w:r>
      <w:r w:rsidRPr="00953227">
        <w:rPr>
          <w:rFonts w:ascii="Book Antiqua" w:hAnsi="Book Antiqua"/>
          <w:vertAlign w:val="superscript"/>
          <w:lang w:val="en-GB"/>
        </w:rPr>
        <w:t>[</w:t>
      </w:r>
      <w:r w:rsidRPr="00130821">
        <w:rPr>
          <w:rFonts w:ascii="Book Antiqua" w:hAnsi="Book Antiqua"/>
          <w:vertAlign w:val="superscript"/>
          <w:lang w:val="en-GB"/>
        </w:rPr>
        <w:t>3]</w:t>
      </w:r>
      <w:r w:rsidRPr="00130821">
        <w:rPr>
          <w:rFonts w:ascii="Book Antiqua" w:hAnsi="Book Antiqua"/>
          <w:lang w:val="en-GB"/>
        </w:rPr>
        <w:t xml:space="preserve">. </w:t>
      </w:r>
    </w:p>
    <w:p w14:paraId="2923AFB8" w14:textId="6A314196" w:rsidR="00563BB7" w:rsidRPr="00D43973"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Pr>
          <w:rFonts w:ascii="Book Antiqua" w:hAnsi="Book Antiqua"/>
          <w:lang w:val="en-GB"/>
        </w:rPr>
        <w:lastRenderedPageBreak/>
        <w:t>Based</w:t>
      </w:r>
      <w:r w:rsidRPr="00D43973">
        <w:rPr>
          <w:rFonts w:ascii="Book Antiqua" w:hAnsi="Book Antiqua"/>
          <w:lang w:val="en-GB"/>
        </w:rPr>
        <w:t xml:space="preserve"> on the recommendations above, </w:t>
      </w:r>
      <w:r>
        <w:rPr>
          <w:rFonts w:ascii="Book Antiqua" w:hAnsi="Book Antiqua"/>
          <w:lang w:val="en-GB"/>
        </w:rPr>
        <w:t>the conventional “step up”</w:t>
      </w:r>
      <w:r w:rsidRPr="00D43973">
        <w:rPr>
          <w:rFonts w:ascii="Book Antiqua" w:hAnsi="Book Antiqua"/>
          <w:lang w:val="en-GB"/>
        </w:rPr>
        <w:t xml:space="preserve"> </w:t>
      </w:r>
      <w:r>
        <w:rPr>
          <w:rFonts w:ascii="Book Antiqua" w:hAnsi="Book Antiqua"/>
          <w:lang w:val="en-GB"/>
        </w:rPr>
        <w:t xml:space="preserve">approach for </w:t>
      </w:r>
      <w:r w:rsidRPr="00D43973">
        <w:rPr>
          <w:rFonts w:ascii="Book Antiqua" w:hAnsi="Book Antiqua"/>
          <w:lang w:val="en-GB"/>
        </w:rPr>
        <w:t>paediatric CD</w:t>
      </w:r>
      <w:r>
        <w:rPr>
          <w:rFonts w:ascii="Book Antiqua" w:hAnsi="Book Antiqua"/>
          <w:lang w:val="en-GB"/>
        </w:rPr>
        <w:t>,</w:t>
      </w:r>
      <w:r w:rsidRPr="00D43973">
        <w:rPr>
          <w:rFonts w:ascii="Book Antiqua" w:hAnsi="Book Antiqua"/>
          <w:lang w:val="en-GB"/>
        </w:rPr>
        <w:t xml:space="preserve"> based on amino</w:t>
      </w:r>
      <w:r>
        <w:rPr>
          <w:rFonts w:ascii="Book Antiqua" w:hAnsi="Book Antiqua"/>
          <w:lang w:val="en-GB"/>
        </w:rPr>
        <w:t>-</w:t>
      </w:r>
      <w:r w:rsidRPr="00D43973">
        <w:rPr>
          <w:rFonts w:ascii="Book Antiqua" w:hAnsi="Book Antiqua"/>
          <w:lang w:val="en-GB"/>
        </w:rPr>
        <w:t>salicyla</w:t>
      </w:r>
      <w:r>
        <w:rPr>
          <w:rFonts w:ascii="Book Antiqua" w:hAnsi="Book Antiqua"/>
          <w:lang w:val="en-GB"/>
        </w:rPr>
        <w:t>tes, corticosteroids, and immuno</w:t>
      </w:r>
      <w:r w:rsidRPr="00D43973">
        <w:rPr>
          <w:rFonts w:ascii="Book Antiqua" w:hAnsi="Book Antiqua"/>
          <w:lang w:val="en-GB"/>
        </w:rPr>
        <w:t>modulators</w:t>
      </w:r>
      <w:r>
        <w:rPr>
          <w:rFonts w:ascii="Book Antiqua" w:hAnsi="Book Antiqua"/>
          <w:lang w:val="en-GB"/>
        </w:rPr>
        <w:t>,</w:t>
      </w:r>
      <w:r w:rsidRPr="00D43973">
        <w:rPr>
          <w:rFonts w:ascii="Book Antiqua" w:hAnsi="Book Antiqua"/>
          <w:lang w:val="en-GB"/>
        </w:rPr>
        <w:t xml:space="preserve"> is increasingly outdated for </w:t>
      </w:r>
      <w:r>
        <w:rPr>
          <w:rFonts w:ascii="Book Antiqua" w:hAnsi="Book Antiqua"/>
          <w:lang w:val="en-GB"/>
        </w:rPr>
        <w:t>patients at high risk of complicated disease</w:t>
      </w:r>
      <w:r w:rsidRPr="00953227">
        <w:rPr>
          <w:rFonts w:ascii="Book Antiqua" w:hAnsi="Book Antiqua"/>
          <w:vertAlign w:val="superscript"/>
          <w:lang w:val="en-GB"/>
        </w:rPr>
        <w:t>[</w:t>
      </w:r>
      <w:r>
        <w:rPr>
          <w:rFonts w:ascii="Book Antiqua" w:hAnsi="Book Antiqua"/>
          <w:vertAlign w:val="superscript"/>
          <w:lang w:val="en-GB"/>
        </w:rPr>
        <w:t>17</w:t>
      </w:r>
      <w:r w:rsidRPr="00391034">
        <w:rPr>
          <w:rFonts w:ascii="Book Antiqua" w:hAnsi="Book Antiqua"/>
          <w:vertAlign w:val="superscript"/>
          <w:lang w:val="en-GB"/>
        </w:rPr>
        <w:t>,</w:t>
      </w:r>
      <w:r>
        <w:rPr>
          <w:rFonts w:ascii="Book Antiqua" w:hAnsi="Book Antiqua"/>
          <w:vertAlign w:val="superscript"/>
          <w:lang w:val="en-GB"/>
        </w:rPr>
        <w:t>18</w:t>
      </w:r>
      <w:r w:rsidRPr="00391034">
        <w:rPr>
          <w:rFonts w:ascii="Book Antiqua" w:hAnsi="Book Antiqua"/>
          <w:vertAlign w:val="superscript"/>
          <w:lang w:val="en-GB"/>
        </w:rPr>
        <w:t>]</w:t>
      </w:r>
      <w:r w:rsidRPr="00D43973">
        <w:rPr>
          <w:rFonts w:ascii="Book Antiqua" w:hAnsi="Book Antiqua"/>
          <w:lang w:val="en-GB"/>
        </w:rPr>
        <w:t>.</w:t>
      </w:r>
    </w:p>
    <w:p w14:paraId="5918DC77" w14:textId="77777777" w:rsidR="00563BB7" w:rsidRPr="00D43973"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sidRPr="00D43973">
        <w:rPr>
          <w:rFonts w:ascii="Book Antiqua" w:hAnsi="Book Antiqua"/>
          <w:lang w:val="en-GB"/>
        </w:rPr>
        <w:t xml:space="preserve">This narrative review aims to summarise the most recent advances in treating children with IBD and to provide with an </w:t>
      </w:r>
      <w:r>
        <w:rPr>
          <w:rFonts w:ascii="Book Antiqua" w:hAnsi="Book Antiqua"/>
          <w:lang w:val="en-GB"/>
        </w:rPr>
        <w:t>overview of the new treatments</w:t>
      </w:r>
      <w:r w:rsidRPr="00D43973">
        <w:rPr>
          <w:rFonts w:ascii="Book Antiqua" w:hAnsi="Book Antiqua"/>
          <w:lang w:val="en-GB"/>
        </w:rPr>
        <w:t xml:space="preserve"> in this field.</w:t>
      </w:r>
    </w:p>
    <w:p w14:paraId="29CEAB08" w14:textId="77777777" w:rsidR="00563BB7" w:rsidRPr="00D43973" w:rsidRDefault="00563BB7" w:rsidP="006A3266">
      <w:pPr>
        <w:spacing w:line="360" w:lineRule="auto"/>
        <w:jc w:val="both"/>
        <w:rPr>
          <w:rFonts w:ascii="Book Antiqua" w:hAnsi="Book Antiqua"/>
        </w:rPr>
      </w:pPr>
    </w:p>
    <w:p w14:paraId="788417A9" w14:textId="77777777" w:rsidR="00563BB7" w:rsidRPr="00953227" w:rsidRDefault="00563BB7" w:rsidP="006A3266">
      <w:pPr>
        <w:widowControl w:val="0"/>
        <w:autoSpaceDE w:val="0"/>
        <w:autoSpaceDN w:val="0"/>
        <w:adjustRightInd w:val="0"/>
        <w:spacing w:line="360" w:lineRule="auto"/>
        <w:jc w:val="both"/>
        <w:rPr>
          <w:rFonts w:ascii="Book Antiqua" w:hAnsi="Book Antiqua"/>
          <w:b/>
          <w:color w:val="000000"/>
          <w:lang w:val="en-GB" w:eastAsia="zh-CN"/>
        </w:rPr>
      </w:pPr>
      <w:r>
        <w:rPr>
          <w:rFonts w:ascii="Book Antiqua" w:hAnsi="Book Antiqua"/>
          <w:b/>
          <w:color w:val="000000"/>
          <w:lang w:val="en-GB"/>
        </w:rPr>
        <w:t>METHODS</w:t>
      </w:r>
    </w:p>
    <w:p w14:paraId="7E8CB2B7" w14:textId="77777777" w:rsidR="00563BB7" w:rsidRPr="00D43973" w:rsidRDefault="00563BB7" w:rsidP="006A3266">
      <w:pPr>
        <w:widowControl w:val="0"/>
        <w:autoSpaceDE w:val="0"/>
        <w:autoSpaceDN w:val="0"/>
        <w:adjustRightInd w:val="0"/>
        <w:spacing w:line="360" w:lineRule="auto"/>
        <w:jc w:val="both"/>
        <w:rPr>
          <w:rFonts w:ascii="Book Antiqua" w:hAnsi="Book Antiqua"/>
          <w:lang w:val="en-GB"/>
        </w:rPr>
      </w:pPr>
      <w:r w:rsidRPr="00D43973">
        <w:rPr>
          <w:rFonts w:ascii="Book Antiqua" w:hAnsi="Book Antiqua"/>
          <w:lang w:val="en-GB"/>
        </w:rPr>
        <w:t>A Medline search using the keywords "paediatric inflammatory bowel disease", "paediatric Crohn's disease", "paediatric ulcerative colitis", "treatment", "therapy", “immunosuppressant”, “biologic”, “monitoring” and "biomarkers" was carried out.</w:t>
      </w:r>
    </w:p>
    <w:p w14:paraId="76B10E23" w14:textId="77777777" w:rsidR="00563BB7" w:rsidRDefault="00563BB7" w:rsidP="006A3266">
      <w:pPr>
        <w:widowControl w:val="0"/>
        <w:autoSpaceDE w:val="0"/>
        <w:autoSpaceDN w:val="0"/>
        <w:adjustRightInd w:val="0"/>
        <w:spacing w:line="360" w:lineRule="auto"/>
        <w:jc w:val="both"/>
        <w:rPr>
          <w:rFonts w:ascii="Book Antiqua" w:hAnsi="Book Antiqua"/>
          <w:lang w:val="en-GB"/>
        </w:rPr>
      </w:pPr>
      <w:r w:rsidRPr="00D43973">
        <w:rPr>
          <w:rFonts w:ascii="Book Antiqua" w:hAnsi="Book Antiqua"/>
          <w:lang w:val="en-GB"/>
        </w:rPr>
        <w:t>Retrospective and prospective clinical studies, systematic reviews and meta-analyses published between 2014 and 2016 were selected for this narrative review. Studies conducted earlier were also taken into consideration whenever the data outline was considered relevant to the scope of the review.</w:t>
      </w:r>
    </w:p>
    <w:p w14:paraId="01785811" w14:textId="77777777" w:rsidR="00563BB7" w:rsidRPr="00D43973" w:rsidRDefault="00563BB7" w:rsidP="006A3266">
      <w:pPr>
        <w:widowControl w:val="0"/>
        <w:autoSpaceDE w:val="0"/>
        <w:autoSpaceDN w:val="0"/>
        <w:adjustRightInd w:val="0"/>
        <w:spacing w:line="360" w:lineRule="auto"/>
        <w:jc w:val="both"/>
        <w:rPr>
          <w:rFonts w:ascii="Book Antiqua" w:hAnsi="Book Antiqua"/>
          <w:lang w:val="en-GB"/>
        </w:rPr>
      </w:pPr>
    </w:p>
    <w:p w14:paraId="00D747B1" w14:textId="77777777" w:rsidR="00563BB7" w:rsidRDefault="00563BB7" w:rsidP="006A3266">
      <w:pPr>
        <w:pStyle w:val="NormalWeb"/>
        <w:spacing w:before="0" w:beforeAutospacing="0" w:after="0" w:afterAutospacing="0" w:line="360" w:lineRule="auto"/>
        <w:jc w:val="both"/>
        <w:rPr>
          <w:rFonts w:ascii="Book Antiqua" w:hAnsi="Book Antiqua"/>
          <w:b/>
          <w:color w:val="000000"/>
          <w:lang w:val="en-GB"/>
        </w:rPr>
      </w:pPr>
      <w:r w:rsidRPr="00130821">
        <w:rPr>
          <w:rFonts w:ascii="Book Antiqua" w:hAnsi="Book Antiqua"/>
          <w:b/>
          <w:color w:val="000000"/>
          <w:lang w:val="en-GB"/>
        </w:rPr>
        <w:t>DIET, MICROBIOTA AND FAECAL TRANSPLANT</w:t>
      </w:r>
    </w:p>
    <w:p w14:paraId="5DE5F7AA" w14:textId="77777777" w:rsidR="00563BB7" w:rsidRPr="005006BC" w:rsidRDefault="00563BB7" w:rsidP="006A3266">
      <w:pPr>
        <w:pStyle w:val="NormalWeb"/>
        <w:spacing w:before="0" w:beforeAutospacing="0" w:after="0" w:afterAutospacing="0" w:line="360" w:lineRule="auto"/>
        <w:jc w:val="both"/>
        <w:rPr>
          <w:rFonts w:ascii="Book Antiqua" w:hAnsi="Book Antiqua"/>
          <w:b/>
          <w:color w:val="000000"/>
          <w:lang w:val="en-GB"/>
        </w:rPr>
      </w:pPr>
      <w:r w:rsidRPr="00D43973">
        <w:rPr>
          <w:rFonts w:ascii="Book Antiqua" w:hAnsi="Book Antiqua"/>
          <w:lang w:val="en-GB"/>
        </w:rPr>
        <w:t xml:space="preserve">Diet has an </w:t>
      </w:r>
      <w:r>
        <w:rPr>
          <w:rFonts w:ascii="Book Antiqua" w:hAnsi="Book Antiqua"/>
          <w:lang w:val="en-GB"/>
        </w:rPr>
        <w:t xml:space="preserve">impact </w:t>
      </w:r>
      <w:r w:rsidRPr="00D43973">
        <w:rPr>
          <w:rFonts w:ascii="Book Antiqua" w:hAnsi="Book Antiqua"/>
          <w:lang w:val="en-GB"/>
        </w:rPr>
        <w:t>on the composition of the intestinal m</w:t>
      </w:r>
      <w:r>
        <w:rPr>
          <w:rFonts w:ascii="Book Antiqua" w:hAnsi="Book Antiqua"/>
          <w:lang w:val="en-GB"/>
        </w:rPr>
        <w:t>icrobiome and gut immune status</w:t>
      </w:r>
      <w:r w:rsidRPr="00D43973">
        <w:rPr>
          <w:rFonts w:ascii="Book Antiqua" w:hAnsi="Book Antiqua"/>
          <w:lang w:val="en-GB"/>
        </w:rPr>
        <w:t xml:space="preserve"> </w:t>
      </w:r>
      <w:r>
        <w:rPr>
          <w:rFonts w:ascii="Book Antiqua" w:hAnsi="Book Antiqua"/>
          <w:lang w:val="en-GB"/>
        </w:rPr>
        <w:t xml:space="preserve">and currently there is growing evidence that the </w:t>
      </w:r>
      <w:r w:rsidRPr="00D43973">
        <w:rPr>
          <w:rFonts w:ascii="Book Antiqua" w:hAnsi="Book Antiqua"/>
          <w:lang w:val="en-GB"/>
        </w:rPr>
        <w:t xml:space="preserve">microbiota </w:t>
      </w:r>
      <w:r>
        <w:rPr>
          <w:rFonts w:ascii="Book Antiqua" w:hAnsi="Book Antiqua"/>
          <w:lang w:val="en-GB"/>
        </w:rPr>
        <w:t xml:space="preserve">has a relevant role </w:t>
      </w:r>
      <w:r w:rsidRPr="00D43973">
        <w:rPr>
          <w:rFonts w:ascii="Book Antiqua" w:hAnsi="Book Antiqua"/>
          <w:lang w:val="en-GB"/>
        </w:rPr>
        <w:t xml:space="preserve">in the pathogenesis of </w:t>
      </w:r>
      <w:r>
        <w:rPr>
          <w:rFonts w:ascii="Book Antiqua" w:hAnsi="Book Antiqua"/>
          <w:lang w:val="en-GB"/>
        </w:rPr>
        <w:t>IBD</w:t>
      </w:r>
      <w:r w:rsidRPr="00953227">
        <w:rPr>
          <w:rFonts w:ascii="Book Antiqua" w:hAnsi="Book Antiqua"/>
          <w:vertAlign w:val="superscript"/>
          <w:lang w:val="en-GB"/>
        </w:rPr>
        <w:t>[</w:t>
      </w:r>
      <w:r>
        <w:rPr>
          <w:rFonts w:ascii="Book Antiqua" w:hAnsi="Book Antiqua"/>
          <w:vertAlign w:val="superscript"/>
          <w:lang w:val="en-GB"/>
        </w:rPr>
        <w:t>1</w:t>
      </w:r>
      <w:r w:rsidRPr="00391034">
        <w:rPr>
          <w:rFonts w:ascii="Book Antiqua" w:hAnsi="Book Antiqua"/>
          <w:vertAlign w:val="superscript"/>
          <w:lang w:val="en-GB"/>
        </w:rPr>
        <w:t>5]</w:t>
      </w:r>
      <w:r>
        <w:rPr>
          <w:rFonts w:ascii="Book Antiqua" w:hAnsi="Book Antiqua"/>
          <w:lang w:val="en-GB"/>
        </w:rPr>
        <w:t>.</w:t>
      </w:r>
    </w:p>
    <w:p w14:paraId="5A5B1A18" w14:textId="77777777" w:rsidR="00563BB7" w:rsidRPr="00D43973" w:rsidRDefault="00563BB7" w:rsidP="006A3266">
      <w:pPr>
        <w:widowControl w:val="0"/>
        <w:autoSpaceDE w:val="0"/>
        <w:autoSpaceDN w:val="0"/>
        <w:adjustRightInd w:val="0"/>
        <w:spacing w:line="360" w:lineRule="auto"/>
        <w:jc w:val="both"/>
        <w:rPr>
          <w:rFonts w:ascii="Book Antiqua" w:hAnsi="Book Antiqua"/>
          <w:lang w:val="en-GB"/>
        </w:rPr>
      </w:pPr>
      <w:r>
        <w:rPr>
          <w:rFonts w:ascii="Book Antiqua" w:hAnsi="Book Antiqua"/>
          <w:lang w:val="en-GB"/>
        </w:rPr>
        <w:t>“D</w:t>
      </w:r>
      <w:r w:rsidRPr="00D43973">
        <w:rPr>
          <w:rFonts w:ascii="Book Antiqua" w:hAnsi="Book Antiqua"/>
          <w:lang w:val="en-GB"/>
        </w:rPr>
        <w:t>ysbiosis", an imbala</w:t>
      </w:r>
      <w:r>
        <w:rPr>
          <w:rFonts w:ascii="Book Antiqua" w:hAnsi="Book Antiqua"/>
          <w:lang w:val="en-GB"/>
        </w:rPr>
        <w:t>nced intestinal microbiota with</w:t>
      </w:r>
      <w:r w:rsidRPr="00D43973">
        <w:rPr>
          <w:rFonts w:ascii="Book Antiqua" w:hAnsi="Book Antiqua"/>
          <w:lang w:val="en-GB"/>
        </w:rPr>
        <w:t xml:space="preserve"> pro-inflammatory microorganisms </w:t>
      </w:r>
      <w:r>
        <w:rPr>
          <w:rFonts w:ascii="Book Antiqua" w:hAnsi="Book Antiqua"/>
          <w:lang w:val="en-GB"/>
        </w:rPr>
        <w:t>prevailing on the protecting ones</w:t>
      </w:r>
      <w:r w:rsidRPr="00D43973">
        <w:rPr>
          <w:rFonts w:ascii="Book Antiqua" w:hAnsi="Book Antiqua"/>
          <w:lang w:val="en-GB"/>
        </w:rPr>
        <w:t xml:space="preserve">, has </w:t>
      </w:r>
      <w:r>
        <w:rPr>
          <w:rFonts w:ascii="Book Antiqua" w:hAnsi="Book Antiqua"/>
          <w:lang w:val="en-GB"/>
        </w:rPr>
        <w:t>been repeatedly reported in patients with IBD</w:t>
      </w:r>
      <w:r w:rsidRPr="00953227">
        <w:rPr>
          <w:rFonts w:ascii="Book Antiqua" w:hAnsi="Book Antiqua"/>
          <w:vertAlign w:val="superscript"/>
          <w:lang w:val="en-GB"/>
        </w:rPr>
        <w:t>[</w:t>
      </w:r>
      <w:r>
        <w:rPr>
          <w:rFonts w:ascii="Book Antiqua" w:hAnsi="Book Antiqua"/>
          <w:vertAlign w:val="superscript"/>
          <w:lang w:val="en-GB"/>
        </w:rPr>
        <w:t>19</w:t>
      </w:r>
      <w:r w:rsidRPr="00391034">
        <w:rPr>
          <w:rFonts w:ascii="Book Antiqua" w:hAnsi="Book Antiqua"/>
          <w:vertAlign w:val="superscript"/>
          <w:lang w:val="en-GB"/>
        </w:rPr>
        <w:t>]</w:t>
      </w:r>
      <w:r>
        <w:rPr>
          <w:rFonts w:ascii="Book Antiqua" w:hAnsi="Book Antiqua"/>
          <w:lang w:val="en-GB"/>
        </w:rPr>
        <w:t>.</w:t>
      </w:r>
    </w:p>
    <w:p w14:paraId="7404FA6F" w14:textId="77777777" w:rsidR="00563BB7" w:rsidRPr="00D43973"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Pr>
          <w:rFonts w:ascii="Book Antiqua" w:hAnsi="Book Antiqua"/>
          <w:lang w:val="en-GB"/>
        </w:rPr>
        <w:t>D</w:t>
      </w:r>
      <w:r w:rsidRPr="00D43973">
        <w:rPr>
          <w:rFonts w:ascii="Book Antiqua" w:hAnsi="Book Antiqua"/>
          <w:lang w:val="en-GB"/>
        </w:rPr>
        <w:t>ietary interventions</w:t>
      </w:r>
      <w:r>
        <w:rPr>
          <w:rFonts w:ascii="Book Antiqua" w:hAnsi="Book Antiqua"/>
          <w:lang w:val="en-GB"/>
        </w:rPr>
        <w:t xml:space="preserve"> in children with active CD have proved evidence of a link between diet and the disease</w:t>
      </w:r>
      <w:r w:rsidRPr="00953227">
        <w:rPr>
          <w:rFonts w:ascii="Book Antiqua" w:hAnsi="Book Antiqua"/>
          <w:vertAlign w:val="superscript"/>
          <w:lang w:val="en-GB"/>
        </w:rPr>
        <w:t>[</w:t>
      </w:r>
      <w:r>
        <w:rPr>
          <w:rFonts w:ascii="Book Antiqua" w:hAnsi="Book Antiqua"/>
          <w:vertAlign w:val="superscript"/>
          <w:lang w:val="en-GB"/>
        </w:rPr>
        <w:t>1</w:t>
      </w:r>
      <w:r w:rsidRPr="00391034">
        <w:rPr>
          <w:rFonts w:ascii="Book Antiqua" w:hAnsi="Book Antiqua"/>
          <w:vertAlign w:val="superscript"/>
          <w:lang w:val="en-GB"/>
        </w:rPr>
        <w:t>5]</w:t>
      </w:r>
      <w:r>
        <w:rPr>
          <w:rFonts w:ascii="Book Antiqua" w:hAnsi="Book Antiqua"/>
          <w:lang w:val="en-GB"/>
        </w:rPr>
        <w:t xml:space="preserve">. </w:t>
      </w:r>
      <w:r w:rsidRPr="00D43973">
        <w:rPr>
          <w:rFonts w:ascii="Book Antiqua" w:hAnsi="Book Antiqua"/>
          <w:lang w:val="en-GB"/>
        </w:rPr>
        <w:t>Exclusive entera</w:t>
      </w:r>
      <w:r>
        <w:rPr>
          <w:rFonts w:ascii="Book Antiqua" w:hAnsi="Book Antiqua"/>
          <w:lang w:val="en-GB"/>
        </w:rPr>
        <w:t xml:space="preserve">l nutrition (EEN) </w:t>
      </w:r>
      <w:r w:rsidRPr="00D43973">
        <w:rPr>
          <w:rFonts w:ascii="Book Antiqua" w:hAnsi="Book Antiqua"/>
          <w:lang w:val="en-GB"/>
        </w:rPr>
        <w:t>using a polymeric formula</w:t>
      </w:r>
      <w:r>
        <w:rPr>
          <w:rFonts w:ascii="Book Antiqua" w:hAnsi="Book Antiqua"/>
          <w:lang w:val="en-GB"/>
        </w:rPr>
        <w:t xml:space="preserve"> for 6–8 </w:t>
      </w:r>
      <w:r>
        <w:rPr>
          <w:rFonts w:ascii="Book Antiqua" w:hAnsi="Book Antiqua" w:hint="eastAsia"/>
          <w:lang w:val="en-GB" w:eastAsia="zh-CN"/>
        </w:rPr>
        <w:t>wk</w:t>
      </w:r>
      <w:r>
        <w:rPr>
          <w:rFonts w:ascii="Book Antiqua" w:hAnsi="Book Antiqua"/>
          <w:lang w:val="en-GB"/>
        </w:rPr>
        <w:t>,</w:t>
      </w:r>
      <w:r w:rsidRPr="00D43973">
        <w:rPr>
          <w:rFonts w:ascii="Book Antiqua" w:hAnsi="Book Antiqua"/>
          <w:lang w:val="en-GB"/>
        </w:rPr>
        <w:t xml:space="preserve"> is the first-line therapy to induce remission in children with active CD</w:t>
      </w:r>
      <w:r w:rsidRPr="00953227">
        <w:rPr>
          <w:rFonts w:ascii="Book Antiqua" w:hAnsi="Book Antiqua"/>
          <w:vertAlign w:val="superscript"/>
          <w:lang w:val="en-GB"/>
        </w:rPr>
        <w:t>[</w:t>
      </w:r>
      <w:r>
        <w:rPr>
          <w:rFonts w:ascii="Book Antiqua" w:hAnsi="Book Antiqua"/>
          <w:vertAlign w:val="superscript"/>
          <w:lang w:val="en-GB"/>
        </w:rPr>
        <w:t>20,21</w:t>
      </w:r>
      <w:r w:rsidRPr="00391034">
        <w:rPr>
          <w:rFonts w:ascii="Book Antiqua" w:hAnsi="Book Antiqua"/>
          <w:vertAlign w:val="superscript"/>
          <w:lang w:val="en-GB"/>
        </w:rPr>
        <w:t>]</w:t>
      </w:r>
      <w:r w:rsidRPr="00D43973">
        <w:rPr>
          <w:rFonts w:ascii="Book Antiqua" w:hAnsi="Book Antiqua"/>
          <w:lang w:val="en-GB"/>
        </w:rPr>
        <w:t xml:space="preserve">. </w:t>
      </w:r>
      <w:r>
        <w:rPr>
          <w:rFonts w:ascii="Book Antiqua" w:hAnsi="Book Antiqua"/>
          <w:lang w:val="en-GB"/>
        </w:rPr>
        <w:t xml:space="preserve">EEN is effective in inducing remission in </w:t>
      </w:r>
      <w:r w:rsidRPr="00D43973">
        <w:rPr>
          <w:rFonts w:ascii="Book Antiqua" w:hAnsi="Book Antiqua"/>
          <w:lang w:val="en-GB"/>
        </w:rPr>
        <w:t>approximately 80%</w:t>
      </w:r>
      <w:r>
        <w:rPr>
          <w:rFonts w:ascii="Book Antiqua" w:hAnsi="Book Antiqua"/>
          <w:lang w:val="en-GB"/>
        </w:rPr>
        <w:t xml:space="preserve"> of patients, with a clinical remission rate </w:t>
      </w:r>
      <w:r w:rsidRPr="00D43973">
        <w:rPr>
          <w:rFonts w:ascii="Book Antiqua" w:hAnsi="Book Antiqua"/>
          <w:lang w:val="en-GB"/>
        </w:rPr>
        <w:t>similar to corticosteroids</w:t>
      </w:r>
      <w:r w:rsidRPr="00953227">
        <w:rPr>
          <w:rFonts w:ascii="Book Antiqua" w:hAnsi="Book Antiqua"/>
          <w:vertAlign w:val="superscript"/>
          <w:lang w:val="en-GB"/>
        </w:rPr>
        <w:t>[</w:t>
      </w:r>
      <w:r>
        <w:rPr>
          <w:rFonts w:ascii="Book Antiqua" w:hAnsi="Book Antiqua"/>
          <w:vertAlign w:val="superscript"/>
          <w:lang w:val="en-GB"/>
        </w:rPr>
        <w:t>3</w:t>
      </w:r>
      <w:r w:rsidRPr="00391034">
        <w:rPr>
          <w:rFonts w:ascii="Book Antiqua" w:hAnsi="Book Antiqua"/>
          <w:vertAlign w:val="superscript"/>
          <w:lang w:val="en-GB"/>
        </w:rPr>
        <w:t>]</w:t>
      </w:r>
      <w:r w:rsidRPr="00D43973">
        <w:rPr>
          <w:rFonts w:ascii="Book Antiqua" w:hAnsi="Book Antiqua"/>
          <w:lang w:val="en-GB"/>
        </w:rPr>
        <w:t xml:space="preserve">. However, </w:t>
      </w:r>
      <w:r>
        <w:rPr>
          <w:rFonts w:ascii="Book Antiqua" w:hAnsi="Book Antiqua"/>
          <w:lang w:val="en-GB"/>
        </w:rPr>
        <w:t xml:space="preserve">as opposed to steroids, </w:t>
      </w:r>
      <w:r w:rsidRPr="00D43973">
        <w:rPr>
          <w:rFonts w:ascii="Book Antiqua" w:hAnsi="Book Antiqua"/>
          <w:lang w:val="en-GB"/>
        </w:rPr>
        <w:t xml:space="preserve">EEN </w:t>
      </w:r>
      <w:r>
        <w:rPr>
          <w:rFonts w:ascii="Book Antiqua" w:hAnsi="Book Antiqua"/>
          <w:lang w:val="en-GB"/>
        </w:rPr>
        <w:t xml:space="preserve">provides </w:t>
      </w:r>
      <w:r w:rsidRPr="00D43973">
        <w:rPr>
          <w:rFonts w:ascii="Book Antiqua" w:hAnsi="Book Antiqua"/>
          <w:lang w:val="en-GB"/>
        </w:rPr>
        <w:t xml:space="preserve">significant nutritional </w:t>
      </w:r>
      <w:r>
        <w:rPr>
          <w:rFonts w:ascii="Book Antiqua" w:hAnsi="Book Antiqua"/>
          <w:lang w:val="en-GB"/>
        </w:rPr>
        <w:t xml:space="preserve">benefit </w:t>
      </w:r>
      <w:r w:rsidRPr="00D43973">
        <w:rPr>
          <w:rFonts w:ascii="Book Antiqua" w:hAnsi="Book Antiqua"/>
          <w:lang w:val="en-GB"/>
        </w:rPr>
        <w:t xml:space="preserve">and </w:t>
      </w:r>
      <w:r>
        <w:rPr>
          <w:rFonts w:ascii="Book Antiqua" w:hAnsi="Book Antiqua"/>
          <w:lang w:val="en-GB"/>
        </w:rPr>
        <w:t xml:space="preserve">is superior in achieving </w:t>
      </w:r>
      <w:r w:rsidRPr="00D43973">
        <w:rPr>
          <w:rFonts w:ascii="Book Antiqua" w:hAnsi="Book Antiqua"/>
          <w:lang w:val="en-GB"/>
        </w:rPr>
        <w:t>mucosal healing</w:t>
      </w:r>
      <w:r w:rsidRPr="00953227">
        <w:rPr>
          <w:rFonts w:ascii="Book Antiqua" w:hAnsi="Book Antiqua"/>
          <w:vertAlign w:val="superscript"/>
          <w:lang w:val="en-GB"/>
        </w:rPr>
        <w:t>[</w:t>
      </w:r>
      <w:r>
        <w:rPr>
          <w:rFonts w:ascii="Book Antiqua" w:hAnsi="Book Antiqua"/>
          <w:vertAlign w:val="superscript"/>
          <w:lang w:val="en-GB"/>
        </w:rPr>
        <w:t>3</w:t>
      </w:r>
      <w:r w:rsidRPr="00391034">
        <w:rPr>
          <w:rFonts w:ascii="Book Antiqua" w:hAnsi="Book Antiqua"/>
          <w:vertAlign w:val="superscript"/>
          <w:lang w:val="en-GB"/>
        </w:rPr>
        <w:t>]</w:t>
      </w:r>
      <w:r w:rsidRPr="00D43973">
        <w:rPr>
          <w:rFonts w:ascii="Book Antiqua" w:hAnsi="Book Antiqua"/>
          <w:lang w:val="en-GB"/>
        </w:rPr>
        <w:t xml:space="preserve">. </w:t>
      </w:r>
    </w:p>
    <w:p w14:paraId="7E086DDB" w14:textId="77777777" w:rsidR="00563BB7" w:rsidRPr="00130821" w:rsidRDefault="00563BB7" w:rsidP="006A3266">
      <w:pPr>
        <w:widowControl w:val="0"/>
        <w:autoSpaceDE w:val="0"/>
        <w:autoSpaceDN w:val="0"/>
        <w:adjustRightInd w:val="0"/>
        <w:spacing w:line="360" w:lineRule="auto"/>
        <w:ind w:firstLineChars="100" w:firstLine="240"/>
        <w:jc w:val="both"/>
        <w:rPr>
          <w:rFonts w:ascii="Book Antiqua" w:hAnsi="Book Antiqua"/>
          <w:lang w:val="en-GB" w:eastAsia="zh-CN"/>
        </w:rPr>
      </w:pPr>
      <w:r w:rsidRPr="00D43973">
        <w:rPr>
          <w:rFonts w:ascii="Book Antiqua" w:hAnsi="Book Antiqua"/>
          <w:lang w:val="en-GB"/>
        </w:rPr>
        <w:t xml:space="preserve">EEN </w:t>
      </w:r>
      <w:r>
        <w:rPr>
          <w:rFonts w:ascii="Book Antiqua" w:hAnsi="Book Antiqua"/>
          <w:lang w:val="en-GB"/>
        </w:rPr>
        <w:t xml:space="preserve">also leads </w:t>
      </w:r>
      <w:r w:rsidRPr="00D43973">
        <w:rPr>
          <w:rFonts w:ascii="Book Antiqua" w:hAnsi="Book Antiqua"/>
          <w:lang w:val="en-GB"/>
        </w:rPr>
        <w:t xml:space="preserve">to early MH, </w:t>
      </w:r>
      <w:r>
        <w:rPr>
          <w:rFonts w:ascii="Book Antiqua" w:hAnsi="Book Antiqua"/>
          <w:lang w:val="en-GB"/>
        </w:rPr>
        <w:t xml:space="preserve">and </w:t>
      </w:r>
      <w:r w:rsidRPr="00D43973">
        <w:rPr>
          <w:rFonts w:ascii="Book Antiqua" w:hAnsi="Book Antiqua"/>
          <w:lang w:val="en-GB"/>
        </w:rPr>
        <w:t xml:space="preserve">long-term benefits of </w:t>
      </w:r>
      <w:r>
        <w:rPr>
          <w:rFonts w:ascii="Book Antiqua" w:hAnsi="Book Antiqua"/>
          <w:lang w:val="en-GB"/>
        </w:rPr>
        <w:t xml:space="preserve">EEN-induced MH are </w:t>
      </w:r>
      <w:r>
        <w:rPr>
          <w:rFonts w:ascii="Book Antiqua" w:hAnsi="Book Antiqua"/>
          <w:lang w:val="en-GB"/>
        </w:rPr>
        <w:lastRenderedPageBreak/>
        <w:t>currently being looked into</w:t>
      </w:r>
      <w:r w:rsidRPr="00953227">
        <w:rPr>
          <w:rFonts w:ascii="Book Antiqua" w:hAnsi="Book Antiqua"/>
          <w:vertAlign w:val="superscript"/>
          <w:lang w:val="en-GB"/>
        </w:rPr>
        <w:t>[</w:t>
      </w:r>
      <w:r>
        <w:rPr>
          <w:rFonts w:ascii="Book Antiqua" w:hAnsi="Book Antiqua"/>
          <w:vertAlign w:val="superscript"/>
          <w:lang w:val="en-GB"/>
        </w:rPr>
        <w:t>16</w:t>
      </w:r>
      <w:r w:rsidRPr="00391034">
        <w:rPr>
          <w:rFonts w:ascii="Book Antiqua" w:hAnsi="Book Antiqua"/>
          <w:vertAlign w:val="superscript"/>
          <w:lang w:val="en-GB"/>
        </w:rPr>
        <w:t>]</w:t>
      </w:r>
      <w:r w:rsidRPr="00D43973">
        <w:rPr>
          <w:rFonts w:ascii="Book Antiqua" w:hAnsi="Book Antiqua"/>
          <w:lang w:val="en-GB"/>
        </w:rPr>
        <w:t>.</w:t>
      </w:r>
      <w:r>
        <w:rPr>
          <w:rFonts w:ascii="Book Antiqua" w:hAnsi="Book Antiqua" w:hint="eastAsia"/>
          <w:lang w:val="en-GB" w:eastAsia="zh-CN"/>
        </w:rPr>
        <w:t xml:space="preserve"> </w:t>
      </w:r>
      <w:r>
        <w:rPr>
          <w:rFonts w:ascii="Book Antiqua" w:hAnsi="Book Antiqua"/>
          <w:lang w:val="en-GB"/>
        </w:rPr>
        <w:t>Grover</w:t>
      </w:r>
      <w:r>
        <w:rPr>
          <w:rFonts w:ascii="Book Antiqua" w:hAnsi="Book Antiqua" w:hint="eastAsia"/>
          <w:lang w:val="en-GB" w:eastAsia="zh-CN"/>
        </w:rPr>
        <w:t xml:space="preserve"> </w:t>
      </w:r>
      <w:r w:rsidRPr="00953227">
        <w:rPr>
          <w:rFonts w:ascii="Book Antiqua" w:hAnsi="Book Antiqua"/>
          <w:i/>
          <w:lang w:val="en-GB"/>
        </w:rPr>
        <w:t>et al</w:t>
      </w:r>
      <w:r w:rsidRPr="00953227">
        <w:rPr>
          <w:rFonts w:ascii="Book Antiqua" w:hAnsi="Book Antiqua"/>
          <w:vertAlign w:val="superscript"/>
          <w:lang w:val="en-GB"/>
        </w:rPr>
        <w:t>[</w:t>
      </w:r>
      <w:r w:rsidRPr="00130821">
        <w:rPr>
          <w:rFonts w:ascii="Book Antiqua" w:hAnsi="Book Antiqua"/>
          <w:vertAlign w:val="superscript"/>
          <w:lang w:val="en-GB"/>
        </w:rPr>
        <w:t xml:space="preserve">16] </w:t>
      </w:r>
      <w:r>
        <w:rPr>
          <w:rFonts w:ascii="Book Antiqua" w:hAnsi="Book Antiqua"/>
          <w:lang w:val="en-GB"/>
        </w:rPr>
        <w:t>conducted a prospective cohort study on 54 children with new diagnosis of CD, to evaluate the impact of early EEN-induced MH on</w:t>
      </w:r>
      <w:r w:rsidRPr="00130821">
        <w:rPr>
          <w:rFonts w:ascii="Book Antiqua" w:hAnsi="Book Antiqua"/>
          <w:lang w:val="en-GB"/>
        </w:rPr>
        <w:t xml:space="preserve"> predicting sustained</w:t>
      </w:r>
      <w:r>
        <w:rPr>
          <w:rFonts w:ascii="Book Antiqua" w:hAnsi="Book Antiqua"/>
          <w:lang w:val="en-GB"/>
        </w:rPr>
        <w:t xml:space="preserve"> remission on immunomodulators, </w:t>
      </w:r>
      <w:r w:rsidRPr="00130821">
        <w:rPr>
          <w:rFonts w:ascii="Book Antiqua" w:hAnsi="Book Antiqua"/>
          <w:lang w:val="en-GB"/>
        </w:rPr>
        <w:t xml:space="preserve">without need for additional therapy </w:t>
      </w:r>
      <w:r>
        <w:rPr>
          <w:rFonts w:ascii="Book Antiqua" w:hAnsi="Book Antiqua"/>
          <w:lang w:val="en-GB"/>
        </w:rPr>
        <w:t xml:space="preserve">like </w:t>
      </w:r>
      <w:r w:rsidRPr="00130821">
        <w:rPr>
          <w:rFonts w:ascii="Book Antiqua" w:hAnsi="Book Antiqua"/>
          <w:lang w:val="en-GB"/>
        </w:rPr>
        <w:t xml:space="preserve">steroids, biologics or surgery. Paediatric CD Activity Index (PCDAI), C-reactive protein (CRP) and endoscopic assessment at diagnosis </w:t>
      </w:r>
      <w:r>
        <w:rPr>
          <w:rFonts w:ascii="Book Antiqua" w:hAnsi="Book Antiqua"/>
          <w:lang w:val="en-GB"/>
        </w:rPr>
        <w:t>were paired with those</w:t>
      </w:r>
      <w:r w:rsidRPr="00130821">
        <w:rPr>
          <w:rFonts w:ascii="Book Antiqua" w:hAnsi="Book Antiqua"/>
          <w:lang w:val="en-GB"/>
        </w:rPr>
        <w:t xml:space="preserve"> post </w:t>
      </w:r>
      <w:r>
        <w:rPr>
          <w:rFonts w:ascii="Book Antiqua" w:hAnsi="Book Antiqua"/>
          <w:lang w:val="en-GB"/>
        </w:rPr>
        <w:t xml:space="preserve">6 weeks of </w:t>
      </w:r>
      <w:r w:rsidRPr="00130821">
        <w:rPr>
          <w:rFonts w:ascii="Book Antiqua" w:hAnsi="Book Antiqua"/>
          <w:lang w:val="en-GB"/>
        </w:rPr>
        <w:t>EEN. Complete MH w</w:t>
      </w:r>
      <w:r>
        <w:rPr>
          <w:rFonts w:ascii="Book Antiqua" w:hAnsi="Book Antiqua"/>
          <w:lang w:val="en-GB"/>
        </w:rPr>
        <w:t>as observed in 33%, and near complete in 19%</w:t>
      </w:r>
      <w:r w:rsidRPr="00130821">
        <w:rPr>
          <w:rFonts w:ascii="Book Antiqua" w:hAnsi="Book Antiqua"/>
          <w:lang w:val="en-GB"/>
        </w:rPr>
        <w:t>. Sustained remission (SR) was superior in children with complete MH versus those with active endoscopic disease</w:t>
      </w:r>
      <w:r>
        <w:rPr>
          <w:rFonts w:ascii="Book Antiqua" w:hAnsi="Book Antiqua"/>
          <w:lang w:val="en-GB"/>
        </w:rPr>
        <w:t xml:space="preserve"> at 1, 3 and 5 years of follow-up, therefore the </w:t>
      </w:r>
      <w:r w:rsidRPr="00130821">
        <w:rPr>
          <w:rFonts w:ascii="Book Antiqua" w:hAnsi="Book Antiqua"/>
          <w:lang w:val="en-GB"/>
        </w:rPr>
        <w:t xml:space="preserve">Authors conclude that following induction of remission with EEN, complete MH is superior to </w:t>
      </w:r>
      <w:r>
        <w:rPr>
          <w:rFonts w:ascii="Book Antiqua" w:hAnsi="Book Antiqua"/>
          <w:lang w:val="en-GB"/>
        </w:rPr>
        <w:t xml:space="preserve">clinical and biochemical remission </w:t>
      </w:r>
      <w:r w:rsidRPr="00130821">
        <w:rPr>
          <w:rFonts w:ascii="Book Antiqua" w:hAnsi="Book Antiqua"/>
          <w:lang w:val="en-GB"/>
        </w:rPr>
        <w:t>in predicting SR over and beyond 3 years o</w:t>
      </w:r>
      <w:r>
        <w:rPr>
          <w:rFonts w:ascii="Book Antiqua" w:hAnsi="Book Antiqua"/>
          <w:lang w:val="en-GB"/>
        </w:rPr>
        <w:t>n maintenance immunomodulators</w:t>
      </w:r>
      <w:r w:rsidRPr="00953227">
        <w:rPr>
          <w:rFonts w:ascii="Book Antiqua" w:hAnsi="Book Antiqua"/>
          <w:vertAlign w:val="superscript"/>
          <w:lang w:val="en-GB"/>
        </w:rPr>
        <w:t>[</w:t>
      </w:r>
      <w:r w:rsidRPr="00130821">
        <w:rPr>
          <w:rFonts w:ascii="Book Antiqua" w:hAnsi="Book Antiqua"/>
          <w:vertAlign w:val="superscript"/>
          <w:lang w:val="en-GB"/>
        </w:rPr>
        <w:t>16]</w:t>
      </w:r>
      <w:r>
        <w:rPr>
          <w:rFonts w:ascii="Book Antiqua" w:hAnsi="Book Antiqua" w:hint="eastAsia"/>
          <w:lang w:val="en-GB" w:eastAsia="zh-CN"/>
        </w:rPr>
        <w:t xml:space="preserve"> </w:t>
      </w:r>
      <w:r w:rsidRPr="00130821">
        <w:rPr>
          <w:rFonts w:ascii="Book Antiqua" w:hAnsi="Book Antiqua"/>
          <w:lang w:val="en-GB"/>
        </w:rPr>
        <w:t>(Table 1)</w:t>
      </w:r>
      <w:r>
        <w:rPr>
          <w:rFonts w:ascii="Book Antiqua" w:hAnsi="Book Antiqua" w:hint="eastAsia"/>
          <w:lang w:val="en-GB" w:eastAsia="zh-CN"/>
        </w:rPr>
        <w:t>.</w:t>
      </w:r>
    </w:p>
    <w:p w14:paraId="246B5C3A" w14:textId="77777777" w:rsidR="00563BB7" w:rsidRPr="00D43973" w:rsidRDefault="00563BB7" w:rsidP="006A3266">
      <w:pPr>
        <w:widowControl w:val="0"/>
        <w:autoSpaceDE w:val="0"/>
        <w:autoSpaceDN w:val="0"/>
        <w:adjustRightInd w:val="0"/>
        <w:spacing w:line="360" w:lineRule="auto"/>
        <w:ind w:firstLineChars="150" w:firstLine="360"/>
        <w:jc w:val="both"/>
        <w:rPr>
          <w:rFonts w:ascii="Book Antiqua" w:hAnsi="Book Antiqua"/>
          <w:lang w:val="en-GB"/>
        </w:rPr>
      </w:pPr>
      <w:r w:rsidRPr="00D43973">
        <w:rPr>
          <w:rFonts w:ascii="Book Antiqua" w:hAnsi="Book Antiqua"/>
          <w:lang w:val="en-GB"/>
        </w:rPr>
        <w:t xml:space="preserve">Partial enteral nutrition (PEN) with </w:t>
      </w:r>
      <w:r>
        <w:rPr>
          <w:rFonts w:ascii="Book Antiqua" w:hAnsi="Book Antiqua"/>
          <w:lang w:val="en-GB"/>
        </w:rPr>
        <w:t xml:space="preserve">allowance of </w:t>
      </w:r>
      <w:r w:rsidRPr="00D43973">
        <w:rPr>
          <w:rFonts w:ascii="Book Antiqua" w:hAnsi="Book Antiqua"/>
          <w:lang w:val="en-GB"/>
        </w:rPr>
        <w:t>free diet</w:t>
      </w:r>
      <w:r>
        <w:rPr>
          <w:rFonts w:ascii="Book Antiqua" w:hAnsi="Book Antiqua"/>
          <w:lang w:val="en-GB"/>
        </w:rPr>
        <w:t xml:space="preserve"> hasn’t been proved effective yet</w:t>
      </w:r>
      <w:r w:rsidRPr="00D43973">
        <w:rPr>
          <w:rFonts w:ascii="Book Antiqua" w:hAnsi="Book Antiqua"/>
          <w:lang w:val="en-GB"/>
        </w:rPr>
        <w:t xml:space="preserve">. It is unclear </w:t>
      </w:r>
      <w:r>
        <w:rPr>
          <w:rFonts w:ascii="Book Antiqua" w:hAnsi="Book Antiqua"/>
          <w:lang w:val="en-GB"/>
        </w:rPr>
        <w:t xml:space="preserve">whether this </w:t>
      </w:r>
      <w:r w:rsidRPr="00D43973">
        <w:rPr>
          <w:rFonts w:ascii="Book Antiqua" w:hAnsi="Book Antiqua"/>
          <w:lang w:val="en-GB"/>
        </w:rPr>
        <w:t>depends on the supply of specific nutrients</w:t>
      </w:r>
      <w:r>
        <w:rPr>
          <w:rFonts w:ascii="Book Antiqua" w:hAnsi="Book Antiqua"/>
          <w:lang w:val="en-GB"/>
        </w:rPr>
        <w:t xml:space="preserve"> within the polymeric formula</w:t>
      </w:r>
      <w:r w:rsidRPr="00D43973">
        <w:rPr>
          <w:rFonts w:ascii="Book Antiqua" w:hAnsi="Book Antiqua"/>
          <w:lang w:val="en-GB"/>
        </w:rPr>
        <w:t xml:space="preserve"> or </w:t>
      </w:r>
      <w:r>
        <w:rPr>
          <w:rFonts w:ascii="Book Antiqua" w:hAnsi="Book Antiqua"/>
          <w:lang w:val="en-GB"/>
        </w:rPr>
        <w:t xml:space="preserve">on </w:t>
      </w:r>
      <w:r w:rsidRPr="00D43973">
        <w:rPr>
          <w:rFonts w:ascii="Book Antiqua" w:hAnsi="Book Antiqua"/>
          <w:lang w:val="en-GB"/>
        </w:rPr>
        <w:t>the exclusion of dietary factors</w:t>
      </w:r>
      <w:r>
        <w:rPr>
          <w:rFonts w:ascii="Book Antiqua" w:hAnsi="Book Antiqua"/>
          <w:lang w:val="en-GB"/>
        </w:rPr>
        <w:t xml:space="preserve"> during the course of exclusive polymeric diet</w:t>
      </w:r>
      <w:r w:rsidRPr="00953227">
        <w:rPr>
          <w:rFonts w:ascii="Book Antiqua" w:hAnsi="Book Antiqua"/>
          <w:vertAlign w:val="superscript"/>
          <w:lang w:val="en-GB"/>
        </w:rPr>
        <w:t>[</w:t>
      </w:r>
      <w:r>
        <w:rPr>
          <w:rFonts w:ascii="Book Antiqua" w:hAnsi="Book Antiqua"/>
          <w:vertAlign w:val="superscript"/>
          <w:lang w:val="en-GB"/>
        </w:rPr>
        <w:t>15</w:t>
      </w:r>
      <w:r w:rsidRPr="00105FF3">
        <w:rPr>
          <w:rFonts w:ascii="Book Antiqua" w:hAnsi="Book Antiqua"/>
          <w:vertAlign w:val="superscript"/>
          <w:lang w:val="en-GB"/>
        </w:rPr>
        <w:t>]</w:t>
      </w:r>
      <w:r w:rsidRPr="00D43973">
        <w:rPr>
          <w:rFonts w:ascii="Book Antiqua" w:hAnsi="Book Antiqua"/>
          <w:lang w:val="en-GB"/>
        </w:rPr>
        <w:t>.</w:t>
      </w:r>
    </w:p>
    <w:p w14:paraId="2120F810" w14:textId="7EAE197D" w:rsidR="00563BB7" w:rsidRPr="00D43973" w:rsidRDefault="00563BB7" w:rsidP="00020B09">
      <w:pPr>
        <w:widowControl w:val="0"/>
        <w:autoSpaceDE w:val="0"/>
        <w:autoSpaceDN w:val="0"/>
        <w:adjustRightInd w:val="0"/>
        <w:spacing w:line="360" w:lineRule="auto"/>
        <w:ind w:firstLineChars="150" w:firstLine="360"/>
        <w:jc w:val="both"/>
        <w:rPr>
          <w:rFonts w:ascii="Book Antiqua" w:hAnsi="Book Antiqua"/>
          <w:lang w:val="en-GB" w:eastAsia="zh-CN"/>
        </w:rPr>
      </w:pPr>
      <w:r w:rsidRPr="00D43973">
        <w:rPr>
          <w:rFonts w:ascii="Book Antiqua" w:hAnsi="Book Antiqua"/>
          <w:lang w:val="en-GB"/>
        </w:rPr>
        <w:t>Recent studies have aimed to evaluate which of the exclud</w:t>
      </w:r>
      <w:r>
        <w:rPr>
          <w:rFonts w:ascii="Book Antiqua" w:hAnsi="Book Antiqua"/>
          <w:lang w:val="en-GB"/>
        </w:rPr>
        <w:t>ed dietary components in EEN may be</w:t>
      </w:r>
      <w:r w:rsidRPr="00D43973">
        <w:rPr>
          <w:rFonts w:ascii="Book Antiqua" w:hAnsi="Book Antiqua"/>
          <w:lang w:val="en-GB"/>
        </w:rPr>
        <w:t xml:space="preserve"> responsible for the effect, </w:t>
      </w:r>
      <w:r>
        <w:rPr>
          <w:rFonts w:ascii="Book Antiqua" w:hAnsi="Book Antiqua"/>
          <w:lang w:val="en-GB"/>
        </w:rPr>
        <w:t>in order to look into ways to</w:t>
      </w:r>
      <w:r w:rsidRPr="00D43973">
        <w:rPr>
          <w:rFonts w:ascii="Book Antiqua" w:hAnsi="Book Antiqua"/>
          <w:lang w:val="en-GB"/>
        </w:rPr>
        <w:t xml:space="preserve"> allow </w:t>
      </w:r>
      <w:r>
        <w:rPr>
          <w:rFonts w:ascii="Book Antiqua" w:hAnsi="Book Antiqua"/>
          <w:lang w:val="en-GB"/>
        </w:rPr>
        <w:t>a safe whole food diet</w:t>
      </w:r>
      <w:r w:rsidRPr="00953227">
        <w:rPr>
          <w:rFonts w:ascii="Book Antiqua" w:hAnsi="Book Antiqua"/>
          <w:vertAlign w:val="superscript"/>
          <w:lang w:val="en-GB"/>
        </w:rPr>
        <w:t>[</w:t>
      </w:r>
      <w:r>
        <w:rPr>
          <w:rFonts w:ascii="Book Antiqua" w:hAnsi="Book Antiqua"/>
          <w:vertAlign w:val="superscript"/>
          <w:lang w:val="en-GB"/>
        </w:rPr>
        <w:t>1</w:t>
      </w:r>
      <w:r w:rsidRPr="00105FF3">
        <w:rPr>
          <w:rFonts w:ascii="Book Antiqua" w:hAnsi="Book Antiqua"/>
          <w:vertAlign w:val="superscript"/>
          <w:lang w:val="en-GB"/>
        </w:rPr>
        <w:t>5]</w:t>
      </w:r>
      <w:r>
        <w:rPr>
          <w:rFonts w:ascii="Book Antiqua" w:hAnsi="Book Antiqua"/>
          <w:lang w:val="en-GB"/>
        </w:rPr>
        <w:t>.</w:t>
      </w:r>
    </w:p>
    <w:p w14:paraId="08D94BF7" w14:textId="77777777" w:rsidR="00563BB7" w:rsidRPr="00D43973"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Pr>
          <w:rFonts w:ascii="Book Antiqua" w:hAnsi="Book Antiqua"/>
          <w:lang w:val="en-GB"/>
        </w:rPr>
        <w:t>Sigall-Boneth</w:t>
      </w:r>
      <w:r w:rsidRPr="00953227">
        <w:rPr>
          <w:rFonts w:ascii="Book Antiqua" w:hAnsi="Book Antiqua"/>
          <w:i/>
          <w:lang w:val="en-GB"/>
        </w:rPr>
        <w:t xml:space="preserve"> et al</w:t>
      </w:r>
      <w:r w:rsidRPr="00953227">
        <w:rPr>
          <w:rFonts w:ascii="Book Antiqua" w:hAnsi="Book Antiqua"/>
          <w:vertAlign w:val="superscript"/>
          <w:lang w:val="en-GB"/>
        </w:rPr>
        <w:t>[</w:t>
      </w:r>
      <w:r>
        <w:rPr>
          <w:rFonts w:ascii="Book Antiqua" w:hAnsi="Book Antiqua"/>
          <w:vertAlign w:val="superscript"/>
          <w:lang w:val="en-GB"/>
        </w:rPr>
        <w:t>1</w:t>
      </w:r>
      <w:r w:rsidRPr="00105FF3">
        <w:rPr>
          <w:rFonts w:ascii="Book Antiqua" w:hAnsi="Book Antiqua"/>
          <w:vertAlign w:val="superscript"/>
          <w:lang w:val="en-GB"/>
        </w:rPr>
        <w:t>5]</w:t>
      </w:r>
      <w:r>
        <w:rPr>
          <w:rFonts w:ascii="Book Antiqua" w:hAnsi="Book Antiqua"/>
          <w:lang w:val="en-GB"/>
        </w:rPr>
        <w:t xml:space="preserve"> </w:t>
      </w:r>
      <w:r w:rsidRPr="00D43973">
        <w:rPr>
          <w:rFonts w:ascii="Book Antiqua" w:hAnsi="Book Antiqua"/>
          <w:lang w:val="en-GB"/>
        </w:rPr>
        <w:t xml:space="preserve">validated a dietary intervention that </w:t>
      </w:r>
      <w:r>
        <w:rPr>
          <w:rFonts w:ascii="Book Antiqua" w:hAnsi="Book Antiqua"/>
          <w:lang w:val="en-GB"/>
        </w:rPr>
        <w:t xml:space="preserve">allows </w:t>
      </w:r>
      <w:r w:rsidRPr="00D43973">
        <w:rPr>
          <w:rFonts w:ascii="Book Antiqua" w:hAnsi="Book Antiqua"/>
          <w:lang w:val="en-GB"/>
        </w:rPr>
        <w:t>whole foods but reduces expo</w:t>
      </w:r>
      <w:r>
        <w:rPr>
          <w:rFonts w:ascii="Book Antiqua" w:hAnsi="Book Antiqua"/>
          <w:lang w:val="en-GB"/>
        </w:rPr>
        <w:t>sure to dietary components that</w:t>
      </w:r>
      <w:r w:rsidRPr="00D43973">
        <w:rPr>
          <w:rFonts w:ascii="Book Antiqua" w:hAnsi="Book Antiqua"/>
          <w:lang w:val="en-GB"/>
        </w:rPr>
        <w:t xml:space="preserve"> have been shown to induce inflammation, </w:t>
      </w:r>
      <w:r>
        <w:rPr>
          <w:rFonts w:ascii="Book Antiqua" w:hAnsi="Book Antiqua"/>
          <w:lang w:val="en-GB"/>
        </w:rPr>
        <w:t>affect the microbiome and the mucous layer, increase gut permeability</w:t>
      </w:r>
      <w:r w:rsidRPr="00D43973">
        <w:rPr>
          <w:rFonts w:ascii="Book Antiqua" w:hAnsi="Book Antiqua"/>
          <w:lang w:val="en-GB"/>
        </w:rPr>
        <w:t xml:space="preserve"> or </w:t>
      </w:r>
      <w:r>
        <w:rPr>
          <w:rFonts w:ascii="Book Antiqua" w:hAnsi="Book Antiqua"/>
          <w:lang w:val="en-GB"/>
        </w:rPr>
        <w:t xml:space="preserve">the </w:t>
      </w:r>
      <w:r w:rsidRPr="00D43973">
        <w:rPr>
          <w:rFonts w:ascii="Book Antiqua" w:hAnsi="Book Antiqua"/>
          <w:lang w:val="en-GB"/>
        </w:rPr>
        <w:t>adherence and translocation of bacteri</w:t>
      </w:r>
      <w:r>
        <w:rPr>
          <w:rFonts w:ascii="Book Antiqua" w:hAnsi="Book Antiqua"/>
          <w:lang w:val="en-GB"/>
        </w:rPr>
        <w:t>a in mouse or cell line models.</w:t>
      </w:r>
      <w:r w:rsidRPr="00D43973">
        <w:rPr>
          <w:rFonts w:ascii="Book Antiqua" w:hAnsi="Book Antiqua"/>
          <w:lang w:val="en-GB"/>
        </w:rPr>
        <w:t xml:space="preserve"> </w:t>
      </w:r>
      <w:r>
        <w:rPr>
          <w:rFonts w:ascii="Book Antiqua" w:hAnsi="Book Antiqua"/>
          <w:lang w:val="en-GB"/>
        </w:rPr>
        <w:t xml:space="preserve">They recruited 47 </w:t>
      </w:r>
      <w:r w:rsidRPr="00D43973">
        <w:rPr>
          <w:rFonts w:ascii="Book Antiqua" w:hAnsi="Book Antiqua"/>
          <w:lang w:val="en-GB"/>
        </w:rPr>
        <w:t xml:space="preserve">patients including </w:t>
      </w:r>
      <w:r>
        <w:rPr>
          <w:rFonts w:ascii="Book Antiqua" w:hAnsi="Book Antiqua"/>
          <w:lang w:val="en-GB"/>
        </w:rPr>
        <w:t xml:space="preserve">34 children and 13 young adults with active disease, who </w:t>
      </w:r>
      <w:r w:rsidRPr="00D43973">
        <w:rPr>
          <w:rFonts w:ascii="Book Antiqua" w:hAnsi="Book Antiqua"/>
          <w:lang w:val="en-GB"/>
        </w:rPr>
        <w:t>were treated with a 6-week exclusion diet that allowed access to specific foods and up to 50% of dietary ca</w:t>
      </w:r>
      <w:r>
        <w:rPr>
          <w:rFonts w:ascii="Book Antiqua" w:hAnsi="Book Antiqua"/>
          <w:lang w:val="en-GB"/>
        </w:rPr>
        <w:t>lories from a polymeric formula.</w:t>
      </w:r>
      <w:r w:rsidRPr="00D43973">
        <w:rPr>
          <w:rFonts w:ascii="Book Antiqua" w:hAnsi="Book Antiqua"/>
          <w:lang w:val="en-GB"/>
        </w:rPr>
        <w:t xml:space="preserve"> </w:t>
      </w:r>
    </w:p>
    <w:p w14:paraId="13440785" w14:textId="00F44706" w:rsidR="00563BB7" w:rsidRPr="00D43973" w:rsidRDefault="00563BB7" w:rsidP="006A3266">
      <w:pPr>
        <w:widowControl w:val="0"/>
        <w:autoSpaceDE w:val="0"/>
        <w:autoSpaceDN w:val="0"/>
        <w:adjustRightInd w:val="0"/>
        <w:spacing w:line="360" w:lineRule="auto"/>
        <w:ind w:firstLineChars="150" w:firstLine="360"/>
        <w:jc w:val="both"/>
        <w:rPr>
          <w:rFonts w:ascii="Book Antiqua" w:hAnsi="Book Antiqua"/>
          <w:lang w:val="en-GB" w:eastAsia="zh-CN"/>
        </w:rPr>
      </w:pPr>
      <w:r w:rsidRPr="00D43973">
        <w:rPr>
          <w:rFonts w:ascii="Book Antiqua" w:hAnsi="Book Antiqua"/>
          <w:lang w:val="en-GB"/>
        </w:rPr>
        <w:t>The diet</w:t>
      </w:r>
      <w:r>
        <w:rPr>
          <w:rFonts w:ascii="Book Antiqua" w:hAnsi="Book Antiqua"/>
          <w:lang w:val="en-GB"/>
        </w:rPr>
        <w:t xml:space="preserve"> consisted in elimination of or reduction in</w:t>
      </w:r>
      <w:r w:rsidRPr="00D43973">
        <w:rPr>
          <w:rFonts w:ascii="Book Antiqua" w:hAnsi="Book Antiqua"/>
          <w:lang w:val="en-GB"/>
        </w:rPr>
        <w:t xml:space="preserve"> animal fat, dairy produ</w:t>
      </w:r>
      <w:r>
        <w:rPr>
          <w:rFonts w:ascii="Book Antiqua" w:hAnsi="Book Antiqua"/>
          <w:lang w:val="en-GB"/>
        </w:rPr>
        <w:t xml:space="preserve">cts, gluten, and emulsifiers whereas </w:t>
      </w:r>
      <w:r w:rsidRPr="00D43973">
        <w:rPr>
          <w:rFonts w:ascii="Book Antiqua" w:hAnsi="Book Antiqua"/>
          <w:lang w:val="en-GB"/>
        </w:rPr>
        <w:t>fibre from fruits and vegetables</w:t>
      </w:r>
      <w:r>
        <w:rPr>
          <w:rFonts w:ascii="Book Antiqua" w:hAnsi="Book Antiqua"/>
          <w:lang w:val="en-GB"/>
        </w:rPr>
        <w:t xml:space="preserve"> was allowed. Clinical r</w:t>
      </w:r>
      <w:r w:rsidRPr="00D43973">
        <w:rPr>
          <w:rFonts w:ascii="Book Antiqua" w:hAnsi="Book Antiqua"/>
          <w:lang w:val="en-GB"/>
        </w:rPr>
        <w:t xml:space="preserve">esponse </w:t>
      </w:r>
      <w:r>
        <w:rPr>
          <w:rFonts w:ascii="Book Antiqua" w:hAnsi="Book Antiqua"/>
          <w:lang w:val="en-GB"/>
        </w:rPr>
        <w:t xml:space="preserve">was observed </w:t>
      </w:r>
      <w:r w:rsidRPr="00D43973">
        <w:rPr>
          <w:rFonts w:ascii="Book Antiqua" w:hAnsi="Book Antiqua"/>
          <w:lang w:val="en-GB"/>
        </w:rPr>
        <w:t xml:space="preserve">in </w:t>
      </w:r>
      <w:r>
        <w:rPr>
          <w:rFonts w:ascii="Book Antiqua" w:hAnsi="Book Antiqua"/>
          <w:lang w:val="en-GB"/>
        </w:rPr>
        <w:t>78.7%</w:t>
      </w:r>
      <w:r w:rsidRPr="00D43973">
        <w:rPr>
          <w:rFonts w:ascii="Book Antiqua" w:hAnsi="Book Antiqua"/>
          <w:lang w:val="en-GB"/>
        </w:rPr>
        <w:t xml:space="preserve"> and r</w:t>
      </w:r>
      <w:r>
        <w:rPr>
          <w:rFonts w:ascii="Book Antiqua" w:hAnsi="Book Antiqua"/>
          <w:lang w:val="en-GB"/>
        </w:rPr>
        <w:t>emission in 70.2%, alongside</w:t>
      </w:r>
      <w:r w:rsidRPr="00D43973">
        <w:rPr>
          <w:rFonts w:ascii="Book Antiqua" w:hAnsi="Book Antiqua"/>
          <w:lang w:val="en-GB"/>
        </w:rPr>
        <w:t xml:space="preserve"> </w:t>
      </w:r>
      <w:r>
        <w:rPr>
          <w:rFonts w:ascii="Book Antiqua" w:hAnsi="Book Antiqua"/>
          <w:lang w:val="en-GB"/>
        </w:rPr>
        <w:t xml:space="preserve">improvement </w:t>
      </w:r>
      <w:r w:rsidRPr="00D43973">
        <w:rPr>
          <w:rFonts w:ascii="Book Antiqua" w:hAnsi="Book Antiqua"/>
          <w:lang w:val="en-GB"/>
        </w:rPr>
        <w:t xml:space="preserve">in CRP </w:t>
      </w:r>
      <w:r>
        <w:rPr>
          <w:rFonts w:ascii="Book Antiqua" w:hAnsi="Book Antiqua"/>
          <w:lang w:val="en-GB"/>
        </w:rPr>
        <w:t xml:space="preserve">(normalized in approximately 70%) </w:t>
      </w:r>
      <w:r w:rsidRPr="00D43973">
        <w:rPr>
          <w:rFonts w:ascii="Book Antiqua" w:hAnsi="Book Antiqua"/>
          <w:lang w:val="en-GB"/>
        </w:rPr>
        <w:t>and ESR</w:t>
      </w:r>
      <w:r>
        <w:rPr>
          <w:rFonts w:ascii="Book Antiqua" w:hAnsi="Book Antiqua"/>
          <w:lang w:val="en-GB"/>
        </w:rPr>
        <w:t>.</w:t>
      </w:r>
      <w:r w:rsidRPr="00D43973">
        <w:rPr>
          <w:rFonts w:ascii="Book Antiqua" w:hAnsi="Book Antiqua"/>
          <w:lang w:val="en-GB"/>
        </w:rPr>
        <w:t xml:space="preserve"> On the basis of these results, the Authors recommend the use of this elimination diet </w:t>
      </w:r>
      <w:r>
        <w:rPr>
          <w:rFonts w:ascii="Book Antiqua" w:hAnsi="Book Antiqua"/>
          <w:lang w:val="en-GB"/>
        </w:rPr>
        <w:t xml:space="preserve">in patients </w:t>
      </w:r>
      <w:r>
        <w:rPr>
          <w:rFonts w:ascii="Book Antiqua" w:hAnsi="Book Antiqua"/>
          <w:lang w:val="en-GB"/>
        </w:rPr>
        <w:lastRenderedPageBreak/>
        <w:t xml:space="preserve">with mild-moderate disease, </w:t>
      </w:r>
      <w:r w:rsidRPr="00D43973">
        <w:rPr>
          <w:rFonts w:ascii="Book Antiqua" w:hAnsi="Book Antiqua"/>
          <w:lang w:val="en-GB"/>
        </w:rPr>
        <w:t xml:space="preserve">as it allows access to specific foods improving </w:t>
      </w:r>
      <w:r>
        <w:rPr>
          <w:rFonts w:ascii="Book Antiqua" w:hAnsi="Book Antiqua"/>
          <w:lang w:val="en-GB"/>
        </w:rPr>
        <w:t>palatability and compliance</w:t>
      </w:r>
      <w:r w:rsidRPr="00953227">
        <w:rPr>
          <w:rFonts w:ascii="Book Antiqua" w:hAnsi="Book Antiqua"/>
          <w:vertAlign w:val="superscript"/>
          <w:lang w:val="en-GB"/>
        </w:rPr>
        <w:t>[</w:t>
      </w:r>
      <w:r w:rsidRPr="00916CF3">
        <w:rPr>
          <w:rFonts w:ascii="Book Antiqua" w:hAnsi="Book Antiqua"/>
          <w:vertAlign w:val="superscript"/>
          <w:lang w:val="en-GB"/>
        </w:rPr>
        <w:t>15]</w:t>
      </w:r>
      <w:r w:rsidR="00020B09">
        <w:rPr>
          <w:rFonts w:ascii="Book Antiqua" w:hAnsi="Book Antiqua" w:hint="eastAsia"/>
          <w:lang w:val="en-GB" w:eastAsia="zh-CN"/>
        </w:rPr>
        <w:t xml:space="preserve"> </w:t>
      </w:r>
      <w:r w:rsidRPr="00916CF3">
        <w:rPr>
          <w:rFonts w:ascii="Book Antiqua" w:hAnsi="Book Antiqua"/>
          <w:lang w:val="en-GB"/>
        </w:rPr>
        <w:t>(Table 1)</w:t>
      </w:r>
      <w:r w:rsidR="00020B09">
        <w:rPr>
          <w:rFonts w:ascii="Book Antiqua" w:hAnsi="Book Antiqua" w:hint="eastAsia"/>
          <w:lang w:val="en-GB" w:eastAsia="zh-CN"/>
        </w:rPr>
        <w:t>.</w:t>
      </w:r>
    </w:p>
    <w:p w14:paraId="33E1230D" w14:textId="77777777" w:rsidR="00563BB7" w:rsidRPr="00D43973"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sidRPr="00D43973">
        <w:rPr>
          <w:rFonts w:ascii="Book Antiqua" w:hAnsi="Book Antiqua"/>
          <w:lang w:val="en-GB"/>
        </w:rPr>
        <w:t>So far, efficacy of microbiome-based therapies like probiotic</w:t>
      </w:r>
      <w:r>
        <w:rPr>
          <w:rFonts w:ascii="Book Antiqua" w:hAnsi="Book Antiqua"/>
          <w:lang w:val="en-GB"/>
        </w:rPr>
        <w:t>s or antibiotics has been</w:t>
      </w:r>
      <w:r w:rsidRPr="00D43973">
        <w:rPr>
          <w:rFonts w:ascii="Book Antiqua" w:hAnsi="Book Antiqua"/>
          <w:lang w:val="en-GB"/>
        </w:rPr>
        <w:t xml:space="preserve"> limited in IBD</w:t>
      </w:r>
      <w:r w:rsidRPr="00953227">
        <w:rPr>
          <w:rFonts w:ascii="Book Antiqua" w:hAnsi="Book Antiqua"/>
          <w:vertAlign w:val="superscript"/>
          <w:lang w:val="en-GB"/>
        </w:rPr>
        <w:t>[</w:t>
      </w:r>
      <w:r>
        <w:rPr>
          <w:rFonts w:ascii="Book Antiqua" w:hAnsi="Book Antiqua"/>
          <w:vertAlign w:val="superscript"/>
          <w:lang w:val="en-GB"/>
        </w:rPr>
        <w:t>19</w:t>
      </w:r>
      <w:r w:rsidRPr="00105FF3">
        <w:rPr>
          <w:rFonts w:ascii="Book Antiqua" w:hAnsi="Book Antiqua"/>
          <w:vertAlign w:val="superscript"/>
          <w:lang w:val="en-GB"/>
        </w:rPr>
        <w:t>]</w:t>
      </w:r>
      <w:r w:rsidRPr="00D43973">
        <w:rPr>
          <w:rFonts w:ascii="Book Antiqua" w:hAnsi="Book Antiqua"/>
          <w:lang w:val="en-GB"/>
        </w:rPr>
        <w:t xml:space="preserve">. </w:t>
      </w:r>
      <w:r>
        <w:rPr>
          <w:rFonts w:ascii="Book Antiqua" w:hAnsi="Book Antiqua"/>
          <w:lang w:val="en-GB"/>
        </w:rPr>
        <w:t>Nevertheless, the recent focus on dy</w:t>
      </w:r>
      <w:r w:rsidRPr="00D43973">
        <w:rPr>
          <w:rFonts w:ascii="Book Antiqua" w:hAnsi="Book Antiqua"/>
          <w:lang w:val="en-GB"/>
        </w:rPr>
        <w:t>sbiosis as a plausible key factor in IBD pathogenesis, has led to a growing interest in faecal microbiota transplantation (FMT) as a novel potential treatment option in IBD.</w:t>
      </w:r>
      <w:r>
        <w:rPr>
          <w:rFonts w:ascii="Book Antiqua" w:hAnsi="Book Antiqua"/>
          <w:lang w:val="en-GB"/>
        </w:rPr>
        <w:t xml:space="preserve"> </w:t>
      </w:r>
    </w:p>
    <w:p w14:paraId="5F0A8A3B" w14:textId="77777777" w:rsidR="00563BB7" w:rsidRPr="00D43973" w:rsidRDefault="00563BB7" w:rsidP="006A3266">
      <w:pPr>
        <w:widowControl w:val="0"/>
        <w:autoSpaceDE w:val="0"/>
        <w:autoSpaceDN w:val="0"/>
        <w:adjustRightInd w:val="0"/>
        <w:spacing w:line="360" w:lineRule="auto"/>
        <w:ind w:firstLineChars="150" w:firstLine="360"/>
        <w:jc w:val="both"/>
        <w:rPr>
          <w:rFonts w:ascii="Book Antiqua" w:hAnsi="Book Antiqua"/>
          <w:lang w:val="en-GB"/>
        </w:rPr>
      </w:pPr>
      <w:r w:rsidRPr="00D43973">
        <w:rPr>
          <w:rFonts w:ascii="Book Antiqua" w:hAnsi="Book Antiqua"/>
          <w:lang w:val="en-GB"/>
        </w:rPr>
        <w:t>FMT is the administration of faecal material from a donor into the intestinal tract of a recipient, with the aim to change the microbiota composition and restore mucosal health. Over the past few years, FMT has been used successfully for the treatment of recurrent Clostridium difficile infection (CDI)</w:t>
      </w:r>
      <w:r w:rsidRPr="002235CE">
        <w:rPr>
          <w:rFonts w:ascii="Book Antiqua" w:hAnsi="Book Antiqua"/>
          <w:lang w:val="en-GB"/>
        </w:rPr>
        <w:t xml:space="preserve"> </w:t>
      </w:r>
      <w:r w:rsidRPr="00D43973">
        <w:rPr>
          <w:rFonts w:ascii="Book Antiqua" w:hAnsi="Book Antiqua"/>
          <w:lang w:val="en-GB"/>
        </w:rPr>
        <w:t>(efficacy of 80</w:t>
      </w:r>
      <w:r>
        <w:rPr>
          <w:rFonts w:ascii="Book Antiqua" w:hAnsi="Book Antiqua" w:hint="eastAsia"/>
          <w:lang w:val="en-GB" w:eastAsia="zh-CN"/>
        </w:rPr>
        <w:t>%</w:t>
      </w:r>
      <w:r w:rsidRPr="00D43973">
        <w:rPr>
          <w:rFonts w:ascii="Book Antiqua" w:hAnsi="Book Antiqua"/>
          <w:lang w:val="en-GB"/>
        </w:rPr>
        <w:t xml:space="preserve">-95%), and is now being evaluated in other diseases </w:t>
      </w:r>
      <w:r>
        <w:rPr>
          <w:rFonts w:ascii="Book Antiqua" w:hAnsi="Book Antiqua"/>
          <w:lang w:val="en-GB"/>
        </w:rPr>
        <w:t xml:space="preserve">possibly driven by the microbiota, </w:t>
      </w:r>
      <w:r w:rsidRPr="00D43973">
        <w:rPr>
          <w:rFonts w:ascii="Book Antiqua" w:hAnsi="Book Antiqua"/>
          <w:lang w:val="en-GB"/>
        </w:rPr>
        <w:t>including IBD</w:t>
      </w:r>
      <w:r w:rsidRPr="00953227">
        <w:rPr>
          <w:rFonts w:ascii="Book Antiqua" w:hAnsi="Book Antiqua"/>
          <w:vertAlign w:val="superscript"/>
          <w:lang w:val="en-GB"/>
        </w:rPr>
        <w:t>[</w:t>
      </w:r>
      <w:r>
        <w:rPr>
          <w:rFonts w:ascii="Book Antiqua" w:hAnsi="Book Antiqua"/>
          <w:vertAlign w:val="superscript"/>
          <w:lang w:val="en-GB"/>
        </w:rPr>
        <w:t>19</w:t>
      </w:r>
      <w:r w:rsidRPr="00105FF3">
        <w:rPr>
          <w:rFonts w:ascii="Book Antiqua" w:hAnsi="Book Antiqua"/>
          <w:vertAlign w:val="superscript"/>
          <w:lang w:val="en-GB"/>
        </w:rPr>
        <w:t>]</w:t>
      </w:r>
      <w:r w:rsidRPr="00D43973">
        <w:rPr>
          <w:rFonts w:ascii="Book Antiqua" w:hAnsi="Book Antiqua"/>
          <w:lang w:val="en-GB"/>
        </w:rPr>
        <w:t>.</w:t>
      </w:r>
    </w:p>
    <w:p w14:paraId="3265D17A" w14:textId="77777777" w:rsidR="00563BB7" w:rsidRPr="00D43973"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sidRPr="00D43973">
        <w:rPr>
          <w:rFonts w:ascii="Book Antiqua" w:hAnsi="Book Antiqua"/>
          <w:lang w:val="en-GB"/>
        </w:rPr>
        <w:t>There are several studies and case reports on the use of FMT in UC, but only two randomized co</w:t>
      </w:r>
      <w:r>
        <w:rPr>
          <w:rFonts w:ascii="Book Antiqua" w:hAnsi="Book Antiqua"/>
          <w:lang w:val="en-GB"/>
        </w:rPr>
        <w:t>ntrol studies published to date</w:t>
      </w:r>
      <w:r w:rsidRPr="00953227">
        <w:rPr>
          <w:rFonts w:ascii="Book Antiqua" w:hAnsi="Book Antiqua"/>
          <w:vertAlign w:val="superscript"/>
          <w:lang w:val="en-GB"/>
        </w:rPr>
        <w:t>[</w:t>
      </w:r>
      <w:r>
        <w:rPr>
          <w:rFonts w:ascii="Book Antiqua" w:hAnsi="Book Antiqua"/>
          <w:vertAlign w:val="superscript"/>
          <w:lang w:val="en-GB"/>
        </w:rPr>
        <w:t>19,20,22</w:t>
      </w:r>
      <w:r w:rsidRPr="00105FF3">
        <w:rPr>
          <w:rFonts w:ascii="Book Antiqua" w:hAnsi="Book Antiqua"/>
          <w:vertAlign w:val="superscript"/>
          <w:lang w:val="en-GB"/>
        </w:rPr>
        <w:t>]</w:t>
      </w:r>
      <w:r>
        <w:rPr>
          <w:rFonts w:ascii="Book Antiqua" w:hAnsi="Book Antiqua"/>
          <w:lang w:val="en-GB"/>
        </w:rPr>
        <w:t>.</w:t>
      </w:r>
    </w:p>
    <w:p w14:paraId="0721F936" w14:textId="77777777" w:rsidR="00563BB7" w:rsidRPr="00D43973"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Pr>
          <w:rFonts w:ascii="Book Antiqua" w:hAnsi="Book Antiqua"/>
          <w:lang w:val="en-GB"/>
        </w:rPr>
        <w:t>T</w:t>
      </w:r>
      <w:r w:rsidRPr="00D43973">
        <w:rPr>
          <w:rFonts w:ascii="Book Antiqua" w:hAnsi="Book Antiqua"/>
          <w:lang w:val="en-GB"/>
        </w:rPr>
        <w:t xml:space="preserve">he success rate </w:t>
      </w:r>
      <w:r>
        <w:rPr>
          <w:rFonts w:ascii="Book Antiqua" w:hAnsi="Book Antiqua"/>
          <w:lang w:val="en-GB"/>
        </w:rPr>
        <w:t>of FMT in treating UC has been</w:t>
      </w:r>
      <w:r w:rsidRPr="00D43973">
        <w:rPr>
          <w:rFonts w:ascii="Book Antiqua" w:hAnsi="Book Antiqua"/>
          <w:lang w:val="en-GB"/>
        </w:rPr>
        <w:t xml:space="preserve"> much more limited (clinical remission in 35%)</w:t>
      </w:r>
      <w:r>
        <w:rPr>
          <w:rFonts w:ascii="Book Antiqua" w:hAnsi="Book Antiqua"/>
          <w:lang w:val="en-GB"/>
        </w:rPr>
        <w:t xml:space="preserve"> in respect to its success in treating recurrent CDI</w:t>
      </w:r>
      <w:r w:rsidRPr="00D43973">
        <w:rPr>
          <w:rFonts w:ascii="Book Antiqua" w:hAnsi="Book Antiqua"/>
          <w:lang w:val="en-GB"/>
        </w:rPr>
        <w:t xml:space="preserve">. However, studies </w:t>
      </w:r>
      <w:r>
        <w:rPr>
          <w:rFonts w:ascii="Book Antiqua" w:hAnsi="Book Antiqua"/>
          <w:lang w:val="en-GB"/>
        </w:rPr>
        <w:t xml:space="preserve">so far have been </w:t>
      </w:r>
      <w:r w:rsidRPr="00D43973">
        <w:rPr>
          <w:rFonts w:ascii="Book Antiqua" w:hAnsi="Book Antiqua"/>
          <w:lang w:val="en-GB"/>
        </w:rPr>
        <w:t>small</w:t>
      </w:r>
      <w:r>
        <w:rPr>
          <w:rFonts w:ascii="Book Antiqua" w:hAnsi="Book Antiqua"/>
          <w:lang w:val="en-GB"/>
        </w:rPr>
        <w:t xml:space="preserve"> </w:t>
      </w:r>
      <w:r w:rsidRPr="00D43973">
        <w:rPr>
          <w:rFonts w:ascii="Book Antiqua" w:hAnsi="Book Antiqua"/>
          <w:lang w:val="en-GB"/>
        </w:rPr>
        <w:t xml:space="preserve">and heterogeneous, </w:t>
      </w:r>
      <w:r>
        <w:rPr>
          <w:rFonts w:ascii="Book Antiqua" w:hAnsi="Book Antiqua"/>
          <w:lang w:val="en-GB"/>
        </w:rPr>
        <w:t xml:space="preserve">therefore clear </w:t>
      </w:r>
      <w:r w:rsidRPr="00D43973">
        <w:rPr>
          <w:rFonts w:ascii="Book Antiqua" w:hAnsi="Book Antiqua"/>
          <w:lang w:val="en-GB"/>
        </w:rPr>
        <w:t>conclusion</w:t>
      </w:r>
      <w:r>
        <w:rPr>
          <w:rFonts w:ascii="Book Antiqua" w:hAnsi="Book Antiqua"/>
          <w:lang w:val="en-GB"/>
        </w:rPr>
        <w:t>s are difficult to make</w:t>
      </w:r>
      <w:r w:rsidRPr="00953227">
        <w:rPr>
          <w:rFonts w:ascii="Book Antiqua" w:hAnsi="Book Antiqua"/>
          <w:vertAlign w:val="superscript"/>
          <w:lang w:val="en-GB"/>
        </w:rPr>
        <w:t>[</w:t>
      </w:r>
      <w:r>
        <w:rPr>
          <w:rFonts w:ascii="Book Antiqua" w:hAnsi="Book Antiqua"/>
          <w:vertAlign w:val="superscript"/>
          <w:lang w:val="en-GB"/>
        </w:rPr>
        <w:t>19</w:t>
      </w:r>
      <w:r w:rsidRPr="00105FF3">
        <w:rPr>
          <w:rFonts w:ascii="Book Antiqua" w:hAnsi="Book Antiqua"/>
          <w:vertAlign w:val="superscript"/>
          <w:lang w:val="en-GB"/>
        </w:rPr>
        <w:t>]</w:t>
      </w:r>
      <w:r w:rsidRPr="00D43973">
        <w:rPr>
          <w:rFonts w:ascii="Book Antiqua" w:hAnsi="Book Antiqua"/>
          <w:lang w:val="en-GB"/>
        </w:rPr>
        <w:t xml:space="preserve">. </w:t>
      </w:r>
    </w:p>
    <w:p w14:paraId="3D622F76" w14:textId="77777777" w:rsidR="00563BB7" w:rsidRPr="00D43973"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sidRPr="00D43973">
        <w:rPr>
          <w:rFonts w:ascii="Book Antiqua" w:hAnsi="Book Antiqua"/>
          <w:lang w:val="en-GB"/>
        </w:rPr>
        <w:t>Even less data is available for FMT in CD, with only isolated cases or heterogeneous small series reporting overall clinical remission in 60</w:t>
      </w:r>
      <w:r>
        <w:rPr>
          <w:rFonts w:ascii="Book Antiqua" w:hAnsi="Book Antiqua" w:hint="eastAsia"/>
          <w:lang w:val="en-GB" w:eastAsia="zh-CN"/>
        </w:rPr>
        <w:t>%</w:t>
      </w:r>
      <w:r w:rsidRPr="00D43973">
        <w:rPr>
          <w:rFonts w:ascii="Book Antiqua" w:hAnsi="Book Antiqua"/>
          <w:lang w:val="en-GB"/>
        </w:rPr>
        <w:t>-75%</w:t>
      </w:r>
      <w:r w:rsidRPr="00953227">
        <w:rPr>
          <w:rFonts w:ascii="Book Antiqua" w:hAnsi="Book Antiqua"/>
          <w:vertAlign w:val="superscript"/>
          <w:lang w:val="en-GB"/>
        </w:rPr>
        <w:t>[</w:t>
      </w:r>
      <w:r>
        <w:rPr>
          <w:rFonts w:ascii="Book Antiqua" w:hAnsi="Book Antiqua"/>
          <w:vertAlign w:val="superscript"/>
          <w:lang w:val="en-GB"/>
        </w:rPr>
        <w:t>19</w:t>
      </w:r>
      <w:r w:rsidRPr="00105FF3">
        <w:rPr>
          <w:rFonts w:ascii="Book Antiqua" w:hAnsi="Book Antiqua"/>
          <w:vertAlign w:val="superscript"/>
          <w:lang w:val="en-GB"/>
        </w:rPr>
        <w:t>]</w:t>
      </w:r>
      <w:r>
        <w:rPr>
          <w:rFonts w:ascii="Book Antiqua" w:hAnsi="Book Antiqua"/>
          <w:lang w:val="en-GB"/>
        </w:rPr>
        <w:t>.</w:t>
      </w:r>
    </w:p>
    <w:p w14:paraId="7AC38719" w14:textId="77777777" w:rsidR="00563BB7" w:rsidRDefault="00563BB7" w:rsidP="006A3266">
      <w:pPr>
        <w:widowControl w:val="0"/>
        <w:autoSpaceDE w:val="0"/>
        <w:autoSpaceDN w:val="0"/>
        <w:adjustRightInd w:val="0"/>
        <w:spacing w:line="360" w:lineRule="auto"/>
        <w:ind w:firstLineChars="100" w:firstLine="240"/>
        <w:jc w:val="both"/>
        <w:rPr>
          <w:rFonts w:ascii="Book Antiqua" w:hAnsi="Book Antiqua"/>
          <w:lang w:val="en-GB" w:eastAsia="zh-CN"/>
        </w:rPr>
      </w:pPr>
      <w:r w:rsidRPr="00D43973">
        <w:rPr>
          <w:rFonts w:ascii="Book Antiqua" w:hAnsi="Book Antiqua"/>
          <w:lang w:val="en-GB"/>
        </w:rPr>
        <w:t>At present, evidence on FMT in IBD is not strong enough to</w:t>
      </w:r>
      <w:r>
        <w:rPr>
          <w:rFonts w:ascii="Book Antiqua" w:hAnsi="Book Antiqua"/>
          <w:lang w:val="en-GB"/>
        </w:rPr>
        <w:t xml:space="preserve"> recommend its use as part of routine treatment</w:t>
      </w:r>
      <w:r w:rsidRPr="00D43973">
        <w:rPr>
          <w:rFonts w:ascii="Book Antiqua" w:hAnsi="Book Antiqua"/>
          <w:lang w:val="en-GB"/>
        </w:rPr>
        <w:t>. Preliminary results are promising and more studies are needed to define the best indications, optimal timing, frequency, mode of</w:t>
      </w:r>
      <w:r>
        <w:rPr>
          <w:rFonts w:ascii="Book Antiqua" w:hAnsi="Book Antiqua"/>
          <w:lang w:val="en-GB"/>
        </w:rPr>
        <w:t xml:space="preserve"> delivery, and the most appropriate donor for each patient</w:t>
      </w:r>
      <w:r w:rsidRPr="00953227">
        <w:rPr>
          <w:rFonts w:ascii="Book Antiqua" w:hAnsi="Book Antiqua"/>
          <w:vertAlign w:val="superscript"/>
          <w:lang w:val="en-GB"/>
        </w:rPr>
        <w:t>[19]</w:t>
      </w:r>
      <w:r>
        <w:rPr>
          <w:rFonts w:ascii="Book Antiqua" w:hAnsi="Book Antiqua"/>
          <w:lang w:val="en-GB"/>
        </w:rPr>
        <w:t>.</w:t>
      </w:r>
    </w:p>
    <w:p w14:paraId="3A22C3FE" w14:textId="77777777" w:rsidR="00563BB7" w:rsidRPr="00D43973" w:rsidRDefault="00563BB7" w:rsidP="006A3266">
      <w:pPr>
        <w:widowControl w:val="0"/>
        <w:autoSpaceDE w:val="0"/>
        <w:autoSpaceDN w:val="0"/>
        <w:adjustRightInd w:val="0"/>
        <w:spacing w:line="360" w:lineRule="auto"/>
        <w:ind w:firstLineChars="100" w:firstLine="240"/>
        <w:jc w:val="both"/>
        <w:rPr>
          <w:rFonts w:ascii="Book Antiqua" w:hAnsi="Book Antiqua"/>
          <w:lang w:val="en-GB" w:eastAsia="zh-CN"/>
        </w:rPr>
      </w:pPr>
    </w:p>
    <w:p w14:paraId="62C5AF21" w14:textId="77777777" w:rsidR="00563BB7" w:rsidRPr="00130821" w:rsidRDefault="00563BB7" w:rsidP="006A3266">
      <w:pPr>
        <w:pStyle w:val="NormalWeb"/>
        <w:spacing w:before="0" w:beforeAutospacing="0" w:after="0" w:afterAutospacing="0" w:line="360" w:lineRule="auto"/>
        <w:jc w:val="both"/>
        <w:rPr>
          <w:rFonts w:ascii="Book Antiqua" w:hAnsi="Book Antiqua"/>
          <w:b/>
          <w:lang w:val="en-GB"/>
        </w:rPr>
      </w:pPr>
      <w:r w:rsidRPr="00130821">
        <w:rPr>
          <w:rFonts w:ascii="Book Antiqua" w:hAnsi="Book Antiqua"/>
          <w:b/>
          <w:lang w:val="en-GB"/>
        </w:rPr>
        <w:t>AMINOSALYCILATES</w:t>
      </w:r>
    </w:p>
    <w:p w14:paraId="54DC663F" w14:textId="77777777" w:rsidR="00563BB7" w:rsidRPr="00130821" w:rsidRDefault="00563BB7" w:rsidP="006A3266">
      <w:pPr>
        <w:pStyle w:val="NormalWeb"/>
        <w:spacing w:before="0" w:beforeAutospacing="0" w:after="0" w:afterAutospacing="0" w:line="360" w:lineRule="auto"/>
        <w:jc w:val="both"/>
        <w:rPr>
          <w:rFonts w:ascii="Book Antiqua" w:hAnsi="Book Antiqua"/>
          <w:lang w:val="en-GB"/>
        </w:rPr>
      </w:pPr>
      <w:r w:rsidRPr="00130821">
        <w:rPr>
          <w:rFonts w:ascii="Book Antiqua" w:hAnsi="Book Antiqua"/>
          <w:lang w:val="en-GB"/>
        </w:rPr>
        <w:t>5-aminosalicylic acid (mesalazine, 5-ASA) acts topically on the gast</w:t>
      </w:r>
      <w:r>
        <w:rPr>
          <w:rFonts w:ascii="Book Antiqua" w:hAnsi="Book Antiqua"/>
          <w:lang w:val="en-GB"/>
        </w:rPr>
        <w:t>rointestinal mucosa, with minimal</w:t>
      </w:r>
      <w:r w:rsidRPr="00130821">
        <w:rPr>
          <w:rFonts w:ascii="Book Antiqua" w:hAnsi="Book Antiqua"/>
          <w:lang w:val="en-GB"/>
        </w:rPr>
        <w:t xml:space="preserve"> systemic effect. </w:t>
      </w:r>
      <w:r>
        <w:rPr>
          <w:rFonts w:ascii="Book Antiqua" w:hAnsi="Book Antiqua"/>
          <w:lang w:val="en-GB"/>
        </w:rPr>
        <w:t>Even though its exact mechanism of action is yet to be understood in its complexity,</w:t>
      </w:r>
      <w:r w:rsidRPr="00130821">
        <w:rPr>
          <w:rFonts w:ascii="Book Antiqua" w:hAnsi="Book Antiqua"/>
          <w:lang w:val="en-GB"/>
        </w:rPr>
        <w:t xml:space="preserve"> </w:t>
      </w:r>
      <w:r>
        <w:rPr>
          <w:rFonts w:ascii="Book Antiqua" w:hAnsi="Book Antiqua"/>
          <w:lang w:val="en-GB"/>
        </w:rPr>
        <w:t xml:space="preserve">the pathways that are known to be involved include the blockade </w:t>
      </w:r>
      <w:r w:rsidRPr="00130821">
        <w:rPr>
          <w:rFonts w:ascii="Book Antiqua" w:hAnsi="Book Antiqua"/>
          <w:lang w:val="en-GB"/>
        </w:rPr>
        <w:t>of IL-1</w:t>
      </w:r>
      <w:r>
        <w:rPr>
          <w:rFonts w:ascii="Book Antiqua" w:hAnsi="Book Antiqua"/>
          <w:lang w:val="en-GB"/>
        </w:rPr>
        <w:t xml:space="preserve"> production</w:t>
      </w:r>
      <w:r w:rsidRPr="00130821">
        <w:rPr>
          <w:rFonts w:ascii="Book Antiqua" w:hAnsi="Book Antiqua"/>
          <w:lang w:val="en-GB"/>
        </w:rPr>
        <w:t xml:space="preserve"> and </w:t>
      </w:r>
      <w:r>
        <w:rPr>
          <w:rFonts w:ascii="Book Antiqua" w:hAnsi="Book Antiqua"/>
          <w:lang w:val="en-GB"/>
        </w:rPr>
        <w:t>TNF-α receptor, the inhibition of</w:t>
      </w:r>
      <w:r w:rsidRPr="00130821">
        <w:rPr>
          <w:rFonts w:ascii="Book Antiqua" w:hAnsi="Book Antiqua"/>
          <w:lang w:val="en-GB"/>
        </w:rPr>
        <w:t xml:space="preserve"> cyclooxygenase and 5-lipoxygenase, and </w:t>
      </w:r>
      <w:r>
        <w:rPr>
          <w:rFonts w:ascii="Book Antiqua" w:hAnsi="Book Antiqua"/>
          <w:lang w:val="en-GB"/>
        </w:rPr>
        <w:t xml:space="preserve">the </w:t>
      </w:r>
      <w:r w:rsidRPr="00130821">
        <w:rPr>
          <w:rFonts w:ascii="Book Antiqua" w:hAnsi="Book Antiqua"/>
          <w:lang w:val="en-GB"/>
        </w:rPr>
        <w:t>block</w:t>
      </w:r>
      <w:r>
        <w:rPr>
          <w:rFonts w:ascii="Book Antiqua" w:hAnsi="Book Antiqua"/>
          <w:lang w:val="en-GB"/>
        </w:rPr>
        <w:t>ade of</w:t>
      </w:r>
      <w:r w:rsidRPr="00130821">
        <w:rPr>
          <w:rFonts w:ascii="Book Antiqua" w:hAnsi="Book Antiqua"/>
          <w:lang w:val="en-GB"/>
        </w:rPr>
        <w:t xml:space="preserve"> the pro</w:t>
      </w:r>
      <w:r>
        <w:rPr>
          <w:rFonts w:ascii="Book Antiqua" w:hAnsi="Book Antiqua"/>
          <w:lang w:val="en-GB"/>
        </w:rPr>
        <w:t>-</w:t>
      </w:r>
      <w:r w:rsidRPr="00130821">
        <w:rPr>
          <w:rFonts w:ascii="Book Antiqua" w:hAnsi="Book Antiqua"/>
          <w:lang w:val="en-GB"/>
        </w:rPr>
        <w:t xml:space="preserve">inflammatory </w:t>
      </w:r>
      <w:r w:rsidRPr="00130821">
        <w:rPr>
          <w:rFonts w:ascii="Book Antiqua" w:hAnsi="Book Antiqua"/>
          <w:lang w:val="en-GB"/>
        </w:rPr>
        <w:lastRenderedPageBreak/>
        <w:t xml:space="preserve">prostaglandin E2 and leukotrienes. </w:t>
      </w:r>
      <w:r>
        <w:rPr>
          <w:rFonts w:ascii="Book Antiqua" w:hAnsi="Book Antiqua"/>
          <w:lang w:val="en-GB"/>
        </w:rPr>
        <w:t xml:space="preserve">On top of the inhibition of multiple inflammatory pathways and the suppression of the </w:t>
      </w:r>
      <w:r w:rsidRPr="00130821">
        <w:rPr>
          <w:rFonts w:ascii="Book Antiqua" w:hAnsi="Book Antiqua"/>
          <w:lang w:val="en-GB"/>
        </w:rPr>
        <w:t>nuclear factor kappa B (NFκB)</w:t>
      </w:r>
      <w:r>
        <w:rPr>
          <w:rFonts w:ascii="Book Antiqua" w:hAnsi="Book Antiqua"/>
          <w:lang w:val="en-GB"/>
        </w:rPr>
        <w:t xml:space="preserve"> as a main result, a</w:t>
      </w:r>
      <w:r w:rsidRPr="00130821">
        <w:rPr>
          <w:rFonts w:ascii="Book Antiqua" w:hAnsi="Book Antiqua"/>
          <w:lang w:val="en-GB"/>
        </w:rPr>
        <w:t>mino</w:t>
      </w:r>
      <w:r>
        <w:rPr>
          <w:rFonts w:ascii="Book Antiqua" w:hAnsi="Book Antiqua"/>
          <w:lang w:val="en-GB"/>
        </w:rPr>
        <w:t>-</w:t>
      </w:r>
      <w:r w:rsidRPr="00130821">
        <w:rPr>
          <w:rFonts w:ascii="Book Antiqua" w:hAnsi="Book Antiqua"/>
          <w:lang w:val="en-GB"/>
        </w:rPr>
        <w:t xml:space="preserve">salicylates </w:t>
      </w:r>
      <w:r>
        <w:rPr>
          <w:rFonts w:ascii="Book Antiqua" w:hAnsi="Book Antiqua"/>
          <w:lang w:val="en-GB"/>
        </w:rPr>
        <w:t xml:space="preserve">also </w:t>
      </w:r>
      <w:r w:rsidRPr="00130821">
        <w:rPr>
          <w:rFonts w:ascii="Book Antiqua" w:hAnsi="Book Antiqua"/>
          <w:lang w:val="en-GB"/>
        </w:rPr>
        <w:t>possess potent anti-oxidant and free-radical-scavenger properties</w:t>
      </w:r>
      <w:r w:rsidRPr="00953227">
        <w:rPr>
          <w:rFonts w:ascii="Book Antiqua" w:hAnsi="Book Antiqua"/>
          <w:vertAlign w:val="superscript"/>
          <w:lang w:val="en-GB"/>
        </w:rPr>
        <w:t>[</w:t>
      </w:r>
      <w:r w:rsidRPr="00130821">
        <w:rPr>
          <w:rFonts w:ascii="Book Antiqua" w:hAnsi="Book Antiqua"/>
          <w:vertAlign w:val="superscript"/>
          <w:lang w:val="en-GB"/>
        </w:rPr>
        <w:t>4]</w:t>
      </w:r>
      <w:r>
        <w:rPr>
          <w:rFonts w:ascii="Book Antiqua" w:hAnsi="Book Antiqua"/>
          <w:lang w:val="en-GB"/>
        </w:rPr>
        <w:t xml:space="preserve">. </w:t>
      </w:r>
      <w:r w:rsidRPr="00130821">
        <w:rPr>
          <w:rFonts w:ascii="Book Antiqua" w:hAnsi="Book Antiqua"/>
          <w:lang w:val="en-GB"/>
        </w:rPr>
        <w:t>Amino</w:t>
      </w:r>
      <w:r>
        <w:rPr>
          <w:rFonts w:ascii="Book Antiqua" w:hAnsi="Book Antiqua"/>
          <w:lang w:val="en-GB"/>
        </w:rPr>
        <w:t>-</w:t>
      </w:r>
      <w:r w:rsidRPr="00130821">
        <w:rPr>
          <w:rFonts w:ascii="Book Antiqua" w:hAnsi="Book Antiqua"/>
          <w:lang w:val="en-GB"/>
        </w:rPr>
        <w:t xml:space="preserve">salicylates are </w:t>
      </w:r>
      <w:r>
        <w:rPr>
          <w:rFonts w:ascii="Book Antiqua" w:hAnsi="Book Antiqua"/>
          <w:lang w:val="en-GB"/>
        </w:rPr>
        <w:t xml:space="preserve">mainly </w:t>
      </w:r>
      <w:r w:rsidRPr="00130821">
        <w:rPr>
          <w:rFonts w:ascii="Book Antiqua" w:hAnsi="Book Antiqua"/>
          <w:lang w:val="en-GB"/>
        </w:rPr>
        <w:t>used in the induction and maintenance of remission in UC</w:t>
      </w:r>
      <w:r w:rsidRPr="00953227">
        <w:rPr>
          <w:rFonts w:ascii="Book Antiqua" w:hAnsi="Book Antiqua"/>
          <w:vertAlign w:val="superscript"/>
          <w:lang w:val="en-GB"/>
        </w:rPr>
        <w:t>[</w:t>
      </w:r>
      <w:r w:rsidRPr="00130821">
        <w:rPr>
          <w:rFonts w:ascii="Book Antiqua" w:hAnsi="Book Antiqua"/>
          <w:vertAlign w:val="superscript"/>
          <w:lang w:val="en-GB"/>
        </w:rPr>
        <w:t>23]</w:t>
      </w:r>
      <w:r w:rsidRPr="00130821">
        <w:rPr>
          <w:rFonts w:ascii="Book Antiqua" w:hAnsi="Book Antiqua"/>
          <w:lang w:val="en-GB"/>
        </w:rPr>
        <w:t>.</w:t>
      </w:r>
    </w:p>
    <w:p w14:paraId="264B4FE3" w14:textId="77777777" w:rsidR="00563BB7" w:rsidRPr="00130821" w:rsidRDefault="00563BB7" w:rsidP="006A3266">
      <w:pPr>
        <w:pStyle w:val="NormalWeb"/>
        <w:spacing w:before="0" w:beforeAutospacing="0" w:after="0" w:afterAutospacing="0" w:line="360" w:lineRule="auto"/>
        <w:ind w:firstLineChars="150" w:firstLine="360"/>
        <w:jc w:val="both"/>
        <w:rPr>
          <w:rFonts w:ascii="Book Antiqua" w:hAnsi="Book Antiqua"/>
          <w:lang w:val="en-GB"/>
        </w:rPr>
      </w:pPr>
      <w:r w:rsidRPr="00130821">
        <w:rPr>
          <w:rFonts w:ascii="Book Antiqua" w:hAnsi="Book Antiqua"/>
          <w:lang w:val="en-GB"/>
        </w:rPr>
        <w:t>In CD, their use is no l</w:t>
      </w:r>
      <w:r>
        <w:rPr>
          <w:rFonts w:ascii="Book Antiqua" w:hAnsi="Book Antiqua"/>
          <w:lang w:val="en-GB"/>
        </w:rPr>
        <w:t>onger recommended in view of limited</w:t>
      </w:r>
      <w:r w:rsidRPr="00130821">
        <w:rPr>
          <w:rFonts w:ascii="Book Antiqua" w:hAnsi="Book Antiqua"/>
          <w:lang w:val="en-GB"/>
        </w:rPr>
        <w:t xml:space="preserve"> efficacy. However, </w:t>
      </w:r>
      <w:r>
        <w:rPr>
          <w:rFonts w:ascii="Book Antiqua" w:hAnsi="Book Antiqua"/>
          <w:lang w:val="en-GB"/>
        </w:rPr>
        <w:t>there are</w:t>
      </w:r>
      <w:r w:rsidRPr="00130821">
        <w:rPr>
          <w:rFonts w:ascii="Book Antiqua" w:hAnsi="Book Antiqua"/>
          <w:lang w:val="en-GB"/>
        </w:rPr>
        <w:t xml:space="preserve"> studies suggest</w:t>
      </w:r>
      <w:r>
        <w:rPr>
          <w:rFonts w:ascii="Book Antiqua" w:hAnsi="Book Antiqua"/>
          <w:lang w:val="en-GB"/>
        </w:rPr>
        <w:t xml:space="preserve">ing a possible </w:t>
      </w:r>
      <w:r w:rsidRPr="00130821">
        <w:rPr>
          <w:rFonts w:ascii="Book Antiqua" w:hAnsi="Book Antiqua"/>
          <w:lang w:val="en-GB"/>
        </w:rPr>
        <w:t xml:space="preserve">role in the postoperative maintenance of remission, </w:t>
      </w:r>
      <w:r>
        <w:rPr>
          <w:rFonts w:ascii="Book Antiqua" w:hAnsi="Book Antiqua"/>
          <w:lang w:val="en-GB"/>
        </w:rPr>
        <w:t>as well as in the subgroup of</w:t>
      </w:r>
      <w:r w:rsidRPr="00130821">
        <w:rPr>
          <w:rFonts w:ascii="Book Antiqua" w:hAnsi="Book Antiqua"/>
          <w:lang w:val="en-GB"/>
        </w:rPr>
        <w:t xml:space="preserve"> children </w:t>
      </w:r>
      <w:r>
        <w:rPr>
          <w:rFonts w:ascii="Book Antiqua" w:hAnsi="Book Antiqua"/>
          <w:lang w:val="en-GB"/>
        </w:rPr>
        <w:t xml:space="preserve">with </w:t>
      </w:r>
      <w:r w:rsidRPr="00130821">
        <w:rPr>
          <w:rFonts w:ascii="Book Antiqua" w:hAnsi="Book Antiqua"/>
          <w:lang w:val="en-GB"/>
        </w:rPr>
        <w:t xml:space="preserve">mild, localised ileal disease. In addition, </w:t>
      </w:r>
      <w:r>
        <w:rPr>
          <w:rFonts w:ascii="Book Antiqua" w:hAnsi="Book Antiqua"/>
          <w:lang w:val="en-GB"/>
        </w:rPr>
        <w:t xml:space="preserve">adult studies suggest </w:t>
      </w:r>
      <w:r w:rsidRPr="00130821">
        <w:rPr>
          <w:rFonts w:ascii="Book Antiqua" w:hAnsi="Book Antiqua"/>
          <w:lang w:val="en-GB"/>
        </w:rPr>
        <w:t xml:space="preserve">a protective role of 5-ASA in IBD against colon cancer </w:t>
      </w:r>
      <w:r>
        <w:rPr>
          <w:rFonts w:ascii="Book Antiqua" w:hAnsi="Book Antiqua"/>
          <w:lang w:val="en-GB"/>
        </w:rPr>
        <w:t>in patients with colonic location</w:t>
      </w:r>
      <w:r w:rsidRPr="00953227">
        <w:rPr>
          <w:rFonts w:ascii="Book Antiqua" w:hAnsi="Book Antiqua"/>
          <w:vertAlign w:val="superscript"/>
          <w:lang w:val="en-GB"/>
        </w:rPr>
        <w:t>[</w:t>
      </w:r>
      <w:r w:rsidRPr="00130821">
        <w:rPr>
          <w:rFonts w:ascii="Book Antiqua" w:hAnsi="Book Antiqua"/>
          <w:vertAlign w:val="superscript"/>
          <w:lang w:val="en-GB"/>
        </w:rPr>
        <w:t>23]</w:t>
      </w:r>
      <w:r w:rsidRPr="00130821">
        <w:rPr>
          <w:rFonts w:ascii="Book Antiqua" w:hAnsi="Book Antiqua"/>
          <w:lang w:val="en-GB"/>
        </w:rPr>
        <w:t>.</w:t>
      </w:r>
    </w:p>
    <w:p w14:paraId="32447881" w14:textId="77777777" w:rsidR="00563BB7" w:rsidRDefault="00563BB7" w:rsidP="006A3266">
      <w:pPr>
        <w:pStyle w:val="NormalWeb"/>
        <w:spacing w:before="0" w:beforeAutospacing="0" w:after="0" w:afterAutospacing="0" w:line="360" w:lineRule="auto"/>
        <w:ind w:firstLineChars="150" w:firstLine="360"/>
        <w:jc w:val="both"/>
        <w:rPr>
          <w:rFonts w:ascii="Book Antiqua" w:hAnsi="Book Antiqua"/>
          <w:lang w:val="en-GB" w:eastAsia="zh-CN"/>
        </w:rPr>
      </w:pPr>
      <w:r>
        <w:rPr>
          <w:rFonts w:ascii="Book Antiqua" w:hAnsi="Book Antiqua"/>
          <w:lang w:val="en-GB"/>
        </w:rPr>
        <w:t>Given that s</w:t>
      </w:r>
      <w:r w:rsidRPr="00130821">
        <w:rPr>
          <w:rFonts w:ascii="Book Antiqua" w:hAnsi="Book Antiqua"/>
          <w:lang w:val="en-GB"/>
        </w:rPr>
        <w:t>ulfasalazine is not tolerated in 30</w:t>
      </w:r>
      <w:r>
        <w:rPr>
          <w:rFonts w:ascii="Book Antiqua" w:hAnsi="Book Antiqua" w:hint="eastAsia"/>
          <w:lang w:val="en-GB" w:eastAsia="zh-CN"/>
        </w:rPr>
        <w:t>%</w:t>
      </w:r>
      <w:r w:rsidRPr="00130821">
        <w:rPr>
          <w:rFonts w:ascii="Book Antiqua" w:hAnsi="Book Antiqua"/>
          <w:lang w:val="en-GB"/>
        </w:rPr>
        <w:t>-40% of patients,</w:t>
      </w:r>
      <w:r>
        <w:rPr>
          <w:rFonts w:ascii="Book Antiqua" w:hAnsi="Book Antiqua"/>
          <w:lang w:val="en-GB"/>
        </w:rPr>
        <w:t xml:space="preserve"> particularly slow acetylators, the</w:t>
      </w:r>
      <w:r w:rsidRPr="00130821">
        <w:rPr>
          <w:rFonts w:ascii="Book Antiqua" w:hAnsi="Book Antiqua"/>
          <w:lang w:val="en-GB"/>
        </w:rPr>
        <w:t xml:space="preserve"> use of its therapeutically active component 5-aminosalicylic acid (5-ASA) has led to the development of new formulations, that deliver higher concentrations of 5-ASA without the dose-limiting side effects of sulfasalazine. A wide range of these formulations </w:t>
      </w:r>
      <w:r>
        <w:rPr>
          <w:rFonts w:ascii="Book Antiqua" w:hAnsi="Book Antiqua"/>
          <w:lang w:val="en-GB"/>
        </w:rPr>
        <w:t xml:space="preserve">is available and </w:t>
      </w:r>
      <w:r w:rsidRPr="00130821">
        <w:rPr>
          <w:rFonts w:ascii="Book Antiqua" w:hAnsi="Book Antiqua"/>
          <w:lang w:val="en-GB"/>
        </w:rPr>
        <w:t xml:space="preserve">comprises pH-dependent </w:t>
      </w:r>
      <w:r>
        <w:rPr>
          <w:rFonts w:ascii="Book Antiqua" w:hAnsi="Book Antiqua"/>
          <w:lang w:val="en-GB"/>
        </w:rPr>
        <w:t xml:space="preserve">release </w:t>
      </w:r>
      <w:r w:rsidRPr="00130821">
        <w:rPr>
          <w:rFonts w:ascii="Book Antiqua" w:hAnsi="Book Antiqua"/>
          <w:lang w:val="en-GB"/>
        </w:rPr>
        <w:t xml:space="preserve">coated drugs </w:t>
      </w:r>
      <w:r>
        <w:rPr>
          <w:rFonts w:ascii="Book Antiqua" w:hAnsi="Book Antiqua"/>
          <w:lang w:val="en-GB"/>
        </w:rPr>
        <w:t xml:space="preserve">(targeting the </w:t>
      </w:r>
      <w:r w:rsidRPr="00130821">
        <w:rPr>
          <w:rFonts w:ascii="Book Antiqua" w:hAnsi="Book Antiqua"/>
          <w:lang w:val="en-GB"/>
        </w:rPr>
        <w:t>ileum</w:t>
      </w:r>
      <w:r>
        <w:rPr>
          <w:rFonts w:ascii="Book Antiqua" w:hAnsi="Book Antiqua"/>
          <w:lang w:val="en-GB"/>
        </w:rPr>
        <w:t>)</w:t>
      </w:r>
      <w:r w:rsidRPr="00130821">
        <w:rPr>
          <w:rFonts w:ascii="Book Antiqua" w:hAnsi="Book Antiqua"/>
          <w:lang w:val="en-GB"/>
        </w:rPr>
        <w:t xml:space="preserve">, </w:t>
      </w:r>
      <w:r>
        <w:rPr>
          <w:rFonts w:ascii="Book Antiqua" w:hAnsi="Book Antiqua"/>
          <w:lang w:val="en-GB"/>
        </w:rPr>
        <w:t xml:space="preserve">time-dependent release </w:t>
      </w:r>
      <w:r w:rsidRPr="00130821">
        <w:rPr>
          <w:rFonts w:ascii="Book Antiqua" w:hAnsi="Book Antiqua"/>
          <w:lang w:val="en-GB"/>
        </w:rPr>
        <w:t>micro</w:t>
      </w:r>
      <w:r>
        <w:rPr>
          <w:rFonts w:ascii="Book Antiqua" w:hAnsi="Book Antiqua"/>
          <w:lang w:val="en-GB"/>
        </w:rPr>
        <w:t>-</w:t>
      </w:r>
      <w:r w:rsidRPr="00130821">
        <w:rPr>
          <w:rFonts w:ascii="Book Antiqua" w:hAnsi="Book Antiqua"/>
          <w:lang w:val="en-GB"/>
        </w:rPr>
        <w:t>granules enclosed within a semi-permeable membrane of ethyl</w:t>
      </w:r>
      <w:r>
        <w:rPr>
          <w:rFonts w:ascii="Book Antiqua" w:hAnsi="Book Antiqua"/>
          <w:lang w:val="en-GB"/>
        </w:rPr>
        <w:t>-</w:t>
      </w:r>
      <w:r w:rsidRPr="00130821">
        <w:rPr>
          <w:rFonts w:ascii="Book Antiqua" w:hAnsi="Book Antiqua"/>
          <w:lang w:val="en-GB"/>
        </w:rPr>
        <w:t xml:space="preserve">cellulose </w:t>
      </w:r>
      <w:r>
        <w:rPr>
          <w:rFonts w:ascii="Book Antiqua" w:hAnsi="Book Antiqua"/>
          <w:lang w:val="en-GB"/>
        </w:rPr>
        <w:t>(released in the whole</w:t>
      </w:r>
      <w:r w:rsidRPr="00130821">
        <w:rPr>
          <w:rFonts w:ascii="Book Antiqua" w:hAnsi="Book Antiqua"/>
          <w:lang w:val="en-GB"/>
        </w:rPr>
        <w:t xml:space="preserve"> small and large intestine</w:t>
      </w:r>
      <w:r>
        <w:rPr>
          <w:rFonts w:ascii="Book Antiqua" w:hAnsi="Book Antiqua"/>
          <w:lang w:val="en-GB"/>
        </w:rPr>
        <w:t>)</w:t>
      </w:r>
      <w:r w:rsidRPr="00130821">
        <w:rPr>
          <w:rFonts w:ascii="Book Antiqua" w:hAnsi="Book Antiqua"/>
          <w:lang w:val="en-GB"/>
        </w:rPr>
        <w:t xml:space="preserve">, and azo-bonded formulations </w:t>
      </w:r>
      <w:r>
        <w:rPr>
          <w:rFonts w:ascii="Book Antiqua" w:hAnsi="Book Antiqua"/>
          <w:lang w:val="en-GB"/>
        </w:rPr>
        <w:t xml:space="preserve">released throughout </w:t>
      </w:r>
      <w:r w:rsidRPr="00130821">
        <w:rPr>
          <w:rFonts w:ascii="Book Antiqua" w:hAnsi="Book Antiqua"/>
          <w:lang w:val="en-GB"/>
        </w:rPr>
        <w:t>the colon</w:t>
      </w:r>
      <w:r w:rsidRPr="00953227">
        <w:rPr>
          <w:rFonts w:ascii="Book Antiqua" w:hAnsi="Book Antiqua"/>
          <w:vertAlign w:val="superscript"/>
          <w:lang w:val="en-GB"/>
        </w:rPr>
        <w:t>[</w:t>
      </w:r>
      <w:r w:rsidRPr="00130821">
        <w:rPr>
          <w:rFonts w:ascii="Book Antiqua" w:hAnsi="Book Antiqua"/>
          <w:vertAlign w:val="superscript"/>
          <w:lang w:val="en-GB"/>
        </w:rPr>
        <w:t>4]</w:t>
      </w:r>
      <w:r w:rsidRPr="00130821">
        <w:rPr>
          <w:rFonts w:ascii="Book Antiqua" w:hAnsi="Book Antiqua"/>
          <w:lang w:val="en-GB"/>
        </w:rPr>
        <w:t>.</w:t>
      </w:r>
    </w:p>
    <w:p w14:paraId="07CFB9D2" w14:textId="77777777" w:rsidR="00563BB7" w:rsidRPr="00130821" w:rsidRDefault="00563BB7" w:rsidP="006A3266">
      <w:pPr>
        <w:pStyle w:val="NormalWeb"/>
        <w:spacing w:before="0" w:beforeAutospacing="0" w:after="0" w:afterAutospacing="0" w:line="360" w:lineRule="auto"/>
        <w:ind w:firstLineChars="150" w:firstLine="360"/>
        <w:jc w:val="both"/>
        <w:rPr>
          <w:rFonts w:ascii="Book Antiqua" w:hAnsi="Book Antiqua"/>
          <w:lang w:val="en-GB" w:eastAsia="zh-CN"/>
        </w:rPr>
      </w:pPr>
    </w:p>
    <w:p w14:paraId="47184F4E" w14:textId="77777777" w:rsidR="00563BB7" w:rsidRPr="00130821" w:rsidRDefault="00563BB7" w:rsidP="006A3266">
      <w:pPr>
        <w:pStyle w:val="NormalWeb"/>
        <w:spacing w:before="0" w:beforeAutospacing="0" w:after="0" w:afterAutospacing="0" w:line="360" w:lineRule="auto"/>
        <w:jc w:val="both"/>
        <w:rPr>
          <w:rFonts w:ascii="Book Antiqua" w:hAnsi="Book Antiqua"/>
          <w:b/>
          <w:color w:val="000000"/>
          <w:lang w:val="en-GB"/>
        </w:rPr>
      </w:pPr>
      <w:r w:rsidRPr="00130821">
        <w:rPr>
          <w:rFonts w:ascii="Book Antiqua" w:hAnsi="Book Antiqua"/>
          <w:b/>
          <w:color w:val="000000"/>
          <w:lang w:val="en-GB"/>
        </w:rPr>
        <w:t>CORTICOSTEROIDS</w:t>
      </w:r>
    </w:p>
    <w:p w14:paraId="0AA74F03" w14:textId="77777777" w:rsidR="00563BB7" w:rsidRPr="00130821" w:rsidRDefault="00563BB7" w:rsidP="006A3266">
      <w:pPr>
        <w:pStyle w:val="NormalWeb"/>
        <w:spacing w:before="0" w:beforeAutospacing="0" w:after="0" w:afterAutospacing="0" w:line="360" w:lineRule="auto"/>
        <w:jc w:val="both"/>
        <w:rPr>
          <w:rFonts w:ascii="Book Antiqua" w:hAnsi="Book Antiqua"/>
          <w:lang w:val="en-GB"/>
        </w:rPr>
      </w:pPr>
      <w:r w:rsidRPr="00130821">
        <w:rPr>
          <w:rFonts w:ascii="Book Antiqua" w:hAnsi="Book Antiqua"/>
          <w:lang w:val="en-GB"/>
        </w:rPr>
        <w:t xml:space="preserve">Corticosteroids are </w:t>
      </w:r>
      <w:r>
        <w:rPr>
          <w:rFonts w:ascii="Book Antiqua" w:hAnsi="Book Antiqua"/>
          <w:lang w:val="en-GB"/>
        </w:rPr>
        <w:t xml:space="preserve">used as </w:t>
      </w:r>
      <w:r w:rsidRPr="00130821">
        <w:rPr>
          <w:rFonts w:ascii="Book Antiqua" w:hAnsi="Book Antiqua"/>
          <w:lang w:val="en-GB"/>
        </w:rPr>
        <w:t xml:space="preserve">first-line therapy for induction of remission in UC, particularly in </w:t>
      </w:r>
      <w:r>
        <w:rPr>
          <w:rFonts w:ascii="Book Antiqua" w:hAnsi="Book Antiqua"/>
          <w:lang w:val="en-GB"/>
        </w:rPr>
        <w:t xml:space="preserve">patients with </w:t>
      </w:r>
      <w:r w:rsidRPr="00130821">
        <w:rPr>
          <w:rFonts w:ascii="Book Antiqua" w:hAnsi="Book Antiqua"/>
          <w:lang w:val="en-GB"/>
        </w:rPr>
        <w:t>non-response to 5-ASA or with severe presentation</w:t>
      </w:r>
      <w:r>
        <w:rPr>
          <w:rFonts w:ascii="Book Antiqua" w:hAnsi="Book Antiqua"/>
          <w:lang w:val="en-GB"/>
        </w:rPr>
        <w:t xml:space="preserve">, as well as </w:t>
      </w:r>
      <w:r w:rsidRPr="00130821">
        <w:rPr>
          <w:rFonts w:ascii="Book Antiqua" w:hAnsi="Book Antiqua"/>
          <w:lang w:val="en-GB"/>
        </w:rPr>
        <w:t xml:space="preserve">to induce remission in CD when </w:t>
      </w:r>
      <w:r>
        <w:rPr>
          <w:rFonts w:ascii="Book Antiqua" w:hAnsi="Book Antiqua"/>
          <w:lang w:val="en-GB"/>
        </w:rPr>
        <w:t>EEN is not possible</w:t>
      </w:r>
      <w:r w:rsidRPr="00953227">
        <w:rPr>
          <w:rFonts w:ascii="Book Antiqua" w:hAnsi="Book Antiqua"/>
          <w:vertAlign w:val="superscript"/>
          <w:lang w:val="en-GB"/>
        </w:rPr>
        <w:t>[</w:t>
      </w:r>
      <w:r>
        <w:rPr>
          <w:rFonts w:ascii="Book Antiqua" w:hAnsi="Book Antiqua"/>
          <w:vertAlign w:val="superscript"/>
          <w:lang w:val="en-GB"/>
        </w:rPr>
        <w:t>3,9,</w:t>
      </w:r>
      <w:r w:rsidRPr="00130821">
        <w:rPr>
          <w:rFonts w:ascii="Book Antiqua" w:hAnsi="Book Antiqua"/>
          <w:vertAlign w:val="superscript"/>
          <w:lang w:val="en-GB"/>
        </w:rPr>
        <w:t>24]</w:t>
      </w:r>
      <w:r w:rsidRPr="00130821">
        <w:rPr>
          <w:rFonts w:ascii="Book Antiqua" w:hAnsi="Book Antiqua"/>
          <w:lang w:val="en-GB"/>
        </w:rPr>
        <w:t xml:space="preserve">. </w:t>
      </w:r>
    </w:p>
    <w:p w14:paraId="4F8EDA3D" w14:textId="77777777" w:rsidR="00563BB7" w:rsidRPr="00130821" w:rsidRDefault="00563BB7" w:rsidP="006A3266">
      <w:pPr>
        <w:pStyle w:val="NormalWeb"/>
        <w:spacing w:before="0" w:beforeAutospacing="0" w:after="0" w:afterAutospacing="0" w:line="360" w:lineRule="auto"/>
        <w:ind w:firstLineChars="100" w:firstLine="240"/>
        <w:jc w:val="both"/>
        <w:rPr>
          <w:rFonts w:ascii="Book Antiqua" w:hAnsi="Book Antiqua"/>
          <w:lang w:val="en-GB"/>
        </w:rPr>
      </w:pPr>
      <w:r>
        <w:rPr>
          <w:rFonts w:ascii="Book Antiqua" w:hAnsi="Book Antiqua"/>
          <w:lang w:val="en-GB"/>
        </w:rPr>
        <w:t>The mechanism of action of c</w:t>
      </w:r>
      <w:r w:rsidRPr="00130821">
        <w:rPr>
          <w:rFonts w:ascii="Book Antiqua" w:hAnsi="Book Antiqua"/>
          <w:lang w:val="en-GB"/>
        </w:rPr>
        <w:t xml:space="preserve">orticosteroids </w:t>
      </w:r>
      <w:r>
        <w:rPr>
          <w:rFonts w:ascii="Book Antiqua" w:hAnsi="Book Antiqua"/>
          <w:lang w:val="en-GB"/>
        </w:rPr>
        <w:t xml:space="preserve">consists in inhibiting </w:t>
      </w:r>
      <w:r w:rsidRPr="00130821">
        <w:rPr>
          <w:rFonts w:ascii="Book Antiqua" w:hAnsi="Book Antiqua"/>
          <w:lang w:val="en-GB"/>
        </w:rPr>
        <w:t xml:space="preserve">protein </w:t>
      </w:r>
      <w:r>
        <w:rPr>
          <w:rFonts w:ascii="Book Antiqua" w:hAnsi="Book Antiqua"/>
          <w:lang w:val="en-GB"/>
        </w:rPr>
        <w:t>synthesis and transcription, which</w:t>
      </w:r>
      <w:r w:rsidRPr="00130821">
        <w:rPr>
          <w:rFonts w:ascii="Book Antiqua" w:hAnsi="Book Antiqua"/>
          <w:lang w:val="en-GB"/>
        </w:rPr>
        <w:t xml:space="preserve"> ultimately results in down-regulation of pro-inflammatory cytokines, such as NF-kappa B, TNF-α, interleukin-1 and interleukin-6</w:t>
      </w:r>
      <w:r w:rsidRPr="00953227">
        <w:rPr>
          <w:rFonts w:ascii="Book Antiqua" w:hAnsi="Book Antiqua"/>
          <w:vertAlign w:val="superscript"/>
          <w:lang w:val="en-GB"/>
        </w:rPr>
        <w:t>[</w:t>
      </w:r>
      <w:r w:rsidRPr="00130821">
        <w:rPr>
          <w:rFonts w:ascii="Book Antiqua" w:hAnsi="Book Antiqua"/>
          <w:vertAlign w:val="superscript"/>
          <w:lang w:val="en-GB"/>
        </w:rPr>
        <w:t>9]</w:t>
      </w:r>
      <w:r w:rsidRPr="00130821">
        <w:rPr>
          <w:rFonts w:ascii="Book Antiqua" w:hAnsi="Book Antiqua"/>
          <w:lang w:val="en-GB"/>
        </w:rPr>
        <w:t>.</w:t>
      </w:r>
    </w:p>
    <w:p w14:paraId="3657402F" w14:textId="77777777" w:rsidR="00563BB7" w:rsidRPr="00130821" w:rsidRDefault="00563BB7" w:rsidP="006A3266">
      <w:pPr>
        <w:pStyle w:val="NormalWeb"/>
        <w:spacing w:before="0" w:beforeAutospacing="0" w:after="0" w:afterAutospacing="0" w:line="360" w:lineRule="auto"/>
        <w:ind w:firstLineChars="100" w:firstLine="240"/>
        <w:jc w:val="both"/>
        <w:rPr>
          <w:rFonts w:ascii="Book Antiqua" w:hAnsi="Book Antiqua"/>
          <w:lang w:val="en-GB"/>
        </w:rPr>
      </w:pPr>
      <w:r>
        <w:rPr>
          <w:rFonts w:ascii="Book Antiqua" w:hAnsi="Book Antiqua"/>
          <w:lang w:val="en-GB"/>
        </w:rPr>
        <w:t>C</w:t>
      </w:r>
      <w:r w:rsidRPr="00130821">
        <w:rPr>
          <w:rFonts w:ascii="Book Antiqua" w:hAnsi="Book Antiqua"/>
          <w:lang w:val="en-GB"/>
        </w:rPr>
        <w:t xml:space="preserve">linical remission rates </w:t>
      </w:r>
      <w:r>
        <w:rPr>
          <w:rFonts w:ascii="Book Antiqua" w:hAnsi="Book Antiqua"/>
          <w:lang w:val="en-GB"/>
        </w:rPr>
        <w:t>for CD</w:t>
      </w:r>
      <w:r w:rsidRPr="00130821">
        <w:rPr>
          <w:rFonts w:ascii="Book Antiqua" w:hAnsi="Book Antiqua"/>
          <w:lang w:val="en-GB"/>
        </w:rPr>
        <w:t xml:space="preserve"> are up to 80%,</w:t>
      </w:r>
      <w:r>
        <w:rPr>
          <w:rFonts w:ascii="Book Antiqua" w:hAnsi="Book Antiqua"/>
          <w:lang w:val="en-GB"/>
        </w:rPr>
        <w:t xml:space="preserve"> similarly to EEN, whereas </w:t>
      </w:r>
      <w:r w:rsidRPr="00130821">
        <w:rPr>
          <w:rFonts w:ascii="Book Antiqua" w:hAnsi="Book Antiqua"/>
          <w:lang w:val="en-GB"/>
        </w:rPr>
        <w:t>mucosal heali</w:t>
      </w:r>
      <w:r>
        <w:rPr>
          <w:rFonts w:ascii="Book Antiqua" w:hAnsi="Book Antiqua"/>
          <w:lang w:val="en-GB"/>
        </w:rPr>
        <w:t>ng rates are significantly</w:t>
      </w:r>
      <w:r w:rsidRPr="00130821">
        <w:rPr>
          <w:rFonts w:ascii="Book Antiqua" w:hAnsi="Book Antiqua"/>
          <w:lang w:val="en-GB"/>
        </w:rPr>
        <w:t xml:space="preserve"> lower</w:t>
      </w:r>
      <w:r w:rsidRPr="00953227">
        <w:rPr>
          <w:rFonts w:ascii="Book Antiqua" w:hAnsi="Book Antiqua"/>
          <w:vertAlign w:val="superscript"/>
          <w:lang w:val="en-GB"/>
        </w:rPr>
        <w:t>[</w:t>
      </w:r>
      <w:r w:rsidRPr="00130821">
        <w:rPr>
          <w:rFonts w:ascii="Book Antiqua" w:hAnsi="Book Antiqua"/>
          <w:vertAlign w:val="superscript"/>
          <w:lang w:val="en-GB"/>
        </w:rPr>
        <w:t>3]</w:t>
      </w:r>
      <w:r w:rsidRPr="00130821">
        <w:rPr>
          <w:rFonts w:ascii="Book Antiqua" w:hAnsi="Book Antiqua"/>
          <w:lang w:val="en-GB"/>
        </w:rPr>
        <w:t xml:space="preserve">. </w:t>
      </w:r>
      <w:r>
        <w:rPr>
          <w:rFonts w:ascii="Book Antiqua" w:hAnsi="Book Antiqua"/>
          <w:lang w:val="en-GB"/>
        </w:rPr>
        <w:t>Corticosteroids improve rapidly and effectively the</w:t>
      </w:r>
      <w:r w:rsidRPr="00130821">
        <w:rPr>
          <w:rFonts w:ascii="Book Antiqua" w:hAnsi="Book Antiqua"/>
          <w:lang w:val="en-GB"/>
        </w:rPr>
        <w:t xml:space="preserve"> signs and symptoms of disease in CD, </w:t>
      </w:r>
      <w:r>
        <w:rPr>
          <w:rFonts w:ascii="Book Antiqua" w:hAnsi="Book Antiqua"/>
          <w:lang w:val="en-GB"/>
        </w:rPr>
        <w:t xml:space="preserve">however they </w:t>
      </w:r>
      <w:r w:rsidRPr="00130821">
        <w:rPr>
          <w:rFonts w:ascii="Book Antiqua" w:hAnsi="Book Antiqua"/>
          <w:lang w:val="en-GB"/>
        </w:rPr>
        <w:t>are ineffective, and inappropriate, for maintenance therapy</w:t>
      </w:r>
      <w:r w:rsidRPr="00953227">
        <w:rPr>
          <w:rFonts w:ascii="Book Antiqua" w:hAnsi="Book Antiqua"/>
          <w:vertAlign w:val="superscript"/>
          <w:lang w:val="en-GB"/>
        </w:rPr>
        <w:t>[</w:t>
      </w:r>
      <w:r w:rsidRPr="00130821">
        <w:rPr>
          <w:rFonts w:ascii="Book Antiqua" w:hAnsi="Book Antiqua"/>
          <w:vertAlign w:val="superscript"/>
          <w:lang w:val="en-GB"/>
        </w:rPr>
        <w:t>17]</w:t>
      </w:r>
      <w:r w:rsidRPr="00130821">
        <w:rPr>
          <w:rFonts w:ascii="Book Antiqua" w:hAnsi="Book Antiqua"/>
          <w:lang w:val="en-GB"/>
        </w:rPr>
        <w:t>.</w:t>
      </w:r>
    </w:p>
    <w:p w14:paraId="4C4625BD" w14:textId="77777777" w:rsidR="00563BB7" w:rsidRPr="00130821" w:rsidRDefault="00563BB7" w:rsidP="006A3266">
      <w:pPr>
        <w:pStyle w:val="NormalWeb"/>
        <w:spacing w:before="0" w:beforeAutospacing="0" w:after="0" w:afterAutospacing="0" w:line="360" w:lineRule="auto"/>
        <w:jc w:val="both"/>
        <w:rPr>
          <w:rFonts w:ascii="Book Antiqua" w:hAnsi="Book Antiqua"/>
          <w:lang w:val="en-GB"/>
        </w:rPr>
      </w:pPr>
      <w:r w:rsidRPr="00130821">
        <w:rPr>
          <w:rFonts w:ascii="Book Antiqua" w:hAnsi="Book Antiqua"/>
          <w:lang w:val="en-GB"/>
        </w:rPr>
        <w:lastRenderedPageBreak/>
        <w:t>In children</w:t>
      </w:r>
      <w:r>
        <w:rPr>
          <w:rFonts w:ascii="Book Antiqua" w:hAnsi="Book Antiqua"/>
          <w:lang w:val="en-GB"/>
        </w:rPr>
        <w:t xml:space="preserve"> with </w:t>
      </w:r>
      <w:r w:rsidRPr="00130821">
        <w:rPr>
          <w:rFonts w:ascii="Book Antiqua" w:hAnsi="Book Antiqua"/>
          <w:lang w:val="en-GB"/>
        </w:rPr>
        <w:t xml:space="preserve">moderate-severe active luminal CD, </w:t>
      </w:r>
      <w:r>
        <w:rPr>
          <w:rFonts w:ascii="Book Antiqua" w:hAnsi="Book Antiqua"/>
          <w:lang w:val="en-GB"/>
        </w:rPr>
        <w:t xml:space="preserve">oral </w:t>
      </w:r>
      <w:r w:rsidRPr="00130821">
        <w:rPr>
          <w:rFonts w:ascii="Book Antiqua" w:hAnsi="Book Antiqua"/>
          <w:lang w:val="en-GB"/>
        </w:rPr>
        <w:t xml:space="preserve">prednisolone </w:t>
      </w:r>
      <w:r>
        <w:rPr>
          <w:rFonts w:ascii="Book Antiqua" w:hAnsi="Book Antiqua"/>
          <w:lang w:val="en-GB"/>
        </w:rPr>
        <w:t xml:space="preserve">is given at </w:t>
      </w:r>
      <w:r w:rsidRPr="00130821">
        <w:rPr>
          <w:rFonts w:ascii="Book Antiqua" w:hAnsi="Book Antiqua"/>
          <w:lang w:val="en-GB"/>
        </w:rPr>
        <w:t>1</w:t>
      </w:r>
      <w:r>
        <w:rPr>
          <w:rFonts w:ascii="Book Antiqua" w:hAnsi="Book Antiqua" w:hint="eastAsia"/>
          <w:lang w:val="en-GB" w:eastAsia="zh-CN"/>
        </w:rPr>
        <w:t xml:space="preserve"> </w:t>
      </w:r>
      <w:r w:rsidRPr="00130821">
        <w:rPr>
          <w:rFonts w:ascii="Book Antiqua" w:hAnsi="Book Antiqua"/>
          <w:lang w:val="en-GB"/>
        </w:rPr>
        <w:t xml:space="preserve">mg/kg, </w:t>
      </w:r>
      <w:r>
        <w:rPr>
          <w:rFonts w:ascii="Book Antiqua" w:hAnsi="Book Antiqua"/>
          <w:lang w:val="en-GB"/>
        </w:rPr>
        <w:t xml:space="preserve">with a maximum of </w:t>
      </w:r>
      <w:r w:rsidRPr="00130821">
        <w:rPr>
          <w:rFonts w:ascii="Book Antiqua" w:hAnsi="Book Antiqua"/>
          <w:lang w:val="en-GB"/>
        </w:rPr>
        <w:t xml:space="preserve">40mg/day, </w:t>
      </w:r>
      <w:r>
        <w:rPr>
          <w:rFonts w:ascii="Book Antiqua" w:hAnsi="Book Antiqua"/>
          <w:lang w:val="en-GB"/>
        </w:rPr>
        <w:t xml:space="preserve">followed by a weaning course </w:t>
      </w:r>
      <w:r w:rsidRPr="00130821">
        <w:rPr>
          <w:rFonts w:ascii="Book Antiqua" w:hAnsi="Book Antiqua"/>
          <w:lang w:val="en-GB"/>
        </w:rPr>
        <w:t>over 8–10</w:t>
      </w:r>
      <w:r>
        <w:rPr>
          <w:rFonts w:ascii="Book Antiqua" w:hAnsi="Book Antiqua"/>
          <w:lang w:val="en-GB"/>
        </w:rPr>
        <w:t xml:space="preserve"> </w:t>
      </w:r>
      <w:r>
        <w:rPr>
          <w:rFonts w:ascii="Book Antiqua" w:hAnsi="Book Antiqua" w:hint="eastAsia"/>
          <w:lang w:val="en-GB" w:eastAsia="zh-CN"/>
        </w:rPr>
        <w:t>wk</w:t>
      </w:r>
      <w:r w:rsidRPr="00130821">
        <w:rPr>
          <w:rFonts w:ascii="Book Antiqua" w:hAnsi="Book Antiqua"/>
          <w:lang w:val="en-GB"/>
        </w:rPr>
        <w:t xml:space="preserve">. Intravenous steroids may be initially needed for severe disease </w:t>
      </w:r>
      <w:r>
        <w:rPr>
          <w:rFonts w:ascii="Book Antiqua" w:hAnsi="Book Antiqua"/>
          <w:lang w:val="en-GB"/>
        </w:rPr>
        <w:t>and include methylprednisolone (</w:t>
      </w:r>
      <w:r w:rsidRPr="00130821">
        <w:rPr>
          <w:rFonts w:ascii="Book Antiqua" w:hAnsi="Book Antiqua"/>
          <w:lang w:val="en-GB"/>
        </w:rPr>
        <w:t>1–1.5 mg/kg, maximum: 60 mg/</w:t>
      </w:r>
      <w:r>
        <w:rPr>
          <w:rFonts w:ascii="Book Antiqua" w:hAnsi="Book Antiqua" w:hint="eastAsia"/>
          <w:lang w:val="en-GB" w:eastAsia="zh-CN"/>
        </w:rPr>
        <w:t>d</w:t>
      </w:r>
      <w:r>
        <w:rPr>
          <w:rFonts w:ascii="Book Antiqua" w:hAnsi="Book Antiqua"/>
          <w:lang w:val="en-GB"/>
        </w:rPr>
        <w:t xml:space="preserve">) and </w:t>
      </w:r>
      <w:r w:rsidRPr="00130821">
        <w:rPr>
          <w:rFonts w:ascii="Book Antiqua" w:hAnsi="Book Antiqua"/>
          <w:lang w:val="en-GB"/>
        </w:rPr>
        <w:t xml:space="preserve">hydrocortisone </w:t>
      </w:r>
      <w:r>
        <w:rPr>
          <w:rFonts w:ascii="Book Antiqua" w:hAnsi="Book Antiqua"/>
          <w:lang w:val="en-GB"/>
        </w:rPr>
        <w:t>(</w:t>
      </w:r>
      <w:r w:rsidRPr="00130821">
        <w:rPr>
          <w:rFonts w:ascii="Book Antiqua" w:hAnsi="Book Antiqua"/>
          <w:lang w:val="en-GB"/>
        </w:rPr>
        <w:t>2–4 mg/kg/dose, maximum 100 mg/dose, four times a day)</w:t>
      </w:r>
      <w:r w:rsidRPr="00953227">
        <w:rPr>
          <w:rFonts w:ascii="Book Antiqua" w:hAnsi="Book Antiqua"/>
          <w:vertAlign w:val="superscript"/>
          <w:lang w:val="en-GB"/>
        </w:rPr>
        <w:t>[</w:t>
      </w:r>
      <w:r w:rsidRPr="00130821">
        <w:rPr>
          <w:rFonts w:ascii="Book Antiqua" w:hAnsi="Book Antiqua"/>
          <w:vertAlign w:val="superscript"/>
          <w:lang w:val="en-GB"/>
        </w:rPr>
        <w:t>3]</w:t>
      </w:r>
      <w:r w:rsidRPr="00130821">
        <w:rPr>
          <w:rFonts w:ascii="Book Antiqua" w:hAnsi="Book Antiqua"/>
          <w:lang w:val="en-GB"/>
        </w:rPr>
        <w:t xml:space="preserve">. </w:t>
      </w:r>
    </w:p>
    <w:p w14:paraId="3A229542" w14:textId="77777777" w:rsidR="00563BB7" w:rsidRPr="00130821" w:rsidRDefault="00563BB7" w:rsidP="006A3266">
      <w:pPr>
        <w:pStyle w:val="NormalWeb"/>
        <w:spacing w:before="0" w:beforeAutospacing="0" w:after="0" w:afterAutospacing="0" w:line="360" w:lineRule="auto"/>
        <w:ind w:firstLineChars="150" w:firstLine="360"/>
        <w:jc w:val="both"/>
        <w:rPr>
          <w:rFonts w:ascii="Book Antiqua" w:hAnsi="Book Antiqua"/>
          <w:lang w:val="en-GB"/>
        </w:rPr>
      </w:pPr>
      <w:r w:rsidRPr="00130821">
        <w:rPr>
          <w:rFonts w:ascii="Book Antiqua" w:hAnsi="Book Antiqua"/>
          <w:lang w:val="en-GB"/>
        </w:rPr>
        <w:t xml:space="preserve">Adverse effects </w:t>
      </w:r>
      <w:r>
        <w:rPr>
          <w:rFonts w:ascii="Book Antiqua" w:hAnsi="Book Antiqua"/>
          <w:lang w:val="en-GB"/>
        </w:rPr>
        <w:t xml:space="preserve">like </w:t>
      </w:r>
      <w:r w:rsidRPr="00130821">
        <w:rPr>
          <w:rFonts w:ascii="Book Antiqua" w:hAnsi="Book Antiqua"/>
          <w:lang w:val="en-GB"/>
        </w:rPr>
        <w:t>adrenal suppression, growth failure, cosmetic and behavioural effects</w:t>
      </w:r>
      <w:r>
        <w:rPr>
          <w:rFonts w:ascii="Book Antiqua" w:hAnsi="Book Antiqua"/>
          <w:lang w:val="en-GB"/>
        </w:rPr>
        <w:t>,</w:t>
      </w:r>
      <w:r w:rsidRPr="00130821">
        <w:rPr>
          <w:rFonts w:ascii="Book Antiqua" w:hAnsi="Book Antiqua"/>
          <w:lang w:val="en-GB"/>
        </w:rPr>
        <w:t xml:space="preserve"> are </w:t>
      </w:r>
      <w:r>
        <w:rPr>
          <w:rFonts w:ascii="Book Antiqua" w:hAnsi="Book Antiqua"/>
          <w:lang w:val="en-GB"/>
        </w:rPr>
        <w:t xml:space="preserve">dependent on </w:t>
      </w:r>
      <w:r w:rsidRPr="00130821">
        <w:rPr>
          <w:rFonts w:ascii="Book Antiqua" w:hAnsi="Book Antiqua"/>
          <w:lang w:val="en-GB"/>
        </w:rPr>
        <w:t>dose and duration</w:t>
      </w:r>
      <w:r w:rsidRPr="00953227">
        <w:rPr>
          <w:rFonts w:ascii="Book Antiqua" w:hAnsi="Book Antiqua"/>
          <w:vertAlign w:val="superscript"/>
          <w:lang w:val="en-GB"/>
        </w:rPr>
        <w:t>[</w:t>
      </w:r>
      <w:r w:rsidRPr="00130821">
        <w:rPr>
          <w:rFonts w:ascii="Book Antiqua" w:hAnsi="Book Antiqua"/>
          <w:vertAlign w:val="superscript"/>
          <w:lang w:val="en-GB"/>
        </w:rPr>
        <w:t>3]</w:t>
      </w:r>
      <w:r w:rsidRPr="00130821">
        <w:rPr>
          <w:rFonts w:ascii="Book Antiqua" w:hAnsi="Book Antiqua"/>
          <w:lang w:val="en-GB"/>
        </w:rPr>
        <w:t xml:space="preserve">. </w:t>
      </w:r>
    </w:p>
    <w:p w14:paraId="5BC4D765" w14:textId="77777777" w:rsidR="00563BB7" w:rsidRPr="00130821" w:rsidRDefault="00563BB7" w:rsidP="006A3266">
      <w:pPr>
        <w:pStyle w:val="NormalWeb"/>
        <w:spacing w:before="0" w:beforeAutospacing="0" w:after="0" w:afterAutospacing="0" w:line="360" w:lineRule="auto"/>
        <w:ind w:firstLineChars="150" w:firstLine="360"/>
        <w:jc w:val="both"/>
        <w:rPr>
          <w:rFonts w:ascii="Book Antiqua" w:hAnsi="Book Antiqua"/>
          <w:lang w:val="en-GB"/>
        </w:rPr>
      </w:pPr>
      <w:r w:rsidRPr="00130821">
        <w:rPr>
          <w:rFonts w:ascii="Book Antiqua" w:hAnsi="Book Antiqua"/>
          <w:lang w:val="en-GB"/>
        </w:rPr>
        <w:t xml:space="preserve">Budesonide </w:t>
      </w:r>
      <w:r>
        <w:rPr>
          <w:rFonts w:ascii="Book Antiqua" w:hAnsi="Book Antiqua"/>
          <w:lang w:val="en-GB"/>
        </w:rPr>
        <w:t xml:space="preserve">(maximum of </w:t>
      </w:r>
      <w:r w:rsidRPr="00130821">
        <w:rPr>
          <w:rFonts w:ascii="Book Antiqua" w:hAnsi="Book Antiqua"/>
          <w:lang w:val="en-GB"/>
        </w:rPr>
        <w:t>12 mg/</w:t>
      </w:r>
      <w:r>
        <w:rPr>
          <w:rFonts w:ascii="Book Antiqua" w:hAnsi="Book Antiqua" w:hint="eastAsia"/>
          <w:lang w:val="en-GB" w:eastAsia="zh-CN"/>
        </w:rPr>
        <w:t>d</w:t>
      </w:r>
      <w:r w:rsidRPr="00130821">
        <w:rPr>
          <w:rFonts w:ascii="Book Antiqua" w:hAnsi="Book Antiqua"/>
          <w:lang w:val="en-GB"/>
        </w:rPr>
        <w:t xml:space="preserve">, </w:t>
      </w:r>
      <w:r>
        <w:rPr>
          <w:rFonts w:ascii="Book Antiqua" w:hAnsi="Book Antiqua"/>
          <w:lang w:val="en-GB"/>
        </w:rPr>
        <w:t>followed by weaning</w:t>
      </w:r>
      <w:r w:rsidRPr="00130821">
        <w:rPr>
          <w:rFonts w:ascii="Book Antiqua" w:hAnsi="Book Antiqua"/>
          <w:lang w:val="en-GB"/>
        </w:rPr>
        <w:t xml:space="preserve"> </w:t>
      </w:r>
      <w:r>
        <w:rPr>
          <w:rFonts w:ascii="Book Antiqua" w:hAnsi="Book Antiqua"/>
          <w:lang w:val="en-GB"/>
        </w:rPr>
        <w:t xml:space="preserve">course </w:t>
      </w:r>
      <w:r w:rsidRPr="00130821">
        <w:rPr>
          <w:rFonts w:ascii="Book Antiqua" w:hAnsi="Book Antiqua"/>
          <w:lang w:val="en-GB"/>
        </w:rPr>
        <w:t xml:space="preserve">over 2–4 </w:t>
      </w:r>
      <w:r>
        <w:rPr>
          <w:rFonts w:ascii="Book Antiqua" w:hAnsi="Book Antiqua" w:hint="eastAsia"/>
          <w:lang w:val="en-GB" w:eastAsia="zh-CN"/>
        </w:rPr>
        <w:t>wk</w:t>
      </w:r>
      <w:r w:rsidRPr="00130821">
        <w:rPr>
          <w:rFonts w:ascii="Book Antiqua" w:hAnsi="Book Antiqua"/>
          <w:lang w:val="en-GB"/>
        </w:rPr>
        <w:t>)</w:t>
      </w:r>
      <w:r>
        <w:rPr>
          <w:rFonts w:ascii="Book Antiqua" w:hAnsi="Book Antiqua"/>
          <w:lang w:val="en-GB"/>
        </w:rPr>
        <w:t xml:space="preserve"> </w:t>
      </w:r>
      <w:r w:rsidRPr="00130821">
        <w:rPr>
          <w:rFonts w:ascii="Book Antiqua" w:hAnsi="Book Antiqua"/>
          <w:lang w:val="en-GB"/>
        </w:rPr>
        <w:t xml:space="preserve">is a topically acting corticosteroid with </w:t>
      </w:r>
      <w:r>
        <w:rPr>
          <w:rFonts w:ascii="Book Antiqua" w:hAnsi="Book Antiqua"/>
          <w:lang w:val="en-GB"/>
        </w:rPr>
        <w:t xml:space="preserve">high first pass hepatic metabolism, which reduces </w:t>
      </w:r>
      <w:r w:rsidRPr="00130821">
        <w:rPr>
          <w:rFonts w:ascii="Book Antiqua" w:hAnsi="Book Antiqua"/>
          <w:lang w:val="en-GB"/>
        </w:rPr>
        <w:t>th</w:t>
      </w:r>
      <w:r>
        <w:rPr>
          <w:rFonts w:ascii="Book Antiqua" w:hAnsi="Book Antiqua"/>
          <w:lang w:val="en-GB"/>
        </w:rPr>
        <w:t>e likelihood of adverse effects</w:t>
      </w:r>
      <w:r w:rsidRPr="00953227">
        <w:rPr>
          <w:rFonts w:ascii="Book Antiqua" w:hAnsi="Book Antiqua"/>
          <w:vertAlign w:val="superscript"/>
          <w:lang w:val="en-GB"/>
        </w:rPr>
        <w:t>[</w:t>
      </w:r>
      <w:r>
        <w:rPr>
          <w:rFonts w:ascii="Book Antiqua" w:hAnsi="Book Antiqua"/>
          <w:vertAlign w:val="superscript"/>
          <w:lang w:val="en-GB"/>
        </w:rPr>
        <w:t>3,</w:t>
      </w:r>
      <w:r w:rsidRPr="00130821">
        <w:rPr>
          <w:rFonts w:ascii="Book Antiqua" w:hAnsi="Book Antiqua"/>
          <w:vertAlign w:val="superscript"/>
          <w:lang w:val="en-GB"/>
        </w:rPr>
        <w:t>9]</w:t>
      </w:r>
      <w:r w:rsidRPr="00130821">
        <w:rPr>
          <w:rFonts w:ascii="Book Antiqua" w:hAnsi="Book Antiqua"/>
          <w:lang w:val="en-GB"/>
        </w:rPr>
        <w:t xml:space="preserve">. </w:t>
      </w:r>
    </w:p>
    <w:p w14:paraId="29883667" w14:textId="77777777" w:rsidR="00563BB7" w:rsidRPr="00130821" w:rsidRDefault="00563BB7" w:rsidP="006A3266">
      <w:pPr>
        <w:pStyle w:val="NormalWeb"/>
        <w:spacing w:before="0" w:beforeAutospacing="0" w:after="0" w:afterAutospacing="0" w:line="360" w:lineRule="auto"/>
        <w:ind w:firstLineChars="100" w:firstLine="240"/>
        <w:jc w:val="both"/>
        <w:rPr>
          <w:rFonts w:ascii="Book Antiqua" w:hAnsi="Book Antiqua"/>
          <w:lang w:val="en-GB"/>
        </w:rPr>
      </w:pPr>
      <w:r w:rsidRPr="00130821">
        <w:rPr>
          <w:rFonts w:ascii="Book Antiqua" w:hAnsi="Book Antiqua"/>
          <w:lang w:val="en-GB"/>
        </w:rPr>
        <w:t xml:space="preserve">Budesonide </w:t>
      </w:r>
      <w:r>
        <w:rPr>
          <w:rFonts w:ascii="Book Antiqua" w:hAnsi="Book Antiqua"/>
          <w:lang w:val="en-GB"/>
        </w:rPr>
        <w:t xml:space="preserve">is particularly recommended for </w:t>
      </w:r>
      <w:r w:rsidRPr="00130821">
        <w:rPr>
          <w:rFonts w:ascii="Book Antiqua" w:hAnsi="Book Antiqua"/>
          <w:lang w:val="en-GB"/>
        </w:rPr>
        <w:t>patients with mild to moderate CD involving the distal ileum and/or right colon</w:t>
      </w:r>
      <w:r>
        <w:rPr>
          <w:rFonts w:ascii="Book Antiqua" w:hAnsi="Book Antiqua"/>
          <w:lang w:val="en-GB"/>
        </w:rPr>
        <w:t xml:space="preserve">, as it </w:t>
      </w:r>
      <w:r w:rsidRPr="00130821">
        <w:rPr>
          <w:rFonts w:ascii="Book Antiqua" w:hAnsi="Book Antiqua"/>
          <w:lang w:val="en-GB"/>
        </w:rPr>
        <w:t>has been shown to be non-inferior to conventional oral steroids for inducing remission in</w:t>
      </w:r>
      <w:r>
        <w:rPr>
          <w:rFonts w:ascii="Book Antiqua" w:hAnsi="Book Antiqua"/>
          <w:lang w:val="en-GB"/>
        </w:rPr>
        <w:t xml:space="preserve"> this specific group</w:t>
      </w:r>
      <w:r w:rsidRPr="00130821">
        <w:rPr>
          <w:rFonts w:ascii="Book Antiqua" w:hAnsi="Book Antiqua"/>
          <w:lang w:val="en-GB"/>
        </w:rPr>
        <w:t xml:space="preserve">. It has </w:t>
      </w:r>
      <w:r>
        <w:rPr>
          <w:rFonts w:ascii="Book Antiqua" w:hAnsi="Book Antiqua"/>
          <w:lang w:val="en-GB"/>
        </w:rPr>
        <w:t xml:space="preserve">also </w:t>
      </w:r>
      <w:r w:rsidRPr="00130821">
        <w:rPr>
          <w:rFonts w:ascii="Book Antiqua" w:hAnsi="Book Antiqua"/>
          <w:lang w:val="en-GB"/>
        </w:rPr>
        <w:t>proved to be an effective the</w:t>
      </w:r>
      <w:r>
        <w:rPr>
          <w:rFonts w:ascii="Book Antiqua" w:hAnsi="Book Antiqua"/>
          <w:lang w:val="en-GB"/>
        </w:rPr>
        <w:t>rapeutic option as enema formulation</w:t>
      </w:r>
      <w:r w:rsidRPr="00130821">
        <w:rPr>
          <w:rFonts w:ascii="Book Antiqua" w:hAnsi="Book Antiqua"/>
          <w:lang w:val="en-GB"/>
        </w:rPr>
        <w:t xml:space="preserve"> </w:t>
      </w:r>
      <w:r>
        <w:rPr>
          <w:rFonts w:ascii="Book Antiqua" w:hAnsi="Book Antiqua"/>
          <w:lang w:val="en-GB"/>
        </w:rPr>
        <w:t>for distal UC</w:t>
      </w:r>
      <w:r w:rsidRPr="00953227">
        <w:rPr>
          <w:rFonts w:ascii="Book Antiqua" w:hAnsi="Book Antiqua"/>
          <w:vertAlign w:val="superscript"/>
          <w:lang w:val="en-GB"/>
        </w:rPr>
        <w:t>[</w:t>
      </w:r>
      <w:r w:rsidRPr="00130821">
        <w:rPr>
          <w:rFonts w:ascii="Book Antiqua" w:hAnsi="Book Antiqua"/>
          <w:vertAlign w:val="superscript"/>
          <w:lang w:val="en-GB"/>
        </w:rPr>
        <w:t>9]</w:t>
      </w:r>
      <w:r w:rsidRPr="00130821">
        <w:rPr>
          <w:rFonts w:ascii="Book Antiqua" w:hAnsi="Book Antiqua"/>
          <w:lang w:val="en-GB"/>
        </w:rPr>
        <w:t>.</w:t>
      </w:r>
    </w:p>
    <w:p w14:paraId="699BD8CB" w14:textId="77777777" w:rsidR="00563BB7" w:rsidRDefault="00563BB7" w:rsidP="006A3266">
      <w:pPr>
        <w:pStyle w:val="NormalWeb"/>
        <w:spacing w:before="0" w:beforeAutospacing="0" w:after="0" w:afterAutospacing="0" w:line="360" w:lineRule="auto"/>
        <w:ind w:firstLineChars="150" w:firstLine="360"/>
        <w:jc w:val="both"/>
        <w:rPr>
          <w:rFonts w:ascii="Book Antiqua" w:hAnsi="Book Antiqua"/>
          <w:lang w:val="en-GB" w:eastAsia="zh-CN"/>
        </w:rPr>
      </w:pPr>
      <w:r w:rsidRPr="00130821">
        <w:rPr>
          <w:rFonts w:ascii="Book Antiqua" w:hAnsi="Book Antiqua"/>
          <w:lang w:val="en-GB"/>
        </w:rPr>
        <w:t>There are currently three formulations of budesonide: two standard formulati</w:t>
      </w:r>
      <w:r>
        <w:rPr>
          <w:rFonts w:ascii="Book Antiqua" w:hAnsi="Book Antiqua"/>
          <w:lang w:val="en-GB"/>
        </w:rPr>
        <w:t>ons including a controlled-</w:t>
      </w:r>
      <w:r w:rsidRPr="00130821">
        <w:rPr>
          <w:rFonts w:ascii="Book Antiqua" w:hAnsi="Book Antiqua"/>
          <w:lang w:val="en-GB"/>
        </w:rPr>
        <w:t xml:space="preserve">release capsule and a pH-dependent capsule both designed to </w:t>
      </w:r>
      <w:r>
        <w:rPr>
          <w:rFonts w:ascii="Book Antiqua" w:hAnsi="Book Antiqua"/>
          <w:lang w:val="en-GB"/>
        </w:rPr>
        <w:t xml:space="preserve">target the ileum </w:t>
      </w:r>
      <w:r w:rsidRPr="00130821">
        <w:rPr>
          <w:rFonts w:ascii="Book Antiqua" w:hAnsi="Book Antiqua"/>
          <w:lang w:val="en-GB"/>
        </w:rPr>
        <w:t>and right colon; and a more recent Budesonide-MMX</w:t>
      </w:r>
      <w:r w:rsidRPr="00953227">
        <w:rPr>
          <w:rFonts w:ascii="Book Antiqua" w:hAnsi="Book Antiqua"/>
          <w:vertAlign w:val="superscript"/>
          <w:lang w:val="en-GB"/>
        </w:rPr>
        <w:t>®</w:t>
      </w:r>
      <w:r w:rsidRPr="00130821">
        <w:rPr>
          <w:rFonts w:ascii="Book Antiqua" w:hAnsi="Book Antiqua"/>
          <w:lang w:val="en-GB"/>
        </w:rPr>
        <w:t xml:space="preserve"> capsule </w:t>
      </w:r>
      <w:r>
        <w:rPr>
          <w:rFonts w:ascii="Book Antiqua" w:hAnsi="Book Antiqua"/>
          <w:lang w:val="en-GB"/>
        </w:rPr>
        <w:t>that releases the drug throughout the entire colon</w:t>
      </w:r>
      <w:r w:rsidRPr="00953227">
        <w:rPr>
          <w:rFonts w:ascii="Book Antiqua" w:hAnsi="Book Antiqua"/>
          <w:vertAlign w:val="superscript"/>
          <w:lang w:val="en-GB"/>
        </w:rPr>
        <w:t>[</w:t>
      </w:r>
      <w:r w:rsidRPr="00130821">
        <w:rPr>
          <w:rFonts w:ascii="Book Antiqua" w:hAnsi="Book Antiqua"/>
          <w:vertAlign w:val="superscript"/>
          <w:lang w:val="en-GB"/>
        </w:rPr>
        <w:t>9]</w:t>
      </w:r>
      <w:r w:rsidRPr="00130821">
        <w:rPr>
          <w:rFonts w:ascii="Book Antiqua" w:hAnsi="Book Antiqua"/>
          <w:lang w:val="en-GB"/>
        </w:rPr>
        <w:t>.</w:t>
      </w:r>
    </w:p>
    <w:p w14:paraId="1AD8D99C" w14:textId="77777777" w:rsidR="00563BB7" w:rsidRPr="00130821" w:rsidRDefault="00563BB7" w:rsidP="006A3266">
      <w:pPr>
        <w:pStyle w:val="NormalWeb"/>
        <w:spacing w:before="0" w:beforeAutospacing="0" w:after="0" w:afterAutospacing="0" w:line="360" w:lineRule="auto"/>
        <w:ind w:firstLineChars="150" w:firstLine="360"/>
        <w:jc w:val="both"/>
        <w:rPr>
          <w:rFonts w:ascii="Book Antiqua" w:hAnsi="Book Antiqua"/>
          <w:lang w:val="en-GB" w:eastAsia="zh-CN"/>
        </w:rPr>
      </w:pPr>
    </w:p>
    <w:p w14:paraId="0C2104CD" w14:textId="77777777" w:rsidR="00563BB7" w:rsidRPr="00BD53D9" w:rsidRDefault="00563BB7" w:rsidP="006A3266">
      <w:pPr>
        <w:pStyle w:val="NormalWeb"/>
        <w:spacing w:before="0" w:beforeAutospacing="0" w:after="0" w:afterAutospacing="0" w:line="360" w:lineRule="auto"/>
        <w:jc w:val="both"/>
        <w:rPr>
          <w:rFonts w:ascii="Book Antiqua" w:hAnsi="Book Antiqua"/>
          <w:b/>
        </w:rPr>
      </w:pPr>
      <w:r w:rsidRPr="00BD53D9">
        <w:rPr>
          <w:rFonts w:ascii="Book Antiqua" w:hAnsi="Book Antiqua"/>
          <w:b/>
        </w:rPr>
        <w:t>THIOPURINES</w:t>
      </w:r>
    </w:p>
    <w:p w14:paraId="69C1D8C1" w14:textId="77777777" w:rsidR="00563BB7" w:rsidRPr="00D43973" w:rsidRDefault="00563BB7" w:rsidP="006A3266">
      <w:pPr>
        <w:widowControl w:val="0"/>
        <w:autoSpaceDE w:val="0"/>
        <w:autoSpaceDN w:val="0"/>
        <w:adjustRightInd w:val="0"/>
        <w:spacing w:line="360" w:lineRule="auto"/>
        <w:jc w:val="both"/>
        <w:rPr>
          <w:rFonts w:ascii="Book Antiqua" w:hAnsi="Book Antiqua"/>
          <w:lang w:val="en-GB"/>
        </w:rPr>
      </w:pPr>
      <w:r w:rsidRPr="00D43973">
        <w:rPr>
          <w:rFonts w:ascii="Book Antiqua" w:hAnsi="Book Antiqua"/>
          <w:lang w:val="en-GB"/>
        </w:rPr>
        <w:t xml:space="preserve">Thiopurines are purine analogues </w:t>
      </w:r>
      <w:r>
        <w:rPr>
          <w:rFonts w:ascii="Book Antiqua" w:hAnsi="Book Antiqua"/>
          <w:lang w:val="en-GB"/>
        </w:rPr>
        <w:t>used for</w:t>
      </w:r>
      <w:r w:rsidRPr="00D43973">
        <w:rPr>
          <w:rFonts w:ascii="Book Antiqua" w:hAnsi="Book Antiqua"/>
          <w:lang w:val="en-GB"/>
        </w:rPr>
        <w:t xml:space="preserve"> the maintenance of disease remis</w:t>
      </w:r>
      <w:r>
        <w:rPr>
          <w:rFonts w:ascii="Book Antiqua" w:hAnsi="Book Antiqua"/>
          <w:lang w:val="en-GB"/>
        </w:rPr>
        <w:t xml:space="preserve">sion in patients with CD and UC; they include the </w:t>
      </w:r>
      <w:r w:rsidRPr="00D43973">
        <w:rPr>
          <w:rFonts w:ascii="Book Antiqua" w:hAnsi="Book Antiqua"/>
          <w:lang w:val="en-GB"/>
        </w:rPr>
        <w:t>prodrug azathioprine (AZA) and the antimetabolite 6-mercaptopurine (6-MP)</w:t>
      </w:r>
      <w:r w:rsidRPr="00953227">
        <w:rPr>
          <w:rFonts w:ascii="Book Antiqua" w:hAnsi="Book Antiqua"/>
          <w:vertAlign w:val="superscript"/>
          <w:lang w:val="en-GB"/>
        </w:rPr>
        <w:t>[</w:t>
      </w:r>
      <w:r>
        <w:rPr>
          <w:rFonts w:ascii="Book Antiqua" w:hAnsi="Book Antiqua"/>
          <w:vertAlign w:val="superscript"/>
          <w:lang w:val="en-GB"/>
        </w:rPr>
        <w:t>25,26</w:t>
      </w:r>
      <w:r w:rsidRPr="007F0BBD">
        <w:rPr>
          <w:rFonts w:ascii="Book Antiqua" w:hAnsi="Book Antiqua"/>
          <w:vertAlign w:val="superscript"/>
          <w:lang w:val="en-GB"/>
        </w:rPr>
        <w:t>]</w:t>
      </w:r>
      <w:r>
        <w:rPr>
          <w:rFonts w:ascii="Book Antiqua" w:hAnsi="Book Antiqua"/>
          <w:lang w:val="en-GB"/>
        </w:rPr>
        <w:t>.</w:t>
      </w:r>
    </w:p>
    <w:p w14:paraId="4CA54B5D" w14:textId="02C74C72" w:rsidR="00563BB7" w:rsidRPr="00130821" w:rsidRDefault="00563BB7" w:rsidP="006A3266">
      <w:pPr>
        <w:pStyle w:val="NormalWeb"/>
        <w:spacing w:before="0" w:beforeAutospacing="0" w:after="0" w:afterAutospacing="0" w:line="360" w:lineRule="auto"/>
        <w:ind w:firstLineChars="100" w:firstLine="240"/>
        <w:jc w:val="both"/>
        <w:rPr>
          <w:rFonts w:ascii="Book Antiqua" w:hAnsi="Book Antiqua"/>
          <w:lang w:val="en-GB"/>
        </w:rPr>
      </w:pPr>
      <w:r w:rsidRPr="00130821">
        <w:rPr>
          <w:rFonts w:ascii="Book Antiqua" w:hAnsi="Book Antiqua"/>
          <w:lang w:val="en-GB"/>
        </w:rPr>
        <w:t xml:space="preserve">AZA is non-enzymatically degraded to 6-MP which is </w:t>
      </w:r>
      <w:r>
        <w:rPr>
          <w:rFonts w:ascii="Book Antiqua" w:hAnsi="Book Antiqua"/>
          <w:lang w:val="en-GB"/>
        </w:rPr>
        <w:t>then metabolised to its</w:t>
      </w:r>
      <w:r w:rsidRPr="00130821">
        <w:rPr>
          <w:rFonts w:ascii="Book Antiqua" w:hAnsi="Book Antiqua"/>
          <w:lang w:val="en-GB"/>
        </w:rPr>
        <w:t xml:space="preserve"> active component, 6-thioguanine nucleotide (6-TGN)</w:t>
      </w:r>
      <w:r w:rsidRPr="00953227">
        <w:rPr>
          <w:rFonts w:ascii="Book Antiqua" w:hAnsi="Book Antiqua"/>
          <w:vertAlign w:val="superscript"/>
          <w:lang w:val="en-GB"/>
        </w:rPr>
        <w:t>[</w:t>
      </w:r>
      <w:r w:rsidRPr="00130821">
        <w:rPr>
          <w:rFonts w:ascii="Book Antiqua" w:hAnsi="Book Antiqua"/>
          <w:vertAlign w:val="superscript"/>
          <w:lang w:val="en-GB"/>
        </w:rPr>
        <w:t>8]</w:t>
      </w:r>
      <w:r w:rsidRPr="00130821">
        <w:rPr>
          <w:rFonts w:ascii="Book Antiqua" w:hAnsi="Book Antiqua"/>
          <w:lang w:val="en-GB"/>
        </w:rPr>
        <w:t>.</w:t>
      </w:r>
      <w:r w:rsidR="00020B09">
        <w:rPr>
          <w:rFonts w:ascii="Book Antiqua" w:hAnsi="Book Antiqua" w:hint="eastAsia"/>
          <w:lang w:val="en-GB" w:eastAsia="zh-CN"/>
        </w:rPr>
        <w:t xml:space="preserve"> </w:t>
      </w:r>
      <w:r w:rsidRPr="00130821">
        <w:rPr>
          <w:rFonts w:ascii="Book Antiqua" w:hAnsi="Book Antiqua"/>
          <w:lang w:val="en-GB"/>
        </w:rPr>
        <w:t xml:space="preserve">6-TGN </w:t>
      </w:r>
      <w:r>
        <w:rPr>
          <w:rFonts w:ascii="Book Antiqua" w:hAnsi="Book Antiqua"/>
          <w:lang w:val="en-GB"/>
        </w:rPr>
        <w:t xml:space="preserve">inhibits </w:t>
      </w:r>
      <w:r w:rsidRPr="00130821">
        <w:rPr>
          <w:rFonts w:ascii="Book Antiqua" w:hAnsi="Book Antiqua"/>
          <w:lang w:val="en-GB"/>
        </w:rPr>
        <w:t>the proli</w:t>
      </w:r>
      <w:r>
        <w:rPr>
          <w:rFonts w:ascii="Book Antiqua" w:hAnsi="Book Antiqua"/>
          <w:lang w:val="en-GB"/>
        </w:rPr>
        <w:t xml:space="preserve">feration of T and B lymphocytes, which results in a decrease in </w:t>
      </w:r>
      <w:r w:rsidRPr="00130821">
        <w:rPr>
          <w:rFonts w:ascii="Book Antiqua" w:hAnsi="Book Antiqua"/>
          <w:lang w:val="en-GB"/>
        </w:rPr>
        <w:t>the numbers of cytotoxic T cells and plasma cells</w:t>
      </w:r>
      <w:r w:rsidRPr="00953227">
        <w:rPr>
          <w:rFonts w:ascii="Book Antiqua" w:hAnsi="Book Antiqua"/>
          <w:vertAlign w:val="superscript"/>
          <w:lang w:val="en-GB"/>
        </w:rPr>
        <w:t>[</w:t>
      </w:r>
      <w:r w:rsidRPr="00130821">
        <w:rPr>
          <w:rFonts w:ascii="Book Antiqua" w:hAnsi="Book Antiqua"/>
          <w:vertAlign w:val="superscript"/>
          <w:lang w:val="en-GB"/>
        </w:rPr>
        <w:t>8]</w:t>
      </w:r>
      <w:r w:rsidRPr="00130821">
        <w:rPr>
          <w:rFonts w:ascii="Book Antiqua" w:hAnsi="Book Antiqua"/>
          <w:lang w:val="en-GB"/>
        </w:rPr>
        <w:t>.</w:t>
      </w:r>
    </w:p>
    <w:p w14:paraId="7C491429" w14:textId="77777777" w:rsidR="00563BB7" w:rsidRPr="00130821" w:rsidRDefault="00563BB7" w:rsidP="006A3266">
      <w:pPr>
        <w:pStyle w:val="NormalWeb"/>
        <w:spacing w:before="0" w:beforeAutospacing="0" w:after="0" w:afterAutospacing="0" w:line="360" w:lineRule="auto"/>
        <w:ind w:firstLineChars="100" w:firstLine="240"/>
        <w:jc w:val="both"/>
        <w:rPr>
          <w:rFonts w:ascii="Book Antiqua" w:hAnsi="Book Antiqua"/>
          <w:lang w:val="en-GB"/>
        </w:rPr>
      </w:pPr>
      <w:r>
        <w:rPr>
          <w:rFonts w:ascii="Book Antiqua" w:hAnsi="Book Antiqua"/>
          <w:lang w:val="en-GB"/>
        </w:rPr>
        <w:t>These dugs are able to block the rapid cell proliferation involved in inflammatory processes, which results in immunosuppression</w:t>
      </w:r>
      <w:r w:rsidRPr="00953227">
        <w:rPr>
          <w:rFonts w:ascii="Book Antiqua" w:hAnsi="Book Antiqua"/>
          <w:vertAlign w:val="superscript"/>
          <w:lang w:val="en-GB"/>
        </w:rPr>
        <w:t>[</w:t>
      </w:r>
      <w:r w:rsidRPr="00130821">
        <w:rPr>
          <w:rFonts w:ascii="Book Antiqua" w:hAnsi="Book Antiqua"/>
          <w:vertAlign w:val="superscript"/>
          <w:lang w:val="en-GB"/>
        </w:rPr>
        <w:t>26]</w:t>
      </w:r>
      <w:r w:rsidRPr="00130821">
        <w:rPr>
          <w:rFonts w:ascii="Book Antiqua" w:hAnsi="Book Antiqua"/>
          <w:lang w:val="en-GB"/>
        </w:rPr>
        <w:t>.</w:t>
      </w:r>
    </w:p>
    <w:p w14:paraId="1A975FE2" w14:textId="77777777" w:rsidR="00563BB7" w:rsidRPr="00D43973"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Pr>
          <w:rFonts w:ascii="Book Antiqua" w:hAnsi="Book Antiqua"/>
          <w:lang w:val="en-GB"/>
        </w:rPr>
        <w:t xml:space="preserve">For the treatment of IBD, thiopurines are used at relatively low dosages, so their anti-inflammatory effect is mainly produced by the </w:t>
      </w:r>
      <w:r w:rsidRPr="00D43973">
        <w:rPr>
          <w:rFonts w:ascii="Book Antiqua" w:hAnsi="Book Antiqua"/>
          <w:lang w:val="en-GB"/>
        </w:rPr>
        <w:t xml:space="preserve">inhibition of the small GTPase </w:t>
      </w:r>
      <w:r w:rsidRPr="00D43973">
        <w:rPr>
          <w:rFonts w:ascii="Book Antiqua" w:hAnsi="Book Antiqua"/>
          <w:lang w:val="en-GB"/>
        </w:rPr>
        <w:lastRenderedPageBreak/>
        <w:t>Rac1, leading to apoptosis of activated T-lymphocytes</w:t>
      </w:r>
      <w:r>
        <w:rPr>
          <w:rFonts w:ascii="Book Antiqua" w:hAnsi="Book Antiqua"/>
          <w:lang w:val="en-GB"/>
        </w:rPr>
        <w:t xml:space="preserve">. When given at higher dosages, as in </w:t>
      </w:r>
      <w:r w:rsidRPr="00D43973">
        <w:rPr>
          <w:rFonts w:ascii="Book Antiqua" w:hAnsi="Book Antiqua"/>
          <w:lang w:val="en-GB"/>
        </w:rPr>
        <w:t>oncological treatment</w:t>
      </w:r>
      <w:r>
        <w:rPr>
          <w:rFonts w:ascii="Book Antiqua" w:hAnsi="Book Antiqua"/>
          <w:lang w:val="en-GB"/>
        </w:rPr>
        <w:t>s</w:t>
      </w:r>
      <w:r w:rsidRPr="00D43973">
        <w:rPr>
          <w:rFonts w:ascii="Book Antiqua" w:hAnsi="Book Antiqua"/>
          <w:lang w:val="en-GB"/>
        </w:rPr>
        <w:t xml:space="preserve">, </w:t>
      </w:r>
      <w:r>
        <w:rPr>
          <w:rFonts w:ascii="Book Antiqua" w:hAnsi="Book Antiqua"/>
          <w:lang w:val="en-GB"/>
        </w:rPr>
        <w:t>thiopurines mainly inhibit DNA synthesis</w:t>
      </w:r>
      <w:r w:rsidRPr="00953227">
        <w:rPr>
          <w:rFonts w:ascii="Book Antiqua" w:hAnsi="Book Antiqua"/>
          <w:vertAlign w:val="superscript"/>
          <w:lang w:val="en-GB"/>
        </w:rPr>
        <w:t>[</w:t>
      </w:r>
      <w:r>
        <w:rPr>
          <w:rFonts w:ascii="Book Antiqua" w:hAnsi="Book Antiqua"/>
          <w:vertAlign w:val="superscript"/>
          <w:lang w:val="en-GB"/>
        </w:rPr>
        <w:t>26</w:t>
      </w:r>
      <w:r w:rsidRPr="007F0BBD">
        <w:rPr>
          <w:rFonts w:ascii="Book Antiqua" w:hAnsi="Book Antiqua"/>
          <w:vertAlign w:val="superscript"/>
          <w:lang w:val="en-GB"/>
        </w:rPr>
        <w:t>]</w:t>
      </w:r>
      <w:r>
        <w:rPr>
          <w:rFonts w:ascii="Book Antiqua" w:hAnsi="Book Antiqua"/>
          <w:lang w:val="en-GB"/>
        </w:rPr>
        <w:t>.</w:t>
      </w:r>
    </w:p>
    <w:p w14:paraId="3C4625A9" w14:textId="77777777" w:rsidR="00563BB7" w:rsidRPr="00D43973" w:rsidRDefault="00563BB7" w:rsidP="006A3266">
      <w:pPr>
        <w:pStyle w:val="NormalWeb"/>
        <w:spacing w:before="0" w:beforeAutospacing="0" w:after="0" w:afterAutospacing="0" w:line="360" w:lineRule="auto"/>
        <w:ind w:firstLineChars="100" w:firstLine="240"/>
        <w:jc w:val="both"/>
        <w:rPr>
          <w:rFonts w:ascii="Book Antiqua" w:hAnsi="Book Antiqua"/>
          <w:lang w:val="en-GB"/>
        </w:rPr>
      </w:pPr>
      <w:r>
        <w:rPr>
          <w:rFonts w:ascii="Book Antiqua" w:hAnsi="Book Antiqua"/>
          <w:lang w:val="en-GB"/>
        </w:rPr>
        <w:t xml:space="preserve">Thiopurines are steroid sparing agents and have been proven effective maintenance treatment in paediatric IBD: studies have shown </w:t>
      </w:r>
      <w:r w:rsidRPr="00130821">
        <w:rPr>
          <w:rFonts w:ascii="Book Antiqua" w:hAnsi="Book Antiqua"/>
          <w:lang w:val="en-GB"/>
        </w:rPr>
        <w:t xml:space="preserve">significantly lower cumulative steroid doses and relapse rates at 18 months in children on 6-MP compared with placebo (9% </w:t>
      </w:r>
      <w:r w:rsidRPr="00953227">
        <w:rPr>
          <w:rFonts w:ascii="Book Antiqua" w:hAnsi="Book Antiqua"/>
          <w:i/>
          <w:lang w:val="en-GB"/>
        </w:rPr>
        <w:t>vs</w:t>
      </w:r>
      <w:r w:rsidRPr="00130821">
        <w:rPr>
          <w:rFonts w:ascii="Book Antiqua" w:hAnsi="Book Antiqua"/>
          <w:lang w:val="en-GB"/>
        </w:rPr>
        <w:t xml:space="preserve"> 47%) </w:t>
      </w:r>
      <w:r>
        <w:rPr>
          <w:rFonts w:ascii="Book Antiqua" w:hAnsi="Book Antiqua"/>
          <w:lang w:val="en-GB"/>
        </w:rPr>
        <w:t>as well as a</w:t>
      </w:r>
      <w:r w:rsidRPr="00130821">
        <w:rPr>
          <w:rFonts w:ascii="Book Antiqua" w:hAnsi="Book Antiqua"/>
          <w:lang w:val="en-GB"/>
        </w:rPr>
        <w:t xml:space="preserve"> reduced need for surgery in CD</w:t>
      </w:r>
      <w:r w:rsidRPr="00953227">
        <w:rPr>
          <w:rFonts w:ascii="Book Antiqua" w:hAnsi="Book Antiqua"/>
          <w:vertAlign w:val="superscript"/>
          <w:lang w:val="en-GB"/>
        </w:rPr>
        <w:t>[</w:t>
      </w:r>
      <w:r w:rsidRPr="00130821">
        <w:rPr>
          <w:rFonts w:ascii="Book Antiqua" w:hAnsi="Book Antiqua"/>
          <w:vertAlign w:val="superscript"/>
          <w:lang w:val="en-GB"/>
        </w:rPr>
        <w:t>3</w:t>
      </w:r>
      <w:r>
        <w:rPr>
          <w:rFonts w:ascii="Book Antiqua" w:hAnsi="Book Antiqua"/>
          <w:vertAlign w:val="superscript"/>
          <w:lang w:val="en-GB"/>
        </w:rPr>
        <w:t>,23</w:t>
      </w:r>
      <w:r w:rsidRPr="00130821">
        <w:rPr>
          <w:rFonts w:ascii="Book Antiqua" w:hAnsi="Book Antiqua"/>
          <w:vertAlign w:val="superscript"/>
          <w:lang w:val="en-GB"/>
        </w:rPr>
        <w:t>]</w:t>
      </w:r>
      <w:r w:rsidRPr="00130821">
        <w:rPr>
          <w:rFonts w:ascii="Book Antiqua" w:hAnsi="Book Antiqua"/>
          <w:lang w:val="en-GB"/>
        </w:rPr>
        <w:t xml:space="preserve">. </w:t>
      </w:r>
      <w:r w:rsidRPr="00D43973">
        <w:rPr>
          <w:rFonts w:ascii="Book Antiqua" w:hAnsi="Book Antiqua"/>
          <w:lang w:val="en-GB"/>
        </w:rPr>
        <w:t>Recommended doses are 1.0 to 2.5 mg/kg</w:t>
      </w:r>
      <w:r>
        <w:rPr>
          <w:rFonts w:ascii="Book Antiqua" w:hAnsi="Book Antiqua" w:hint="eastAsia"/>
          <w:lang w:val="en-GB" w:eastAsia="zh-CN"/>
        </w:rPr>
        <w:t xml:space="preserve"> per </w:t>
      </w:r>
      <w:r w:rsidRPr="00D43973">
        <w:rPr>
          <w:rFonts w:ascii="Book Antiqua" w:hAnsi="Book Antiqua"/>
          <w:lang w:val="en-GB"/>
        </w:rPr>
        <w:t>da</w:t>
      </w:r>
      <w:r>
        <w:rPr>
          <w:rFonts w:ascii="Book Antiqua" w:hAnsi="Book Antiqua"/>
          <w:lang w:val="en-GB"/>
        </w:rPr>
        <w:t>y for AZA and 1 mg/day for 6-MP</w:t>
      </w:r>
      <w:r w:rsidRPr="00953227">
        <w:rPr>
          <w:rFonts w:ascii="Book Antiqua" w:hAnsi="Book Antiqua"/>
          <w:vertAlign w:val="superscript"/>
          <w:lang w:val="en-GB"/>
        </w:rPr>
        <w:t>[</w:t>
      </w:r>
      <w:r>
        <w:rPr>
          <w:rFonts w:ascii="Book Antiqua" w:hAnsi="Book Antiqua"/>
          <w:vertAlign w:val="superscript"/>
          <w:lang w:val="en-GB"/>
        </w:rPr>
        <w:t>25</w:t>
      </w:r>
      <w:r w:rsidRPr="00E62243">
        <w:rPr>
          <w:rFonts w:ascii="Book Antiqua" w:hAnsi="Book Antiqua"/>
          <w:vertAlign w:val="superscript"/>
          <w:lang w:val="en-GB"/>
        </w:rPr>
        <w:t>]</w:t>
      </w:r>
      <w:r>
        <w:rPr>
          <w:rFonts w:ascii="Book Antiqua" w:hAnsi="Book Antiqua"/>
          <w:lang w:val="en-GB"/>
        </w:rPr>
        <w:t>.</w:t>
      </w:r>
    </w:p>
    <w:p w14:paraId="6A1FA5F3" w14:textId="77777777" w:rsidR="00563BB7" w:rsidRPr="00D43973"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sidRPr="00D43973">
        <w:rPr>
          <w:rFonts w:ascii="Book Antiqua" w:hAnsi="Book Antiqua"/>
          <w:lang w:val="en-GB"/>
        </w:rPr>
        <w:t xml:space="preserve">Thiopurines </w:t>
      </w:r>
      <w:r>
        <w:rPr>
          <w:rFonts w:ascii="Book Antiqua" w:hAnsi="Book Antiqua"/>
          <w:lang w:val="en-GB"/>
        </w:rPr>
        <w:t xml:space="preserve">are also </w:t>
      </w:r>
      <w:r w:rsidRPr="00D43973">
        <w:rPr>
          <w:rFonts w:ascii="Book Antiqua" w:hAnsi="Book Antiqua"/>
          <w:lang w:val="en-GB"/>
        </w:rPr>
        <w:t xml:space="preserve">used </w:t>
      </w:r>
      <w:r>
        <w:rPr>
          <w:rFonts w:ascii="Book Antiqua" w:hAnsi="Book Antiqua"/>
          <w:lang w:val="en-GB"/>
        </w:rPr>
        <w:t xml:space="preserve">effectively </w:t>
      </w:r>
      <w:r w:rsidRPr="00D43973">
        <w:rPr>
          <w:rFonts w:ascii="Book Antiqua" w:hAnsi="Book Antiqua"/>
          <w:lang w:val="en-GB"/>
        </w:rPr>
        <w:t>to maintain sur</w:t>
      </w:r>
      <w:r>
        <w:rPr>
          <w:rFonts w:ascii="Book Antiqua" w:hAnsi="Book Antiqua"/>
          <w:lang w:val="en-GB"/>
        </w:rPr>
        <w:t>gically-induced remission in CD, even though</w:t>
      </w:r>
      <w:r w:rsidRPr="00D43973">
        <w:rPr>
          <w:rFonts w:ascii="Book Antiqua" w:hAnsi="Book Antiqua"/>
          <w:lang w:val="en-GB"/>
        </w:rPr>
        <w:t xml:space="preserve"> a systematic review by Gordon M. et al. pointed out that the results for efficacy outcomes between thiopurines and 5-ASA </w:t>
      </w:r>
      <w:r>
        <w:rPr>
          <w:rFonts w:ascii="Book Antiqua" w:hAnsi="Book Antiqua"/>
          <w:lang w:val="en-GB"/>
        </w:rPr>
        <w:t xml:space="preserve">in this group of patients </w:t>
      </w:r>
      <w:r w:rsidRPr="00D43973">
        <w:rPr>
          <w:rFonts w:ascii="Book Antiqua" w:hAnsi="Book Antiqua"/>
          <w:lang w:val="en-GB"/>
        </w:rPr>
        <w:t>are uncertain</w:t>
      </w:r>
      <w:r w:rsidRPr="00953227">
        <w:rPr>
          <w:rFonts w:ascii="Book Antiqua" w:hAnsi="Book Antiqua"/>
          <w:vertAlign w:val="superscript"/>
          <w:lang w:val="en-GB"/>
        </w:rPr>
        <w:t>[</w:t>
      </w:r>
      <w:r>
        <w:rPr>
          <w:rFonts w:ascii="Book Antiqua" w:hAnsi="Book Antiqua"/>
          <w:vertAlign w:val="superscript"/>
          <w:lang w:val="en-GB"/>
        </w:rPr>
        <w:t>8</w:t>
      </w:r>
      <w:r w:rsidRPr="00E62243">
        <w:rPr>
          <w:rFonts w:ascii="Book Antiqua" w:hAnsi="Book Antiqua"/>
          <w:vertAlign w:val="superscript"/>
          <w:lang w:val="en-GB"/>
        </w:rPr>
        <w:t>]</w:t>
      </w:r>
      <w:r>
        <w:rPr>
          <w:rFonts w:ascii="Book Antiqua" w:hAnsi="Book Antiqua"/>
          <w:lang w:val="en-GB"/>
        </w:rPr>
        <w:t>.</w:t>
      </w:r>
    </w:p>
    <w:p w14:paraId="5B2E4826" w14:textId="77777777" w:rsidR="00563BB7" w:rsidRPr="00130821" w:rsidRDefault="00563BB7" w:rsidP="006A3266">
      <w:pPr>
        <w:pStyle w:val="NormalWeb"/>
        <w:spacing w:before="0" w:beforeAutospacing="0" w:after="0" w:afterAutospacing="0" w:line="360" w:lineRule="auto"/>
        <w:ind w:firstLineChars="100" w:firstLine="240"/>
        <w:jc w:val="both"/>
        <w:rPr>
          <w:rFonts w:ascii="Book Antiqua" w:hAnsi="Book Antiqua"/>
          <w:lang w:val="en-GB"/>
        </w:rPr>
      </w:pPr>
      <w:r>
        <w:rPr>
          <w:rFonts w:ascii="Book Antiqua" w:hAnsi="Book Antiqua"/>
          <w:lang w:val="en-GB"/>
        </w:rPr>
        <w:t>Testing the</w:t>
      </w:r>
      <w:r w:rsidRPr="00130821">
        <w:rPr>
          <w:rFonts w:ascii="Book Antiqua" w:hAnsi="Book Antiqua"/>
          <w:lang w:val="en-GB"/>
        </w:rPr>
        <w:t xml:space="preserve"> activity of the enzyme thiopurine-S-methyltransferase (TPMT) </w:t>
      </w:r>
      <w:r>
        <w:rPr>
          <w:rFonts w:ascii="Book Antiqua" w:hAnsi="Book Antiqua"/>
          <w:lang w:val="en-GB"/>
        </w:rPr>
        <w:t xml:space="preserve">is recommended to </w:t>
      </w:r>
      <w:r w:rsidRPr="00130821">
        <w:rPr>
          <w:rFonts w:ascii="Book Antiqua" w:hAnsi="Book Antiqua"/>
          <w:lang w:val="en-GB"/>
        </w:rPr>
        <w:t xml:space="preserve">guide thiopurine dosing </w:t>
      </w:r>
      <w:r>
        <w:rPr>
          <w:rFonts w:ascii="Book Antiqua" w:hAnsi="Book Antiqua"/>
          <w:lang w:val="en-GB"/>
        </w:rPr>
        <w:t xml:space="preserve">avoiding </w:t>
      </w:r>
      <w:r w:rsidRPr="00130821">
        <w:rPr>
          <w:rFonts w:ascii="Book Antiqua" w:hAnsi="Book Antiqua"/>
          <w:lang w:val="en-GB"/>
        </w:rPr>
        <w:t>adverse events</w:t>
      </w:r>
      <w:r w:rsidRPr="00953227">
        <w:rPr>
          <w:rFonts w:ascii="Book Antiqua" w:hAnsi="Book Antiqua"/>
          <w:vertAlign w:val="superscript"/>
          <w:lang w:val="en-GB"/>
        </w:rPr>
        <w:t>[</w:t>
      </w:r>
      <w:r w:rsidRPr="00130821">
        <w:rPr>
          <w:rFonts w:ascii="Book Antiqua" w:hAnsi="Book Antiqua"/>
          <w:vertAlign w:val="superscript"/>
          <w:lang w:val="en-GB"/>
        </w:rPr>
        <w:t>26]</w:t>
      </w:r>
      <w:r w:rsidRPr="00130821">
        <w:rPr>
          <w:rFonts w:ascii="Book Antiqua" w:hAnsi="Book Antiqua"/>
          <w:lang w:val="en-GB"/>
        </w:rPr>
        <w:t>.</w:t>
      </w:r>
    </w:p>
    <w:p w14:paraId="1992B0B9" w14:textId="77777777" w:rsidR="00563BB7" w:rsidRPr="00130821" w:rsidRDefault="00563BB7" w:rsidP="006A3266">
      <w:pPr>
        <w:pStyle w:val="NormalWeb"/>
        <w:spacing w:before="0" w:beforeAutospacing="0" w:after="0" w:afterAutospacing="0" w:line="360" w:lineRule="auto"/>
        <w:ind w:firstLineChars="100" w:firstLine="240"/>
        <w:jc w:val="both"/>
        <w:rPr>
          <w:rFonts w:ascii="Book Antiqua" w:hAnsi="Book Antiqua"/>
          <w:lang w:val="en-GB"/>
        </w:rPr>
      </w:pPr>
      <w:r w:rsidRPr="00130821">
        <w:rPr>
          <w:rFonts w:ascii="Book Antiqua" w:hAnsi="Book Antiqua"/>
          <w:lang w:val="en-GB"/>
        </w:rPr>
        <w:t xml:space="preserve">Genetic polymorphisms in the TPMT gene are associated with a reduced enzymatic activity and an increased production of the active </w:t>
      </w:r>
      <w:r>
        <w:rPr>
          <w:rFonts w:ascii="Book Antiqua" w:hAnsi="Book Antiqua"/>
          <w:lang w:val="en-GB"/>
        </w:rPr>
        <w:t xml:space="preserve">metabolites </w:t>
      </w:r>
      <w:r w:rsidRPr="00130821">
        <w:rPr>
          <w:rFonts w:ascii="Book Antiqua" w:hAnsi="Book Antiqua"/>
          <w:lang w:val="en-GB"/>
        </w:rPr>
        <w:t>TGNs</w:t>
      </w:r>
      <w:r w:rsidRPr="00953227">
        <w:rPr>
          <w:rFonts w:ascii="Book Antiqua" w:hAnsi="Book Antiqua"/>
          <w:vertAlign w:val="superscript"/>
          <w:lang w:val="en-GB"/>
        </w:rPr>
        <w:t>[</w:t>
      </w:r>
      <w:r w:rsidRPr="00130821">
        <w:rPr>
          <w:rFonts w:ascii="Book Antiqua" w:hAnsi="Book Antiqua"/>
          <w:vertAlign w:val="superscript"/>
          <w:lang w:val="en-GB"/>
        </w:rPr>
        <w:t>23]</w:t>
      </w:r>
      <w:r w:rsidRPr="00130821">
        <w:rPr>
          <w:rFonts w:ascii="Book Antiqua" w:hAnsi="Book Antiqua"/>
          <w:lang w:val="en-GB"/>
        </w:rPr>
        <w:t>.</w:t>
      </w:r>
    </w:p>
    <w:p w14:paraId="2B9277A9" w14:textId="77777777" w:rsidR="00563BB7" w:rsidRPr="00D43973"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Pr>
          <w:rFonts w:ascii="Book Antiqua" w:hAnsi="Book Antiqua"/>
          <w:lang w:val="en-GB"/>
        </w:rPr>
        <w:t>A</w:t>
      </w:r>
      <w:r w:rsidRPr="00D43973">
        <w:rPr>
          <w:rFonts w:ascii="Book Antiqua" w:hAnsi="Book Antiqua"/>
          <w:lang w:val="en-GB"/>
        </w:rPr>
        <w:t xml:space="preserve"> large prospective study with 1000 individuals</w:t>
      </w:r>
      <w:r>
        <w:rPr>
          <w:rFonts w:ascii="Book Antiqua" w:hAnsi="Book Antiqua"/>
          <w:lang w:val="en-GB"/>
        </w:rPr>
        <w:t xml:space="preserve"> established</w:t>
      </w:r>
      <w:r w:rsidRPr="00D43973">
        <w:rPr>
          <w:rFonts w:ascii="Book Antiqua" w:hAnsi="Book Antiqua"/>
          <w:lang w:val="en-GB"/>
        </w:rPr>
        <w:t xml:space="preserve"> TP</w:t>
      </w:r>
      <w:r>
        <w:rPr>
          <w:rFonts w:ascii="Book Antiqua" w:hAnsi="Book Antiqua"/>
          <w:lang w:val="en-GB"/>
        </w:rPr>
        <w:t xml:space="preserve">MT activity reference intervals, with normal activity </w:t>
      </w:r>
      <w:r w:rsidRPr="00D43973">
        <w:rPr>
          <w:rFonts w:ascii="Book Antiqua" w:hAnsi="Book Antiqua"/>
          <w:lang w:val="en-GB"/>
        </w:rPr>
        <w:t>associated wit</w:t>
      </w:r>
      <w:r>
        <w:rPr>
          <w:rFonts w:ascii="Book Antiqua" w:hAnsi="Book Antiqua"/>
          <w:lang w:val="en-GB"/>
        </w:rPr>
        <w:t xml:space="preserve">h a level </w:t>
      </w:r>
      <w:r>
        <w:rPr>
          <w:rFonts w:ascii="Book Antiqua" w:hAnsi="Book Antiqua"/>
          <w:lang w:val="en-GB"/>
        </w:rPr>
        <w:sym w:font="Symbol" w:char="F0B3"/>
      </w:r>
      <w:r>
        <w:rPr>
          <w:rFonts w:ascii="Book Antiqua" w:hAnsi="Book Antiqua"/>
          <w:lang w:val="en-GB"/>
        </w:rPr>
        <w:t xml:space="preserve"> 25 </w:t>
      </w:r>
      <w:r w:rsidRPr="00D43973">
        <w:rPr>
          <w:rFonts w:ascii="Book Antiqua" w:hAnsi="Book Antiqua"/>
          <w:lang w:val="en-GB"/>
        </w:rPr>
        <w:t>nmol/h/g Hgb</w:t>
      </w:r>
      <w:r w:rsidRPr="00953227">
        <w:rPr>
          <w:rFonts w:ascii="Book Antiqua" w:hAnsi="Book Antiqua"/>
          <w:vertAlign w:val="superscript"/>
          <w:lang w:val="en-GB"/>
        </w:rPr>
        <w:t>[</w:t>
      </w:r>
      <w:r>
        <w:rPr>
          <w:rFonts w:ascii="Book Antiqua" w:hAnsi="Book Antiqua"/>
          <w:vertAlign w:val="superscript"/>
          <w:lang w:val="en-GB"/>
        </w:rPr>
        <w:t>27</w:t>
      </w:r>
      <w:r w:rsidRPr="00E62243">
        <w:rPr>
          <w:rFonts w:ascii="Book Antiqua" w:hAnsi="Book Antiqua"/>
          <w:vertAlign w:val="superscript"/>
          <w:lang w:val="en-GB"/>
        </w:rPr>
        <w:t>]</w:t>
      </w:r>
      <w:r w:rsidRPr="00D43973">
        <w:rPr>
          <w:rFonts w:ascii="Book Antiqua" w:hAnsi="Book Antiqua"/>
          <w:lang w:val="en-GB"/>
        </w:rPr>
        <w:t>.</w:t>
      </w:r>
    </w:p>
    <w:p w14:paraId="2D0548B1" w14:textId="77777777" w:rsidR="00563BB7" w:rsidRPr="00D43973"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sidRPr="00D43973">
        <w:rPr>
          <w:rFonts w:ascii="Book Antiqua" w:hAnsi="Book Antiqua"/>
          <w:lang w:val="en-GB"/>
        </w:rPr>
        <w:t xml:space="preserve">According to </w:t>
      </w:r>
      <w:r>
        <w:rPr>
          <w:rFonts w:ascii="Book Antiqua" w:hAnsi="Book Antiqua"/>
          <w:lang w:val="en-GB"/>
        </w:rPr>
        <w:t xml:space="preserve">the </w:t>
      </w:r>
      <w:r w:rsidRPr="00D43973">
        <w:rPr>
          <w:rFonts w:ascii="Book Antiqua" w:hAnsi="Book Antiqua"/>
          <w:lang w:val="en-GB"/>
        </w:rPr>
        <w:t>current</w:t>
      </w:r>
      <w:r>
        <w:rPr>
          <w:rFonts w:ascii="Book Antiqua" w:hAnsi="Book Antiqua"/>
          <w:lang w:val="en-GB"/>
        </w:rPr>
        <w:t xml:space="preserve"> data available, 1 in 300 patients have a very</w:t>
      </w:r>
      <w:r w:rsidRPr="00D43973">
        <w:rPr>
          <w:rFonts w:ascii="Book Antiqua" w:hAnsi="Book Antiqua"/>
          <w:lang w:val="en-GB"/>
        </w:rPr>
        <w:t xml:space="preserve"> low to absent TPMT activity (homozygous mutant TPMT), 11% have intermediate TPMT activity (heterozygous) and 89% have normal to elevated activity (homozygous wild type TPMT)</w:t>
      </w:r>
      <w:r w:rsidRPr="00953227">
        <w:rPr>
          <w:rFonts w:ascii="Book Antiqua" w:hAnsi="Book Antiqua"/>
          <w:vertAlign w:val="superscript"/>
          <w:lang w:val="en-GB"/>
        </w:rPr>
        <w:t>[</w:t>
      </w:r>
      <w:r>
        <w:rPr>
          <w:rFonts w:ascii="Book Antiqua" w:hAnsi="Book Antiqua"/>
          <w:vertAlign w:val="superscript"/>
          <w:lang w:val="en-GB"/>
        </w:rPr>
        <w:t>27</w:t>
      </w:r>
      <w:r w:rsidRPr="00E62243">
        <w:rPr>
          <w:rFonts w:ascii="Book Antiqua" w:hAnsi="Book Antiqua"/>
          <w:vertAlign w:val="superscript"/>
          <w:lang w:val="en-GB"/>
        </w:rPr>
        <w:t>]</w:t>
      </w:r>
      <w:r w:rsidRPr="00D43973">
        <w:rPr>
          <w:rFonts w:ascii="Book Antiqua" w:hAnsi="Book Antiqua"/>
          <w:lang w:val="en-GB"/>
        </w:rPr>
        <w:t>.</w:t>
      </w:r>
    </w:p>
    <w:p w14:paraId="3EC26DEA" w14:textId="77777777" w:rsidR="00563BB7" w:rsidRPr="00130821" w:rsidRDefault="00563BB7" w:rsidP="006A3266">
      <w:pPr>
        <w:pStyle w:val="NormalWeb"/>
        <w:spacing w:before="0" w:beforeAutospacing="0" w:after="0" w:afterAutospacing="0" w:line="360" w:lineRule="auto"/>
        <w:ind w:firstLineChars="100" w:firstLine="240"/>
        <w:jc w:val="both"/>
        <w:rPr>
          <w:rFonts w:ascii="Book Antiqua" w:hAnsi="Book Antiqua"/>
          <w:lang w:val="en-GB"/>
        </w:rPr>
      </w:pPr>
      <w:r>
        <w:rPr>
          <w:rFonts w:ascii="Book Antiqua" w:hAnsi="Book Antiqua"/>
          <w:lang w:val="en-GB"/>
        </w:rPr>
        <w:t>T</w:t>
      </w:r>
      <w:r w:rsidRPr="00130821">
        <w:rPr>
          <w:rFonts w:ascii="Book Antiqua" w:hAnsi="Book Antiqua"/>
          <w:lang w:val="en-GB"/>
        </w:rPr>
        <w:t>he use of</w:t>
      </w:r>
      <w:r>
        <w:rPr>
          <w:rFonts w:ascii="Book Antiqua" w:hAnsi="Book Antiqua"/>
          <w:lang w:val="en-GB"/>
        </w:rPr>
        <w:t xml:space="preserve"> thiopurines is limited by </w:t>
      </w:r>
      <w:r w:rsidRPr="00130821">
        <w:rPr>
          <w:rFonts w:ascii="Book Antiqua" w:hAnsi="Book Antiqua"/>
          <w:lang w:val="en-GB"/>
        </w:rPr>
        <w:t xml:space="preserve">an extensive spectrum of adverse events in up to almost half of patients, </w:t>
      </w:r>
      <w:r>
        <w:rPr>
          <w:rFonts w:ascii="Book Antiqua" w:hAnsi="Book Antiqua"/>
          <w:lang w:val="en-GB"/>
        </w:rPr>
        <w:t xml:space="preserve">particularly </w:t>
      </w:r>
      <w:r w:rsidRPr="00130821">
        <w:rPr>
          <w:rFonts w:ascii="Book Antiqua" w:hAnsi="Book Antiqua"/>
          <w:lang w:val="en-GB"/>
        </w:rPr>
        <w:t xml:space="preserve">within the first twelve months of treatment. </w:t>
      </w:r>
      <w:r>
        <w:rPr>
          <w:rFonts w:ascii="Book Antiqua" w:hAnsi="Book Antiqua"/>
          <w:lang w:val="en-GB"/>
        </w:rPr>
        <w:t xml:space="preserve">Adverse effects include </w:t>
      </w:r>
      <w:r w:rsidRPr="00130821">
        <w:rPr>
          <w:rFonts w:ascii="Book Antiqua" w:hAnsi="Book Antiqua"/>
          <w:lang w:val="en-GB"/>
        </w:rPr>
        <w:t>myelotoxicity, hepatotoxicity, pancreatitis and gastr</w:t>
      </w:r>
      <w:r>
        <w:rPr>
          <w:rFonts w:ascii="Book Antiqua" w:hAnsi="Book Antiqua"/>
          <w:lang w:val="en-GB"/>
        </w:rPr>
        <w:t>ointestinal</w:t>
      </w:r>
      <w:r w:rsidRPr="00130821">
        <w:rPr>
          <w:rFonts w:ascii="Book Antiqua" w:hAnsi="Book Antiqua"/>
          <w:lang w:val="en-GB"/>
        </w:rPr>
        <w:t xml:space="preserve"> complaints</w:t>
      </w:r>
      <w:r w:rsidRPr="00953227">
        <w:rPr>
          <w:rFonts w:ascii="Book Antiqua" w:hAnsi="Book Antiqua"/>
          <w:vertAlign w:val="superscript"/>
          <w:lang w:val="en-GB"/>
        </w:rPr>
        <w:t>[</w:t>
      </w:r>
      <w:r w:rsidRPr="00130821">
        <w:rPr>
          <w:rFonts w:ascii="Book Antiqua" w:hAnsi="Book Antiqua"/>
          <w:vertAlign w:val="superscript"/>
          <w:lang w:val="en-GB"/>
        </w:rPr>
        <w:t>26]</w:t>
      </w:r>
      <w:r w:rsidRPr="00130821">
        <w:rPr>
          <w:rFonts w:ascii="Book Antiqua" w:hAnsi="Book Antiqua"/>
          <w:lang w:val="en-GB"/>
        </w:rPr>
        <w:t>.</w:t>
      </w:r>
    </w:p>
    <w:p w14:paraId="43FF8C04" w14:textId="77777777" w:rsidR="00563BB7" w:rsidRPr="00D43973"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Pr>
          <w:rFonts w:ascii="Book Antiqua" w:hAnsi="Book Antiqua"/>
          <w:lang w:val="en-GB"/>
        </w:rPr>
        <w:t>Measuring</w:t>
      </w:r>
      <w:r w:rsidRPr="00D43973">
        <w:rPr>
          <w:rFonts w:ascii="Book Antiqua" w:hAnsi="Book Antiqua"/>
          <w:lang w:val="en-GB"/>
        </w:rPr>
        <w:t xml:space="preserve"> TPMT activity</w:t>
      </w:r>
      <w:r>
        <w:rPr>
          <w:rFonts w:ascii="Book Antiqua" w:hAnsi="Book Antiqua"/>
          <w:lang w:val="en-GB"/>
        </w:rPr>
        <w:t xml:space="preserve"> levels (phenotype) or determining</w:t>
      </w:r>
      <w:r w:rsidRPr="00D43973">
        <w:rPr>
          <w:rFonts w:ascii="Book Antiqua" w:hAnsi="Book Antiqua"/>
          <w:lang w:val="en-GB"/>
        </w:rPr>
        <w:t xml:space="preserve"> TPMT genotype before initiating thiopurine therapy</w:t>
      </w:r>
      <w:r>
        <w:rPr>
          <w:rFonts w:ascii="Book Antiqua" w:hAnsi="Book Antiqua"/>
          <w:lang w:val="en-GB"/>
        </w:rPr>
        <w:t>, is recommended by the USA Food and Drug Administration (FDA)</w:t>
      </w:r>
      <w:r w:rsidRPr="00D43973">
        <w:rPr>
          <w:rFonts w:ascii="Book Antiqua" w:hAnsi="Book Antiqua"/>
          <w:lang w:val="en-GB"/>
        </w:rPr>
        <w:t xml:space="preserve"> to limit the likelihood of side effects</w:t>
      </w:r>
      <w:r w:rsidRPr="00953227">
        <w:rPr>
          <w:rFonts w:ascii="Book Antiqua" w:hAnsi="Book Antiqua"/>
          <w:vertAlign w:val="superscript"/>
          <w:lang w:val="en-GB"/>
        </w:rPr>
        <w:t>[</w:t>
      </w:r>
      <w:r>
        <w:rPr>
          <w:rFonts w:ascii="Book Antiqua" w:hAnsi="Book Antiqua"/>
          <w:vertAlign w:val="superscript"/>
          <w:lang w:val="en-GB"/>
        </w:rPr>
        <w:t>27</w:t>
      </w:r>
      <w:r w:rsidRPr="00E62243">
        <w:rPr>
          <w:rFonts w:ascii="Book Antiqua" w:hAnsi="Book Antiqua"/>
          <w:vertAlign w:val="superscript"/>
          <w:lang w:val="en-GB"/>
        </w:rPr>
        <w:t>]</w:t>
      </w:r>
      <w:r>
        <w:rPr>
          <w:rFonts w:ascii="Book Antiqua" w:hAnsi="Book Antiqua"/>
          <w:lang w:val="en-GB"/>
        </w:rPr>
        <w:t>. However, it still remains possible to develop significant myelotoxicity despite normal TPMT activity.</w:t>
      </w:r>
    </w:p>
    <w:p w14:paraId="3DAB3F68" w14:textId="77777777" w:rsidR="00563BB7" w:rsidRPr="00130821" w:rsidRDefault="00563BB7" w:rsidP="006A3266">
      <w:pPr>
        <w:pStyle w:val="NormalWeb"/>
        <w:spacing w:before="0" w:beforeAutospacing="0" w:after="0" w:afterAutospacing="0" w:line="360" w:lineRule="auto"/>
        <w:ind w:firstLineChars="150" w:firstLine="360"/>
        <w:jc w:val="both"/>
        <w:rPr>
          <w:rFonts w:ascii="Book Antiqua" w:hAnsi="Book Antiqua"/>
          <w:lang w:val="en-GB"/>
        </w:rPr>
      </w:pPr>
      <w:r>
        <w:rPr>
          <w:rFonts w:ascii="Book Antiqua" w:hAnsi="Book Antiqua"/>
          <w:lang w:val="en-GB"/>
        </w:rPr>
        <w:lastRenderedPageBreak/>
        <w:t>T</w:t>
      </w:r>
      <w:r w:rsidRPr="00130821">
        <w:rPr>
          <w:rFonts w:ascii="Book Antiqua" w:hAnsi="Book Antiqua"/>
          <w:lang w:val="en-GB"/>
        </w:rPr>
        <w:t xml:space="preserve">he use of TPMT activity and 6-TGN level </w:t>
      </w:r>
      <w:r>
        <w:rPr>
          <w:rFonts w:ascii="Book Antiqua" w:hAnsi="Book Antiqua"/>
          <w:lang w:val="en-GB"/>
        </w:rPr>
        <w:t xml:space="preserve">monitoring has the potential to </w:t>
      </w:r>
      <w:r w:rsidRPr="00130821">
        <w:rPr>
          <w:rFonts w:ascii="Book Antiqua" w:hAnsi="Book Antiqua"/>
          <w:lang w:val="en-GB"/>
        </w:rPr>
        <w:t>avoid nearly a quarter of episodes of myelosuppression</w:t>
      </w:r>
      <w:r w:rsidRPr="00953227">
        <w:rPr>
          <w:rFonts w:ascii="Book Antiqua" w:hAnsi="Book Antiqua"/>
          <w:vertAlign w:val="superscript"/>
          <w:lang w:val="en-GB"/>
        </w:rPr>
        <w:t>[</w:t>
      </w:r>
      <w:r w:rsidRPr="00130821">
        <w:rPr>
          <w:rFonts w:ascii="Book Antiqua" w:hAnsi="Book Antiqua"/>
          <w:vertAlign w:val="superscript"/>
          <w:lang w:val="en-GB"/>
        </w:rPr>
        <w:t>27]</w:t>
      </w:r>
      <w:r w:rsidRPr="00130821">
        <w:rPr>
          <w:rFonts w:ascii="Book Antiqua" w:hAnsi="Book Antiqua"/>
          <w:lang w:val="en-GB"/>
        </w:rPr>
        <w:t>.</w:t>
      </w:r>
      <w:r>
        <w:rPr>
          <w:rFonts w:ascii="Book Antiqua" w:hAnsi="Book Antiqua"/>
          <w:lang w:val="en-GB"/>
        </w:rPr>
        <w:t xml:space="preserve"> In addition</w:t>
      </w:r>
      <w:r w:rsidRPr="00130821">
        <w:rPr>
          <w:rFonts w:ascii="Book Antiqua" w:hAnsi="Book Antiqua"/>
          <w:lang w:val="en-GB"/>
        </w:rPr>
        <w:t>, 6-</w:t>
      </w:r>
      <w:r>
        <w:rPr>
          <w:rFonts w:ascii="Book Antiqua" w:hAnsi="Book Antiqua"/>
          <w:lang w:val="en-GB"/>
        </w:rPr>
        <w:t xml:space="preserve">TGN monitoring is helpful to detect </w:t>
      </w:r>
      <w:r w:rsidRPr="00130821">
        <w:rPr>
          <w:rFonts w:ascii="Book Antiqua" w:hAnsi="Book Antiqua"/>
          <w:lang w:val="en-GB"/>
        </w:rPr>
        <w:t>non-compliance, under-dosing, and drug resistance or refractory states</w:t>
      </w:r>
      <w:r w:rsidRPr="00953227">
        <w:rPr>
          <w:rFonts w:ascii="Book Antiqua" w:hAnsi="Book Antiqua"/>
          <w:vertAlign w:val="superscript"/>
          <w:lang w:val="en-GB"/>
        </w:rPr>
        <w:t>[</w:t>
      </w:r>
      <w:r w:rsidRPr="00130821">
        <w:rPr>
          <w:rFonts w:ascii="Book Antiqua" w:hAnsi="Book Antiqua"/>
          <w:vertAlign w:val="superscript"/>
          <w:lang w:val="en-GB"/>
        </w:rPr>
        <w:t>27]</w:t>
      </w:r>
      <w:r w:rsidRPr="00130821">
        <w:rPr>
          <w:rFonts w:ascii="Book Antiqua" w:hAnsi="Book Antiqua"/>
          <w:lang w:val="en-GB"/>
        </w:rPr>
        <w:t>.</w:t>
      </w:r>
    </w:p>
    <w:p w14:paraId="6DAC5D55" w14:textId="77777777" w:rsidR="00563BB7" w:rsidRPr="00130821" w:rsidRDefault="00563BB7" w:rsidP="006A3266">
      <w:pPr>
        <w:pStyle w:val="NormalWeb"/>
        <w:spacing w:before="0" w:beforeAutospacing="0" w:after="0" w:afterAutospacing="0" w:line="360" w:lineRule="auto"/>
        <w:ind w:firstLineChars="100" w:firstLine="240"/>
        <w:jc w:val="both"/>
        <w:rPr>
          <w:rFonts w:ascii="Book Antiqua" w:hAnsi="Book Antiqua"/>
          <w:lang w:val="en-GB"/>
        </w:rPr>
      </w:pPr>
      <w:r w:rsidRPr="00130821">
        <w:rPr>
          <w:rFonts w:ascii="Book Antiqua" w:hAnsi="Book Antiqua"/>
          <w:lang w:val="en-GB"/>
        </w:rPr>
        <w:t xml:space="preserve">Blood levels of thiopurine metabolites </w:t>
      </w:r>
      <w:r>
        <w:rPr>
          <w:rFonts w:ascii="Book Antiqua" w:hAnsi="Book Antiqua"/>
          <w:lang w:val="en-GB"/>
        </w:rPr>
        <w:t xml:space="preserve">correlate </w:t>
      </w:r>
      <w:r w:rsidRPr="00130821">
        <w:rPr>
          <w:rFonts w:ascii="Book Antiqua" w:hAnsi="Book Antiqua"/>
          <w:lang w:val="en-GB"/>
        </w:rPr>
        <w:t>with the efficacy and toxicity of these drugs</w:t>
      </w:r>
      <w:r>
        <w:rPr>
          <w:rFonts w:ascii="Book Antiqua" w:hAnsi="Book Antiqua"/>
          <w:lang w:val="en-GB"/>
        </w:rPr>
        <w:t xml:space="preserve"> as follows</w:t>
      </w:r>
      <w:r w:rsidRPr="00130821">
        <w:rPr>
          <w:rFonts w:ascii="Book Antiqua" w:hAnsi="Book Antiqua"/>
          <w:lang w:val="en-GB"/>
        </w:rPr>
        <w:t>: thioguanine nucleotide (TGN) lev</w:t>
      </w:r>
      <w:r>
        <w:rPr>
          <w:rFonts w:ascii="Book Antiqua" w:hAnsi="Book Antiqua"/>
          <w:lang w:val="en-GB"/>
        </w:rPr>
        <w:t xml:space="preserve">els higher than 235 pmol/8 </w:t>
      </w:r>
      <w:r>
        <w:rPr>
          <w:rFonts w:ascii="Book Antiqua" w:hAnsi="Book Antiqua"/>
          <w:lang w:val="en-GB"/>
        </w:rPr>
        <w:sym w:font="Symbol" w:char="F0B4"/>
      </w:r>
      <w:r>
        <w:rPr>
          <w:rFonts w:ascii="Book Antiqua" w:hAnsi="Book Antiqua"/>
          <w:lang w:val="en-GB"/>
        </w:rPr>
        <w:t xml:space="preserve"> 10</w:t>
      </w:r>
      <w:r w:rsidRPr="00953227">
        <w:rPr>
          <w:rFonts w:ascii="Book Antiqua" w:hAnsi="Book Antiqua"/>
          <w:vertAlign w:val="superscript"/>
          <w:lang w:val="en-GB"/>
        </w:rPr>
        <w:t>8</w:t>
      </w:r>
      <w:r w:rsidRPr="00130821">
        <w:rPr>
          <w:rFonts w:ascii="Book Antiqua" w:hAnsi="Book Antiqua"/>
          <w:lang w:val="en-GB"/>
        </w:rPr>
        <w:t xml:space="preserve"> red blood cells</w:t>
      </w:r>
      <w:r>
        <w:rPr>
          <w:rFonts w:ascii="Book Antiqua" w:hAnsi="Book Antiqua"/>
          <w:lang w:val="en-GB"/>
        </w:rPr>
        <w:t xml:space="preserve"> reflect an adequate therapeutic level, whereas</w:t>
      </w:r>
      <w:r w:rsidRPr="00130821">
        <w:rPr>
          <w:rFonts w:ascii="Book Antiqua" w:hAnsi="Book Antiqua"/>
          <w:lang w:val="en-GB"/>
        </w:rPr>
        <w:t xml:space="preserve"> methyl mercaptopurine nucleotides (MMPNs) levels above 5700 pmol/8 </w:t>
      </w:r>
      <w:r>
        <w:rPr>
          <w:rFonts w:ascii="Book Antiqua" w:hAnsi="Book Antiqua"/>
          <w:lang w:val="en-GB"/>
        </w:rPr>
        <w:sym w:font="Symbol" w:char="F0B4"/>
      </w:r>
      <w:r>
        <w:rPr>
          <w:rFonts w:ascii="Book Antiqua" w:hAnsi="Book Antiqua"/>
          <w:lang w:val="en-GB"/>
        </w:rPr>
        <w:t xml:space="preserve"> 10</w:t>
      </w:r>
      <w:r w:rsidRPr="00953227">
        <w:rPr>
          <w:rFonts w:ascii="Book Antiqua" w:hAnsi="Book Antiqua"/>
          <w:vertAlign w:val="superscript"/>
          <w:lang w:val="en-GB"/>
        </w:rPr>
        <w:t xml:space="preserve">8 </w:t>
      </w:r>
      <w:r w:rsidRPr="00130821">
        <w:rPr>
          <w:rFonts w:ascii="Book Antiqua" w:hAnsi="Book Antiqua"/>
          <w:lang w:val="en-GB"/>
        </w:rPr>
        <w:t xml:space="preserve">red blood cells </w:t>
      </w:r>
      <w:r>
        <w:rPr>
          <w:rFonts w:ascii="Book Antiqua" w:hAnsi="Book Antiqua"/>
          <w:lang w:val="en-GB"/>
        </w:rPr>
        <w:t xml:space="preserve">are indicative of </w:t>
      </w:r>
      <w:r w:rsidRPr="00130821">
        <w:rPr>
          <w:rFonts w:ascii="Book Antiqua" w:hAnsi="Book Antiqua"/>
          <w:lang w:val="en-GB"/>
        </w:rPr>
        <w:t>hepatotoxicity</w:t>
      </w:r>
      <w:r w:rsidRPr="00953227">
        <w:rPr>
          <w:rFonts w:ascii="Book Antiqua" w:hAnsi="Book Antiqua"/>
          <w:vertAlign w:val="superscript"/>
          <w:lang w:val="en-GB"/>
        </w:rPr>
        <w:t>[</w:t>
      </w:r>
      <w:r w:rsidRPr="00130821">
        <w:rPr>
          <w:rFonts w:ascii="Book Antiqua" w:hAnsi="Book Antiqua"/>
          <w:vertAlign w:val="superscript"/>
          <w:lang w:val="en-GB"/>
        </w:rPr>
        <w:t>23]</w:t>
      </w:r>
      <w:r w:rsidRPr="00130821">
        <w:rPr>
          <w:rFonts w:ascii="Book Antiqua" w:hAnsi="Book Antiqua"/>
          <w:lang w:val="en-GB"/>
        </w:rPr>
        <w:t>.</w:t>
      </w:r>
    </w:p>
    <w:p w14:paraId="08857CF2" w14:textId="77777777" w:rsidR="00563BB7" w:rsidRPr="00D43973"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sidRPr="00D43973">
        <w:rPr>
          <w:rFonts w:ascii="Book Antiqua" w:hAnsi="Book Antiqua"/>
          <w:lang w:val="en-GB"/>
        </w:rPr>
        <w:t xml:space="preserve">AZA or 6-MP can be started at the </w:t>
      </w:r>
      <w:r>
        <w:rPr>
          <w:rFonts w:ascii="Book Antiqua" w:hAnsi="Book Antiqua"/>
          <w:lang w:val="en-GB"/>
        </w:rPr>
        <w:t xml:space="preserve">full recommended </w:t>
      </w:r>
      <w:r w:rsidRPr="00D43973">
        <w:rPr>
          <w:rFonts w:ascii="Book Antiqua" w:hAnsi="Book Antiqua"/>
          <w:lang w:val="en-GB"/>
        </w:rPr>
        <w:t>dose of 2-2.5 mg/Kg per day or 1-1.5 mg/Kg per day, respectively</w:t>
      </w:r>
      <w:r>
        <w:rPr>
          <w:rFonts w:ascii="Book Antiqua" w:hAnsi="Book Antiqua"/>
          <w:lang w:val="en-GB"/>
        </w:rPr>
        <w:t>, i</w:t>
      </w:r>
      <w:r w:rsidRPr="00D43973">
        <w:rPr>
          <w:rFonts w:ascii="Book Antiqua" w:hAnsi="Book Antiqua"/>
          <w:lang w:val="en-GB"/>
        </w:rPr>
        <w:t>n patients with normal to hi</w:t>
      </w:r>
      <w:r>
        <w:rPr>
          <w:rFonts w:ascii="Book Antiqua" w:hAnsi="Book Antiqua"/>
          <w:lang w:val="en-GB"/>
        </w:rPr>
        <w:t>gh TPMT activity level. Patients</w:t>
      </w:r>
      <w:r w:rsidRPr="00D43973">
        <w:rPr>
          <w:rFonts w:ascii="Book Antiqua" w:hAnsi="Book Antiqua"/>
          <w:lang w:val="en-GB"/>
        </w:rPr>
        <w:t xml:space="preserve"> with an intermediate TPMT activity should start</w:t>
      </w:r>
      <w:r>
        <w:rPr>
          <w:rFonts w:ascii="Book Antiqua" w:hAnsi="Book Antiqua"/>
          <w:lang w:val="en-GB"/>
        </w:rPr>
        <w:t>, instead,</w:t>
      </w:r>
      <w:r w:rsidRPr="00D43973">
        <w:rPr>
          <w:rFonts w:ascii="Book Antiqua" w:hAnsi="Book Antiqua"/>
          <w:lang w:val="en-GB"/>
        </w:rPr>
        <w:t xml:space="preserve"> with a </w:t>
      </w:r>
      <w:r>
        <w:rPr>
          <w:rFonts w:ascii="Book Antiqua" w:hAnsi="Book Antiqua"/>
          <w:lang w:val="en-GB"/>
        </w:rPr>
        <w:t>daily dose reduced by 30-70%. Alternative therapy should be offered to individuals</w:t>
      </w:r>
      <w:r w:rsidRPr="00D43973">
        <w:rPr>
          <w:rFonts w:ascii="Book Antiqua" w:hAnsi="Book Antiqua"/>
          <w:lang w:val="en-GB"/>
        </w:rPr>
        <w:t xml:space="preserve"> with low </w:t>
      </w:r>
      <w:r>
        <w:rPr>
          <w:rFonts w:ascii="Book Antiqua" w:hAnsi="Book Antiqua"/>
          <w:lang w:val="en-GB"/>
        </w:rPr>
        <w:t xml:space="preserve">or absent TPMT activity, </w:t>
      </w:r>
      <w:r w:rsidRPr="00D43973">
        <w:rPr>
          <w:rFonts w:ascii="Book Antiqua" w:hAnsi="Book Antiqua"/>
          <w:lang w:val="en-GB"/>
        </w:rPr>
        <w:t xml:space="preserve">or </w:t>
      </w:r>
      <w:r>
        <w:rPr>
          <w:rFonts w:ascii="Book Antiqua" w:hAnsi="Book Antiqua"/>
          <w:lang w:val="en-GB"/>
        </w:rPr>
        <w:t xml:space="preserve">they should be </w:t>
      </w:r>
      <w:r w:rsidRPr="00D43973">
        <w:rPr>
          <w:rFonts w:ascii="Book Antiqua" w:hAnsi="Book Antiqua"/>
          <w:lang w:val="en-GB"/>
        </w:rPr>
        <w:t>started at 10% of the suggested dosing, given three times per week</w:t>
      </w:r>
      <w:r w:rsidRPr="00953227">
        <w:rPr>
          <w:rFonts w:ascii="Book Antiqua" w:hAnsi="Book Antiqua"/>
          <w:vertAlign w:val="superscript"/>
          <w:lang w:val="en-GB"/>
        </w:rPr>
        <w:t>[</w:t>
      </w:r>
      <w:r>
        <w:rPr>
          <w:rFonts w:ascii="Book Antiqua" w:hAnsi="Book Antiqua"/>
          <w:vertAlign w:val="superscript"/>
          <w:lang w:val="en-GB"/>
        </w:rPr>
        <w:t>27</w:t>
      </w:r>
      <w:r w:rsidRPr="008B21E2">
        <w:rPr>
          <w:rFonts w:ascii="Book Antiqua" w:hAnsi="Book Antiqua"/>
          <w:vertAlign w:val="superscript"/>
          <w:lang w:val="en-GB"/>
        </w:rPr>
        <w:t>]</w:t>
      </w:r>
      <w:r>
        <w:rPr>
          <w:rFonts w:ascii="Book Antiqua" w:hAnsi="Book Antiqua"/>
          <w:lang w:val="en-GB"/>
        </w:rPr>
        <w:t>.</w:t>
      </w:r>
    </w:p>
    <w:p w14:paraId="0416F528" w14:textId="77777777" w:rsidR="00563BB7" w:rsidRPr="00D43973" w:rsidRDefault="00563BB7" w:rsidP="006A3266">
      <w:pPr>
        <w:widowControl w:val="0"/>
        <w:autoSpaceDE w:val="0"/>
        <w:autoSpaceDN w:val="0"/>
        <w:adjustRightInd w:val="0"/>
        <w:spacing w:line="360" w:lineRule="auto"/>
        <w:ind w:firstLineChars="150" w:firstLine="360"/>
        <w:jc w:val="both"/>
        <w:rPr>
          <w:rFonts w:ascii="Book Antiqua" w:hAnsi="Book Antiqua"/>
          <w:lang w:val="en-GB"/>
        </w:rPr>
      </w:pPr>
      <w:r w:rsidRPr="00D43973">
        <w:rPr>
          <w:rFonts w:ascii="Book Antiqua" w:hAnsi="Book Antiqua"/>
          <w:lang w:val="en-GB"/>
        </w:rPr>
        <w:t>The results of a recent retrospective study by Benmassaoud</w:t>
      </w:r>
      <w:r>
        <w:rPr>
          <w:rFonts w:ascii="Book Antiqua" w:hAnsi="Book Antiqua" w:hint="eastAsia"/>
          <w:lang w:val="en-GB" w:eastAsia="zh-CN"/>
        </w:rPr>
        <w:t xml:space="preserve"> </w:t>
      </w:r>
      <w:r w:rsidRPr="00953227">
        <w:rPr>
          <w:rFonts w:ascii="Book Antiqua" w:hAnsi="Book Antiqua"/>
          <w:i/>
          <w:lang w:val="en-GB"/>
        </w:rPr>
        <w:t>et al</w:t>
      </w:r>
      <w:r w:rsidRPr="00D43973">
        <w:rPr>
          <w:rFonts w:ascii="Book Antiqua" w:hAnsi="Book Antiqua"/>
          <w:lang w:val="en-GB"/>
        </w:rPr>
        <w:t xml:space="preserve"> evaluating the safety and efficacy of starting thiopurines at low dose versus full dose in adult patients with CD and normal TPMT, suggest that AZA</w:t>
      </w:r>
      <w:r>
        <w:rPr>
          <w:rFonts w:ascii="Book Antiqua" w:hAnsi="Book Antiqua"/>
          <w:lang w:val="en-GB"/>
        </w:rPr>
        <w:t xml:space="preserve"> should be started on full </w:t>
      </w:r>
      <w:r w:rsidRPr="00D43973">
        <w:rPr>
          <w:rFonts w:ascii="Book Antiqua" w:hAnsi="Book Antiqua"/>
          <w:lang w:val="en-GB"/>
        </w:rPr>
        <w:t xml:space="preserve">dose in patients with normal TPMT, rather than starting on a lower dose and increasing slowly. </w:t>
      </w:r>
      <w:r>
        <w:rPr>
          <w:rFonts w:ascii="Book Antiqua" w:hAnsi="Book Antiqua"/>
          <w:lang w:val="en-GB"/>
        </w:rPr>
        <w:t xml:space="preserve">This is mainly due to the fact that </w:t>
      </w:r>
      <w:r w:rsidRPr="00D43973">
        <w:rPr>
          <w:rFonts w:ascii="Book Antiqua" w:hAnsi="Book Antiqua"/>
          <w:lang w:val="en-GB"/>
        </w:rPr>
        <w:t xml:space="preserve">patients with normal TPMT level may still be exposed to side effects </w:t>
      </w:r>
      <w:r>
        <w:rPr>
          <w:rFonts w:ascii="Book Antiqua" w:hAnsi="Book Antiqua"/>
          <w:lang w:val="en-GB"/>
        </w:rPr>
        <w:t>that are unrelated to the enzymatic activity</w:t>
      </w:r>
      <w:r w:rsidRPr="00953227">
        <w:rPr>
          <w:rFonts w:ascii="Book Antiqua" w:hAnsi="Book Antiqua"/>
          <w:vertAlign w:val="superscript"/>
          <w:lang w:val="en-GB"/>
        </w:rPr>
        <w:t>[</w:t>
      </w:r>
      <w:r>
        <w:rPr>
          <w:rFonts w:ascii="Book Antiqua" w:hAnsi="Book Antiqua"/>
          <w:vertAlign w:val="superscript"/>
          <w:lang w:val="en-GB"/>
        </w:rPr>
        <w:t>27</w:t>
      </w:r>
      <w:r w:rsidRPr="008B21E2">
        <w:rPr>
          <w:rFonts w:ascii="Book Antiqua" w:hAnsi="Book Antiqua"/>
          <w:vertAlign w:val="superscript"/>
          <w:lang w:val="en-GB"/>
        </w:rPr>
        <w:t>]</w:t>
      </w:r>
      <w:r>
        <w:rPr>
          <w:rFonts w:ascii="Book Antiqua" w:hAnsi="Book Antiqua"/>
          <w:lang w:val="en-GB"/>
        </w:rPr>
        <w:t>.</w:t>
      </w:r>
      <w:r>
        <w:rPr>
          <w:rFonts w:ascii="Book Antiqua" w:hAnsi="Book Antiqua" w:hint="eastAsia"/>
          <w:lang w:val="en-GB" w:eastAsia="zh-CN"/>
        </w:rPr>
        <w:t xml:space="preserve"> </w:t>
      </w:r>
      <w:r>
        <w:rPr>
          <w:rFonts w:ascii="Book Antiqua" w:hAnsi="Book Antiqua"/>
          <w:lang w:val="en-GB"/>
        </w:rPr>
        <w:t>Overall, a</w:t>
      </w:r>
      <w:r w:rsidRPr="00D43973">
        <w:rPr>
          <w:rFonts w:ascii="Book Antiqua" w:hAnsi="Book Antiqua"/>
          <w:lang w:val="en-GB"/>
        </w:rPr>
        <w:t xml:space="preserve">lmost half of the </w:t>
      </w:r>
      <w:r>
        <w:rPr>
          <w:rFonts w:ascii="Book Antiqua" w:hAnsi="Book Antiqua"/>
          <w:lang w:val="en-GB"/>
        </w:rPr>
        <w:t>adults</w:t>
      </w:r>
      <w:r w:rsidRPr="00D43973">
        <w:rPr>
          <w:rFonts w:ascii="Book Antiqua" w:hAnsi="Book Antiqua"/>
          <w:lang w:val="en-GB"/>
        </w:rPr>
        <w:t xml:space="preserve"> treated with thiopurines discontinue their treatment due to ineffectiveness or intolerance</w:t>
      </w:r>
      <w:r w:rsidRPr="00953227">
        <w:rPr>
          <w:rFonts w:ascii="Book Antiqua" w:hAnsi="Book Antiqua"/>
          <w:vertAlign w:val="superscript"/>
          <w:lang w:val="en-GB"/>
        </w:rPr>
        <w:t>[</w:t>
      </w:r>
      <w:r>
        <w:rPr>
          <w:rFonts w:ascii="Book Antiqua" w:hAnsi="Book Antiqua"/>
          <w:vertAlign w:val="superscript"/>
          <w:lang w:val="en-GB"/>
        </w:rPr>
        <w:t>26</w:t>
      </w:r>
      <w:r w:rsidRPr="008B21E2">
        <w:rPr>
          <w:rFonts w:ascii="Book Antiqua" w:hAnsi="Book Antiqua"/>
          <w:vertAlign w:val="superscript"/>
          <w:lang w:val="en-GB"/>
        </w:rPr>
        <w:t>]</w:t>
      </w:r>
      <w:r w:rsidRPr="00D43973">
        <w:rPr>
          <w:rFonts w:ascii="Book Antiqua" w:hAnsi="Book Antiqua"/>
          <w:lang w:val="en-GB"/>
        </w:rPr>
        <w:t>. It has been hypothesized that prescribing thioguanine (TG) therapy instead of AZA/</w:t>
      </w:r>
      <w:r>
        <w:rPr>
          <w:rFonts w:ascii="Book Antiqua" w:hAnsi="Book Antiqua"/>
          <w:lang w:val="en-GB"/>
        </w:rPr>
        <w:t>6-</w:t>
      </w:r>
      <w:r w:rsidRPr="00D43973">
        <w:rPr>
          <w:rFonts w:ascii="Book Antiqua" w:hAnsi="Book Antiqua"/>
          <w:lang w:val="en-GB"/>
        </w:rPr>
        <w:t xml:space="preserve">MP reduces </w:t>
      </w:r>
      <w:r>
        <w:rPr>
          <w:rFonts w:ascii="Book Antiqua" w:hAnsi="Book Antiqua"/>
          <w:lang w:val="en-GB"/>
        </w:rPr>
        <w:t xml:space="preserve">the release </w:t>
      </w:r>
      <w:r w:rsidRPr="00D43973">
        <w:rPr>
          <w:rFonts w:ascii="Book Antiqua" w:hAnsi="Book Antiqua"/>
          <w:lang w:val="en-GB"/>
        </w:rPr>
        <w:t xml:space="preserve">of potentially toxic metabolites, as its metabolism is less complex </w:t>
      </w:r>
      <w:r>
        <w:rPr>
          <w:rFonts w:ascii="Book Antiqua" w:hAnsi="Book Antiqua"/>
          <w:lang w:val="en-GB"/>
        </w:rPr>
        <w:t xml:space="preserve">with a more direct conversion to the therapeutically active </w:t>
      </w:r>
      <w:r w:rsidRPr="00D43973">
        <w:rPr>
          <w:rFonts w:ascii="Book Antiqua" w:hAnsi="Book Antiqua"/>
          <w:lang w:val="en-GB"/>
        </w:rPr>
        <w:t>metabolite 6-TGN</w:t>
      </w:r>
      <w:r w:rsidRPr="00953227">
        <w:rPr>
          <w:rFonts w:ascii="Book Antiqua" w:hAnsi="Book Antiqua"/>
          <w:vertAlign w:val="superscript"/>
          <w:lang w:val="en-GB"/>
        </w:rPr>
        <w:t>[</w:t>
      </w:r>
      <w:r>
        <w:rPr>
          <w:rFonts w:ascii="Book Antiqua" w:hAnsi="Book Antiqua"/>
          <w:vertAlign w:val="superscript"/>
          <w:lang w:val="en-GB"/>
        </w:rPr>
        <w:t>1</w:t>
      </w:r>
      <w:r w:rsidRPr="008B21E2">
        <w:rPr>
          <w:rFonts w:ascii="Book Antiqua" w:hAnsi="Book Antiqua"/>
          <w:vertAlign w:val="superscript"/>
          <w:lang w:val="en-GB"/>
        </w:rPr>
        <w:t>]</w:t>
      </w:r>
      <w:r w:rsidRPr="00D43973">
        <w:rPr>
          <w:rFonts w:ascii="Book Antiqua" w:hAnsi="Book Antiqua"/>
          <w:lang w:val="en-GB"/>
        </w:rPr>
        <w:t xml:space="preserve">. </w:t>
      </w:r>
    </w:p>
    <w:p w14:paraId="7FC7BD91" w14:textId="77777777" w:rsidR="00563BB7" w:rsidRPr="00130821"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Pr>
          <w:rFonts w:ascii="Book Antiqua" w:hAnsi="Book Antiqua"/>
          <w:lang w:val="en-GB"/>
        </w:rPr>
        <w:t>In a systematic review,</w:t>
      </w:r>
      <w:r w:rsidRPr="00D43973">
        <w:rPr>
          <w:rFonts w:ascii="Book Antiqua" w:hAnsi="Book Antiqua"/>
          <w:lang w:val="en-GB"/>
        </w:rPr>
        <w:t xml:space="preserve"> Meijer </w:t>
      </w:r>
      <w:r w:rsidRPr="00953227">
        <w:rPr>
          <w:rFonts w:ascii="Book Antiqua" w:hAnsi="Book Antiqua"/>
          <w:i/>
          <w:lang w:val="en-GB"/>
        </w:rPr>
        <w:t>et al</w:t>
      </w:r>
      <w:r w:rsidRPr="00953227">
        <w:rPr>
          <w:rFonts w:ascii="Book Antiqua" w:hAnsi="Book Antiqua"/>
          <w:vertAlign w:val="superscript"/>
          <w:lang w:val="en-GB"/>
        </w:rPr>
        <w:t>[</w:t>
      </w:r>
      <w:r>
        <w:rPr>
          <w:rFonts w:ascii="Book Antiqua" w:hAnsi="Book Antiqua"/>
          <w:vertAlign w:val="superscript"/>
          <w:lang w:val="en-GB"/>
        </w:rPr>
        <w:t>1</w:t>
      </w:r>
      <w:r w:rsidRPr="008B21E2">
        <w:rPr>
          <w:rFonts w:ascii="Book Antiqua" w:hAnsi="Book Antiqua"/>
          <w:vertAlign w:val="superscript"/>
          <w:lang w:val="en-GB"/>
        </w:rPr>
        <w:t>]</w:t>
      </w:r>
      <w:r w:rsidRPr="00D43973">
        <w:rPr>
          <w:rFonts w:ascii="Book Antiqua" w:hAnsi="Book Antiqua"/>
          <w:lang w:val="en-GB"/>
        </w:rPr>
        <w:t xml:space="preserve"> </w:t>
      </w:r>
      <w:r>
        <w:rPr>
          <w:rFonts w:ascii="Book Antiqua" w:hAnsi="Book Antiqua"/>
          <w:lang w:val="en-GB"/>
        </w:rPr>
        <w:t>describe</w:t>
      </w:r>
      <w:r w:rsidRPr="00D43973">
        <w:rPr>
          <w:rFonts w:ascii="Book Antiqua" w:hAnsi="Book Antiqua"/>
          <w:lang w:val="en-GB"/>
        </w:rPr>
        <w:t xml:space="preserve"> how TG therapy can represent a valuable option in adult IBD patients intolerant to c</w:t>
      </w:r>
      <w:r>
        <w:rPr>
          <w:rFonts w:ascii="Book Antiqua" w:hAnsi="Book Antiqua"/>
          <w:lang w:val="en-GB"/>
        </w:rPr>
        <w:t xml:space="preserve">onventional thiopurine therapy, with </w:t>
      </w:r>
      <w:r w:rsidRPr="00D43973">
        <w:rPr>
          <w:rFonts w:ascii="Book Antiqua" w:hAnsi="Book Antiqua"/>
          <w:lang w:val="en-GB"/>
        </w:rPr>
        <w:t xml:space="preserve">efficacy in 65% </w:t>
      </w:r>
      <w:r>
        <w:rPr>
          <w:rFonts w:ascii="Book Antiqua" w:hAnsi="Book Antiqua"/>
          <w:lang w:val="en-GB"/>
        </w:rPr>
        <w:t xml:space="preserve">of patients </w:t>
      </w:r>
      <w:r w:rsidRPr="00D43973">
        <w:rPr>
          <w:rFonts w:ascii="Book Antiqua" w:hAnsi="Book Antiqua"/>
          <w:lang w:val="en-GB"/>
        </w:rPr>
        <w:t>and</w:t>
      </w:r>
      <w:r w:rsidRPr="00D43973">
        <w:rPr>
          <w:rFonts w:ascii="Book Antiqua" w:hAnsi="Book Antiqua" w:cs="OpenSans"/>
          <w:color w:val="262626"/>
        </w:rPr>
        <w:t xml:space="preserve"> </w:t>
      </w:r>
      <w:r w:rsidRPr="00D43973">
        <w:rPr>
          <w:rFonts w:ascii="Book Antiqua" w:hAnsi="Book Antiqua"/>
          <w:lang w:val="en-GB"/>
        </w:rPr>
        <w:t>short term adverse events in 20%.</w:t>
      </w:r>
      <w:r>
        <w:rPr>
          <w:rFonts w:ascii="Book Antiqua" w:hAnsi="Book Antiqua" w:hint="eastAsia"/>
          <w:lang w:val="en-GB" w:eastAsia="zh-CN"/>
        </w:rPr>
        <w:t xml:space="preserve"> </w:t>
      </w:r>
      <w:r>
        <w:rPr>
          <w:rFonts w:ascii="Book Antiqua" w:hAnsi="Book Antiqua"/>
          <w:lang w:val="en-GB"/>
        </w:rPr>
        <w:t xml:space="preserve">However, TG </w:t>
      </w:r>
      <w:r w:rsidRPr="00130821">
        <w:rPr>
          <w:rFonts w:ascii="Book Antiqua" w:hAnsi="Book Antiqua"/>
          <w:lang w:val="en-GB"/>
        </w:rPr>
        <w:t>is currently only used as experimental or rescue therapy and should not be used outside highly controlled situ</w:t>
      </w:r>
      <w:r>
        <w:rPr>
          <w:rFonts w:ascii="Book Antiqua" w:hAnsi="Book Antiqua"/>
          <w:lang w:val="en-GB"/>
        </w:rPr>
        <w:t>a</w:t>
      </w:r>
      <w:r w:rsidRPr="00130821">
        <w:rPr>
          <w:rFonts w:ascii="Book Antiqua" w:hAnsi="Book Antiqua"/>
          <w:lang w:val="en-GB"/>
        </w:rPr>
        <w:t>tions</w:t>
      </w:r>
      <w:r w:rsidRPr="00953227">
        <w:rPr>
          <w:rFonts w:ascii="Book Antiqua" w:hAnsi="Book Antiqua"/>
          <w:vertAlign w:val="superscript"/>
          <w:lang w:val="en-GB"/>
        </w:rPr>
        <w:t>[</w:t>
      </w:r>
      <w:r w:rsidRPr="00130821">
        <w:rPr>
          <w:rFonts w:ascii="Book Antiqua" w:hAnsi="Book Antiqua"/>
          <w:vertAlign w:val="superscript"/>
          <w:lang w:val="en-GB"/>
        </w:rPr>
        <w:t>1]</w:t>
      </w:r>
      <w:r w:rsidRPr="00130821">
        <w:rPr>
          <w:rFonts w:ascii="Book Antiqua" w:hAnsi="Book Antiqua"/>
          <w:lang w:val="en-GB"/>
        </w:rPr>
        <w:t>.</w:t>
      </w:r>
      <w:r>
        <w:rPr>
          <w:rFonts w:ascii="Book Antiqua" w:hAnsi="Book Antiqua" w:hint="eastAsia"/>
          <w:lang w:val="en-GB" w:eastAsia="zh-CN"/>
        </w:rPr>
        <w:t xml:space="preserve"> </w:t>
      </w:r>
      <w:r w:rsidRPr="00130821">
        <w:rPr>
          <w:rFonts w:ascii="Book Antiqua" w:hAnsi="Book Antiqua"/>
          <w:lang w:val="en-GB"/>
        </w:rPr>
        <w:t>Thiopu</w:t>
      </w:r>
      <w:r>
        <w:rPr>
          <w:rFonts w:ascii="Book Antiqua" w:hAnsi="Book Antiqua"/>
          <w:lang w:val="en-GB"/>
        </w:rPr>
        <w:t xml:space="preserve">rines and amino-salicylates are often </w:t>
      </w:r>
      <w:r>
        <w:rPr>
          <w:rFonts w:ascii="Book Antiqua" w:hAnsi="Book Antiqua"/>
          <w:lang w:val="en-GB"/>
        </w:rPr>
        <w:lastRenderedPageBreak/>
        <w:t>used in combination in the treatment of IBD</w:t>
      </w:r>
      <w:r w:rsidRPr="00953227">
        <w:rPr>
          <w:rFonts w:ascii="Book Antiqua" w:hAnsi="Book Antiqua"/>
          <w:vertAlign w:val="superscript"/>
          <w:lang w:val="en-GB"/>
        </w:rPr>
        <w:t>[</w:t>
      </w:r>
      <w:r w:rsidRPr="00130821">
        <w:rPr>
          <w:rFonts w:ascii="Book Antiqua" w:hAnsi="Book Antiqua"/>
          <w:vertAlign w:val="superscript"/>
          <w:lang w:val="en-GB"/>
        </w:rPr>
        <w:t>23]</w:t>
      </w:r>
      <w:r w:rsidRPr="00130821">
        <w:rPr>
          <w:rFonts w:ascii="Book Antiqua" w:hAnsi="Book Antiqua"/>
          <w:lang w:val="en-GB"/>
        </w:rPr>
        <w:t xml:space="preserve">. </w:t>
      </w:r>
    </w:p>
    <w:p w14:paraId="2CC0732A" w14:textId="77777777" w:rsidR="00563BB7" w:rsidRPr="00130821" w:rsidRDefault="00563BB7" w:rsidP="006A3266">
      <w:pPr>
        <w:pStyle w:val="NormalWeb"/>
        <w:spacing w:before="0" w:beforeAutospacing="0" w:after="0" w:afterAutospacing="0" w:line="360" w:lineRule="auto"/>
        <w:ind w:firstLineChars="150" w:firstLine="360"/>
        <w:jc w:val="both"/>
        <w:rPr>
          <w:rFonts w:ascii="Book Antiqua" w:hAnsi="Book Antiqua"/>
          <w:lang w:val="en-GB"/>
        </w:rPr>
      </w:pPr>
      <w:r w:rsidRPr="00130821">
        <w:rPr>
          <w:rFonts w:ascii="Book Antiqua" w:hAnsi="Book Antiqua"/>
          <w:lang w:val="en-GB"/>
        </w:rPr>
        <w:t xml:space="preserve">An increase in mean TGN blood levels has been reported in patients on </w:t>
      </w:r>
      <w:r>
        <w:rPr>
          <w:rFonts w:ascii="Book Antiqua" w:hAnsi="Book Antiqua"/>
          <w:lang w:val="en-GB"/>
        </w:rPr>
        <w:t xml:space="preserve">concomitant treatment with thiopurines and </w:t>
      </w:r>
      <w:r w:rsidRPr="00130821">
        <w:rPr>
          <w:rFonts w:ascii="Book Antiqua" w:hAnsi="Book Antiqua"/>
          <w:lang w:val="en-GB"/>
        </w:rPr>
        <w:t>5-ASA.</w:t>
      </w:r>
      <w:r>
        <w:rPr>
          <w:rFonts w:ascii="Book Antiqua" w:hAnsi="Book Antiqua"/>
          <w:lang w:val="en-GB"/>
        </w:rPr>
        <w:t xml:space="preserve"> Moreover</w:t>
      </w:r>
      <w:r w:rsidRPr="00130821">
        <w:rPr>
          <w:rFonts w:ascii="Book Antiqua" w:hAnsi="Book Antiqua"/>
          <w:lang w:val="en-GB"/>
        </w:rPr>
        <w:t xml:space="preserve">, a higher rate of myelotoxicity was observed in </w:t>
      </w:r>
      <w:r>
        <w:rPr>
          <w:rFonts w:ascii="Book Antiqua" w:hAnsi="Book Antiqua"/>
          <w:lang w:val="en-GB"/>
        </w:rPr>
        <w:t xml:space="preserve">this group of patients compared </w:t>
      </w:r>
      <w:r w:rsidRPr="00130821">
        <w:rPr>
          <w:rFonts w:ascii="Book Antiqua" w:hAnsi="Book Antiqua"/>
          <w:lang w:val="en-GB"/>
        </w:rPr>
        <w:t>with those treated with the thiopurine alone</w:t>
      </w:r>
      <w:r w:rsidRPr="00953227">
        <w:rPr>
          <w:rFonts w:ascii="Book Antiqua" w:hAnsi="Book Antiqua"/>
          <w:vertAlign w:val="superscript"/>
          <w:lang w:val="en-GB"/>
        </w:rPr>
        <w:t>[</w:t>
      </w:r>
      <w:r w:rsidRPr="00130821">
        <w:rPr>
          <w:rFonts w:ascii="Book Antiqua" w:hAnsi="Book Antiqua"/>
          <w:vertAlign w:val="superscript"/>
          <w:lang w:val="en-GB"/>
        </w:rPr>
        <w:t>22]</w:t>
      </w:r>
      <w:r>
        <w:rPr>
          <w:rFonts w:ascii="Book Antiqua" w:hAnsi="Book Antiqua"/>
          <w:lang w:val="en-GB"/>
        </w:rPr>
        <w:t>.</w:t>
      </w:r>
      <w:r>
        <w:rPr>
          <w:rFonts w:ascii="Book Antiqua" w:hAnsi="Book Antiqua" w:hint="eastAsia"/>
          <w:lang w:val="en-GB" w:eastAsia="zh-CN"/>
        </w:rPr>
        <w:t xml:space="preserve"> </w:t>
      </w:r>
      <w:r>
        <w:rPr>
          <w:rFonts w:ascii="Book Antiqua" w:hAnsi="Book Antiqua"/>
          <w:lang w:val="en-GB"/>
        </w:rPr>
        <w:t>A plausible explanation comes from i</w:t>
      </w:r>
      <w:r w:rsidRPr="00130821">
        <w:rPr>
          <w:rFonts w:ascii="Book Antiqua" w:hAnsi="Book Antiqua"/>
          <w:lang w:val="en-GB"/>
        </w:rPr>
        <w:t xml:space="preserve">n vitro studies </w:t>
      </w:r>
      <w:r>
        <w:rPr>
          <w:rFonts w:ascii="Book Antiqua" w:hAnsi="Book Antiqua"/>
          <w:lang w:val="en-GB"/>
        </w:rPr>
        <w:t xml:space="preserve">showing </w:t>
      </w:r>
      <w:r w:rsidRPr="00130821">
        <w:rPr>
          <w:rFonts w:ascii="Book Antiqua" w:hAnsi="Book Antiqua"/>
          <w:lang w:val="en-GB"/>
        </w:rPr>
        <w:t>that amino</w:t>
      </w:r>
      <w:r>
        <w:rPr>
          <w:rFonts w:ascii="Book Antiqua" w:hAnsi="Book Antiqua"/>
          <w:lang w:val="en-GB"/>
        </w:rPr>
        <w:t>-</w:t>
      </w:r>
      <w:r w:rsidRPr="00130821">
        <w:rPr>
          <w:rFonts w:ascii="Book Antiqua" w:hAnsi="Book Antiqua"/>
          <w:lang w:val="en-GB"/>
        </w:rPr>
        <w:t>salicylates and their metabolites can inhibi</w:t>
      </w:r>
      <w:r>
        <w:rPr>
          <w:rFonts w:ascii="Book Antiqua" w:hAnsi="Book Antiqua"/>
          <w:lang w:val="en-GB"/>
        </w:rPr>
        <w:t xml:space="preserve">t the activity of TPMT, even though </w:t>
      </w:r>
      <w:r w:rsidRPr="00130821">
        <w:rPr>
          <w:rFonts w:ascii="Book Antiqua" w:hAnsi="Book Antiqua"/>
          <w:lang w:val="en-GB"/>
        </w:rPr>
        <w:t>this ob</w:t>
      </w:r>
      <w:r>
        <w:rPr>
          <w:rFonts w:ascii="Book Antiqua" w:hAnsi="Book Antiqua"/>
          <w:lang w:val="en-GB"/>
        </w:rPr>
        <w:t>servation has not been yet replicated</w:t>
      </w:r>
      <w:r w:rsidRPr="00953227">
        <w:rPr>
          <w:rFonts w:ascii="Book Antiqua" w:hAnsi="Book Antiqua"/>
          <w:i/>
          <w:lang w:val="en-GB"/>
        </w:rPr>
        <w:t xml:space="preserve"> in vivo</w:t>
      </w:r>
      <w:r w:rsidRPr="00953227">
        <w:rPr>
          <w:rFonts w:ascii="Book Antiqua" w:hAnsi="Book Antiqua"/>
          <w:vertAlign w:val="superscript"/>
          <w:lang w:val="en-GB"/>
        </w:rPr>
        <w:t>[</w:t>
      </w:r>
      <w:r w:rsidRPr="00130821">
        <w:rPr>
          <w:rFonts w:ascii="Book Antiqua" w:hAnsi="Book Antiqua"/>
          <w:vertAlign w:val="superscript"/>
          <w:lang w:val="en-GB"/>
        </w:rPr>
        <w:t>23]</w:t>
      </w:r>
      <w:r w:rsidRPr="00130821">
        <w:rPr>
          <w:rFonts w:ascii="Book Antiqua" w:hAnsi="Book Antiqua"/>
          <w:lang w:val="en-GB"/>
        </w:rPr>
        <w:t>.</w:t>
      </w:r>
    </w:p>
    <w:p w14:paraId="6E0EE61A" w14:textId="77777777" w:rsidR="00563BB7" w:rsidRPr="00130821" w:rsidRDefault="00563BB7" w:rsidP="006A3266">
      <w:pPr>
        <w:pStyle w:val="NormalWeb"/>
        <w:spacing w:before="0" w:beforeAutospacing="0" w:after="0" w:afterAutospacing="0" w:line="360" w:lineRule="auto"/>
        <w:ind w:firstLineChars="100" w:firstLine="240"/>
        <w:jc w:val="both"/>
        <w:rPr>
          <w:rFonts w:ascii="Book Antiqua" w:hAnsi="Book Antiqua"/>
          <w:lang w:val="en-GB"/>
        </w:rPr>
      </w:pPr>
      <w:r w:rsidRPr="00130821">
        <w:rPr>
          <w:rFonts w:ascii="Book Antiqua" w:hAnsi="Book Antiqua"/>
          <w:lang w:val="en-GB"/>
        </w:rPr>
        <w:t xml:space="preserve">The enzymes N-acetyltransferases (NAT1 and NAT2, EC 2.3.1.5) are responsible for the N-acetylation of </w:t>
      </w:r>
      <w:r>
        <w:rPr>
          <w:rFonts w:ascii="Book Antiqua" w:hAnsi="Book Antiqua"/>
          <w:lang w:val="en-GB"/>
        </w:rPr>
        <w:t xml:space="preserve">multiple </w:t>
      </w:r>
      <w:r w:rsidRPr="00130821">
        <w:rPr>
          <w:rFonts w:ascii="Book Antiqua" w:hAnsi="Book Antiqua"/>
          <w:lang w:val="en-GB"/>
        </w:rPr>
        <w:t>drugs including the amino</w:t>
      </w:r>
      <w:r>
        <w:rPr>
          <w:rFonts w:ascii="Book Antiqua" w:hAnsi="Book Antiqua"/>
          <w:lang w:val="en-GB"/>
        </w:rPr>
        <w:t>-</w:t>
      </w:r>
      <w:r w:rsidRPr="00130821">
        <w:rPr>
          <w:rFonts w:ascii="Book Antiqua" w:hAnsi="Book Antiqua"/>
          <w:lang w:val="en-GB"/>
        </w:rPr>
        <w:t xml:space="preserve">salicylates. </w:t>
      </w:r>
      <w:r>
        <w:rPr>
          <w:rFonts w:ascii="Book Antiqua" w:hAnsi="Book Antiqua"/>
          <w:lang w:val="en-GB"/>
        </w:rPr>
        <w:t>S</w:t>
      </w:r>
      <w:r w:rsidRPr="00130821">
        <w:rPr>
          <w:rFonts w:ascii="Book Antiqua" w:hAnsi="Book Antiqua"/>
          <w:lang w:val="en-GB"/>
        </w:rPr>
        <w:t>ubjects are classified as rapid, intermediate or slow acetylators</w:t>
      </w:r>
      <w:r>
        <w:rPr>
          <w:rFonts w:ascii="Book Antiqua" w:hAnsi="Book Antiqua"/>
          <w:lang w:val="en-GB"/>
        </w:rPr>
        <w:t xml:space="preserve"> based on the activity of NAT1 and NAT2 that is genetically determined</w:t>
      </w:r>
      <w:r w:rsidRPr="00953227">
        <w:rPr>
          <w:rFonts w:ascii="Book Antiqua" w:hAnsi="Book Antiqua"/>
          <w:vertAlign w:val="superscript"/>
          <w:lang w:val="en-GB"/>
        </w:rPr>
        <w:t>[</w:t>
      </w:r>
      <w:r w:rsidRPr="00130821">
        <w:rPr>
          <w:rFonts w:ascii="Book Antiqua" w:hAnsi="Book Antiqua"/>
          <w:vertAlign w:val="superscript"/>
          <w:lang w:val="en-GB"/>
        </w:rPr>
        <w:t>23]</w:t>
      </w:r>
      <w:r w:rsidRPr="00130821">
        <w:rPr>
          <w:rFonts w:ascii="Book Antiqua" w:hAnsi="Book Antiqua"/>
          <w:lang w:val="en-GB"/>
        </w:rPr>
        <w:t xml:space="preserve">. </w:t>
      </w:r>
    </w:p>
    <w:p w14:paraId="4C9E5719" w14:textId="77777777" w:rsidR="00563BB7" w:rsidRPr="00130821" w:rsidRDefault="00563BB7" w:rsidP="006A3266">
      <w:pPr>
        <w:pStyle w:val="NormalWeb"/>
        <w:spacing w:before="0" w:beforeAutospacing="0" w:after="0" w:afterAutospacing="0" w:line="360" w:lineRule="auto"/>
        <w:ind w:firstLineChars="150" w:firstLine="360"/>
        <w:jc w:val="both"/>
        <w:rPr>
          <w:rFonts w:ascii="Book Antiqua" w:hAnsi="Book Antiqua"/>
          <w:lang w:val="en-GB" w:eastAsia="zh-CN"/>
        </w:rPr>
      </w:pPr>
      <w:r w:rsidRPr="00130821">
        <w:rPr>
          <w:rFonts w:ascii="Book Antiqua" w:hAnsi="Book Antiqua"/>
          <w:lang w:val="en-GB"/>
        </w:rPr>
        <w:t xml:space="preserve">Stocco </w:t>
      </w:r>
      <w:r w:rsidRPr="00953227">
        <w:rPr>
          <w:rFonts w:ascii="Book Antiqua" w:hAnsi="Book Antiqua"/>
          <w:i/>
          <w:lang w:val="en-GB"/>
        </w:rPr>
        <w:t>et al</w:t>
      </w:r>
      <w:r w:rsidRPr="00953227">
        <w:rPr>
          <w:rFonts w:ascii="Book Antiqua" w:hAnsi="Book Antiqua"/>
          <w:vertAlign w:val="superscript"/>
          <w:lang w:val="en-GB"/>
        </w:rPr>
        <w:t>[</w:t>
      </w:r>
      <w:r w:rsidRPr="00130821">
        <w:rPr>
          <w:rFonts w:ascii="Book Antiqua" w:hAnsi="Book Antiqua"/>
          <w:vertAlign w:val="superscript"/>
          <w:lang w:val="en-GB"/>
        </w:rPr>
        <w:t>23]</w:t>
      </w:r>
      <w:r w:rsidRPr="00130821">
        <w:rPr>
          <w:rFonts w:ascii="Book Antiqua" w:hAnsi="Book Antiqua"/>
          <w:lang w:val="en-GB"/>
        </w:rPr>
        <w:t xml:space="preserve"> evaluated the variation of the </w:t>
      </w:r>
      <w:r>
        <w:rPr>
          <w:rFonts w:ascii="Book Antiqua" w:hAnsi="Book Antiqua"/>
          <w:lang w:val="en-GB"/>
        </w:rPr>
        <w:t xml:space="preserve">level </w:t>
      </w:r>
      <w:r w:rsidRPr="00130821">
        <w:rPr>
          <w:rFonts w:ascii="Book Antiqua" w:hAnsi="Book Antiqua"/>
          <w:lang w:val="en-GB"/>
        </w:rPr>
        <w:t xml:space="preserve">of </w:t>
      </w:r>
      <w:r>
        <w:rPr>
          <w:rFonts w:ascii="Book Antiqua" w:hAnsi="Book Antiqua"/>
          <w:lang w:val="en-GB"/>
        </w:rPr>
        <w:t xml:space="preserve">TGN </w:t>
      </w:r>
      <w:r w:rsidRPr="00130821">
        <w:rPr>
          <w:rFonts w:ascii="Book Antiqua" w:hAnsi="Book Antiqua"/>
          <w:lang w:val="en-GB"/>
        </w:rPr>
        <w:t>after 5-ASA cessation and the role of genetic polymorphisms of NAT 1 and 2, in a group of 12 children recruited at two tertiary level paediatric gastroenterology units (6 CD and 6 UC)</w:t>
      </w:r>
      <w:r>
        <w:rPr>
          <w:rFonts w:ascii="Book Antiqua" w:hAnsi="Book Antiqua" w:hint="eastAsia"/>
          <w:lang w:val="en-GB" w:eastAsia="zh-CN"/>
        </w:rPr>
        <w:t xml:space="preserve"> </w:t>
      </w:r>
      <w:r w:rsidRPr="00130821">
        <w:rPr>
          <w:rFonts w:ascii="Book Antiqua" w:hAnsi="Book Antiqua"/>
          <w:lang w:val="en-GB"/>
        </w:rPr>
        <w:t>(Table 1)</w:t>
      </w:r>
      <w:r>
        <w:rPr>
          <w:rFonts w:ascii="Book Antiqua" w:hAnsi="Book Antiqua" w:hint="eastAsia"/>
          <w:lang w:val="en-GB" w:eastAsia="zh-CN"/>
        </w:rPr>
        <w:t>.</w:t>
      </w:r>
    </w:p>
    <w:p w14:paraId="71804A3F" w14:textId="77777777" w:rsidR="00563BB7" w:rsidRDefault="00563BB7" w:rsidP="006A3266">
      <w:pPr>
        <w:pStyle w:val="NormalWeb"/>
        <w:spacing w:before="0" w:beforeAutospacing="0" w:after="0" w:afterAutospacing="0" w:line="360" w:lineRule="auto"/>
        <w:ind w:firstLineChars="150" w:firstLine="360"/>
        <w:jc w:val="both"/>
        <w:rPr>
          <w:rFonts w:ascii="Book Antiqua" w:hAnsi="Book Antiqua"/>
          <w:lang w:val="en-GB" w:eastAsia="zh-CN"/>
        </w:rPr>
      </w:pPr>
      <w:r>
        <w:rPr>
          <w:rFonts w:ascii="Book Antiqua" w:hAnsi="Book Antiqua"/>
          <w:lang w:val="en-GB"/>
        </w:rPr>
        <w:t xml:space="preserve">Rapid acetylators with </w:t>
      </w:r>
      <w:r w:rsidRPr="00130821">
        <w:rPr>
          <w:rFonts w:ascii="Book Antiqua" w:hAnsi="Book Antiqua"/>
          <w:lang w:val="en-GB"/>
        </w:rPr>
        <w:t xml:space="preserve">NAT1 genotypes were </w:t>
      </w:r>
      <w:r>
        <w:rPr>
          <w:rFonts w:ascii="Book Antiqua" w:hAnsi="Book Antiqua"/>
          <w:lang w:val="en-GB"/>
        </w:rPr>
        <w:t xml:space="preserve">found to have </w:t>
      </w:r>
      <w:r w:rsidRPr="00130821">
        <w:rPr>
          <w:rFonts w:ascii="Book Antiqua" w:hAnsi="Book Antiqua"/>
          <w:lang w:val="en-GB"/>
        </w:rPr>
        <w:t>reduced TGN concentration</w:t>
      </w:r>
      <w:r>
        <w:rPr>
          <w:rFonts w:ascii="Book Antiqua" w:hAnsi="Book Antiqua"/>
          <w:lang w:val="en-GB"/>
        </w:rPr>
        <w:t>, and t</w:t>
      </w:r>
      <w:r w:rsidRPr="00130821">
        <w:rPr>
          <w:rFonts w:ascii="Book Antiqua" w:hAnsi="Book Antiqua"/>
          <w:lang w:val="en-GB"/>
        </w:rPr>
        <w:t xml:space="preserve">he effect of NAT1 </w:t>
      </w:r>
      <w:r>
        <w:rPr>
          <w:rFonts w:ascii="Book Antiqua" w:hAnsi="Book Antiqua"/>
          <w:lang w:val="en-GB"/>
        </w:rPr>
        <w:t xml:space="preserve">activity </w:t>
      </w:r>
      <w:r w:rsidRPr="00130821">
        <w:rPr>
          <w:rFonts w:ascii="Book Antiqua" w:hAnsi="Book Antiqua"/>
          <w:lang w:val="en-GB"/>
        </w:rPr>
        <w:t xml:space="preserve">on TGN </w:t>
      </w:r>
      <w:r>
        <w:rPr>
          <w:rFonts w:ascii="Book Antiqua" w:hAnsi="Book Antiqua"/>
          <w:lang w:val="en-GB"/>
        </w:rPr>
        <w:t xml:space="preserve">persisted up to </w:t>
      </w:r>
      <w:r w:rsidRPr="00130821">
        <w:rPr>
          <w:rFonts w:ascii="Book Antiqua" w:hAnsi="Book Antiqua"/>
          <w:lang w:val="en-GB"/>
        </w:rPr>
        <w:t xml:space="preserve">one month after </w:t>
      </w:r>
      <w:r>
        <w:rPr>
          <w:rFonts w:ascii="Book Antiqua" w:hAnsi="Book Antiqua"/>
          <w:lang w:val="en-GB"/>
        </w:rPr>
        <w:t>discontinuation of the 5-ASA</w:t>
      </w:r>
      <w:r w:rsidRPr="00130821">
        <w:rPr>
          <w:rFonts w:ascii="Book Antiqua" w:hAnsi="Book Antiqua"/>
          <w:lang w:val="en-GB"/>
        </w:rPr>
        <w:t xml:space="preserve">. </w:t>
      </w:r>
      <w:r>
        <w:rPr>
          <w:rFonts w:ascii="Book Antiqua" w:hAnsi="Book Antiqua"/>
          <w:lang w:val="en-GB"/>
        </w:rPr>
        <w:t xml:space="preserve">NAT2 polymorphism, instead, did not produce any effect. These results, though limited by the small number of patients, show that </w:t>
      </w:r>
      <w:r w:rsidRPr="00130821">
        <w:rPr>
          <w:rFonts w:ascii="Book Antiqua" w:hAnsi="Book Antiqua"/>
          <w:lang w:val="en-GB"/>
        </w:rPr>
        <w:t xml:space="preserve">the NAT1 genotype affects TGN levels in patients treated with thiopurines and </w:t>
      </w:r>
      <w:r>
        <w:rPr>
          <w:rFonts w:ascii="Book Antiqua" w:hAnsi="Book Antiqua"/>
          <w:lang w:val="en-GB"/>
        </w:rPr>
        <w:t xml:space="preserve">5-ASA </w:t>
      </w:r>
      <w:r w:rsidRPr="00130821">
        <w:rPr>
          <w:rFonts w:ascii="Book Antiqua" w:hAnsi="Book Antiqua"/>
          <w:lang w:val="en-GB"/>
        </w:rPr>
        <w:t xml:space="preserve">and </w:t>
      </w:r>
      <w:r>
        <w:rPr>
          <w:rFonts w:ascii="Book Antiqua" w:hAnsi="Book Antiqua"/>
          <w:lang w:val="en-GB"/>
        </w:rPr>
        <w:t xml:space="preserve">it may </w:t>
      </w:r>
      <w:r w:rsidRPr="00130821">
        <w:rPr>
          <w:rFonts w:ascii="Book Antiqua" w:hAnsi="Book Antiqua"/>
          <w:lang w:val="en-GB"/>
        </w:rPr>
        <w:t>therefore i</w:t>
      </w:r>
      <w:r>
        <w:rPr>
          <w:rFonts w:ascii="Book Antiqua" w:hAnsi="Book Antiqua"/>
          <w:lang w:val="en-GB"/>
        </w:rPr>
        <w:t>mpact on</w:t>
      </w:r>
      <w:r w:rsidRPr="00130821">
        <w:rPr>
          <w:rFonts w:ascii="Book Antiqua" w:hAnsi="Book Antiqua"/>
          <w:lang w:val="en-GB"/>
        </w:rPr>
        <w:t xml:space="preserve"> the </w:t>
      </w:r>
      <w:r>
        <w:rPr>
          <w:rFonts w:ascii="Book Antiqua" w:hAnsi="Book Antiqua"/>
          <w:lang w:val="en-GB"/>
        </w:rPr>
        <w:t xml:space="preserve">efficacy and </w:t>
      </w:r>
      <w:r w:rsidRPr="00130821">
        <w:rPr>
          <w:rFonts w:ascii="Book Antiqua" w:hAnsi="Book Antiqua"/>
          <w:lang w:val="en-GB"/>
        </w:rPr>
        <w:t>toxicity of these drugs</w:t>
      </w:r>
      <w:r w:rsidRPr="00953227">
        <w:rPr>
          <w:rFonts w:ascii="Book Antiqua" w:hAnsi="Book Antiqua"/>
          <w:vertAlign w:val="superscript"/>
          <w:lang w:val="en-GB"/>
        </w:rPr>
        <w:t>[</w:t>
      </w:r>
      <w:r w:rsidRPr="00130821">
        <w:rPr>
          <w:rFonts w:ascii="Book Antiqua" w:hAnsi="Book Antiqua"/>
          <w:vertAlign w:val="superscript"/>
          <w:lang w:val="en-GB"/>
        </w:rPr>
        <w:t>23]</w:t>
      </w:r>
      <w:r w:rsidRPr="00130821">
        <w:rPr>
          <w:rFonts w:ascii="Book Antiqua" w:hAnsi="Book Antiqua"/>
          <w:lang w:val="en-GB"/>
        </w:rPr>
        <w:t>. (Table 1)</w:t>
      </w:r>
      <w:r>
        <w:rPr>
          <w:rFonts w:ascii="Book Antiqua" w:hAnsi="Book Antiqua" w:hint="eastAsia"/>
          <w:lang w:val="en-GB" w:eastAsia="zh-CN"/>
        </w:rPr>
        <w:t>.</w:t>
      </w:r>
    </w:p>
    <w:p w14:paraId="61AD4FDE" w14:textId="77777777" w:rsidR="00563BB7" w:rsidRPr="00130821" w:rsidRDefault="00563BB7" w:rsidP="006A3266">
      <w:pPr>
        <w:pStyle w:val="NormalWeb"/>
        <w:spacing w:before="0" w:beforeAutospacing="0" w:after="0" w:afterAutospacing="0" w:line="360" w:lineRule="auto"/>
        <w:ind w:firstLineChars="150" w:firstLine="360"/>
        <w:jc w:val="both"/>
        <w:rPr>
          <w:rFonts w:ascii="Book Antiqua" w:hAnsi="Book Antiqua"/>
          <w:lang w:val="en-GB" w:eastAsia="zh-CN"/>
        </w:rPr>
      </w:pPr>
    </w:p>
    <w:p w14:paraId="50DDD096" w14:textId="77777777" w:rsidR="00563BB7" w:rsidRDefault="00563BB7" w:rsidP="006A3266">
      <w:pPr>
        <w:pStyle w:val="NormalWeb"/>
        <w:spacing w:before="0" w:beforeAutospacing="0" w:after="0" w:afterAutospacing="0" w:line="360" w:lineRule="auto"/>
        <w:jc w:val="both"/>
        <w:rPr>
          <w:rFonts w:ascii="Book Antiqua" w:hAnsi="Book Antiqua"/>
          <w:b/>
          <w:lang w:eastAsia="zh-CN"/>
        </w:rPr>
      </w:pPr>
      <w:r>
        <w:rPr>
          <w:rFonts w:ascii="Book Antiqua" w:hAnsi="Book Antiqua"/>
          <w:b/>
        </w:rPr>
        <w:t>METHOTREXATE</w:t>
      </w:r>
    </w:p>
    <w:p w14:paraId="6897FBA2" w14:textId="77777777" w:rsidR="00563BB7" w:rsidRPr="00953227" w:rsidRDefault="00563BB7" w:rsidP="006A3266">
      <w:pPr>
        <w:pStyle w:val="NormalWeb"/>
        <w:spacing w:before="0" w:beforeAutospacing="0" w:after="0" w:afterAutospacing="0" w:line="360" w:lineRule="auto"/>
        <w:jc w:val="both"/>
        <w:rPr>
          <w:rFonts w:ascii="Book Antiqua" w:hAnsi="Book Antiqua"/>
          <w:b/>
        </w:rPr>
      </w:pPr>
      <w:r>
        <w:rPr>
          <w:rFonts w:ascii="Book Antiqua" w:hAnsi="Book Antiqua"/>
          <w:lang w:val="en-GB"/>
        </w:rPr>
        <w:t>Methotrexate (MTX),</w:t>
      </w:r>
      <w:r w:rsidRPr="00130821">
        <w:rPr>
          <w:rFonts w:ascii="Book Antiqua" w:hAnsi="Book Antiqua"/>
          <w:lang w:val="en-GB"/>
        </w:rPr>
        <w:t xml:space="preserve"> a dihydrofolate reductase inhibitor</w:t>
      </w:r>
      <w:r>
        <w:rPr>
          <w:rFonts w:ascii="Book Antiqua" w:hAnsi="Book Antiqua"/>
          <w:lang w:val="en-GB"/>
        </w:rPr>
        <w:t xml:space="preserve">, has long been used effectively to treat rheumatoid arthritis until it was brought into the field of IBD to treat patients with refractory CD. Nowadays, it </w:t>
      </w:r>
      <w:r w:rsidRPr="00130821">
        <w:rPr>
          <w:rFonts w:ascii="Book Antiqua" w:hAnsi="Book Antiqua"/>
          <w:lang w:val="en-GB"/>
        </w:rPr>
        <w:t>has become one of the principal alte</w:t>
      </w:r>
      <w:r>
        <w:rPr>
          <w:rFonts w:ascii="Book Antiqua" w:hAnsi="Book Antiqua"/>
          <w:lang w:val="en-GB"/>
        </w:rPr>
        <w:t>rnatives to thiopurines as maintenance treatment</w:t>
      </w:r>
      <w:r w:rsidRPr="00953227">
        <w:rPr>
          <w:rFonts w:ascii="Book Antiqua" w:hAnsi="Book Antiqua"/>
          <w:vertAlign w:val="superscript"/>
          <w:lang w:val="en-GB"/>
        </w:rPr>
        <w:t>[</w:t>
      </w:r>
      <w:r w:rsidRPr="00130821">
        <w:rPr>
          <w:rFonts w:ascii="Book Antiqua" w:hAnsi="Book Antiqua"/>
          <w:vertAlign w:val="superscript"/>
          <w:lang w:val="en-GB"/>
        </w:rPr>
        <w:t>2</w:t>
      </w:r>
      <w:r>
        <w:rPr>
          <w:rFonts w:ascii="Book Antiqua" w:hAnsi="Book Antiqua"/>
          <w:vertAlign w:val="superscript"/>
          <w:lang w:val="en-GB"/>
        </w:rPr>
        <w:t>8,</w:t>
      </w:r>
      <w:r w:rsidRPr="00130821">
        <w:rPr>
          <w:rFonts w:ascii="Book Antiqua" w:hAnsi="Book Antiqua"/>
          <w:vertAlign w:val="superscript"/>
          <w:lang w:val="en-GB"/>
        </w:rPr>
        <w:t>29]</w:t>
      </w:r>
      <w:r w:rsidRPr="00130821">
        <w:rPr>
          <w:rFonts w:ascii="Book Antiqua" w:hAnsi="Book Antiqua"/>
          <w:lang w:val="en-GB"/>
        </w:rPr>
        <w:t>.</w:t>
      </w:r>
    </w:p>
    <w:p w14:paraId="299D5A55" w14:textId="77777777" w:rsidR="00563BB7" w:rsidRPr="00130821" w:rsidRDefault="00563BB7" w:rsidP="006A3266">
      <w:pPr>
        <w:pStyle w:val="NormalWeb"/>
        <w:spacing w:before="0" w:beforeAutospacing="0" w:after="0" w:afterAutospacing="0" w:line="360" w:lineRule="auto"/>
        <w:ind w:firstLineChars="100" w:firstLine="240"/>
        <w:jc w:val="both"/>
        <w:rPr>
          <w:rFonts w:ascii="Book Antiqua" w:hAnsi="Book Antiqua"/>
          <w:lang w:val="en-GB"/>
        </w:rPr>
      </w:pPr>
      <w:r>
        <w:rPr>
          <w:rFonts w:ascii="Book Antiqua" w:hAnsi="Book Antiqua"/>
          <w:lang w:val="en-GB"/>
        </w:rPr>
        <w:t>Efficacy of MTX, given at 15 mg/m</w:t>
      </w:r>
      <w:r w:rsidRPr="00953227">
        <w:rPr>
          <w:rFonts w:ascii="Book Antiqua" w:hAnsi="Book Antiqua"/>
          <w:vertAlign w:val="superscript"/>
          <w:lang w:val="en-GB"/>
        </w:rPr>
        <w:t>2</w:t>
      </w:r>
      <w:r>
        <w:rPr>
          <w:rFonts w:ascii="Book Antiqua" w:hAnsi="Book Antiqua"/>
          <w:lang w:val="en-GB"/>
        </w:rPr>
        <w:t xml:space="preserve"> once a week for a maximum of 25 mg/</w:t>
      </w:r>
      <w:r>
        <w:rPr>
          <w:rFonts w:ascii="Book Antiqua" w:hAnsi="Book Antiqua" w:hint="eastAsia"/>
          <w:lang w:val="en-GB" w:eastAsia="zh-CN"/>
        </w:rPr>
        <w:t>wk</w:t>
      </w:r>
      <w:r>
        <w:rPr>
          <w:rFonts w:ascii="Book Antiqua" w:hAnsi="Book Antiqua"/>
          <w:lang w:val="en-GB"/>
        </w:rPr>
        <w:t xml:space="preserve"> subcutaneously, is reported as 50</w:t>
      </w:r>
      <w:r>
        <w:rPr>
          <w:rFonts w:ascii="Book Antiqua" w:hAnsi="Book Antiqua" w:hint="eastAsia"/>
          <w:lang w:val="en-GB" w:eastAsia="zh-CN"/>
        </w:rPr>
        <w:t>%</w:t>
      </w:r>
      <w:r>
        <w:rPr>
          <w:rFonts w:ascii="Book Antiqua" w:hAnsi="Book Antiqua"/>
          <w:lang w:val="en-GB"/>
        </w:rPr>
        <w:t xml:space="preserve">-80% by </w:t>
      </w:r>
      <w:r w:rsidRPr="00130821">
        <w:rPr>
          <w:rFonts w:ascii="Book Antiqua" w:hAnsi="Book Antiqua"/>
          <w:lang w:val="en-GB"/>
        </w:rPr>
        <w:t>retrospective cohort studies in children who failed to respond or were intolerant to thiopurines</w:t>
      </w:r>
      <w:r w:rsidRPr="00953227">
        <w:rPr>
          <w:rFonts w:ascii="Book Antiqua" w:hAnsi="Book Antiqua"/>
          <w:vertAlign w:val="superscript"/>
          <w:lang w:val="en-GB"/>
        </w:rPr>
        <w:t>[</w:t>
      </w:r>
      <w:r w:rsidRPr="00130821">
        <w:rPr>
          <w:rFonts w:ascii="Book Antiqua" w:hAnsi="Book Antiqua"/>
          <w:vertAlign w:val="superscript"/>
          <w:lang w:val="en-GB"/>
        </w:rPr>
        <w:t>3]</w:t>
      </w:r>
      <w:r w:rsidRPr="00130821">
        <w:rPr>
          <w:rFonts w:ascii="Book Antiqua" w:hAnsi="Book Antiqua"/>
          <w:lang w:val="en-GB"/>
        </w:rPr>
        <w:t>.</w:t>
      </w:r>
      <w:r>
        <w:rPr>
          <w:rFonts w:ascii="Book Antiqua" w:hAnsi="Book Antiqua" w:hint="eastAsia"/>
          <w:lang w:val="en-GB" w:eastAsia="zh-CN"/>
        </w:rPr>
        <w:t xml:space="preserve"> </w:t>
      </w:r>
      <w:r w:rsidRPr="00130821">
        <w:rPr>
          <w:rFonts w:ascii="Book Antiqua" w:hAnsi="Book Antiqua"/>
          <w:lang w:val="en-GB"/>
        </w:rPr>
        <w:t xml:space="preserve">MTX is </w:t>
      </w:r>
      <w:r>
        <w:rPr>
          <w:rFonts w:ascii="Book Antiqua" w:hAnsi="Book Antiqua"/>
          <w:lang w:val="en-GB"/>
        </w:rPr>
        <w:t xml:space="preserve">a </w:t>
      </w:r>
      <w:r w:rsidRPr="00130821">
        <w:rPr>
          <w:rFonts w:ascii="Book Antiqua" w:hAnsi="Book Antiqua"/>
          <w:lang w:val="en-GB"/>
        </w:rPr>
        <w:t xml:space="preserve">first-line </w:t>
      </w:r>
      <w:r w:rsidRPr="00130821">
        <w:rPr>
          <w:rFonts w:ascii="Book Antiqua" w:hAnsi="Book Antiqua"/>
          <w:lang w:val="en-GB"/>
        </w:rPr>
        <w:lastRenderedPageBreak/>
        <w:t xml:space="preserve">treatment </w:t>
      </w:r>
      <w:r>
        <w:rPr>
          <w:rFonts w:ascii="Book Antiqua" w:hAnsi="Book Antiqua"/>
          <w:lang w:val="en-GB"/>
        </w:rPr>
        <w:t>option in patients who have concomitant</w:t>
      </w:r>
      <w:r w:rsidRPr="00130821">
        <w:rPr>
          <w:rFonts w:ascii="Book Antiqua" w:hAnsi="Book Antiqua"/>
          <w:lang w:val="en-GB"/>
        </w:rPr>
        <w:t xml:space="preserve"> inflammatory arthritis and it represents a</w:t>
      </w:r>
      <w:r>
        <w:rPr>
          <w:rFonts w:ascii="Book Antiqua" w:hAnsi="Book Antiqua"/>
          <w:lang w:val="en-GB"/>
        </w:rPr>
        <w:t xml:space="preserve"> </w:t>
      </w:r>
      <w:r w:rsidRPr="00130821">
        <w:rPr>
          <w:rFonts w:ascii="Book Antiqua" w:hAnsi="Book Antiqua"/>
          <w:lang w:val="en-GB"/>
        </w:rPr>
        <w:t xml:space="preserve">valuable alternative to maintenance treatment with </w:t>
      </w:r>
      <w:r>
        <w:rPr>
          <w:rFonts w:ascii="Book Antiqua" w:hAnsi="Book Antiqua"/>
          <w:lang w:val="en-GB"/>
        </w:rPr>
        <w:t>anti-TNF</w:t>
      </w:r>
      <w:r w:rsidRPr="00953227">
        <w:rPr>
          <w:rFonts w:ascii="Book Antiqua" w:hAnsi="Book Antiqua"/>
          <w:vertAlign w:val="superscript"/>
          <w:lang w:val="en-GB"/>
        </w:rPr>
        <w:t>[</w:t>
      </w:r>
      <w:r w:rsidRPr="00130821">
        <w:rPr>
          <w:rFonts w:ascii="Book Antiqua" w:hAnsi="Book Antiqua"/>
          <w:vertAlign w:val="superscript"/>
          <w:lang w:val="en-GB"/>
        </w:rPr>
        <w:t>3, 29]</w:t>
      </w:r>
      <w:r w:rsidRPr="00130821">
        <w:rPr>
          <w:rFonts w:ascii="Book Antiqua" w:hAnsi="Book Antiqua"/>
          <w:lang w:val="en-GB"/>
        </w:rPr>
        <w:t>.</w:t>
      </w:r>
      <w:r>
        <w:rPr>
          <w:rFonts w:ascii="Book Antiqua" w:hAnsi="Book Antiqua" w:hint="eastAsia"/>
          <w:lang w:val="en-GB" w:eastAsia="zh-CN"/>
        </w:rPr>
        <w:t xml:space="preserve"> </w:t>
      </w:r>
      <w:r w:rsidRPr="00130821">
        <w:rPr>
          <w:rFonts w:ascii="Book Antiqua" w:hAnsi="Book Antiqua"/>
          <w:lang w:val="en-GB"/>
        </w:rPr>
        <w:t xml:space="preserve">Adverse events </w:t>
      </w:r>
      <w:r>
        <w:rPr>
          <w:rFonts w:ascii="Book Antiqua" w:hAnsi="Book Antiqua"/>
          <w:lang w:val="en-GB"/>
        </w:rPr>
        <w:t xml:space="preserve">associated with MTX </w:t>
      </w:r>
      <w:r w:rsidRPr="00130821">
        <w:rPr>
          <w:rFonts w:ascii="Book Antiqua" w:hAnsi="Book Antiqua"/>
          <w:lang w:val="en-GB"/>
        </w:rPr>
        <w:t>include flu-like symptoms, transaminitis and</w:t>
      </w:r>
      <w:r>
        <w:rPr>
          <w:rFonts w:ascii="Book Antiqua" w:hAnsi="Book Antiqua"/>
          <w:lang w:val="en-GB"/>
        </w:rPr>
        <w:t>,</w:t>
      </w:r>
      <w:r w:rsidRPr="00130821">
        <w:rPr>
          <w:rFonts w:ascii="Book Antiqua" w:hAnsi="Book Antiqua"/>
          <w:lang w:val="en-GB"/>
        </w:rPr>
        <w:t xml:space="preserve"> </w:t>
      </w:r>
      <w:r>
        <w:rPr>
          <w:rFonts w:ascii="Book Antiqua" w:hAnsi="Book Antiqua"/>
          <w:lang w:val="en-GB"/>
        </w:rPr>
        <w:t xml:space="preserve">less frequently, </w:t>
      </w:r>
      <w:r w:rsidRPr="00130821">
        <w:rPr>
          <w:rFonts w:ascii="Book Antiqua" w:hAnsi="Book Antiqua"/>
          <w:lang w:val="en-GB"/>
        </w:rPr>
        <w:t>myelosuppression, which may require dosage adjustment or drug withdrawal</w:t>
      </w:r>
      <w:r w:rsidRPr="00953227">
        <w:rPr>
          <w:rFonts w:ascii="Book Antiqua" w:hAnsi="Book Antiqua"/>
          <w:vertAlign w:val="superscript"/>
          <w:lang w:val="en-GB"/>
        </w:rPr>
        <w:t>[</w:t>
      </w:r>
      <w:r w:rsidRPr="00130821">
        <w:rPr>
          <w:rFonts w:ascii="Book Antiqua" w:hAnsi="Book Antiqua"/>
          <w:vertAlign w:val="superscript"/>
          <w:lang w:val="en-GB"/>
        </w:rPr>
        <w:t>3]</w:t>
      </w:r>
      <w:r w:rsidRPr="00130821">
        <w:rPr>
          <w:rFonts w:ascii="Book Antiqua" w:hAnsi="Book Antiqua"/>
          <w:lang w:val="en-GB"/>
        </w:rPr>
        <w:t xml:space="preserve">. Nausea and vomiting have been reported in 11%–24% of patients, </w:t>
      </w:r>
      <w:r>
        <w:rPr>
          <w:rFonts w:ascii="Book Antiqua" w:hAnsi="Book Antiqua"/>
          <w:lang w:val="en-GB"/>
        </w:rPr>
        <w:t xml:space="preserve">the majority of whom respond to </w:t>
      </w:r>
      <w:r w:rsidRPr="00130821">
        <w:rPr>
          <w:rFonts w:ascii="Book Antiqua" w:hAnsi="Book Antiqua"/>
          <w:lang w:val="en-GB"/>
        </w:rPr>
        <w:t>antiemetic medication. Significant hepatocellular liver disease is rare. Contraception is essential</w:t>
      </w:r>
      <w:r w:rsidRPr="00953227">
        <w:rPr>
          <w:rFonts w:ascii="Book Antiqua" w:hAnsi="Book Antiqua"/>
          <w:vertAlign w:val="superscript"/>
          <w:lang w:val="en-GB"/>
        </w:rPr>
        <w:t>[</w:t>
      </w:r>
      <w:r w:rsidRPr="00130821">
        <w:rPr>
          <w:rFonts w:ascii="Book Antiqua" w:hAnsi="Book Antiqua"/>
          <w:vertAlign w:val="superscript"/>
          <w:lang w:val="en-GB"/>
        </w:rPr>
        <w:t>3]</w:t>
      </w:r>
      <w:r w:rsidRPr="00130821">
        <w:rPr>
          <w:rFonts w:ascii="Book Antiqua" w:hAnsi="Book Antiqua"/>
          <w:lang w:val="en-GB"/>
        </w:rPr>
        <w:t xml:space="preserve">. </w:t>
      </w:r>
    </w:p>
    <w:p w14:paraId="149F389C" w14:textId="77777777" w:rsidR="00563BB7" w:rsidRPr="00D43973" w:rsidRDefault="00563BB7" w:rsidP="006A3266">
      <w:pPr>
        <w:widowControl w:val="0"/>
        <w:autoSpaceDE w:val="0"/>
        <w:autoSpaceDN w:val="0"/>
        <w:adjustRightInd w:val="0"/>
        <w:spacing w:line="360" w:lineRule="auto"/>
        <w:ind w:firstLineChars="150" w:firstLine="360"/>
        <w:jc w:val="both"/>
        <w:rPr>
          <w:rFonts w:ascii="Book Antiqua" w:hAnsi="Book Antiqua"/>
          <w:lang w:val="en-GB"/>
        </w:rPr>
      </w:pPr>
      <w:r w:rsidRPr="00D43973">
        <w:rPr>
          <w:rFonts w:ascii="Book Antiqua" w:hAnsi="Book Antiqua"/>
          <w:lang w:val="en-GB"/>
        </w:rPr>
        <w:t xml:space="preserve">Systematic reviews performed by MacDonald JW and by Patel </w:t>
      </w:r>
      <w:r w:rsidRPr="00953227">
        <w:rPr>
          <w:rFonts w:ascii="Book Antiqua" w:hAnsi="Book Antiqua" w:hint="eastAsia"/>
          <w:i/>
          <w:lang w:val="en-GB" w:eastAsia="zh-CN"/>
        </w:rPr>
        <w:t xml:space="preserve"> </w:t>
      </w:r>
      <w:r w:rsidRPr="00953227">
        <w:rPr>
          <w:rFonts w:ascii="Book Antiqua" w:hAnsi="Book Antiqua"/>
          <w:i/>
          <w:lang w:val="en-GB"/>
        </w:rPr>
        <w:t>et al</w:t>
      </w:r>
      <w:r w:rsidRPr="00953227">
        <w:rPr>
          <w:rFonts w:ascii="Book Antiqua" w:hAnsi="Book Antiqua"/>
          <w:vertAlign w:val="superscript"/>
          <w:lang w:val="en-GB"/>
        </w:rPr>
        <w:t>[</w:t>
      </w:r>
      <w:r>
        <w:rPr>
          <w:rFonts w:ascii="Book Antiqua" w:hAnsi="Book Antiqua" w:hint="eastAsia"/>
          <w:vertAlign w:val="superscript"/>
          <w:lang w:val="en-GB" w:eastAsia="zh-CN"/>
        </w:rPr>
        <w:t>29</w:t>
      </w:r>
      <w:r w:rsidRPr="008B21E2">
        <w:rPr>
          <w:rFonts w:ascii="Book Antiqua" w:hAnsi="Book Antiqua"/>
          <w:vertAlign w:val="superscript"/>
          <w:lang w:val="en-GB"/>
        </w:rPr>
        <w:t>]</w:t>
      </w:r>
      <w:r w:rsidRPr="00D43973">
        <w:rPr>
          <w:rFonts w:ascii="Book Antiqua" w:hAnsi="Book Antiqua"/>
          <w:lang w:val="en-GB"/>
        </w:rPr>
        <w:t xml:space="preserve"> to assess the efficacy and safety of MTX for the treatment of active refractory CD in adults, show that intramuscular MTX is effective in inducing remission and </w:t>
      </w:r>
      <w:r>
        <w:rPr>
          <w:rFonts w:ascii="Book Antiqua" w:hAnsi="Book Antiqua"/>
          <w:lang w:val="en-GB"/>
        </w:rPr>
        <w:t xml:space="preserve">acts as a steroid sparing agent allowing </w:t>
      </w:r>
      <w:r w:rsidRPr="00D43973">
        <w:rPr>
          <w:rFonts w:ascii="Book Antiqua" w:hAnsi="Book Antiqua"/>
          <w:lang w:val="en-GB"/>
        </w:rPr>
        <w:t>complete withdrawal from steroids</w:t>
      </w:r>
      <w:r w:rsidRPr="00953227">
        <w:rPr>
          <w:rFonts w:ascii="Book Antiqua" w:hAnsi="Book Antiqua"/>
          <w:vertAlign w:val="superscript"/>
          <w:lang w:val="en-GB"/>
        </w:rPr>
        <w:t>[</w:t>
      </w:r>
      <w:r>
        <w:rPr>
          <w:rFonts w:ascii="Book Antiqua" w:hAnsi="Book Antiqua"/>
          <w:vertAlign w:val="superscript"/>
          <w:lang w:val="en-GB"/>
        </w:rPr>
        <w:t>28,30</w:t>
      </w:r>
      <w:r w:rsidRPr="008B21E2">
        <w:rPr>
          <w:rFonts w:ascii="Book Antiqua" w:hAnsi="Book Antiqua"/>
          <w:vertAlign w:val="superscript"/>
          <w:lang w:val="en-GB"/>
        </w:rPr>
        <w:t>,</w:t>
      </w:r>
      <w:r>
        <w:rPr>
          <w:rFonts w:ascii="Book Antiqua" w:hAnsi="Book Antiqua"/>
          <w:vertAlign w:val="superscript"/>
          <w:lang w:val="en-GB"/>
        </w:rPr>
        <w:t>31</w:t>
      </w:r>
      <w:r w:rsidRPr="008B21E2">
        <w:rPr>
          <w:rFonts w:ascii="Book Antiqua" w:hAnsi="Book Antiqua"/>
          <w:vertAlign w:val="superscript"/>
          <w:lang w:val="en-GB"/>
        </w:rPr>
        <w:t>]</w:t>
      </w:r>
      <w:r w:rsidRPr="00D43973">
        <w:rPr>
          <w:rFonts w:ascii="Book Antiqua" w:hAnsi="Book Antiqua"/>
          <w:lang w:val="en-GB"/>
        </w:rPr>
        <w:t xml:space="preserve">. Lower dose oral MTX does not appear to provide any significant benefit </w:t>
      </w:r>
      <w:r>
        <w:rPr>
          <w:rFonts w:ascii="Book Antiqua" w:hAnsi="Book Antiqua"/>
          <w:lang w:val="en-GB"/>
        </w:rPr>
        <w:t>in respect to</w:t>
      </w:r>
      <w:r w:rsidRPr="00D43973">
        <w:rPr>
          <w:rFonts w:ascii="Book Antiqua" w:hAnsi="Book Antiqua"/>
          <w:lang w:val="en-GB"/>
        </w:rPr>
        <w:t xml:space="preserve"> placebo or active comparator</w:t>
      </w:r>
      <w:r w:rsidRPr="00953227">
        <w:rPr>
          <w:rFonts w:ascii="Book Antiqua" w:hAnsi="Book Antiqua"/>
          <w:vertAlign w:val="superscript"/>
          <w:lang w:val="en-GB"/>
        </w:rPr>
        <w:t>[</w:t>
      </w:r>
      <w:r>
        <w:rPr>
          <w:rFonts w:ascii="Book Antiqua" w:hAnsi="Book Antiqua"/>
          <w:vertAlign w:val="superscript"/>
          <w:lang w:val="en-GB"/>
        </w:rPr>
        <w:t>28, 31-33</w:t>
      </w:r>
      <w:r w:rsidRPr="008B21E2">
        <w:rPr>
          <w:rFonts w:ascii="Book Antiqua" w:hAnsi="Book Antiqua"/>
          <w:vertAlign w:val="superscript"/>
          <w:lang w:val="en-GB"/>
        </w:rPr>
        <w:t>]</w:t>
      </w:r>
      <w:r w:rsidRPr="00D43973">
        <w:rPr>
          <w:rFonts w:ascii="Book Antiqua" w:hAnsi="Book Antiqua"/>
          <w:lang w:val="en-GB"/>
        </w:rPr>
        <w:t>. Though limited by the small size of the studies analysed, th</w:t>
      </w:r>
      <w:r>
        <w:rPr>
          <w:rFonts w:ascii="Book Antiqua" w:hAnsi="Book Antiqua"/>
          <w:lang w:val="en-GB"/>
        </w:rPr>
        <w:t>is review could not identify any additional benefit from combining MTX and</w:t>
      </w:r>
      <w:r w:rsidRPr="00D43973">
        <w:rPr>
          <w:rFonts w:ascii="Book Antiqua" w:hAnsi="Book Antiqua"/>
          <w:lang w:val="en-GB"/>
        </w:rPr>
        <w:t xml:space="preserve"> infliximab (IFX) over IFX monotherapy</w:t>
      </w:r>
      <w:r w:rsidRPr="00953227">
        <w:rPr>
          <w:rFonts w:ascii="Book Antiqua" w:hAnsi="Book Antiqua"/>
          <w:vertAlign w:val="superscript"/>
          <w:lang w:val="en-GB"/>
        </w:rPr>
        <w:t>[</w:t>
      </w:r>
      <w:r>
        <w:rPr>
          <w:rFonts w:ascii="Book Antiqua" w:hAnsi="Book Antiqua"/>
          <w:vertAlign w:val="superscript"/>
          <w:lang w:val="en-GB"/>
        </w:rPr>
        <w:t>28, 31</w:t>
      </w:r>
      <w:r w:rsidRPr="008B21E2">
        <w:rPr>
          <w:rFonts w:ascii="Book Antiqua" w:hAnsi="Book Antiqua"/>
          <w:vertAlign w:val="superscript"/>
          <w:lang w:val="en-GB"/>
        </w:rPr>
        <w:t>]</w:t>
      </w:r>
      <w:r w:rsidRPr="00D43973">
        <w:rPr>
          <w:rFonts w:ascii="Book Antiqua" w:hAnsi="Book Antiqua"/>
          <w:lang w:val="en-GB"/>
        </w:rPr>
        <w:t xml:space="preserve">. </w:t>
      </w:r>
    </w:p>
    <w:p w14:paraId="3B4B8852" w14:textId="77777777" w:rsidR="00563BB7" w:rsidRPr="00D43973" w:rsidRDefault="00563BB7" w:rsidP="006A3266">
      <w:pPr>
        <w:widowControl w:val="0"/>
        <w:autoSpaceDE w:val="0"/>
        <w:autoSpaceDN w:val="0"/>
        <w:adjustRightInd w:val="0"/>
        <w:spacing w:line="360" w:lineRule="auto"/>
        <w:jc w:val="both"/>
        <w:rPr>
          <w:rFonts w:ascii="Book Antiqua" w:hAnsi="Book Antiqua"/>
          <w:lang w:val="en-GB"/>
        </w:rPr>
      </w:pPr>
    </w:p>
    <w:p w14:paraId="5BB98ED9" w14:textId="77777777" w:rsidR="00563BB7" w:rsidRPr="00BD53D9" w:rsidRDefault="00563BB7" w:rsidP="006A3266">
      <w:pPr>
        <w:widowControl w:val="0"/>
        <w:autoSpaceDE w:val="0"/>
        <w:autoSpaceDN w:val="0"/>
        <w:adjustRightInd w:val="0"/>
        <w:spacing w:line="360" w:lineRule="auto"/>
        <w:jc w:val="both"/>
        <w:rPr>
          <w:rFonts w:ascii="Book Antiqua" w:hAnsi="Book Antiqua"/>
          <w:b/>
        </w:rPr>
      </w:pPr>
      <w:r w:rsidRPr="00BD53D9">
        <w:rPr>
          <w:rFonts w:ascii="Book Antiqua" w:hAnsi="Book Antiqua"/>
          <w:b/>
        </w:rPr>
        <w:t>BIOLOGICS AND BIOSIMILARS</w:t>
      </w:r>
    </w:p>
    <w:p w14:paraId="78AA0B99" w14:textId="71F0DD9C" w:rsidR="00563BB7" w:rsidRPr="00130821" w:rsidRDefault="00563BB7" w:rsidP="006A3266">
      <w:pPr>
        <w:pStyle w:val="NormalWeb"/>
        <w:spacing w:before="0" w:beforeAutospacing="0" w:after="0" w:afterAutospacing="0" w:line="360" w:lineRule="auto"/>
        <w:jc w:val="both"/>
        <w:rPr>
          <w:rFonts w:ascii="Book Antiqua" w:hAnsi="Book Antiqua"/>
          <w:lang w:val="en-GB"/>
        </w:rPr>
      </w:pPr>
      <w:r w:rsidRPr="00130821">
        <w:rPr>
          <w:rFonts w:ascii="Book Antiqua" w:hAnsi="Book Antiqua"/>
          <w:lang w:val="en-GB"/>
        </w:rPr>
        <w:t xml:space="preserve">TNF </w:t>
      </w:r>
      <w:r>
        <w:rPr>
          <w:rFonts w:ascii="Book Antiqua" w:hAnsi="Book Antiqua"/>
          <w:lang w:val="en-GB"/>
        </w:rPr>
        <w:t xml:space="preserve">is </w:t>
      </w:r>
      <w:r w:rsidRPr="00130821">
        <w:rPr>
          <w:rFonts w:ascii="Book Antiqua" w:hAnsi="Book Antiqua"/>
          <w:lang w:val="en-GB"/>
        </w:rPr>
        <w:t>produced by macrophages, adipoc</w:t>
      </w:r>
      <w:r>
        <w:rPr>
          <w:rFonts w:ascii="Book Antiqua" w:hAnsi="Book Antiqua"/>
          <w:lang w:val="en-GB"/>
        </w:rPr>
        <w:t>ytes, fibroblasts and T cells and acts as</w:t>
      </w:r>
      <w:r w:rsidRPr="00130821">
        <w:rPr>
          <w:rFonts w:ascii="Book Antiqua" w:hAnsi="Book Antiqua"/>
          <w:lang w:val="en-GB"/>
        </w:rPr>
        <w:t xml:space="preserve"> a pleiotropic, </w:t>
      </w:r>
      <w:r>
        <w:rPr>
          <w:rFonts w:ascii="Book Antiqua" w:hAnsi="Book Antiqua"/>
          <w:lang w:val="en-GB"/>
        </w:rPr>
        <w:t>pro-</w:t>
      </w:r>
      <w:r w:rsidRPr="00130821">
        <w:rPr>
          <w:rFonts w:ascii="Book Antiqua" w:hAnsi="Book Antiqua"/>
          <w:lang w:val="en-GB"/>
        </w:rPr>
        <w:t xml:space="preserve">inflammatory cytokine </w:t>
      </w:r>
      <w:r>
        <w:rPr>
          <w:rFonts w:ascii="Book Antiqua" w:hAnsi="Book Antiqua"/>
          <w:lang w:val="en-GB"/>
        </w:rPr>
        <w:t xml:space="preserve">by triggering a cascade of events that lead to </w:t>
      </w:r>
      <w:r w:rsidRPr="00130821">
        <w:rPr>
          <w:rFonts w:ascii="Book Antiqua" w:hAnsi="Book Antiqua"/>
          <w:lang w:val="en-GB"/>
        </w:rPr>
        <w:t>tissue damage</w:t>
      </w:r>
      <w:r w:rsidRPr="00953227">
        <w:rPr>
          <w:rFonts w:ascii="Book Antiqua" w:hAnsi="Book Antiqua"/>
          <w:vertAlign w:val="superscript"/>
          <w:lang w:val="en-GB"/>
        </w:rPr>
        <w:t>[</w:t>
      </w:r>
      <w:r w:rsidRPr="00130821">
        <w:rPr>
          <w:rFonts w:ascii="Book Antiqua" w:hAnsi="Book Antiqua"/>
          <w:vertAlign w:val="superscript"/>
          <w:lang w:val="en-GB"/>
        </w:rPr>
        <w:t>5,7]</w:t>
      </w:r>
      <w:r w:rsidRPr="00130821">
        <w:rPr>
          <w:rFonts w:ascii="Book Antiqua" w:hAnsi="Book Antiqua"/>
          <w:lang w:val="en-GB"/>
        </w:rPr>
        <w:t xml:space="preserve">. </w:t>
      </w:r>
    </w:p>
    <w:p w14:paraId="2E8BD495" w14:textId="77777777" w:rsidR="00563BB7" w:rsidRDefault="00563BB7" w:rsidP="00020B09">
      <w:pPr>
        <w:widowControl w:val="0"/>
        <w:autoSpaceDE w:val="0"/>
        <w:autoSpaceDN w:val="0"/>
        <w:adjustRightInd w:val="0"/>
        <w:spacing w:line="360" w:lineRule="auto"/>
        <w:ind w:firstLineChars="100" w:firstLine="240"/>
        <w:jc w:val="both"/>
        <w:rPr>
          <w:rFonts w:ascii="Book Antiqua" w:hAnsi="Book Antiqua"/>
          <w:lang w:val="en-GB"/>
        </w:rPr>
      </w:pPr>
      <w:r>
        <w:rPr>
          <w:rFonts w:ascii="Book Antiqua" w:hAnsi="Book Antiqua"/>
          <w:lang w:val="en-GB"/>
        </w:rPr>
        <w:t>Infliximab (IFX),</w:t>
      </w:r>
      <w:r w:rsidRPr="00D43973">
        <w:rPr>
          <w:rFonts w:ascii="Book Antiqua" w:hAnsi="Book Antiqua"/>
          <w:lang w:val="en-GB"/>
        </w:rPr>
        <w:t xml:space="preserve"> adalimumab (ADA) </w:t>
      </w:r>
      <w:r>
        <w:rPr>
          <w:rFonts w:ascii="Book Antiqua" w:hAnsi="Book Antiqua"/>
          <w:lang w:val="en-GB"/>
        </w:rPr>
        <w:t xml:space="preserve">and other anti-TNF agents act by suppressing </w:t>
      </w:r>
      <w:r w:rsidRPr="00D43973">
        <w:rPr>
          <w:rFonts w:ascii="Book Antiqua" w:hAnsi="Book Antiqua"/>
          <w:lang w:val="en-GB"/>
        </w:rPr>
        <w:t>downstream pathways mediated by TNF including angiogenesis, increase in T-helper cell 1 (Th1) cytokine production (interleukin-12 and interferon- γ), death of in</w:t>
      </w:r>
      <w:r>
        <w:rPr>
          <w:rFonts w:ascii="Book Antiqua" w:hAnsi="Book Antiqua"/>
          <w:lang w:val="en-GB"/>
        </w:rPr>
        <w:t>testinal epithelial cells</w:t>
      </w:r>
      <w:r w:rsidRPr="00D43973">
        <w:rPr>
          <w:rFonts w:ascii="Book Antiqua" w:hAnsi="Book Antiqua"/>
          <w:lang w:val="en-GB"/>
        </w:rPr>
        <w:t xml:space="preserve"> and</w:t>
      </w:r>
      <w:r>
        <w:rPr>
          <w:rFonts w:ascii="Book Antiqua" w:hAnsi="Book Antiqua"/>
          <w:lang w:val="en-GB"/>
        </w:rPr>
        <w:t xml:space="preserve"> T-cell resistance to apoptosis</w:t>
      </w:r>
      <w:r w:rsidRPr="00953227">
        <w:rPr>
          <w:rFonts w:ascii="Book Antiqua" w:hAnsi="Book Antiqua"/>
          <w:vertAlign w:val="superscript"/>
          <w:lang w:val="en-GB"/>
        </w:rPr>
        <w:t>[</w:t>
      </w:r>
      <w:r>
        <w:rPr>
          <w:rFonts w:ascii="Book Antiqua" w:hAnsi="Book Antiqua"/>
          <w:vertAlign w:val="superscript"/>
          <w:lang w:val="en-GB"/>
        </w:rPr>
        <w:t>5</w:t>
      </w:r>
      <w:r w:rsidRPr="008B21E2">
        <w:rPr>
          <w:rFonts w:ascii="Book Antiqua" w:hAnsi="Book Antiqua"/>
          <w:vertAlign w:val="superscript"/>
          <w:lang w:val="en-GB"/>
        </w:rPr>
        <w:t>]</w:t>
      </w:r>
      <w:r>
        <w:rPr>
          <w:rFonts w:ascii="Book Antiqua" w:hAnsi="Book Antiqua"/>
          <w:lang w:val="en-GB"/>
        </w:rPr>
        <w:t>.</w:t>
      </w:r>
      <w:r w:rsidRPr="00D43973">
        <w:rPr>
          <w:rFonts w:ascii="Book Antiqua" w:hAnsi="Book Antiqua"/>
          <w:lang w:val="en-GB"/>
        </w:rPr>
        <w:t xml:space="preserve"> </w:t>
      </w:r>
    </w:p>
    <w:p w14:paraId="45673677" w14:textId="77777777" w:rsidR="00563BB7" w:rsidRDefault="00563BB7" w:rsidP="006A3266">
      <w:pPr>
        <w:pStyle w:val="NormalWeb"/>
        <w:spacing w:before="0" w:beforeAutospacing="0" w:after="0" w:afterAutospacing="0" w:line="360" w:lineRule="auto"/>
        <w:ind w:firstLineChars="100" w:firstLine="240"/>
        <w:jc w:val="both"/>
        <w:rPr>
          <w:rFonts w:ascii="Book Antiqua" w:hAnsi="Book Antiqua"/>
          <w:lang w:val="en-GB" w:eastAsia="zh-CN"/>
        </w:rPr>
      </w:pPr>
      <w:r>
        <w:rPr>
          <w:rFonts w:ascii="Book Antiqua" w:hAnsi="Book Antiqua"/>
          <w:lang w:val="en-GB"/>
        </w:rPr>
        <w:t xml:space="preserve">Anti-TNF medications are able to achieve and maintain MH, with growing evidence of a change in </w:t>
      </w:r>
      <w:r w:rsidRPr="00130821">
        <w:rPr>
          <w:rFonts w:ascii="Book Antiqua" w:hAnsi="Book Antiqua"/>
          <w:lang w:val="en-GB"/>
        </w:rPr>
        <w:t xml:space="preserve">the natural history of the disease. </w:t>
      </w:r>
      <w:r>
        <w:rPr>
          <w:rFonts w:ascii="Book Antiqua" w:hAnsi="Book Antiqua"/>
          <w:lang w:val="en-GB"/>
        </w:rPr>
        <w:t xml:space="preserve">Importantly, as opposed to a few years ago when clinical response and remission were the main goals in treating patients with IBD, MH </w:t>
      </w:r>
      <w:r w:rsidRPr="00130821">
        <w:rPr>
          <w:rFonts w:ascii="Book Antiqua" w:hAnsi="Book Antiqua"/>
          <w:lang w:val="en-GB"/>
        </w:rPr>
        <w:t xml:space="preserve">has recently been emphasized as a </w:t>
      </w:r>
      <w:r>
        <w:rPr>
          <w:rFonts w:ascii="Book Antiqua" w:hAnsi="Book Antiqua"/>
          <w:lang w:val="en-GB"/>
        </w:rPr>
        <w:t xml:space="preserve">stronger </w:t>
      </w:r>
      <w:r w:rsidRPr="00130821">
        <w:rPr>
          <w:rFonts w:ascii="Book Antiqua" w:hAnsi="Book Antiqua"/>
          <w:lang w:val="en-GB"/>
        </w:rPr>
        <w:t xml:space="preserve">therapeutic goal, as it predicts sustained clinical remission. </w:t>
      </w:r>
      <w:r>
        <w:rPr>
          <w:rFonts w:ascii="Book Antiqua" w:hAnsi="Book Antiqua"/>
          <w:lang w:val="en-GB"/>
        </w:rPr>
        <w:t>Therefore, a</w:t>
      </w:r>
      <w:r w:rsidRPr="00130821">
        <w:rPr>
          <w:rFonts w:ascii="Book Antiqua" w:hAnsi="Book Antiqua"/>
          <w:lang w:val="en-GB"/>
        </w:rPr>
        <w:t xml:space="preserve"> new</w:t>
      </w:r>
      <w:r>
        <w:rPr>
          <w:rFonts w:ascii="Book Antiqua" w:hAnsi="Book Antiqua"/>
          <w:lang w:val="en-GB"/>
        </w:rPr>
        <w:t xml:space="preserve"> concept of “deep remission” has been </w:t>
      </w:r>
      <w:r w:rsidRPr="00130821">
        <w:rPr>
          <w:rFonts w:ascii="Book Antiqua" w:hAnsi="Book Antiqua"/>
          <w:lang w:val="en-GB"/>
        </w:rPr>
        <w:t xml:space="preserve">coined, </w:t>
      </w:r>
      <w:r>
        <w:rPr>
          <w:rFonts w:ascii="Book Antiqua" w:hAnsi="Book Antiqua"/>
          <w:lang w:val="en-GB"/>
        </w:rPr>
        <w:t xml:space="preserve">including MH alongside </w:t>
      </w:r>
      <w:r w:rsidRPr="00130821">
        <w:rPr>
          <w:rFonts w:ascii="Book Antiqua" w:hAnsi="Book Antiqua"/>
          <w:lang w:val="en-GB"/>
        </w:rPr>
        <w:t>clinical and/or biochemical remission</w:t>
      </w:r>
      <w:r w:rsidRPr="00953227">
        <w:rPr>
          <w:rFonts w:ascii="Book Antiqua" w:hAnsi="Book Antiqua"/>
          <w:vertAlign w:val="superscript"/>
          <w:lang w:val="en-GB"/>
        </w:rPr>
        <w:t>[</w:t>
      </w:r>
      <w:r w:rsidRPr="00130821">
        <w:rPr>
          <w:rFonts w:ascii="Book Antiqua" w:hAnsi="Book Antiqua"/>
          <w:vertAlign w:val="superscript"/>
          <w:lang w:val="en-GB"/>
        </w:rPr>
        <w:t>18]</w:t>
      </w:r>
      <w:r w:rsidRPr="00130821">
        <w:rPr>
          <w:rFonts w:ascii="Book Antiqua" w:hAnsi="Book Antiqua"/>
          <w:lang w:val="en-GB"/>
        </w:rPr>
        <w:t xml:space="preserve">. </w:t>
      </w:r>
      <w:r>
        <w:rPr>
          <w:rFonts w:ascii="Book Antiqua" w:hAnsi="Book Antiqua" w:hint="eastAsia"/>
          <w:lang w:val="en-GB" w:eastAsia="zh-CN"/>
        </w:rPr>
        <w:t xml:space="preserve"> </w:t>
      </w:r>
      <w:r>
        <w:rPr>
          <w:rFonts w:ascii="Book Antiqua" w:hAnsi="Book Antiqua"/>
          <w:lang w:val="en-GB"/>
        </w:rPr>
        <w:t xml:space="preserve">Also thiopurines and EEN with polymeric diet have </w:t>
      </w:r>
      <w:r w:rsidRPr="00130821">
        <w:rPr>
          <w:rFonts w:ascii="Book Antiqua" w:hAnsi="Book Antiqua"/>
          <w:lang w:val="en-GB"/>
        </w:rPr>
        <w:t xml:space="preserve">been </w:t>
      </w:r>
      <w:r w:rsidRPr="00130821">
        <w:rPr>
          <w:rFonts w:ascii="Book Antiqua" w:hAnsi="Book Antiqua"/>
          <w:lang w:val="en-GB"/>
        </w:rPr>
        <w:lastRenderedPageBreak/>
        <w:t xml:space="preserve">previously reported to achieve MH, albeit </w:t>
      </w:r>
      <w:r>
        <w:rPr>
          <w:rFonts w:ascii="Book Antiqua" w:hAnsi="Book Antiqua"/>
          <w:lang w:val="en-GB"/>
        </w:rPr>
        <w:t xml:space="preserve">less rapidly and </w:t>
      </w:r>
      <w:r w:rsidRPr="00130821">
        <w:rPr>
          <w:rFonts w:ascii="Book Antiqua" w:hAnsi="Book Antiqua"/>
          <w:lang w:val="en-GB"/>
        </w:rPr>
        <w:t>to a lower degree than biologics</w:t>
      </w:r>
      <w:r w:rsidRPr="00953227">
        <w:rPr>
          <w:rFonts w:ascii="Book Antiqua" w:hAnsi="Book Antiqua"/>
          <w:vertAlign w:val="superscript"/>
          <w:lang w:val="en-GB"/>
        </w:rPr>
        <w:t>[</w:t>
      </w:r>
      <w:r w:rsidRPr="00130821">
        <w:rPr>
          <w:rFonts w:ascii="Book Antiqua" w:hAnsi="Book Antiqua"/>
          <w:vertAlign w:val="superscript"/>
          <w:lang w:val="en-GB"/>
        </w:rPr>
        <w:t>18]</w:t>
      </w:r>
      <w:r>
        <w:rPr>
          <w:rFonts w:ascii="Book Antiqua" w:hAnsi="Book Antiqua"/>
          <w:lang w:val="en-GB"/>
        </w:rPr>
        <w:t>.</w:t>
      </w:r>
      <w:r>
        <w:rPr>
          <w:rFonts w:ascii="Book Antiqua" w:hAnsi="Book Antiqua" w:hint="eastAsia"/>
          <w:lang w:val="en-GB" w:eastAsia="zh-CN"/>
        </w:rPr>
        <w:t xml:space="preserve"> </w:t>
      </w:r>
      <w:r>
        <w:rPr>
          <w:rFonts w:ascii="Book Antiqua" w:hAnsi="Book Antiqua"/>
          <w:lang w:val="en-GB"/>
        </w:rPr>
        <w:t>According to the s</w:t>
      </w:r>
      <w:r w:rsidRPr="00130821">
        <w:rPr>
          <w:rFonts w:ascii="Book Antiqua" w:hAnsi="Book Antiqua"/>
          <w:lang w:val="en-GB"/>
        </w:rPr>
        <w:t xml:space="preserve">tudies </w:t>
      </w:r>
      <w:r>
        <w:rPr>
          <w:rFonts w:ascii="Book Antiqua" w:hAnsi="Book Antiqua"/>
          <w:lang w:val="en-GB"/>
        </w:rPr>
        <w:t xml:space="preserve">performed </w:t>
      </w:r>
      <w:r w:rsidRPr="00130821">
        <w:rPr>
          <w:rFonts w:ascii="Book Antiqua" w:hAnsi="Book Antiqua"/>
          <w:lang w:val="en-GB"/>
        </w:rPr>
        <w:t>on adult populations</w:t>
      </w:r>
      <w:r>
        <w:rPr>
          <w:rFonts w:ascii="Book Antiqua" w:hAnsi="Book Antiqua"/>
          <w:lang w:val="en-GB"/>
        </w:rPr>
        <w:t>,</w:t>
      </w:r>
      <w:r w:rsidRPr="00130821">
        <w:rPr>
          <w:rFonts w:ascii="Book Antiqua" w:hAnsi="Book Antiqua"/>
          <w:lang w:val="en-GB"/>
        </w:rPr>
        <w:t xml:space="preserve"> scheduled maintenanc</w:t>
      </w:r>
      <w:r>
        <w:rPr>
          <w:rFonts w:ascii="Book Antiqua" w:hAnsi="Book Antiqua"/>
          <w:lang w:val="en-GB"/>
        </w:rPr>
        <w:t xml:space="preserve">e therapy with IFX maintains </w:t>
      </w:r>
      <w:r w:rsidRPr="00130821">
        <w:rPr>
          <w:rFonts w:ascii="Book Antiqua" w:hAnsi="Book Antiqua"/>
          <w:lang w:val="en-GB"/>
        </w:rPr>
        <w:t xml:space="preserve">MH in up to 68% of patients, </w:t>
      </w:r>
      <w:r>
        <w:rPr>
          <w:rFonts w:ascii="Book Antiqua" w:hAnsi="Book Antiqua"/>
          <w:lang w:val="en-GB"/>
        </w:rPr>
        <w:t xml:space="preserve">and the subgroup of patients achieving MH show </w:t>
      </w:r>
      <w:r w:rsidRPr="00130821">
        <w:rPr>
          <w:rFonts w:ascii="Book Antiqua" w:hAnsi="Book Antiqua"/>
          <w:lang w:val="en-GB"/>
        </w:rPr>
        <w:t>decreased rate of surgeries and hospitalization</w:t>
      </w:r>
      <w:r>
        <w:rPr>
          <w:rFonts w:ascii="Book Antiqua" w:hAnsi="Book Antiqua"/>
          <w:lang w:val="en-GB"/>
        </w:rPr>
        <w:t>s</w:t>
      </w:r>
      <w:r w:rsidRPr="00953227">
        <w:rPr>
          <w:rFonts w:ascii="Book Antiqua" w:hAnsi="Book Antiqua"/>
          <w:vertAlign w:val="superscript"/>
          <w:lang w:val="en-GB"/>
        </w:rPr>
        <w:t>[</w:t>
      </w:r>
      <w:r w:rsidRPr="00130821">
        <w:rPr>
          <w:rFonts w:ascii="Book Antiqua" w:hAnsi="Book Antiqua"/>
          <w:vertAlign w:val="superscript"/>
          <w:lang w:val="en-GB"/>
        </w:rPr>
        <w:t>18]</w:t>
      </w:r>
      <w:r w:rsidRPr="00130821">
        <w:rPr>
          <w:rFonts w:ascii="Book Antiqua" w:hAnsi="Book Antiqua"/>
          <w:lang w:val="en-GB"/>
        </w:rPr>
        <w:t>.</w:t>
      </w:r>
    </w:p>
    <w:p w14:paraId="23A14102" w14:textId="77777777" w:rsidR="00563BB7" w:rsidRPr="00953227" w:rsidRDefault="00563BB7" w:rsidP="006A3266">
      <w:pPr>
        <w:pStyle w:val="NormalWeb"/>
        <w:spacing w:before="0" w:beforeAutospacing="0" w:after="0" w:afterAutospacing="0" w:line="360" w:lineRule="auto"/>
        <w:ind w:firstLineChars="100" w:firstLine="240"/>
        <w:jc w:val="both"/>
        <w:rPr>
          <w:rFonts w:ascii="Book Antiqua" w:hAnsi="Book Antiqua"/>
          <w:i/>
          <w:lang w:val="en-GB" w:eastAsia="zh-CN"/>
        </w:rPr>
      </w:pPr>
    </w:p>
    <w:p w14:paraId="7C47B207" w14:textId="77777777" w:rsidR="00563BB7" w:rsidRPr="00953227" w:rsidRDefault="00563BB7" w:rsidP="006A3266">
      <w:pPr>
        <w:widowControl w:val="0"/>
        <w:autoSpaceDE w:val="0"/>
        <w:autoSpaceDN w:val="0"/>
        <w:adjustRightInd w:val="0"/>
        <w:spacing w:line="360" w:lineRule="auto"/>
        <w:jc w:val="both"/>
        <w:rPr>
          <w:rFonts w:ascii="Book Antiqua" w:hAnsi="Book Antiqua"/>
          <w:b/>
          <w:i/>
          <w:lang w:val="en-GB"/>
        </w:rPr>
      </w:pPr>
      <w:r w:rsidRPr="00953227">
        <w:rPr>
          <w:rFonts w:ascii="Book Antiqua" w:hAnsi="Book Antiqua"/>
          <w:b/>
          <w:i/>
          <w:lang w:val="en-GB"/>
        </w:rPr>
        <w:t>Infliximab</w:t>
      </w:r>
    </w:p>
    <w:p w14:paraId="57615C4E" w14:textId="4072A202" w:rsidR="00563BB7" w:rsidRPr="00020B09" w:rsidRDefault="00563BB7" w:rsidP="00020B09">
      <w:pPr>
        <w:pStyle w:val="NormalWeb"/>
        <w:spacing w:before="0" w:beforeAutospacing="0" w:after="0" w:afterAutospacing="0" w:line="360" w:lineRule="auto"/>
        <w:jc w:val="both"/>
        <w:rPr>
          <w:rFonts w:ascii="Book Antiqua" w:hAnsi="Book Antiqua"/>
          <w:lang w:val="en-GB" w:eastAsia="zh-CN"/>
        </w:rPr>
      </w:pPr>
      <w:r>
        <w:rPr>
          <w:rFonts w:ascii="Book Antiqua" w:hAnsi="Book Antiqua"/>
          <w:lang w:val="en-GB"/>
        </w:rPr>
        <w:t>IFX is</w:t>
      </w:r>
      <w:r w:rsidRPr="00130821">
        <w:rPr>
          <w:rFonts w:ascii="Book Antiqua" w:hAnsi="Book Antiqua"/>
          <w:lang w:val="en-GB"/>
        </w:rPr>
        <w:t xml:space="preserve"> </w:t>
      </w:r>
      <w:r>
        <w:rPr>
          <w:rFonts w:ascii="Book Antiqua" w:hAnsi="Book Antiqua"/>
          <w:lang w:val="en-GB"/>
        </w:rPr>
        <w:t xml:space="preserve">a chimeric monoclonal antibody and </w:t>
      </w:r>
      <w:r w:rsidRPr="00130821">
        <w:rPr>
          <w:rFonts w:ascii="Book Antiqua" w:hAnsi="Book Antiqua"/>
          <w:lang w:val="en-GB"/>
        </w:rPr>
        <w:t>was the first biologic approved for the treatment of moderate to severe p</w:t>
      </w:r>
      <w:r>
        <w:rPr>
          <w:rFonts w:ascii="Book Antiqua" w:hAnsi="Book Antiqua"/>
          <w:lang w:val="en-GB"/>
        </w:rPr>
        <w:t>a</w:t>
      </w:r>
      <w:r w:rsidRPr="00130821">
        <w:rPr>
          <w:rFonts w:ascii="Book Antiqua" w:hAnsi="Book Antiqua"/>
          <w:lang w:val="en-GB"/>
        </w:rPr>
        <w:t>ediatric CD</w:t>
      </w:r>
      <w:r w:rsidRPr="00953227">
        <w:rPr>
          <w:rFonts w:ascii="Book Antiqua" w:hAnsi="Book Antiqua"/>
          <w:vertAlign w:val="superscript"/>
          <w:lang w:val="en-GB"/>
        </w:rPr>
        <w:t>[</w:t>
      </w:r>
      <w:r w:rsidRPr="00130821">
        <w:rPr>
          <w:rFonts w:ascii="Book Antiqua" w:hAnsi="Book Antiqua"/>
          <w:vertAlign w:val="superscript"/>
          <w:lang w:val="en-GB"/>
        </w:rPr>
        <w:t>34]</w:t>
      </w:r>
      <w:r>
        <w:rPr>
          <w:rFonts w:ascii="Book Antiqua" w:hAnsi="Book Antiqua"/>
          <w:lang w:val="en-GB"/>
        </w:rPr>
        <w:t>. The advent of biological therapies has drastically</w:t>
      </w:r>
      <w:r w:rsidRPr="00130821">
        <w:rPr>
          <w:rFonts w:ascii="Book Antiqua" w:hAnsi="Book Antiqua"/>
          <w:lang w:val="en-GB"/>
        </w:rPr>
        <w:t xml:space="preserve"> modified the treatment strategies and disease course of IBD in children and the role of IFX and ADA in the management of paediatric IBD was recently updated in the Consensus guidelines of ECCO/ESPGHAN</w:t>
      </w:r>
      <w:r w:rsidRPr="00953227">
        <w:rPr>
          <w:rFonts w:ascii="Book Antiqua" w:hAnsi="Book Antiqua"/>
          <w:vertAlign w:val="superscript"/>
          <w:lang w:val="en-GB"/>
        </w:rPr>
        <w:t>[</w:t>
      </w:r>
      <w:r w:rsidRPr="00130821">
        <w:rPr>
          <w:rFonts w:ascii="Book Antiqua" w:hAnsi="Book Antiqua"/>
          <w:vertAlign w:val="superscript"/>
          <w:lang w:val="en-GB"/>
        </w:rPr>
        <w:t>6]</w:t>
      </w:r>
      <w:r w:rsidRPr="00130821">
        <w:rPr>
          <w:rFonts w:ascii="Book Antiqua" w:hAnsi="Book Antiqua"/>
          <w:lang w:val="en-GB"/>
        </w:rPr>
        <w:t>.</w:t>
      </w:r>
      <w:r>
        <w:rPr>
          <w:rFonts w:ascii="Book Antiqua" w:hAnsi="Book Antiqua" w:hint="eastAsia"/>
          <w:lang w:val="en-GB" w:eastAsia="zh-CN"/>
        </w:rPr>
        <w:t xml:space="preserve"> </w:t>
      </w:r>
      <w:r w:rsidRPr="00130821">
        <w:rPr>
          <w:rFonts w:ascii="Book Antiqua" w:hAnsi="Book Antiqua"/>
          <w:lang w:val="en-GB"/>
        </w:rPr>
        <w:t xml:space="preserve">In CD, anti-TNF therapies are currently well established </w:t>
      </w:r>
      <w:r>
        <w:rPr>
          <w:rFonts w:ascii="Book Antiqua" w:hAnsi="Book Antiqua"/>
          <w:lang w:val="en-GB"/>
        </w:rPr>
        <w:t>in moderate to severe disease</w:t>
      </w:r>
      <w:r w:rsidRPr="00130821">
        <w:rPr>
          <w:rFonts w:ascii="Book Antiqua" w:hAnsi="Book Antiqua"/>
          <w:lang w:val="en-GB"/>
        </w:rPr>
        <w:t xml:space="preserve"> with </w:t>
      </w:r>
      <w:r>
        <w:rPr>
          <w:rFonts w:ascii="Book Antiqua" w:hAnsi="Book Antiqua"/>
          <w:lang w:val="en-GB"/>
        </w:rPr>
        <w:t>lack of response to</w:t>
      </w:r>
      <w:r w:rsidRPr="00B70C59">
        <w:rPr>
          <w:rFonts w:ascii="Book Antiqua" w:hAnsi="Book Antiqua"/>
          <w:lang w:val="en-GB"/>
        </w:rPr>
        <w:t xml:space="preserve"> </w:t>
      </w:r>
      <w:r w:rsidRPr="00130821">
        <w:rPr>
          <w:rFonts w:ascii="Book Antiqua" w:hAnsi="Book Antiqua"/>
          <w:lang w:val="en-GB"/>
        </w:rPr>
        <w:t>conventional therapy including corticosteroids and immunomodulators, or with contraindications or intolerance to</w:t>
      </w:r>
      <w:r>
        <w:rPr>
          <w:rFonts w:ascii="Book Antiqua" w:hAnsi="Book Antiqua"/>
          <w:lang w:val="en-GB"/>
        </w:rPr>
        <w:t xml:space="preserve"> it</w:t>
      </w:r>
      <w:r w:rsidRPr="00953227">
        <w:rPr>
          <w:rFonts w:ascii="Book Antiqua" w:hAnsi="Book Antiqua"/>
          <w:vertAlign w:val="superscript"/>
          <w:lang w:val="en-GB"/>
        </w:rPr>
        <w:t>[</w:t>
      </w:r>
      <w:r w:rsidRPr="00130821">
        <w:rPr>
          <w:rFonts w:ascii="Book Antiqua" w:hAnsi="Book Antiqua"/>
          <w:vertAlign w:val="superscript"/>
          <w:lang w:val="en-GB"/>
        </w:rPr>
        <w:t>34]</w:t>
      </w:r>
      <w:r w:rsidRPr="00130821">
        <w:rPr>
          <w:rFonts w:ascii="Book Antiqua" w:hAnsi="Book Antiqua"/>
          <w:lang w:val="en-GB"/>
        </w:rPr>
        <w:t xml:space="preserve">. Anti-TNF </w:t>
      </w:r>
      <w:r>
        <w:rPr>
          <w:rFonts w:ascii="Book Antiqua" w:hAnsi="Book Antiqua"/>
          <w:lang w:val="en-GB"/>
        </w:rPr>
        <w:t xml:space="preserve">agents are </w:t>
      </w:r>
      <w:r w:rsidRPr="00130821">
        <w:rPr>
          <w:rFonts w:ascii="Book Antiqua" w:hAnsi="Book Antiqua"/>
          <w:lang w:val="en-GB"/>
        </w:rPr>
        <w:t xml:space="preserve">also used as </w:t>
      </w:r>
      <w:r>
        <w:rPr>
          <w:rFonts w:ascii="Book Antiqua" w:hAnsi="Book Antiqua"/>
          <w:lang w:val="en-GB"/>
        </w:rPr>
        <w:t xml:space="preserve">a </w:t>
      </w:r>
      <w:r w:rsidRPr="00130821">
        <w:rPr>
          <w:rFonts w:ascii="Book Antiqua" w:hAnsi="Book Antiqua"/>
          <w:lang w:val="en-GB"/>
        </w:rPr>
        <w:t xml:space="preserve">primary induction </w:t>
      </w:r>
      <w:r>
        <w:rPr>
          <w:rFonts w:ascii="Book Antiqua" w:hAnsi="Book Antiqua"/>
          <w:lang w:val="en-GB"/>
        </w:rPr>
        <w:t xml:space="preserve">option for </w:t>
      </w:r>
      <w:r w:rsidRPr="00130821">
        <w:rPr>
          <w:rFonts w:ascii="Book Antiqua" w:hAnsi="Book Antiqua"/>
          <w:lang w:val="en-GB"/>
        </w:rPr>
        <w:t xml:space="preserve">children with active perianal fistulising disease, in combination with </w:t>
      </w:r>
      <w:r>
        <w:rPr>
          <w:rFonts w:ascii="Book Antiqua" w:hAnsi="Book Antiqua"/>
          <w:lang w:val="en-GB"/>
        </w:rPr>
        <w:t xml:space="preserve">targeted surgical intervention, as well as </w:t>
      </w:r>
      <w:r w:rsidRPr="00130821">
        <w:rPr>
          <w:rFonts w:ascii="Book Antiqua" w:hAnsi="Book Antiqua"/>
          <w:lang w:val="en-GB"/>
        </w:rPr>
        <w:t xml:space="preserve">in </w:t>
      </w:r>
      <w:r>
        <w:rPr>
          <w:rFonts w:ascii="Book Antiqua" w:hAnsi="Book Antiqua"/>
          <w:lang w:val="en-GB"/>
        </w:rPr>
        <w:t xml:space="preserve">children </w:t>
      </w:r>
      <w:r w:rsidRPr="00130821">
        <w:rPr>
          <w:rFonts w:ascii="Book Antiqua" w:hAnsi="Book Antiqua"/>
          <w:lang w:val="en-GB"/>
        </w:rPr>
        <w:t>at risk of poor outcomes (top-down treatment)</w:t>
      </w:r>
      <w:r w:rsidRPr="00953227">
        <w:rPr>
          <w:rFonts w:ascii="Book Antiqua" w:hAnsi="Book Antiqua"/>
          <w:vertAlign w:val="superscript"/>
          <w:lang w:val="en-GB"/>
        </w:rPr>
        <w:t>[</w:t>
      </w:r>
      <w:r w:rsidRPr="00130821">
        <w:rPr>
          <w:rFonts w:ascii="Book Antiqua" w:hAnsi="Book Antiqua"/>
          <w:vertAlign w:val="superscript"/>
          <w:lang w:val="en-GB"/>
        </w:rPr>
        <w:t>3, 20]</w:t>
      </w:r>
      <w:r>
        <w:rPr>
          <w:rFonts w:ascii="Book Antiqua" w:hAnsi="Book Antiqua"/>
          <w:lang w:val="en-GB"/>
        </w:rPr>
        <w:t xml:space="preserve">. One year response and remission rates for IFX in luminal disease are reported as up to </w:t>
      </w:r>
      <w:r w:rsidRPr="00130821">
        <w:rPr>
          <w:rFonts w:ascii="Book Antiqua" w:hAnsi="Book Antiqua"/>
          <w:lang w:val="en-GB"/>
        </w:rPr>
        <w:t xml:space="preserve">90% and 55%–60% </w:t>
      </w:r>
      <w:r>
        <w:rPr>
          <w:rFonts w:ascii="Book Antiqua" w:hAnsi="Book Antiqua"/>
          <w:lang w:val="en-GB"/>
        </w:rPr>
        <w:t>respectively</w:t>
      </w:r>
      <w:r w:rsidRPr="00953227">
        <w:rPr>
          <w:rFonts w:ascii="Book Antiqua" w:hAnsi="Book Antiqua"/>
          <w:vertAlign w:val="superscript"/>
          <w:lang w:val="en-GB"/>
        </w:rPr>
        <w:t>[</w:t>
      </w:r>
      <w:r w:rsidRPr="00130821">
        <w:rPr>
          <w:rFonts w:ascii="Book Antiqua" w:hAnsi="Book Antiqua"/>
          <w:vertAlign w:val="superscript"/>
          <w:lang w:val="en-GB"/>
        </w:rPr>
        <w:t>35,36]</w:t>
      </w:r>
      <w:r w:rsidRPr="00130821">
        <w:rPr>
          <w:rFonts w:ascii="Book Antiqua" w:hAnsi="Book Antiqua"/>
          <w:lang w:val="en-GB"/>
        </w:rPr>
        <w:t>.</w:t>
      </w:r>
      <w:r>
        <w:rPr>
          <w:rFonts w:ascii="Book Antiqua" w:hAnsi="Book Antiqua"/>
          <w:lang w:val="en-GB"/>
        </w:rPr>
        <w:t xml:space="preserve"> R</w:t>
      </w:r>
      <w:r w:rsidRPr="00130821">
        <w:rPr>
          <w:rFonts w:ascii="Book Antiqua" w:hAnsi="Book Antiqua"/>
          <w:lang w:val="en-GB"/>
        </w:rPr>
        <w:t xml:space="preserve">epeated administration of IFX </w:t>
      </w:r>
      <w:r>
        <w:rPr>
          <w:rFonts w:ascii="Book Antiqua" w:hAnsi="Book Antiqua"/>
          <w:lang w:val="en-GB"/>
        </w:rPr>
        <w:t xml:space="preserve">can lead to </w:t>
      </w:r>
      <w:r w:rsidRPr="00130821">
        <w:rPr>
          <w:rFonts w:ascii="Book Antiqua" w:hAnsi="Book Antiqua"/>
          <w:lang w:val="en-GB"/>
        </w:rPr>
        <w:t>immunogenic</w:t>
      </w:r>
      <w:r>
        <w:rPr>
          <w:rFonts w:ascii="Book Antiqua" w:hAnsi="Book Antiqua"/>
          <w:lang w:val="en-GB"/>
        </w:rPr>
        <w:t>ity in some patients</w:t>
      </w:r>
      <w:r w:rsidRPr="00130821">
        <w:rPr>
          <w:rFonts w:ascii="Book Antiqua" w:hAnsi="Book Antiqua"/>
          <w:lang w:val="en-GB"/>
        </w:rPr>
        <w:t xml:space="preserve">, </w:t>
      </w:r>
      <w:r>
        <w:rPr>
          <w:rFonts w:ascii="Book Antiqua" w:hAnsi="Book Antiqua"/>
          <w:lang w:val="en-GB"/>
        </w:rPr>
        <w:t xml:space="preserve">with possible </w:t>
      </w:r>
      <w:r w:rsidRPr="00130821">
        <w:rPr>
          <w:rFonts w:ascii="Book Antiqua" w:hAnsi="Book Antiqua"/>
          <w:lang w:val="en-GB"/>
        </w:rPr>
        <w:t>loss of efficacy and delayed-type hypersensitivity</w:t>
      </w:r>
      <w:r w:rsidRPr="00953227">
        <w:rPr>
          <w:rFonts w:ascii="Book Antiqua" w:hAnsi="Book Antiqua"/>
          <w:vertAlign w:val="superscript"/>
          <w:lang w:val="en-GB"/>
        </w:rPr>
        <w:t>[</w:t>
      </w:r>
      <w:r w:rsidRPr="00130821">
        <w:rPr>
          <w:rFonts w:ascii="Book Antiqua" w:hAnsi="Book Antiqua"/>
          <w:vertAlign w:val="superscript"/>
          <w:lang w:val="en-GB"/>
        </w:rPr>
        <w:t>34]</w:t>
      </w:r>
      <w:r>
        <w:rPr>
          <w:rFonts w:ascii="Book Antiqua" w:hAnsi="Book Antiqua"/>
          <w:lang w:val="en-GB"/>
        </w:rPr>
        <w:t>.</w:t>
      </w:r>
      <w:r>
        <w:rPr>
          <w:rFonts w:ascii="Book Antiqua" w:hAnsi="Book Antiqua" w:hint="eastAsia"/>
          <w:lang w:val="en-GB" w:eastAsia="zh-CN"/>
        </w:rPr>
        <w:t xml:space="preserve"> </w:t>
      </w:r>
      <w:r>
        <w:rPr>
          <w:rFonts w:ascii="Book Antiqua" w:hAnsi="Book Antiqua"/>
          <w:lang w:val="en-GB"/>
        </w:rPr>
        <w:t>A low</w:t>
      </w:r>
      <w:r w:rsidRPr="00130821">
        <w:rPr>
          <w:rFonts w:ascii="Book Antiqua" w:hAnsi="Book Antiqua"/>
          <w:lang w:val="en-GB"/>
        </w:rPr>
        <w:t xml:space="preserve"> proportion of </w:t>
      </w:r>
      <w:r>
        <w:rPr>
          <w:rFonts w:ascii="Book Antiqua" w:hAnsi="Book Antiqua"/>
          <w:lang w:val="en-GB"/>
        </w:rPr>
        <w:t xml:space="preserve">children with CD </w:t>
      </w:r>
      <w:r w:rsidRPr="00130821">
        <w:rPr>
          <w:rFonts w:ascii="Book Antiqua" w:hAnsi="Book Antiqua"/>
          <w:lang w:val="en-GB"/>
        </w:rPr>
        <w:t>(10%–25%)</w:t>
      </w:r>
      <w:r>
        <w:rPr>
          <w:rFonts w:ascii="Book Antiqua" w:hAnsi="Book Antiqua"/>
          <w:lang w:val="en-GB"/>
        </w:rPr>
        <w:t xml:space="preserve"> are </w:t>
      </w:r>
      <w:r w:rsidRPr="00130821">
        <w:rPr>
          <w:rFonts w:ascii="Book Antiqua" w:hAnsi="Book Antiqua"/>
          <w:lang w:val="en-GB"/>
        </w:rPr>
        <w:t>p</w:t>
      </w:r>
      <w:r>
        <w:rPr>
          <w:rFonts w:ascii="Book Antiqua" w:hAnsi="Book Antiqua"/>
          <w:lang w:val="en-GB"/>
        </w:rPr>
        <w:t>rimary anti-TNF non-responders, i.e. they fail</w:t>
      </w:r>
      <w:r w:rsidRPr="00130821">
        <w:rPr>
          <w:rFonts w:ascii="Book Antiqua" w:hAnsi="Book Antiqua"/>
          <w:lang w:val="en-GB"/>
        </w:rPr>
        <w:t xml:space="preserve"> to respond after </w:t>
      </w:r>
      <w:r>
        <w:rPr>
          <w:rFonts w:ascii="Book Antiqua" w:hAnsi="Book Antiqua"/>
          <w:lang w:val="en-GB"/>
        </w:rPr>
        <w:t xml:space="preserve">the 6 weeks </w:t>
      </w:r>
      <w:r w:rsidRPr="00130821">
        <w:rPr>
          <w:rFonts w:ascii="Book Antiqua" w:hAnsi="Book Antiqua"/>
          <w:lang w:val="en-GB"/>
        </w:rPr>
        <w:t xml:space="preserve">induction course. </w:t>
      </w:r>
      <w:r>
        <w:rPr>
          <w:rFonts w:ascii="Book Antiqua" w:hAnsi="Book Antiqua"/>
          <w:lang w:val="en-GB"/>
        </w:rPr>
        <w:t xml:space="preserve">More commonly, however, the formation of antibody </w:t>
      </w:r>
      <w:r w:rsidRPr="00130821">
        <w:rPr>
          <w:rFonts w:ascii="Book Antiqua" w:hAnsi="Book Antiqua"/>
          <w:lang w:val="en-GB"/>
        </w:rPr>
        <w:t xml:space="preserve">against the drug over time can result in secondary loss of response. </w:t>
      </w:r>
      <w:r>
        <w:rPr>
          <w:rFonts w:ascii="Book Antiqua" w:hAnsi="Book Antiqua"/>
          <w:lang w:val="en-GB"/>
        </w:rPr>
        <w:t xml:space="preserve">Concomitant treatment with </w:t>
      </w:r>
      <w:r w:rsidRPr="00130821">
        <w:rPr>
          <w:rFonts w:ascii="Book Antiqua" w:hAnsi="Book Antiqua"/>
          <w:lang w:val="en-GB"/>
        </w:rPr>
        <w:t xml:space="preserve">either thiopurines or MTX </w:t>
      </w:r>
      <w:r>
        <w:rPr>
          <w:rFonts w:ascii="Book Antiqua" w:hAnsi="Book Antiqua"/>
          <w:lang w:val="en-GB"/>
        </w:rPr>
        <w:t>has been shown to contain this process</w:t>
      </w:r>
      <w:r w:rsidRPr="00953227">
        <w:rPr>
          <w:rFonts w:ascii="Book Antiqua" w:hAnsi="Book Antiqua"/>
          <w:vertAlign w:val="superscript"/>
          <w:lang w:val="en-GB"/>
        </w:rPr>
        <w:t>[</w:t>
      </w:r>
      <w:r w:rsidRPr="00130821">
        <w:rPr>
          <w:rFonts w:ascii="Book Antiqua" w:hAnsi="Book Antiqua"/>
          <w:vertAlign w:val="superscript"/>
          <w:lang w:val="en-GB"/>
        </w:rPr>
        <w:t>3]</w:t>
      </w:r>
      <w:r>
        <w:rPr>
          <w:rFonts w:ascii="Book Antiqua" w:hAnsi="Book Antiqua"/>
          <w:lang w:val="en-GB"/>
        </w:rPr>
        <w:t>.</w:t>
      </w:r>
      <w:r>
        <w:rPr>
          <w:rFonts w:ascii="Book Antiqua" w:hAnsi="Book Antiqua" w:hint="eastAsia"/>
          <w:lang w:val="en-GB" w:eastAsia="zh-CN"/>
        </w:rPr>
        <w:t xml:space="preserve"> </w:t>
      </w:r>
      <w:r>
        <w:rPr>
          <w:rFonts w:ascii="Book Antiqua" w:hAnsi="Book Antiqua"/>
          <w:lang w:val="en-GB"/>
        </w:rPr>
        <w:t>A key step in managing IFX therapy over the more recent years is the increasing availability of t</w:t>
      </w:r>
      <w:r w:rsidRPr="00D43973">
        <w:rPr>
          <w:rFonts w:ascii="Book Antiqua" w:hAnsi="Book Antiqua"/>
          <w:lang w:val="en-GB"/>
        </w:rPr>
        <w:t>herapeu</w:t>
      </w:r>
      <w:r>
        <w:rPr>
          <w:rFonts w:ascii="Book Antiqua" w:hAnsi="Book Antiqua"/>
          <w:lang w:val="en-GB"/>
        </w:rPr>
        <w:t>tic drug monitoring (TDM), that</w:t>
      </w:r>
      <w:r w:rsidRPr="00D43973">
        <w:rPr>
          <w:rFonts w:ascii="Book Antiqua" w:hAnsi="Book Antiqua"/>
          <w:lang w:val="en-GB"/>
        </w:rPr>
        <w:t xml:space="preserve"> has improved response rates </w:t>
      </w:r>
      <w:r>
        <w:rPr>
          <w:rFonts w:ascii="Book Antiqua" w:hAnsi="Book Antiqua"/>
          <w:lang w:val="en-GB"/>
        </w:rPr>
        <w:t xml:space="preserve">and has become a most effective </w:t>
      </w:r>
      <w:r w:rsidRPr="00D43973">
        <w:rPr>
          <w:rFonts w:ascii="Book Antiqua" w:hAnsi="Book Antiqua"/>
          <w:lang w:val="en-GB"/>
        </w:rPr>
        <w:t>tool for the management of secondary fai</w:t>
      </w:r>
      <w:r>
        <w:rPr>
          <w:rFonts w:ascii="Book Antiqua" w:hAnsi="Book Antiqua"/>
          <w:lang w:val="en-GB"/>
        </w:rPr>
        <w:t xml:space="preserve">lure </w:t>
      </w:r>
      <w:r w:rsidRPr="000E4A7F">
        <w:rPr>
          <w:rFonts w:ascii="Book Antiqua" w:hAnsi="Book Antiqua"/>
          <w:lang w:val="en-GB"/>
        </w:rPr>
        <w:t>to IFX</w:t>
      </w:r>
      <w:r w:rsidRPr="00953227">
        <w:rPr>
          <w:rFonts w:ascii="Book Antiqua" w:hAnsi="Book Antiqua"/>
          <w:vertAlign w:val="superscript"/>
          <w:lang w:val="en-GB"/>
        </w:rPr>
        <w:t>[</w:t>
      </w:r>
      <w:r>
        <w:rPr>
          <w:rFonts w:ascii="Book Antiqua" w:hAnsi="Book Antiqua"/>
          <w:vertAlign w:val="superscript"/>
          <w:lang w:val="en-GB"/>
        </w:rPr>
        <w:t>37</w:t>
      </w:r>
      <w:r w:rsidRPr="000E4A7F">
        <w:rPr>
          <w:rFonts w:ascii="Book Antiqua" w:hAnsi="Book Antiqua"/>
          <w:vertAlign w:val="superscript"/>
          <w:lang w:val="en-GB"/>
        </w:rPr>
        <w:t>]</w:t>
      </w:r>
      <w:r w:rsidRPr="000E4A7F">
        <w:rPr>
          <w:rFonts w:ascii="Book Antiqua" w:hAnsi="Book Antiqua"/>
          <w:lang w:val="en-GB"/>
        </w:rPr>
        <w:t>.</w:t>
      </w:r>
    </w:p>
    <w:p w14:paraId="4D1F05FC" w14:textId="7A84DF3A" w:rsidR="00563BB7" w:rsidRPr="00953227"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Pr>
          <w:rFonts w:ascii="Book Antiqua" w:hAnsi="Book Antiqua"/>
          <w:lang w:val="en-GB"/>
        </w:rPr>
        <w:t xml:space="preserve">Increasing evidence has shown that </w:t>
      </w:r>
      <w:r w:rsidRPr="000E4A7F">
        <w:rPr>
          <w:rFonts w:ascii="Book Antiqua" w:hAnsi="Book Antiqua"/>
          <w:lang w:val="en-GB"/>
        </w:rPr>
        <w:t xml:space="preserve">trough </w:t>
      </w:r>
      <w:r>
        <w:rPr>
          <w:rFonts w:ascii="Book Antiqua" w:hAnsi="Book Antiqua"/>
          <w:lang w:val="en-GB"/>
        </w:rPr>
        <w:t xml:space="preserve">IFX </w:t>
      </w:r>
      <w:r w:rsidRPr="000E4A7F">
        <w:rPr>
          <w:rFonts w:ascii="Book Antiqua" w:hAnsi="Book Antiqua"/>
          <w:lang w:val="en-GB"/>
        </w:rPr>
        <w:t>concentrations &lt;</w:t>
      </w:r>
      <w:r w:rsidR="00020B09">
        <w:rPr>
          <w:rFonts w:ascii="Book Antiqua" w:hAnsi="Book Antiqua" w:hint="eastAsia"/>
          <w:lang w:val="en-GB" w:eastAsia="zh-CN"/>
        </w:rPr>
        <w:t xml:space="preserve"> </w:t>
      </w:r>
      <w:r w:rsidRPr="000E4A7F">
        <w:rPr>
          <w:rFonts w:ascii="Book Antiqua" w:hAnsi="Book Antiqua"/>
          <w:lang w:val="en-GB"/>
        </w:rPr>
        <w:t>3 mg/mL during maintenance therap</w:t>
      </w:r>
      <w:r>
        <w:rPr>
          <w:rFonts w:ascii="Book Antiqua" w:hAnsi="Book Antiqua"/>
          <w:lang w:val="en-GB"/>
        </w:rPr>
        <w:t>y</w:t>
      </w:r>
      <w:r w:rsidRPr="000E4A7F">
        <w:rPr>
          <w:rFonts w:ascii="Book Antiqua" w:hAnsi="Book Antiqua"/>
          <w:lang w:val="en-GB"/>
        </w:rPr>
        <w:t xml:space="preserve"> </w:t>
      </w:r>
      <w:r>
        <w:rPr>
          <w:rFonts w:ascii="Book Antiqua" w:hAnsi="Book Antiqua"/>
          <w:lang w:val="en-GB"/>
        </w:rPr>
        <w:t>are associated with treatment failure. Also, c</w:t>
      </w:r>
      <w:r w:rsidRPr="000E4A7F">
        <w:rPr>
          <w:rFonts w:ascii="Book Antiqua" w:hAnsi="Book Antiqua"/>
          <w:lang w:val="en-GB"/>
        </w:rPr>
        <w:t xml:space="preserve">hildren with lower </w:t>
      </w:r>
      <w:r w:rsidRPr="000E4A7F">
        <w:rPr>
          <w:rFonts w:ascii="Book Antiqua" w:hAnsi="Book Antiqua"/>
          <w:lang w:val="en-GB"/>
        </w:rPr>
        <w:lastRenderedPageBreak/>
        <w:t>albumin levels have higher IFX clearance and lower drug exposures</w:t>
      </w:r>
      <w:r w:rsidRPr="00953227">
        <w:rPr>
          <w:rFonts w:ascii="Book Antiqua" w:hAnsi="Book Antiqua"/>
          <w:vertAlign w:val="superscript"/>
          <w:lang w:val="en-GB"/>
        </w:rPr>
        <w:t>[</w:t>
      </w:r>
      <w:r>
        <w:rPr>
          <w:rFonts w:ascii="Book Antiqua" w:hAnsi="Book Antiqua"/>
          <w:vertAlign w:val="superscript"/>
          <w:lang w:val="en-GB"/>
        </w:rPr>
        <w:t>38</w:t>
      </w:r>
      <w:r w:rsidRPr="000E4A7F">
        <w:rPr>
          <w:rFonts w:ascii="Book Antiqua" w:hAnsi="Book Antiqua"/>
          <w:vertAlign w:val="superscript"/>
          <w:lang w:val="en-GB"/>
        </w:rPr>
        <w:t>]</w:t>
      </w:r>
      <w:r w:rsidRPr="000E4A7F">
        <w:rPr>
          <w:rFonts w:ascii="Book Antiqua" w:hAnsi="Book Antiqua"/>
          <w:lang w:val="en-GB"/>
        </w:rPr>
        <w:t>.</w:t>
      </w:r>
      <w:r>
        <w:rPr>
          <w:rFonts w:ascii="Book Antiqua" w:hAnsi="Book Antiqua"/>
          <w:lang w:val="en-GB"/>
        </w:rPr>
        <w:t xml:space="preserve"> Therefore, s</w:t>
      </w:r>
      <w:r w:rsidRPr="000E4A7F">
        <w:rPr>
          <w:rFonts w:ascii="Book Antiqua" w:hAnsi="Book Antiqua"/>
          <w:lang w:val="en-GB"/>
        </w:rPr>
        <w:t xml:space="preserve">tandard IFX maintenance dosing of 5 mg/kg every 8 weeks may </w:t>
      </w:r>
      <w:r>
        <w:rPr>
          <w:rFonts w:ascii="Book Antiqua" w:hAnsi="Book Antiqua"/>
          <w:lang w:val="en-GB"/>
        </w:rPr>
        <w:t xml:space="preserve">not be </w:t>
      </w:r>
      <w:r w:rsidRPr="000E4A7F">
        <w:rPr>
          <w:rFonts w:ascii="Book Antiqua" w:hAnsi="Book Antiqua"/>
          <w:lang w:val="en-GB"/>
        </w:rPr>
        <w:t xml:space="preserve">adequate </w:t>
      </w:r>
      <w:r>
        <w:rPr>
          <w:rFonts w:ascii="Book Antiqua" w:hAnsi="Book Antiqua"/>
          <w:lang w:val="en-GB"/>
        </w:rPr>
        <w:t xml:space="preserve">for all children with CD </w:t>
      </w:r>
      <w:r w:rsidRPr="000E4A7F">
        <w:rPr>
          <w:rFonts w:ascii="Book Antiqua" w:hAnsi="Book Antiqua"/>
          <w:lang w:val="en-GB"/>
        </w:rPr>
        <w:t>to achieve sufficient</w:t>
      </w:r>
      <w:r>
        <w:rPr>
          <w:rFonts w:ascii="Book Antiqua" w:hAnsi="Book Antiqua"/>
          <w:lang w:val="en-GB"/>
        </w:rPr>
        <w:t xml:space="preserve"> concentration level and thus minimis</w:t>
      </w:r>
      <w:r w:rsidRPr="000E4A7F">
        <w:rPr>
          <w:rFonts w:ascii="Book Antiqua" w:hAnsi="Book Antiqua"/>
          <w:lang w:val="en-GB"/>
        </w:rPr>
        <w:t>e loss of response</w:t>
      </w:r>
      <w:r>
        <w:rPr>
          <w:rFonts w:ascii="Book Antiqua" w:hAnsi="Book Antiqua" w:hint="eastAsia"/>
          <w:lang w:val="en-GB" w:eastAsia="zh-CN"/>
        </w:rPr>
        <w:t xml:space="preserve"> </w:t>
      </w:r>
      <w:r>
        <w:rPr>
          <w:rFonts w:ascii="Book Antiqua" w:hAnsi="Book Antiqua"/>
          <w:lang w:val="en-GB"/>
        </w:rPr>
        <w:t>(Table 1)</w:t>
      </w:r>
      <w:r>
        <w:rPr>
          <w:rFonts w:ascii="Book Antiqua" w:hAnsi="Book Antiqua" w:hint="eastAsia"/>
          <w:lang w:val="en-GB" w:eastAsia="zh-CN"/>
        </w:rPr>
        <w:t xml:space="preserve">. </w:t>
      </w:r>
      <w:r w:rsidRPr="00130821">
        <w:rPr>
          <w:rFonts w:ascii="Book Antiqua" w:hAnsi="Book Antiqua"/>
          <w:lang w:val="en-GB"/>
        </w:rPr>
        <w:t xml:space="preserve">Unfortunately, patients who </w:t>
      </w:r>
      <w:r>
        <w:rPr>
          <w:rFonts w:ascii="Book Antiqua" w:hAnsi="Book Antiqua"/>
          <w:lang w:val="en-GB"/>
        </w:rPr>
        <w:t xml:space="preserve">don’t respond to </w:t>
      </w:r>
      <w:r w:rsidRPr="00130821">
        <w:rPr>
          <w:rFonts w:ascii="Book Antiqua" w:hAnsi="Book Antiqua"/>
          <w:lang w:val="en-GB"/>
        </w:rPr>
        <w:t xml:space="preserve">one </w:t>
      </w:r>
      <w:r>
        <w:rPr>
          <w:rFonts w:ascii="Book Antiqua" w:hAnsi="Book Antiqua"/>
          <w:lang w:val="en-GB"/>
        </w:rPr>
        <w:t>anti-TNF</w:t>
      </w:r>
      <w:r w:rsidRPr="00130821">
        <w:rPr>
          <w:rFonts w:ascii="Book Antiqua" w:hAnsi="Book Antiqua"/>
          <w:lang w:val="en-GB"/>
        </w:rPr>
        <w:t xml:space="preserve"> </w:t>
      </w:r>
      <w:r>
        <w:rPr>
          <w:rFonts w:ascii="Book Antiqua" w:hAnsi="Book Antiqua"/>
          <w:lang w:val="en-GB"/>
        </w:rPr>
        <w:t xml:space="preserve">are more likely to also fail </w:t>
      </w:r>
      <w:r w:rsidRPr="00130821">
        <w:rPr>
          <w:rFonts w:ascii="Book Antiqua" w:hAnsi="Book Antiqua"/>
          <w:lang w:val="en-GB"/>
        </w:rPr>
        <w:t>a second agent</w:t>
      </w:r>
      <w:r w:rsidRPr="00953227">
        <w:rPr>
          <w:rFonts w:ascii="Book Antiqua" w:hAnsi="Book Antiqua"/>
          <w:vertAlign w:val="superscript"/>
          <w:lang w:val="en-GB"/>
        </w:rPr>
        <w:t>[</w:t>
      </w:r>
      <w:r w:rsidRPr="00130821">
        <w:rPr>
          <w:rFonts w:ascii="Book Antiqua" w:hAnsi="Book Antiqua"/>
          <w:vertAlign w:val="superscript"/>
          <w:lang w:val="en-GB"/>
        </w:rPr>
        <w:t>39]</w:t>
      </w:r>
      <w:r w:rsidRPr="00130821">
        <w:rPr>
          <w:rFonts w:ascii="Book Antiqua" w:hAnsi="Book Antiqua"/>
          <w:lang w:val="en-GB"/>
        </w:rPr>
        <w:t xml:space="preserve">. </w:t>
      </w:r>
      <w:r w:rsidRPr="00130821">
        <w:rPr>
          <w:rFonts w:ascii="Book Antiqua" w:hAnsi="Book Antiqua"/>
          <w:color w:val="000000"/>
          <w:lang w:val="en-GB"/>
        </w:rPr>
        <w:t xml:space="preserve">Researchers hypothesized that a </w:t>
      </w:r>
      <w:r>
        <w:rPr>
          <w:rFonts w:ascii="Book Antiqua" w:hAnsi="Book Antiqua"/>
          <w:color w:val="000000"/>
          <w:lang w:val="en-GB"/>
        </w:rPr>
        <w:t xml:space="preserve">combination therapy of </w:t>
      </w:r>
      <w:r w:rsidRPr="00130821">
        <w:rPr>
          <w:rFonts w:ascii="Book Antiqua" w:hAnsi="Book Antiqua"/>
          <w:color w:val="000000"/>
          <w:lang w:val="en-GB"/>
        </w:rPr>
        <w:t xml:space="preserve">an anti-TNF antibody and another </w:t>
      </w:r>
      <w:r>
        <w:rPr>
          <w:rFonts w:ascii="Book Antiqua" w:hAnsi="Book Antiqua"/>
          <w:color w:val="000000"/>
          <w:lang w:val="en-GB"/>
        </w:rPr>
        <w:t>immunomodulator</w:t>
      </w:r>
      <w:r w:rsidRPr="00130821">
        <w:rPr>
          <w:rFonts w:ascii="Book Antiqua" w:hAnsi="Book Antiqua"/>
          <w:color w:val="000000"/>
          <w:lang w:val="en-GB"/>
        </w:rPr>
        <w:t xml:space="preserve"> (</w:t>
      </w:r>
      <w:r w:rsidRPr="00020B09">
        <w:rPr>
          <w:rFonts w:ascii="Book Antiqua" w:hAnsi="Book Antiqua"/>
          <w:i/>
          <w:color w:val="000000"/>
          <w:lang w:val="en-GB"/>
        </w:rPr>
        <w:t>i.e.</w:t>
      </w:r>
      <w:r w:rsidR="00020B09" w:rsidRPr="00020B09">
        <w:rPr>
          <w:rFonts w:ascii="Book Antiqua" w:hAnsi="Book Antiqua" w:hint="eastAsia"/>
          <w:i/>
          <w:color w:val="000000"/>
          <w:lang w:val="en-GB" w:eastAsia="zh-CN"/>
        </w:rPr>
        <w:t>,</w:t>
      </w:r>
      <w:r w:rsidRPr="00020B09">
        <w:rPr>
          <w:rFonts w:ascii="Book Antiqua" w:hAnsi="Book Antiqua"/>
          <w:i/>
          <w:color w:val="000000"/>
          <w:lang w:val="en-GB"/>
        </w:rPr>
        <w:t xml:space="preserve"> </w:t>
      </w:r>
      <w:r w:rsidRPr="00130821">
        <w:rPr>
          <w:rFonts w:ascii="Book Antiqua" w:hAnsi="Book Antiqua"/>
          <w:color w:val="000000"/>
          <w:lang w:val="en-GB"/>
        </w:rPr>
        <w:t>thiopurines or methotrexate) will increase the efficacy and reduce the risk of loss of response</w:t>
      </w:r>
      <w:r w:rsidRPr="00953227">
        <w:rPr>
          <w:rFonts w:ascii="Book Antiqua" w:hAnsi="Book Antiqua"/>
          <w:color w:val="000000"/>
          <w:vertAlign w:val="superscript"/>
          <w:lang w:val="en-GB"/>
        </w:rPr>
        <w:t>[</w:t>
      </w:r>
      <w:r w:rsidRPr="00130821">
        <w:rPr>
          <w:rFonts w:ascii="Book Antiqua" w:hAnsi="Book Antiqua"/>
          <w:color w:val="000000"/>
          <w:vertAlign w:val="superscript"/>
          <w:lang w:val="en-GB"/>
        </w:rPr>
        <w:t>40]</w:t>
      </w:r>
      <w:r w:rsidRPr="00130821">
        <w:rPr>
          <w:rFonts w:ascii="Book Antiqua" w:hAnsi="Book Antiqua"/>
          <w:color w:val="000000"/>
          <w:lang w:val="en-GB"/>
        </w:rPr>
        <w:t>.</w:t>
      </w:r>
    </w:p>
    <w:p w14:paraId="3A3572BB" w14:textId="77777777" w:rsidR="00563BB7" w:rsidRPr="00130821" w:rsidRDefault="00563BB7" w:rsidP="006A3266">
      <w:pPr>
        <w:widowControl w:val="0"/>
        <w:autoSpaceDE w:val="0"/>
        <w:autoSpaceDN w:val="0"/>
        <w:adjustRightInd w:val="0"/>
        <w:spacing w:line="360" w:lineRule="auto"/>
        <w:ind w:firstLineChars="100" w:firstLine="240"/>
        <w:jc w:val="both"/>
        <w:rPr>
          <w:rFonts w:ascii="Book Antiqua" w:hAnsi="Book Antiqua"/>
          <w:color w:val="000000"/>
          <w:lang w:val="en-GB"/>
        </w:rPr>
      </w:pPr>
      <w:r>
        <w:rPr>
          <w:rFonts w:ascii="Book Antiqua" w:hAnsi="Book Antiqua"/>
          <w:color w:val="000000"/>
          <w:lang w:val="en-GB"/>
        </w:rPr>
        <w:t xml:space="preserve">There are </w:t>
      </w:r>
      <w:r w:rsidRPr="00130821">
        <w:rPr>
          <w:rFonts w:ascii="Book Antiqua" w:hAnsi="Book Antiqua"/>
          <w:color w:val="000000"/>
          <w:lang w:val="en-GB"/>
        </w:rPr>
        <w:t xml:space="preserve">several adult trials </w:t>
      </w:r>
      <w:r>
        <w:rPr>
          <w:rFonts w:ascii="Book Antiqua" w:hAnsi="Book Antiqua"/>
          <w:color w:val="000000"/>
          <w:lang w:val="en-GB"/>
        </w:rPr>
        <w:t xml:space="preserve">showing </w:t>
      </w:r>
      <w:r w:rsidRPr="00130821">
        <w:rPr>
          <w:rFonts w:ascii="Book Antiqua" w:hAnsi="Book Antiqua"/>
          <w:color w:val="000000"/>
          <w:lang w:val="en-GB"/>
        </w:rPr>
        <w:t xml:space="preserve">higher treatment efficacy </w:t>
      </w:r>
      <w:r>
        <w:rPr>
          <w:rFonts w:ascii="Book Antiqua" w:hAnsi="Book Antiqua"/>
          <w:color w:val="000000"/>
          <w:lang w:val="en-GB"/>
        </w:rPr>
        <w:t xml:space="preserve">(especially for induction of remission) </w:t>
      </w:r>
      <w:r w:rsidRPr="00130821">
        <w:rPr>
          <w:rFonts w:ascii="Book Antiqua" w:hAnsi="Book Antiqua"/>
          <w:color w:val="000000"/>
          <w:lang w:val="en-GB"/>
        </w:rPr>
        <w:t>in patient</w:t>
      </w:r>
      <w:r>
        <w:rPr>
          <w:rFonts w:ascii="Book Antiqua" w:hAnsi="Book Antiqua"/>
          <w:color w:val="000000"/>
          <w:lang w:val="en-GB"/>
        </w:rPr>
        <w:t>s receiving combination therapy</w:t>
      </w:r>
      <w:r w:rsidRPr="00130821">
        <w:rPr>
          <w:rFonts w:ascii="Book Antiqua" w:hAnsi="Book Antiqua"/>
          <w:color w:val="000000"/>
          <w:lang w:val="en-GB"/>
        </w:rPr>
        <w:t xml:space="preserve">. In particular, concomitant </w:t>
      </w:r>
      <w:r>
        <w:rPr>
          <w:rFonts w:ascii="Book Antiqua" w:hAnsi="Book Antiqua"/>
          <w:color w:val="000000"/>
          <w:lang w:val="en-GB"/>
        </w:rPr>
        <w:t>immuno</w:t>
      </w:r>
      <w:r w:rsidRPr="00130821">
        <w:rPr>
          <w:rFonts w:ascii="Book Antiqua" w:hAnsi="Book Antiqua"/>
          <w:color w:val="000000"/>
          <w:lang w:val="en-GB"/>
        </w:rPr>
        <w:t xml:space="preserve">modulators increase IFX levels and </w:t>
      </w:r>
      <w:r>
        <w:rPr>
          <w:rFonts w:ascii="Book Antiqua" w:hAnsi="Book Antiqua"/>
          <w:color w:val="000000"/>
          <w:lang w:val="en-GB"/>
        </w:rPr>
        <w:t xml:space="preserve">reduce </w:t>
      </w:r>
      <w:r w:rsidRPr="00130821">
        <w:rPr>
          <w:rFonts w:ascii="Book Antiqua" w:hAnsi="Book Antiqua"/>
          <w:color w:val="000000"/>
          <w:lang w:val="en-GB"/>
        </w:rPr>
        <w:t>immunogenicity</w:t>
      </w:r>
      <w:r w:rsidRPr="00953227">
        <w:rPr>
          <w:rFonts w:ascii="Book Antiqua" w:hAnsi="Book Antiqua"/>
          <w:color w:val="000000"/>
          <w:vertAlign w:val="superscript"/>
          <w:lang w:val="en-GB"/>
        </w:rPr>
        <w:t>[</w:t>
      </w:r>
      <w:r w:rsidRPr="00130821">
        <w:rPr>
          <w:rFonts w:ascii="Book Antiqua" w:hAnsi="Book Antiqua"/>
          <w:color w:val="000000"/>
          <w:vertAlign w:val="superscript"/>
          <w:lang w:val="en-GB"/>
        </w:rPr>
        <w:t>40]</w:t>
      </w:r>
      <w:r w:rsidRPr="00130821">
        <w:rPr>
          <w:rFonts w:ascii="Book Antiqua" w:hAnsi="Book Antiqua"/>
          <w:color w:val="000000"/>
          <w:lang w:val="en-GB"/>
        </w:rPr>
        <w:t xml:space="preserve">. On the other hand, combination therapy </w:t>
      </w:r>
      <w:r>
        <w:rPr>
          <w:rFonts w:ascii="Book Antiqua" w:hAnsi="Book Antiqua"/>
          <w:color w:val="000000"/>
          <w:lang w:val="en-GB"/>
        </w:rPr>
        <w:t xml:space="preserve">in adults </w:t>
      </w:r>
      <w:r w:rsidRPr="00130821">
        <w:rPr>
          <w:rFonts w:ascii="Book Antiqua" w:hAnsi="Book Antiqua"/>
          <w:color w:val="000000"/>
          <w:lang w:val="en-GB"/>
        </w:rPr>
        <w:t xml:space="preserve">exposes patients to the individual toxicity of both drugs and </w:t>
      </w:r>
      <w:r>
        <w:rPr>
          <w:rFonts w:ascii="Book Antiqua" w:hAnsi="Book Antiqua"/>
          <w:color w:val="000000"/>
          <w:lang w:val="en-GB"/>
        </w:rPr>
        <w:t xml:space="preserve">also </w:t>
      </w:r>
      <w:r w:rsidRPr="00130821">
        <w:rPr>
          <w:rFonts w:ascii="Book Antiqua" w:hAnsi="Book Antiqua"/>
          <w:color w:val="000000"/>
          <w:lang w:val="en-GB"/>
        </w:rPr>
        <w:t>seem</w:t>
      </w:r>
      <w:r>
        <w:rPr>
          <w:rFonts w:ascii="Book Antiqua" w:hAnsi="Book Antiqua"/>
          <w:color w:val="000000"/>
          <w:lang w:val="en-GB"/>
        </w:rPr>
        <w:t>s</w:t>
      </w:r>
      <w:r w:rsidRPr="00130821">
        <w:rPr>
          <w:rFonts w:ascii="Book Antiqua" w:hAnsi="Book Antiqua"/>
          <w:color w:val="000000"/>
          <w:lang w:val="en-GB"/>
        </w:rPr>
        <w:t xml:space="preserve"> to increase the risk of malignancy</w:t>
      </w:r>
      <w:r w:rsidRPr="00953227">
        <w:rPr>
          <w:rFonts w:ascii="Book Antiqua" w:hAnsi="Book Antiqua"/>
          <w:color w:val="000000"/>
          <w:vertAlign w:val="superscript"/>
          <w:lang w:val="en-GB"/>
        </w:rPr>
        <w:t>[</w:t>
      </w:r>
      <w:r w:rsidRPr="00130821">
        <w:rPr>
          <w:rFonts w:ascii="Book Antiqua" w:hAnsi="Book Antiqua"/>
          <w:color w:val="000000"/>
          <w:vertAlign w:val="superscript"/>
          <w:lang w:val="en-GB"/>
        </w:rPr>
        <w:t>40]</w:t>
      </w:r>
      <w:r w:rsidRPr="00130821">
        <w:rPr>
          <w:rFonts w:ascii="Book Antiqua" w:hAnsi="Book Antiqua"/>
          <w:color w:val="000000"/>
          <w:lang w:val="en-GB"/>
        </w:rPr>
        <w:t xml:space="preserve">. </w:t>
      </w:r>
      <w:r>
        <w:rPr>
          <w:rFonts w:ascii="Book Antiqua" w:hAnsi="Book Antiqua"/>
          <w:color w:val="000000"/>
          <w:lang w:val="en-GB"/>
        </w:rPr>
        <w:t>In paediatric IBD, the safety of combined treatment</w:t>
      </w:r>
      <w:r w:rsidRPr="00130821">
        <w:rPr>
          <w:rFonts w:ascii="Book Antiqua" w:hAnsi="Book Antiqua"/>
          <w:color w:val="000000"/>
          <w:lang w:val="en-GB"/>
        </w:rPr>
        <w:t xml:space="preserve"> ha</w:t>
      </w:r>
      <w:r>
        <w:rPr>
          <w:rFonts w:ascii="Book Antiqua" w:hAnsi="Book Antiqua"/>
          <w:color w:val="000000"/>
          <w:lang w:val="en-GB"/>
        </w:rPr>
        <w:t xml:space="preserve">s been questioned after several </w:t>
      </w:r>
      <w:r w:rsidRPr="00130821">
        <w:rPr>
          <w:rFonts w:ascii="Book Antiqua" w:hAnsi="Book Antiqua"/>
          <w:color w:val="000000"/>
          <w:lang w:val="en-GB"/>
        </w:rPr>
        <w:t>cases of hepatosplenic T-cell lymphoma in young patients with IBD so treated</w:t>
      </w:r>
      <w:r>
        <w:rPr>
          <w:rFonts w:ascii="Book Antiqua" w:hAnsi="Book Antiqua"/>
          <w:color w:val="000000"/>
          <w:lang w:val="en-GB"/>
        </w:rPr>
        <w:t xml:space="preserve"> were </w:t>
      </w:r>
      <w:r w:rsidRPr="00130821">
        <w:rPr>
          <w:rFonts w:ascii="Book Antiqua" w:hAnsi="Book Antiqua"/>
          <w:color w:val="000000"/>
          <w:lang w:val="en-GB"/>
        </w:rPr>
        <w:t xml:space="preserve">reported. </w:t>
      </w:r>
    </w:p>
    <w:p w14:paraId="2F7F5623" w14:textId="552F38CB" w:rsidR="00563BB7" w:rsidRPr="00130821" w:rsidRDefault="00563BB7" w:rsidP="006A3266">
      <w:pPr>
        <w:widowControl w:val="0"/>
        <w:autoSpaceDE w:val="0"/>
        <w:autoSpaceDN w:val="0"/>
        <w:adjustRightInd w:val="0"/>
        <w:spacing w:line="360" w:lineRule="auto"/>
        <w:ind w:firstLineChars="100" w:firstLine="240"/>
        <w:jc w:val="both"/>
        <w:rPr>
          <w:rFonts w:ascii="Book Antiqua" w:hAnsi="Book Antiqua"/>
          <w:color w:val="000000"/>
          <w:lang w:val="en-GB"/>
        </w:rPr>
      </w:pPr>
      <w:r>
        <w:rPr>
          <w:rFonts w:ascii="Book Antiqua" w:hAnsi="Book Antiqua"/>
          <w:color w:val="000000"/>
          <w:lang w:val="en-GB"/>
        </w:rPr>
        <w:t>Nevertheless, a</w:t>
      </w:r>
      <w:r w:rsidRPr="00130821">
        <w:rPr>
          <w:rFonts w:ascii="Book Antiqua" w:hAnsi="Book Antiqua"/>
          <w:color w:val="000000"/>
          <w:lang w:val="en-GB"/>
        </w:rPr>
        <w:t xml:space="preserve"> review by Co</w:t>
      </w:r>
      <w:r w:rsidR="00020B09">
        <w:rPr>
          <w:rFonts w:ascii="Book Antiqua" w:hAnsi="Book Antiqua"/>
          <w:color w:val="000000"/>
          <w:lang w:val="en-GB"/>
        </w:rPr>
        <w:t>zijnsen</w:t>
      </w:r>
      <w:r w:rsidR="00020B09">
        <w:rPr>
          <w:rFonts w:ascii="Book Antiqua" w:hAnsi="Book Antiqua" w:hint="eastAsia"/>
          <w:color w:val="000000"/>
          <w:lang w:val="en-GB" w:eastAsia="zh-CN"/>
        </w:rPr>
        <w:t xml:space="preserve"> </w:t>
      </w:r>
      <w:r w:rsidR="00020B09" w:rsidRPr="00020B09">
        <w:rPr>
          <w:rFonts w:ascii="Book Antiqua" w:hAnsi="Book Antiqua"/>
          <w:i/>
          <w:color w:val="000000"/>
          <w:lang w:val="en-GB"/>
        </w:rPr>
        <w:t>et al</w:t>
      </w:r>
      <w:r w:rsidRPr="00953227">
        <w:rPr>
          <w:rFonts w:ascii="Book Antiqua" w:hAnsi="Book Antiqua"/>
          <w:color w:val="000000"/>
          <w:vertAlign w:val="superscript"/>
          <w:lang w:val="en-GB"/>
        </w:rPr>
        <w:t>[</w:t>
      </w:r>
      <w:r w:rsidRPr="00130821">
        <w:rPr>
          <w:rFonts w:ascii="Book Antiqua" w:hAnsi="Book Antiqua"/>
          <w:color w:val="000000"/>
          <w:vertAlign w:val="superscript"/>
          <w:lang w:val="en-GB"/>
        </w:rPr>
        <w:t>40]</w:t>
      </w:r>
      <w:r>
        <w:rPr>
          <w:rFonts w:ascii="Book Antiqua" w:hAnsi="Book Antiqua"/>
          <w:color w:val="000000"/>
          <w:lang w:val="en-GB"/>
        </w:rPr>
        <w:t xml:space="preserve"> points out</w:t>
      </w:r>
      <w:r w:rsidRPr="00130821">
        <w:rPr>
          <w:rFonts w:ascii="Book Antiqua" w:hAnsi="Book Antiqua"/>
          <w:color w:val="000000"/>
          <w:lang w:val="en-GB"/>
        </w:rPr>
        <w:t xml:space="preserve"> that almost all studies in paediatric patients with IBD have failed to prove increased benefit from combination </w:t>
      </w:r>
      <w:r>
        <w:rPr>
          <w:rFonts w:ascii="Book Antiqua" w:hAnsi="Book Antiqua"/>
          <w:color w:val="000000"/>
          <w:lang w:val="en-GB"/>
        </w:rPr>
        <w:t>therapy compared to</w:t>
      </w:r>
      <w:r w:rsidRPr="00130821">
        <w:rPr>
          <w:rFonts w:ascii="Book Antiqua" w:hAnsi="Book Antiqua"/>
          <w:color w:val="000000"/>
          <w:lang w:val="en-GB"/>
        </w:rPr>
        <w:t xml:space="preserve"> monotherapy.</w:t>
      </w:r>
      <w:r>
        <w:rPr>
          <w:rFonts w:ascii="Book Antiqua" w:hAnsi="Book Antiqua"/>
          <w:color w:val="000000"/>
          <w:lang w:val="en-GB"/>
        </w:rPr>
        <w:t xml:space="preserve"> </w:t>
      </w:r>
      <w:r w:rsidRPr="00130821">
        <w:rPr>
          <w:rFonts w:ascii="Book Antiqua" w:hAnsi="Book Antiqua"/>
          <w:color w:val="000000"/>
          <w:lang w:val="en-GB"/>
        </w:rPr>
        <w:t>Given the controversial aspect</w:t>
      </w:r>
      <w:r>
        <w:rPr>
          <w:rFonts w:ascii="Book Antiqua" w:hAnsi="Book Antiqua"/>
          <w:color w:val="000000"/>
          <w:lang w:val="en-GB"/>
        </w:rPr>
        <w:t>s above, the Authors suggest to</w:t>
      </w:r>
      <w:r w:rsidRPr="00130821">
        <w:rPr>
          <w:rFonts w:ascii="Book Antiqua" w:hAnsi="Book Antiqua"/>
          <w:color w:val="000000"/>
          <w:lang w:val="en-GB"/>
        </w:rPr>
        <w:t xml:space="preserve"> </w:t>
      </w:r>
      <w:r>
        <w:rPr>
          <w:rFonts w:ascii="Book Antiqua" w:hAnsi="Book Antiqua"/>
          <w:color w:val="000000"/>
          <w:lang w:val="en-GB"/>
        </w:rPr>
        <w:t>target the use of combination therapy to</w:t>
      </w:r>
      <w:r w:rsidRPr="00130821">
        <w:rPr>
          <w:rFonts w:ascii="Book Antiqua" w:hAnsi="Book Antiqua"/>
          <w:color w:val="000000"/>
          <w:lang w:val="en-GB"/>
        </w:rPr>
        <w:t xml:space="preserve"> </w:t>
      </w:r>
      <w:r>
        <w:rPr>
          <w:rFonts w:ascii="Book Antiqua" w:hAnsi="Book Antiqua"/>
          <w:color w:val="000000"/>
          <w:lang w:val="en-GB"/>
        </w:rPr>
        <w:t xml:space="preserve">children </w:t>
      </w:r>
      <w:r w:rsidRPr="00130821">
        <w:rPr>
          <w:rFonts w:ascii="Book Antiqua" w:hAnsi="Book Antiqua"/>
          <w:color w:val="000000"/>
          <w:lang w:val="en-GB"/>
        </w:rPr>
        <w:t>with a high risk of serious disease-related complications, such as growth</w:t>
      </w:r>
      <w:r>
        <w:rPr>
          <w:rFonts w:ascii="Book Antiqua" w:hAnsi="Book Antiqua"/>
          <w:color w:val="000000"/>
          <w:lang w:val="en-GB"/>
        </w:rPr>
        <w:t xml:space="preserve"> delay</w:t>
      </w:r>
      <w:r w:rsidRPr="00130821">
        <w:rPr>
          <w:rFonts w:ascii="Book Antiqua" w:hAnsi="Book Antiqua"/>
          <w:color w:val="000000"/>
          <w:lang w:val="en-GB"/>
        </w:rPr>
        <w:t xml:space="preserve">, </w:t>
      </w:r>
      <w:r>
        <w:rPr>
          <w:rFonts w:ascii="Book Antiqua" w:hAnsi="Book Antiqua"/>
          <w:color w:val="000000"/>
          <w:lang w:val="en-GB"/>
        </w:rPr>
        <w:t>stri</w:t>
      </w:r>
      <w:r w:rsidRPr="00130821">
        <w:rPr>
          <w:rFonts w:ascii="Book Antiqua" w:hAnsi="Book Antiqua"/>
          <w:color w:val="000000"/>
          <w:lang w:val="en-GB"/>
        </w:rPr>
        <w:t>cturing or fistulising CD phenotype, or panenteric CD</w:t>
      </w:r>
      <w:r w:rsidRPr="00953227">
        <w:rPr>
          <w:rFonts w:ascii="Book Antiqua" w:hAnsi="Book Antiqua"/>
          <w:color w:val="000000"/>
          <w:vertAlign w:val="superscript"/>
          <w:lang w:val="en-GB"/>
        </w:rPr>
        <w:t>[</w:t>
      </w:r>
      <w:r w:rsidRPr="00130821">
        <w:rPr>
          <w:rFonts w:ascii="Book Antiqua" w:hAnsi="Book Antiqua"/>
          <w:color w:val="000000"/>
          <w:vertAlign w:val="superscript"/>
          <w:lang w:val="en-GB"/>
        </w:rPr>
        <w:t>40]</w:t>
      </w:r>
      <w:r w:rsidRPr="00130821">
        <w:rPr>
          <w:rFonts w:ascii="Book Antiqua" w:hAnsi="Book Antiqua"/>
          <w:color w:val="000000"/>
          <w:lang w:val="en-GB"/>
        </w:rPr>
        <w:t>.</w:t>
      </w:r>
    </w:p>
    <w:p w14:paraId="43184D43" w14:textId="77777777" w:rsidR="00563BB7" w:rsidRPr="00130821" w:rsidRDefault="00563BB7" w:rsidP="006A3266">
      <w:pPr>
        <w:widowControl w:val="0"/>
        <w:autoSpaceDE w:val="0"/>
        <w:autoSpaceDN w:val="0"/>
        <w:adjustRightInd w:val="0"/>
        <w:spacing w:line="360" w:lineRule="auto"/>
        <w:ind w:firstLineChars="100" w:firstLine="240"/>
        <w:jc w:val="both"/>
        <w:rPr>
          <w:rFonts w:ascii="Book Antiqua" w:hAnsi="Book Antiqua"/>
          <w:color w:val="000000"/>
          <w:lang w:val="en-GB"/>
        </w:rPr>
      </w:pPr>
      <w:r w:rsidRPr="00130821">
        <w:rPr>
          <w:rFonts w:ascii="Book Antiqua" w:hAnsi="Book Antiqua"/>
          <w:color w:val="000000"/>
          <w:lang w:val="en-GB"/>
        </w:rPr>
        <w:t>In order to assess the risk of malignancies associated to immunosuppressive treatments in IBD, a retrospective multinational survey of malignancy and mortality in paediatric IBD was conducted over a 6 year</w:t>
      </w:r>
      <w:r>
        <w:rPr>
          <w:rFonts w:ascii="Book Antiqua" w:hAnsi="Book Antiqua"/>
          <w:color w:val="000000"/>
          <w:lang w:val="en-GB"/>
        </w:rPr>
        <w:t>s</w:t>
      </w:r>
      <w:r w:rsidRPr="00130821">
        <w:rPr>
          <w:rFonts w:ascii="Book Antiqua" w:hAnsi="Book Antiqua"/>
          <w:color w:val="000000"/>
          <w:lang w:val="en-GB"/>
        </w:rPr>
        <w:t xml:space="preserve"> period (2006-2011) by the Porto Pediatric IBD working group of ESPGHAN</w:t>
      </w:r>
      <w:r w:rsidRPr="00953227">
        <w:rPr>
          <w:rFonts w:ascii="Book Antiqua" w:hAnsi="Book Antiqua"/>
          <w:color w:val="000000"/>
          <w:vertAlign w:val="superscript"/>
          <w:lang w:val="en-GB"/>
        </w:rPr>
        <w:t>[</w:t>
      </w:r>
      <w:r w:rsidRPr="00130821">
        <w:rPr>
          <w:rFonts w:ascii="Book Antiqua" w:hAnsi="Book Antiqua"/>
          <w:color w:val="000000"/>
          <w:vertAlign w:val="superscript"/>
          <w:lang w:val="en-GB"/>
        </w:rPr>
        <w:t>41]</w:t>
      </w:r>
      <w:r w:rsidRPr="00130821">
        <w:rPr>
          <w:rFonts w:ascii="Book Antiqua" w:hAnsi="Book Antiqua"/>
          <w:color w:val="000000"/>
          <w:lang w:val="en-GB"/>
        </w:rPr>
        <w:t>. The most common malignancies identified were hematopoietic tumors (</w:t>
      </w:r>
      <w:r w:rsidRPr="00953227">
        <w:rPr>
          <w:rFonts w:ascii="Book Antiqua" w:hAnsi="Book Antiqua"/>
          <w:i/>
          <w:color w:val="000000"/>
          <w:lang w:val="en-GB"/>
        </w:rPr>
        <w:t>n</w:t>
      </w:r>
      <w:r w:rsidRPr="00130821">
        <w:rPr>
          <w:rFonts w:ascii="Book Antiqua" w:hAnsi="Book Antiqua"/>
          <w:color w:val="000000"/>
          <w:lang w:val="en-GB"/>
        </w:rPr>
        <w:t xml:space="preserve"> = 11), of which 3 were hepatosplenic T-cell lymphoma (HSTCL) and 3 Ebstein–Barr virus–associated lymphomas</w:t>
      </w:r>
      <w:r w:rsidRPr="00953227">
        <w:rPr>
          <w:rFonts w:ascii="Book Antiqua" w:hAnsi="Book Antiqua"/>
          <w:color w:val="000000"/>
          <w:vertAlign w:val="superscript"/>
          <w:lang w:val="en-GB"/>
        </w:rPr>
        <w:t>[</w:t>
      </w:r>
      <w:r w:rsidRPr="00130821">
        <w:rPr>
          <w:rFonts w:ascii="Book Antiqua" w:hAnsi="Book Antiqua"/>
          <w:color w:val="000000"/>
          <w:vertAlign w:val="superscript"/>
          <w:lang w:val="en-GB"/>
        </w:rPr>
        <w:t>41]</w:t>
      </w:r>
      <w:r w:rsidRPr="00130821">
        <w:rPr>
          <w:rFonts w:ascii="Book Antiqua" w:hAnsi="Book Antiqua"/>
          <w:color w:val="000000"/>
          <w:lang w:val="en-GB"/>
        </w:rPr>
        <w:t>. These 6 patients had all been treated with thiopurines until diagnosis of cancer and only 1 patient had also received 3 IFX infusions, 5 years before the diagnosis of cancer</w:t>
      </w:r>
      <w:r w:rsidRPr="00953227">
        <w:rPr>
          <w:rFonts w:ascii="Times New Roman" w:hAnsi="Times New Roman"/>
          <w:sz w:val="19"/>
          <w:szCs w:val="19"/>
          <w:vertAlign w:val="superscript"/>
        </w:rPr>
        <w:t>[</w:t>
      </w:r>
      <w:r w:rsidRPr="00130821">
        <w:rPr>
          <w:rFonts w:ascii="Book Antiqua" w:hAnsi="Book Antiqua"/>
          <w:color w:val="000000"/>
          <w:vertAlign w:val="superscript"/>
          <w:lang w:val="en-GB"/>
        </w:rPr>
        <w:t>41]</w:t>
      </w:r>
      <w:r w:rsidRPr="0007556D">
        <w:rPr>
          <w:rFonts w:ascii="Times New Roman" w:hAnsi="Times New Roman"/>
          <w:sz w:val="19"/>
          <w:szCs w:val="19"/>
        </w:rPr>
        <w:t xml:space="preserve">. </w:t>
      </w:r>
      <w:r w:rsidRPr="00130821">
        <w:rPr>
          <w:rFonts w:ascii="Book Antiqua" w:hAnsi="Book Antiqua"/>
          <w:color w:val="000000"/>
          <w:lang w:val="en-GB"/>
        </w:rPr>
        <w:t xml:space="preserve">All 3 patients who developed HSTCL were males and had exposure to thiopurines </w:t>
      </w:r>
      <w:r w:rsidRPr="00130821">
        <w:rPr>
          <w:rFonts w:ascii="Book Antiqua" w:hAnsi="Book Antiqua"/>
          <w:color w:val="000000"/>
          <w:lang w:val="en-GB"/>
        </w:rPr>
        <w:lastRenderedPageBreak/>
        <w:t xml:space="preserve">ranging from 32 to 108 mo; none </w:t>
      </w:r>
      <w:r>
        <w:rPr>
          <w:rFonts w:ascii="Book Antiqua" w:hAnsi="Book Antiqua"/>
          <w:color w:val="000000"/>
          <w:lang w:val="en-GB"/>
        </w:rPr>
        <w:t xml:space="preserve">of them </w:t>
      </w:r>
      <w:r w:rsidRPr="00130821">
        <w:rPr>
          <w:rFonts w:ascii="Book Antiqua" w:hAnsi="Book Antiqua"/>
          <w:color w:val="000000"/>
          <w:lang w:val="en-GB"/>
        </w:rPr>
        <w:t>received a biologic</w:t>
      </w:r>
      <w:r w:rsidRPr="00953227">
        <w:rPr>
          <w:rFonts w:ascii="Book Antiqua" w:hAnsi="Book Antiqua"/>
          <w:color w:val="000000"/>
          <w:vertAlign w:val="superscript"/>
          <w:lang w:val="en-GB"/>
        </w:rPr>
        <w:t>[</w:t>
      </w:r>
      <w:r w:rsidRPr="00130821">
        <w:rPr>
          <w:rFonts w:ascii="Book Antiqua" w:hAnsi="Book Antiqua"/>
          <w:color w:val="000000"/>
          <w:vertAlign w:val="superscript"/>
          <w:lang w:val="en-GB"/>
        </w:rPr>
        <w:t>41]</w:t>
      </w:r>
      <w:r w:rsidRPr="00130821">
        <w:rPr>
          <w:rFonts w:ascii="Book Antiqua" w:hAnsi="Book Antiqua"/>
          <w:color w:val="000000"/>
          <w:lang w:val="en-GB"/>
        </w:rPr>
        <w:t>.</w:t>
      </w:r>
    </w:p>
    <w:p w14:paraId="1658E74C" w14:textId="77777777" w:rsidR="00563BB7" w:rsidRPr="00953227" w:rsidRDefault="00563BB7" w:rsidP="006A3266">
      <w:pPr>
        <w:widowControl w:val="0"/>
        <w:autoSpaceDE w:val="0"/>
        <w:autoSpaceDN w:val="0"/>
        <w:adjustRightInd w:val="0"/>
        <w:spacing w:line="360" w:lineRule="auto"/>
        <w:jc w:val="both"/>
        <w:rPr>
          <w:rFonts w:ascii="Times New Roman" w:hAnsi="Times New Roman"/>
          <w:sz w:val="19"/>
          <w:szCs w:val="19"/>
          <w:lang w:val="en-GB"/>
        </w:rPr>
      </w:pPr>
    </w:p>
    <w:p w14:paraId="6BAE0DEC" w14:textId="77777777" w:rsidR="00563BB7" w:rsidRPr="00953227" w:rsidRDefault="00563BB7" w:rsidP="006A3266">
      <w:pPr>
        <w:widowControl w:val="0"/>
        <w:autoSpaceDE w:val="0"/>
        <w:autoSpaceDN w:val="0"/>
        <w:adjustRightInd w:val="0"/>
        <w:spacing w:line="360" w:lineRule="auto"/>
        <w:jc w:val="both"/>
        <w:rPr>
          <w:rFonts w:ascii="Book Antiqua" w:hAnsi="Book Antiqua"/>
          <w:b/>
          <w:i/>
          <w:color w:val="000000"/>
          <w:lang w:val="en-GB"/>
        </w:rPr>
      </w:pPr>
      <w:r w:rsidRPr="00953227">
        <w:rPr>
          <w:rFonts w:ascii="Book Antiqua" w:hAnsi="Book Antiqua"/>
          <w:b/>
          <w:i/>
          <w:color w:val="000000"/>
          <w:lang w:val="en-GB"/>
        </w:rPr>
        <w:t>Adalimumab</w:t>
      </w:r>
    </w:p>
    <w:p w14:paraId="0F59033C" w14:textId="77777777" w:rsidR="00563BB7" w:rsidRPr="00130821" w:rsidRDefault="00563BB7" w:rsidP="006A3266">
      <w:pPr>
        <w:pStyle w:val="NormalWeb"/>
        <w:spacing w:before="0" w:beforeAutospacing="0" w:after="0" w:afterAutospacing="0" w:line="360" w:lineRule="auto"/>
        <w:jc w:val="both"/>
        <w:rPr>
          <w:rFonts w:ascii="Book Antiqua" w:hAnsi="Book Antiqua"/>
          <w:lang w:val="en-GB"/>
        </w:rPr>
      </w:pPr>
      <w:r>
        <w:rPr>
          <w:rFonts w:ascii="Book Antiqua" w:hAnsi="Book Antiqua"/>
          <w:lang w:val="en-GB"/>
        </w:rPr>
        <w:t xml:space="preserve">Adalimumab (ADA) is </w:t>
      </w:r>
      <w:r w:rsidRPr="00130821">
        <w:rPr>
          <w:rFonts w:ascii="Book Antiqua" w:hAnsi="Book Antiqua"/>
          <w:lang w:val="en-GB"/>
        </w:rPr>
        <w:t>a fully human IgG1κ monoclonal antibody which is similar to IFX in the mode of action</w:t>
      </w:r>
      <w:r>
        <w:rPr>
          <w:rFonts w:ascii="Book Antiqua" w:hAnsi="Book Antiqua"/>
          <w:lang w:val="en-GB"/>
        </w:rPr>
        <w:t xml:space="preserve">, but it differs from it as </w:t>
      </w:r>
      <w:r w:rsidRPr="00130821">
        <w:rPr>
          <w:rFonts w:ascii="Book Antiqua" w:hAnsi="Book Antiqua"/>
          <w:lang w:val="en-GB"/>
        </w:rPr>
        <w:t xml:space="preserve">the mouse-derived sequence </w:t>
      </w:r>
      <w:r>
        <w:rPr>
          <w:rFonts w:ascii="Book Antiqua" w:hAnsi="Book Antiqua"/>
          <w:lang w:val="en-GB"/>
        </w:rPr>
        <w:t>is</w:t>
      </w:r>
      <w:r w:rsidRPr="00130821">
        <w:rPr>
          <w:rFonts w:ascii="Book Antiqua" w:hAnsi="Book Antiqua"/>
          <w:lang w:val="en-GB"/>
        </w:rPr>
        <w:t xml:space="preserve"> removed</w:t>
      </w:r>
      <w:r>
        <w:rPr>
          <w:rFonts w:ascii="Book Antiqua" w:hAnsi="Book Antiqua"/>
          <w:lang w:val="en-GB"/>
        </w:rPr>
        <w:t>, i</w:t>
      </w:r>
      <w:r w:rsidRPr="00130821">
        <w:rPr>
          <w:rFonts w:ascii="Book Antiqua" w:hAnsi="Book Antiqua"/>
          <w:lang w:val="en-GB"/>
        </w:rPr>
        <w:t>n order to reduce the immunogenic reactions induced by chimeric antibodies</w:t>
      </w:r>
      <w:r w:rsidRPr="00953227">
        <w:rPr>
          <w:rFonts w:ascii="Book Antiqua" w:hAnsi="Book Antiqua"/>
          <w:vertAlign w:val="superscript"/>
          <w:lang w:val="en-GB"/>
        </w:rPr>
        <w:t>[</w:t>
      </w:r>
      <w:r w:rsidRPr="00130821">
        <w:rPr>
          <w:rFonts w:ascii="Book Antiqua" w:hAnsi="Book Antiqua"/>
          <w:vertAlign w:val="superscript"/>
          <w:lang w:val="en-GB"/>
        </w:rPr>
        <w:t>23,34]</w:t>
      </w:r>
      <w:r w:rsidRPr="00130821">
        <w:rPr>
          <w:rFonts w:ascii="Book Antiqua" w:hAnsi="Book Antiqua"/>
          <w:lang w:val="en-GB"/>
        </w:rPr>
        <w:t xml:space="preserve">. ADA </w:t>
      </w:r>
      <w:r>
        <w:rPr>
          <w:rFonts w:ascii="Book Antiqua" w:hAnsi="Book Antiqua"/>
          <w:lang w:val="en-GB"/>
        </w:rPr>
        <w:t xml:space="preserve">is therefore to consider as </w:t>
      </w:r>
      <w:r w:rsidRPr="00130821">
        <w:rPr>
          <w:rFonts w:ascii="Book Antiqua" w:hAnsi="Book Antiqua"/>
          <w:lang w:val="en-GB"/>
        </w:rPr>
        <w:t>a</w:t>
      </w:r>
      <w:r>
        <w:rPr>
          <w:rFonts w:ascii="Book Antiqua" w:hAnsi="Book Antiqua"/>
          <w:lang w:val="en-GB"/>
        </w:rPr>
        <w:t>n alternative</w:t>
      </w:r>
      <w:r w:rsidRPr="00130821">
        <w:rPr>
          <w:rFonts w:ascii="Book Antiqua" w:hAnsi="Book Antiqua"/>
          <w:lang w:val="en-GB"/>
        </w:rPr>
        <w:t xml:space="preserve"> treatment option in patients who have lost response or are intolerant to IFX, or in some primary non-responders to IFX</w:t>
      </w:r>
      <w:r w:rsidRPr="00953227">
        <w:rPr>
          <w:rFonts w:ascii="Book Antiqua" w:hAnsi="Book Antiqua"/>
          <w:vertAlign w:val="superscript"/>
          <w:lang w:val="en-GB"/>
        </w:rPr>
        <w:t>[</w:t>
      </w:r>
      <w:r w:rsidRPr="00130821">
        <w:rPr>
          <w:rFonts w:ascii="Book Antiqua" w:hAnsi="Book Antiqua"/>
          <w:vertAlign w:val="superscript"/>
          <w:lang w:val="en-GB"/>
        </w:rPr>
        <w:t>34]</w:t>
      </w:r>
      <w:r w:rsidRPr="00130821">
        <w:rPr>
          <w:rFonts w:ascii="Book Antiqua" w:hAnsi="Book Antiqua"/>
          <w:lang w:val="en-GB"/>
        </w:rPr>
        <w:t xml:space="preserve">. </w:t>
      </w:r>
    </w:p>
    <w:p w14:paraId="64DDC8DF" w14:textId="77777777" w:rsidR="00563BB7" w:rsidRPr="00130821" w:rsidRDefault="00563BB7" w:rsidP="006A3266">
      <w:pPr>
        <w:pStyle w:val="NormalWeb"/>
        <w:spacing w:before="0" w:beforeAutospacing="0" w:after="0" w:afterAutospacing="0" w:line="360" w:lineRule="auto"/>
        <w:ind w:firstLineChars="100" w:firstLine="240"/>
        <w:jc w:val="both"/>
        <w:rPr>
          <w:rFonts w:ascii="Book Antiqua" w:hAnsi="Book Antiqua"/>
          <w:lang w:val="en-GB"/>
        </w:rPr>
      </w:pPr>
      <w:r w:rsidRPr="00130821">
        <w:rPr>
          <w:rFonts w:ascii="Book Antiqua" w:hAnsi="Book Antiqua"/>
          <w:lang w:val="en-GB"/>
        </w:rPr>
        <w:t>ADA was recently approved in Europe and the United States for the treatment of paediatric patients with CD, based on the results from the IMAgINE-1 study</w:t>
      </w:r>
      <w:r w:rsidRPr="00953227">
        <w:rPr>
          <w:rFonts w:ascii="Book Antiqua" w:hAnsi="Book Antiqua"/>
          <w:vertAlign w:val="superscript"/>
          <w:lang w:val="en-GB"/>
        </w:rPr>
        <w:t>[</w:t>
      </w:r>
      <w:r w:rsidRPr="00130821">
        <w:rPr>
          <w:rFonts w:ascii="Book Antiqua" w:hAnsi="Book Antiqua"/>
          <w:vertAlign w:val="superscript"/>
          <w:lang w:val="en-GB"/>
        </w:rPr>
        <w:t>7,</w:t>
      </w:r>
      <w:r>
        <w:rPr>
          <w:rFonts w:ascii="Book Antiqua" w:hAnsi="Book Antiqua"/>
          <w:vertAlign w:val="superscript"/>
          <w:lang w:val="en-GB"/>
        </w:rPr>
        <w:t>42,</w:t>
      </w:r>
      <w:r w:rsidRPr="00130821">
        <w:rPr>
          <w:rFonts w:ascii="Book Antiqua" w:hAnsi="Book Antiqua"/>
          <w:vertAlign w:val="superscript"/>
          <w:lang w:val="en-GB"/>
        </w:rPr>
        <w:t>43]</w:t>
      </w:r>
      <w:r w:rsidRPr="00130821">
        <w:rPr>
          <w:rFonts w:ascii="Book Antiqua" w:hAnsi="Book Antiqua"/>
          <w:lang w:val="en-GB"/>
        </w:rPr>
        <w:t xml:space="preserve">. </w:t>
      </w:r>
    </w:p>
    <w:p w14:paraId="2B6FF612" w14:textId="62D7AC0A" w:rsidR="00563BB7" w:rsidRPr="00D43973"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sidRPr="00D43973">
        <w:rPr>
          <w:rFonts w:ascii="Book Antiqua" w:hAnsi="Book Antiqua"/>
          <w:lang w:val="en-GB"/>
        </w:rPr>
        <w:t>IMAgINE-1 study is a phase-3, randomized, double-blind study c</w:t>
      </w:r>
      <w:r>
        <w:rPr>
          <w:rFonts w:ascii="Book Antiqua" w:hAnsi="Book Antiqua"/>
          <w:lang w:val="en-GB"/>
        </w:rPr>
        <w:t>onducted by Sharma</w:t>
      </w:r>
      <w:r>
        <w:rPr>
          <w:rFonts w:ascii="Book Antiqua" w:hAnsi="Book Antiqua" w:hint="eastAsia"/>
          <w:lang w:val="en-GB" w:eastAsia="zh-CN"/>
        </w:rPr>
        <w:t xml:space="preserve"> </w:t>
      </w:r>
      <w:r w:rsidRPr="00953227">
        <w:rPr>
          <w:rFonts w:ascii="Book Antiqua" w:hAnsi="Book Antiqua"/>
          <w:i/>
          <w:lang w:val="en-GB"/>
        </w:rPr>
        <w:t>et al</w:t>
      </w:r>
      <w:r w:rsidRPr="00953227">
        <w:rPr>
          <w:rFonts w:ascii="Book Antiqua" w:hAnsi="Book Antiqua"/>
          <w:vertAlign w:val="superscript"/>
          <w:lang w:val="en-GB"/>
        </w:rPr>
        <w:t>[</w:t>
      </w:r>
      <w:r>
        <w:rPr>
          <w:rFonts w:ascii="Book Antiqua" w:hAnsi="Book Antiqua" w:hint="eastAsia"/>
          <w:vertAlign w:val="superscript"/>
          <w:lang w:val="en-GB" w:eastAsia="zh-CN"/>
        </w:rPr>
        <w:t>7</w:t>
      </w:r>
      <w:r w:rsidRPr="00EA495A">
        <w:rPr>
          <w:rFonts w:ascii="Book Antiqua" w:hAnsi="Book Antiqua"/>
          <w:vertAlign w:val="superscript"/>
          <w:lang w:val="en-GB"/>
        </w:rPr>
        <w:t>]</w:t>
      </w:r>
      <w:r>
        <w:rPr>
          <w:rFonts w:ascii="Book Antiqua" w:hAnsi="Book Antiqua" w:hint="eastAsia"/>
          <w:vertAlign w:val="superscript"/>
          <w:lang w:val="en-GB" w:eastAsia="zh-CN"/>
        </w:rPr>
        <w:t xml:space="preserve"> </w:t>
      </w:r>
      <w:r w:rsidRPr="00D43973">
        <w:rPr>
          <w:rFonts w:ascii="Book Antiqua" w:hAnsi="Book Antiqua"/>
          <w:lang w:val="en-GB"/>
        </w:rPr>
        <w:t>aimed to a</w:t>
      </w:r>
      <w:r>
        <w:rPr>
          <w:rFonts w:ascii="Book Antiqua" w:hAnsi="Book Antiqua"/>
          <w:lang w:val="en-GB"/>
        </w:rPr>
        <w:t>nalyse the PK</w:t>
      </w:r>
      <w:r w:rsidRPr="00D43973">
        <w:rPr>
          <w:rFonts w:ascii="Book Antiqua" w:hAnsi="Book Antiqua"/>
          <w:lang w:val="en-GB"/>
        </w:rPr>
        <w:t xml:space="preserve"> of ADA </w:t>
      </w:r>
      <w:r>
        <w:rPr>
          <w:rFonts w:ascii="Book Antiqua" w:hAnsi="Book Antiqua"/>
          <w:lang w:val="en-GB"/>
        </w:rPr>
        <w:t>in a paediatric CD population (</w:t>
      </w:r>
      <w:r w:rsidRPr="00953227">
        <w:rPr>
          <w:rFonts w:ascii="Book Antiqua" w:hAnsi="Book Antiqua"/>
          <w:i/>
          <w:lang w:val="en-GB"/>
        </w:rPr>
        <w:t>n</w:t>
      </w:r>
      <w:r w:rsidRPr="00953227">
        <w:rPr>
          <w:rFonts w:ascii="Book Antiqua" w:hAnsi="Book Antiqua" w:hint="eastAsia"/>
          <w:i/>
          <w:lang w:val="en-GB" w:eastAsia="zh-CN"/>
        </w:rPr>
        <w:t xml:space="preserve"> </w:t>
      </w:r>
      <w:r w:rsidRPr="00D43973">
        <w:rPr>
          <w:rFonts w:ascii="Book Antiqua" w:hAnsi="Book Antiqua"/>
          <w:lang w:val="en-GB"/>
        </w:rPr>
        <w:t>=</w:t>
      </w:r>
      <w:r>
        <w:rPr>
          <w:rFonts w:ascii="Book Antiqua" w:hAnsi="Book Antiqua" w:hint="eastAsia"/>
          <w:lang w:val="en-GB" w:eastAsia="zh-CN"/>
        </w:rPr>
        <w:t xml:space="preserve"> </w:t>
      </w:r>
      <w:r w:rsidRPr="00D43973">
        <w:rPr>
          <w:rFonts w:ascii="Book Antiqua" w:hAnsi="Book Antiqua"/>
          <w:lang w:val="en-GB"/>
        </w:rPr>
        <w:t xml:space="preserve">192), and to evaluate the effect of various factors, including </w:t>
      </w:r>
      <w:r w:rsidRPr="000E4A7F">
        <w:rPr>
          <w:rFonts w:ascii="Book Antiqua" w:hAnsi="Book Antiqua"/>
          <w:lang w:val="en-GB"/>
        </w:rPr>
        <w:t>demographics (body weight, sex), laboratory me</w:t>
      </w:r>
      <w:r>
        <w:rPr>
          <w:rFonts w:ascii="Book Antiqua" w:hAnsi="Book Antiqua"/>
          <w:lang w:val="en-GB"/>
        </w:rPr>
        <w:t>asurements (CRP</w:t>
      </w:r>
      <w:r w:rsidRPr="000E4A7F">
        <w:rPr>
          <w:rFonts w:ascii="Book Antiqua" w:hAnsi="Book Antiqua"/>
          <w:lang w:val="en-GB"/>
        </w:rPr>
        <w:t xml:space="preserve">, albumin), previous IFX use, concomitant </w:t>
      </w:r>
      <w:r>
        <w:rPr>
          <w:rFonts w:ascii="Book Antiqua" w:hAnsi="Book Antiqua"/>
          <w:lang w:val="en-GB"/>
        </w:rPr>
        <w:t>immunomodulators</w:t>
      </w:r>
      <w:r w:rsidRPr="000E4A7F">
        <w:rPr>
          <w:rFonts w:ascii="Book Antiqua" w:hAnsi="Book Antiqua"/>
          <w:lang w:val="en-GB"/>
        </w:rPr>
        <w:t xml:space="preserve">, and </w:t>
      </w:r>
      <w:r>
        <w:rPr>
          <w:rFonts w:ascii="Book Antiqua" w:hAnsi="Book Antiqua"/>
          <w:lang w:val="en-GB"/>
        </w:rPr>
        <w:t>baseline PCDAI</w:t>
      </w:r>
      <w:r w:rsidRPr="000E4A7F">
        <w:rPr>
          <w:rFonts w:ascii="Book Antiqua" w:hAnsi="Book Antiqua"/>
          <w:lang w:val="en-GB"/>
        </w:rPr>
        <w:t>, on ADA PK in paediatric patients with moderate-to-severe CD</w:t>
      </w:r>
      <w:r w:rsidR="00020B09">
        <w:rPr>
          <w:rFonts w:ascii="Book Antiqua" w:hAnsi="Book Antiqua" w:hint="eastAsia"/>
          <w:lang w:val="en-GB" w:eastAsia="zh-CN"/>
        </w:rPr>
        <w:t xml:space="preserve"> </w:t>
      </w:r>
      <w:r w:rsidRPr="000E4A7F">
        <w:rPr>
          <w:rFonts w:ascii="Book Antiqua" w:hAnsi="Book Antiqua"/>
          <w:lang w:val="en-GB"/>
        </w:rPr>
        <w:t>(Table 1)</w:t>
      </w:r>
      <w:r w:rsidR="00020B09">
        <w:rPr>
          <w:rFonts w:ascii="Book Antiqua" w:hAnsi="Book Antiqua" w:hint="eastAsia"/>
          <w:lang w:val="en-GB" w:eastAsia="zh-CN"/>
        </w:rPr>
        <w:t>.</w:t>
      </w:r>
      <w:r w:rsidRPr="000E4A7F">
        <w:rPr>
          <w:rFonts w:ascii="Book Antiqua" w:hAnsi="Book Antiqua"/>
          <w:lang w:val="en-GB"/>
        </w:rPr>
        <w:t xml:space="preserve"> Furthermore, the </w:t>
      </w:r>
      <w:r>
        <w:rPr>
          <w:rFonts w:ascii="Book Antiqua" w:hAnsi="Book Antiqua"/>
          <w:lang w:val="en-GB"/>
        </w:rPr>
        <w:t xml:space="preserve">relationship between serum ADA concentration and </w:t>
      </w:r>
      <w:r w:rsidRPr="000E4A7F">
        <w:rPr>
          <w:rFonts w:ascii="Book Antiqua" w:hAnsi="Book Antiqua"/>
          <w:lang w:val="en-GB"/>
        </w:rPr>
        <w:t xml:space="preserve">remission/response </w:t>
      </w:r>
      <w:r w:rsidRPr="00D43973">
        <w:rPr>
          <w:rFonts w:ascii="Book Antiqua" w:hAnsi="Book Antiqua"/>
          <w:lang w:val="en-GB"/>
        </w:rPr>
        <w:t>was explored</w:t>
      </w:r>
      <w:r w:rsidRPr="00953227">
        <w:rPr>
          <w:rFonts w:ascii="Book Antiqua" w:hAnsi="Book Antiqua"/>
          <w:vertAlign w:val="superscript"/>
          <w:lang w:val="en-GB"/>
        </w:rPr>
        <w:t>[</w:t>
      </w:r>
      <w:r>
        <w:rPr>
          <w:rFonts w:ascii="Book Antiqua" w:hAnsi="Book Antiqua"/>
          <w:vertAlign w:val="superscript"/>
          <w:lang w:val="en-GB"/>
        </w:rPr>
        <w:t>24</w:t>
      </w:r>
      <w:r w:rsidRPr="00EA495A">
        <w:rPr>
          <w:rFonts w:ascii="Book Antiqua" w:hAnsi="Book Antiqua"/>
          <w:vertAlign w:val="superscript"/>
          <w:lang w:val="en-GB"/>
        </w:rPr>
        <w:t>]</w:t>
      </w:r>
      <w:r w:rsidRPr="00D43973">
        <w:rPr>
          <w:rFonts w:ascii="Book Antiqua" w:hAnsi="Book Antiqua"/>
          <w:lang w:val="en-GB"/>
        </w:rPr>
        <w:t xml:space="preserve">. </w:t>
      </w:r>
    </w:p>
    <w:p w14:paraId="013FC8F7" w14:textId="5AA46CAA" w:rsidR="00563BB7" w:rsidRPr="00130821" w:rsidRDefault="00563BB7" w:rsidP="006A3266">
      <w:pPr>
        <w:widowControl w:val="0"/>
        <w:autoSpaceDE w:val="0"/>
        <w:autoSpaceDN w:val="0"/>
        <w:adjustRightInd w:val="0"/>
        <w:spacing w:line="360" w:lineRule="auto"/>
        <w:ind w:firstLineChars="100" w:firstLine="240"/>
        <w:jc w:val="both"/>
        <w:rPr>
          <w:rFonts w:ascii="Book Antiqua" w:hAnsi="Book Antiqua"/>
          <w:lang w:val="en-GB" w:eastAsia="zh-CN"/>
        </w:rPr>
      </w:pPr>
      <w:r w:rsidRPr="00D43973">
        <w:rPr>
          <w:rFonts w:ascii="Book Antiqua" w:hAnsi="Book Antiqua"/>
          <w:lang w:val="en-GB"/>
        </w:rPr>
        <w:t>Trough serum ADA (</w:t>
      </w:r>
      <w:r>
        <w:rPr>
          <w:rFonts w:ascii="Book Antiqua" w:hAnsi="Book Antiqua"/>
          <w:lang w:val="en-GB"/>
        </w:rPr>
        <w:t xml:space="preserve">measured at 5 time points from </w:t>
      </w:r>
      <w:r w:rsidRPr="00D43973">
        <w:rPr>
          <w:rFonts w:ascii="Book Antiqua" w:hAnsi="Book Antiqua"/>
          <w:lang w:val="en-GB"/>
        </w:rPr>
        <w:t>baseline</w:t>
      </w:r>
      <w:r>
        <w:rPr>
          <w:rFonts w:ascii="Book Antiqua" w:hAnsi="Book Antiqua"/>
          <w:lang w:val="en-GB"/>
        </w:rPr>
        <w:t xml:space="preserve"> up to </w:t>
      </w:r>
      <w:r w:rsidRPr="00D43973">
        <w:rPr>
          <w:rFonts w:ascii="Book Antiqua" w:hAnsi="Book Antiqua"/>
          <w:lang w:val="en-GB"/>
        </w:rPr>
        <w:t>52</w:t>
      </w:r>
      <w:r>
        <w:rPr>
          <w:rFonts w:ascii="Book Antiqua" w:hAnsi="Book Antiqua"/>
          <w:lang w:val="en-GB"/>
        </w:rPr>
        <w:t xml:space="preserve"> </w:t>
      </w:r>
      <w:r>
        <w:rPr>
          <w:rFonts w:ascii="Book Antiqua" w:hAnsi="Book Antiqua" w:hint="eastAsia"/>
          <w:lang w:val="en-GB" w:eastAsia="zh-CN"/>
        </w:rPr>
        <w:t>wk</w:t>
      </w:r>
      <w:r w:rsidRPr="00D43973">
        <w:rPr>
          <w:rFonts w:ascii="Book Antiqua" w:hAnsi="Book Antiqua"/>
          <w:lang w:val="en-GB"/>
        </w:rPr>
        <w:t xml:space="preserve">) and </w:t>
      </w:r>
      <w:r>
        <w:rPr>
          <w:rFonts w:ascii="Book Antiqua" w:hAnsi="Book Antiqua"/>
          <w:lang w:val="en-GB"/>
        </w:rPr>
        <w:t xml:space="preserve">serial </w:t>
      </w:r>
      <w:r w:rsidRPr="00D43973">
        <w:rPr>
          <w:rFonts w:ascii="Book Antiqua" w:hAnsi="Book Antiqua"/>
          <w:lang w:val="en-GB"/>
        </w:rPr>
        <w:t>anti-ADA antibody measurements were performed</w:t>
      </w:r>
      <w:r>
        <w:rPr>
          <w:rFonts w:ascii="Book Antiqua" w:hAnsi="Book Antiqua"/>
          <w:lang w:val="en-GB"/>
        </w:rPr>
        <w:t xml:space="preserve">. The </w:t>
      </w:r>
      <w:r w:rsidRPr="00D43973">
        <w:rPr>
          <w:rFonts w:ascii="Book Antiqua" w:hAnsi="Book Antiqua"/>
          <w:lang w:val="en-GB"/>
        </w:rPr>
        <w:t>st</w:t>
      </w:r>
      <w:r>
        <w:rPr>
          <w:rFonts w:ascii="Book Antiqua" w:hAnsi="Book Antiqua"/>
          <w:lang w:val="en-GB"/>
        </w:rPr>
        <w:t xml:space="preserve">udy confirmed </w:t>
      </w:r>
      <w:r w:rsidRPr="00D43973">
        <w:rPr>
          <w:rFonts w:ascii="Book Antiqua" w:hAnsi="Book Antiqua"/>
          <w:lang w:val="en-GB"/>
        </w:rPr>
        <w:t xml:space="preserve">a strong positive association between serum ADA concentration and </w:t>
      </w:r>
      <w:r>
        <w:rPr>
          <w:rFonts w:ascii="Book Antiqua" w:hAnsi="Book Antiqua"/>
          <w:lang w:val="en-GB"/>
        </w:rPr>
        <w:t xml:space="preserve">clinical </w:t>
      </w:r>
      <w:r w:rsidRPr="00D43973">
        <w:rPr>
          <w:rFonts w:ascii="Book Antiqua" w:hAnsi="Book Antiqua"/>
          <w:lang w:val="en-GB"/>
        </w:rPr>
        <w:t>remission/response to treatment</w:t>
      </w:r>
      <w:r w:rsidRPr="00953227">
        <w:rPr>
          <w:rFonts w:ascii="Book Antiqua" w:hAnsi="Book Antiqua"/>
          <w:vertAlign w:val="superscript"/>
          <w:lang w:val="en-GB"/>
        </w:rPr>
        <w:t>[</w:t>
      </w:r>
      <w:r>
        <w:rPr>
          <w:rFonts w:ascii="Book Antiqua" w:hAnsi="Book Antiqua"/>
          <w:vertAlign w:val="superscript"/>
          <w:lang w:val="en-GB"/>
        </w:rPr>
        <w:t>24</w:t>
      </w:r>
      <w:r w:rsidRPr="00EA495A">
        <w:rPr>
          <w:rFonts w:ascii="Book Antiqua" w:hAnsi="Book Antiqua"/>
          <w:vertAlign w:val="superscript"/>
          <w:lang w:val="en-GB"/>
        </w:rPr>
        <w:t>]</w:t>
      </w:r>
      <w:r w:rsidRPr="00D43973">
        <w:rPr>
          <w:rFonts w:ascii="Book Antiqua" w:hAnsi="Book Antiqua"/>
          <w:lang w:val="en-GB"/>
        </w:rPr>
        <w:t>.</w:t>
      </w:r>
      <w:r>
        <w:rPr>
          <w:rFonts w:ascii="Book Antiqua" w:hAnsi="Book Antiqua" w:hint="eastAsia"/>
          <w:lang w:val="en-GB" w:eastAsia="zh-CN"/>
        </w:rPr>
        <w:t xml:space="preserve"> </w:t>
      </w:r>
      <w:r w:rsidRPr="00130821">
        <w:rPr>
          <w:rFonts w:ascii="Book Antiqua" w:hAnsi="Book Antiqua"/>
          <w:lang w:val="en-GB"/>
        </w:rPr>
        <w:t xml:space="preserve">Higher body weight, baseline CRP, and lower baseline albumin levels were associated with greater clearance </w:t>
      </w:r>
      <w:r>
        <w:rPr>
          <w:rFonts w:ascii="Book Antiqua" w:hAnsi="Book Antiqua"/>
          <w:lang w:val="en-GB"/>
        </w:rPr>
        <w:t>of ADA (</w:t>
      </w:r>
      <w:r w:rsidRPr="00130821">
        <w:rPr>
          <w:rFonts w:ascii="Book Antiqua" w:hAnsi="Book Antiqua"/>
          <w:lang w:val="en-GB"/>
        </w:rPr>
        <w:t>lower trough level</w:t>
      </w:r>
      <w:r>
        <w:rPr>
          <w:rFonts w:ascii="Book Antiqua" w:hAnsi="Book Antiqua"/>
          <w:lang w:val="en-GB"/>
        </w:rPr>
        <w:t>s)</w:t>
      </w:r>
      <w:r w:rsidRPr="00953227">
        <w:rPr>
          <w:rFonts w:ascii="Book Antiqua" w:hAnsi="Book Antiqua"/>
          <w:vertAlign w:val="superscript"/>
          <w:lang w:val="en-GB"/>
        </w:rPr>
        <w:t>[</w:t>
      </w:r>
      <w:r w:rsidRPr="00130821">
        <w:rPr>
          <w:rFonts w:ascii="Book Antiqua" w:hAnsi="Book Antiqua"/>
          <w:vertAlign w:val="superscript"/>
          <w:lang w:val="en-GB"/>
        </w:rPr>
        <w:t>7]</w:t>
      </w:r>
      <w:r w:rsidRPr="00130821">
        <w:rPr>
          <w:rFonts w:ascii="Book Antiqua" w:hAnsi="Book Antiqua"/>
          <w:lang w:val="en-GB"/>
        </w:rPr>
        <w:t xml:space="preserve">. Previous treatment with </w:t>
      </w:r>
      <w:r>
        <w:rPr>
          <w:rFonts w:ascii="Book Antiqua" w:hAnsi="Book Antiqua"/>
          <w:lang w:val="en-GB"/>
        </w:rPr>
        <w:t xml:space="preserve">other </w:t>
      </w:r>
      <w:r w:rsidRPr="00130821">
        <w:rPr>
          <w:rFonts w:ascii="Book Antiqua" w:hAnsi="Book Antiqua"/>
          <w:lang w:val="en-GB"/>
        </w:rPr>
        <w:t xml:space="preserve">anti-TNF therapy, presence of antibodies to previous IFX therapy, and absence of concomitant use </w:t>
      </w:r>
      <w:r>
        <w:rPr>
          <w:rFonts w:ascii="Book Antiqua" w:hAnsi="Book Antiqua"/>
          <w:lang w:val="en-GB"/>
        </w:rPr>
        <w:t>of immunomodulators were also</w:t>
      </w:r>
      <w:r w:rsidRPr="00130821">
        <w:rPr>
          <w:rFonts w:ascii="Book Antiqua" w:hAnsi="Book Antiqua"/>
          <w:lang w:val="en-GB"/>
        </w:rPr>
        <w:t xml:space="preserve"> associated with increased clearance</w:t>
      </w:r>
      <w:r>
        <w:rPr>
          <w:rFonts w:ascii="Book Antiqua" w:hAnsi="Book Antiqua"/>
          <w:lang w:val="en-GB"/>
        </w:rPr>
        <w:t xml:space="preserve"> of ADA</w:t>
      </w:r>
      <w:r w:rsidRPr="00953227">
        <w:rPr>
          <w:rFonts w:ascii="Book Antiqua" w:hAnsi="Book Antiqua"/>
          <w:vertAlign w:val="superscript"/>
          <w:lang w:val="en-GB"/>
        </w:rPr>
        <w:t>[</w:t>
      </w:r>
      <w:r w:rsidRPr="00130821">
        <w:rPr>
          <w:rFonts w:ascii="Book Antiqua" w:hAnsi="Book Antiqua"/>
          <w:vertAlign w:val="superscript"/>
          <w:lang w:val="en-GB"/>
        </w:rPr>
        <w:t>7]</w:t>
      </w:r>
      <w:r w:rsidRPr="00130821">
        <w:rPr>
          <w:rFonts w:ascii="Book Antiqua" w:hAnsi="Book Antiqua"/>
          <w:lang w:val="en-GB"/>
        </w:rPr>
        <w:t>.</w:t>
      </w:r>
      <w:r>
        <w:rPr>
          <w:rFonts w:ascii="Book Antiqua" w:hAnsi="Book Antiqua" w:hint="eastAsia"/>
          <w:lang w:val="en-GB" w:eastAsia="zh-CN"/>
        </w:rPr>
        <w:t xml:space="preserve"> </w:t>
      </w:r>
      <w:r>
        <w:rPr>
          <w:rFonts w:ascii="Book Antiqua" w:hAnsi="Book Antiqua"/>
          <w:lang w:val="en-GB"/>
        </w:rPr>
        <w:t>According to the</w:t>
      </w:r>
      <w:r w:rsidRPr="00130821">
        <w:rPr>
          <w:rFonts w:ascii="Book Antiqua" w:hAnsi="Book Antiqua"/>
          <w:lang w:val="en-GB"/>
        </w:rPr>
        <w:t xml:space="preserve"> published experiences from tertiary centres</w:t>
      </w:r>
      <w:r>
        <w:rPr>
          <w:rFonts w:ascii="Book Antiqua" w:hAnsi="Book Antiqua"/>
          <w:lang w:val="en-GB"/>
        </w:rPr>
        <w:t>,</w:t>
      </w:r>
      <w:r w:rsidRPr="00130821">
        <w:rPr>
          <w:rFonts w:ascii="Book Antiqua" w:hAnsi="Book Antiqua"/>
          <w:lang w:val="en-GB"/>
        </w:rPr>
        <w:t xml:space="preserve"> </w:t>
      </w:r>
      <w:r>
        <w:rPr>
          <w:rFonts w:ascii="Book Antiqua" w:hAnsi="Book Antiqua"/>
          <w:lang w:val="en-GB"/>
        </w:rPr>
        <w:t>in anti-TNF</w:t>
      </w:r>
      <w:r w:rsidRPr="00130821">
        <w:rPr>
          <w:rFonts w:ascii="Book Antiqua" w:hAnsi="Book Antiqua"/>
          <w:lang w:val="en-GB"/>
        </w:rPr>
        <w:t xml:space="preserve"> antibody na</w:t>
      </w:r>
      <w:r w:rsidRPr="00D43973">
        <w:rPr>
          <w:rFonts w:ascii="Book Antiqua" w:hAnsi="Book Antiqua" w:cs="Calibri"/>
          <w:lang w:val="en-GB"/>
        </w:rPr>
        <w:t>i</w:t>
      </w:r>
      <w:r w:rsidRPr="00D43973">
        <w:rPr>
          <w:rFonts w:ascii="Calibri" w:hAnsi="Calibri" w:cs="Calibri"/>
          <w:lang w:val="en-GB"/>
        </w:rPr>
        <w:t>̈</w:t>
      </w:r>
      <w:r w:rsidRPr="00130821">
        <w:rPr>
          <w:rFonts w:ascii="Book Antiqua" w:hAnsi="Book Antiqua"/>
          <w:lang w:val="en-GB"/>
        </w:rPr>
        <w:t xml:space="preserve">ve children </w:t>
      </w:r>
      <w:r>
        <w:rPr>
          <w:rFonts w:ascii="Book Antiqua" w:hAnsi="Book Antiqua"/>
          <w:lang w:val="en-GB"/>
        </w:rPr>
        <w:t xml:space="preserve">the 1 year remission rate for ADA is </w:t>
      </w:r>
      <w:r w:rsidRPr="00130821">
        <w:rPr>
          <w:rFonts w:ascii="Book Antiqua" w:hAnsi="Book Antiqua"/>
          <w:lang w:val="en-GB"/>
        </w:rPr>
        <w:t>45%</w:t>
      </w:r>
      <w:r w:rsidRPr="00953227">
        <w:rPr>
          <w:rFonts w:ascii="Book Antiqua" w:hAnsi="Book Antiqua"/>
          <w:vertAlign w:val="superscript"/>
          <w:lang w:val="en-GB"/>
        </w:rPr>
        <w:t>[</w:t>
      </w:r>
      <w:r w:rsidR="000F607C">
        <w:rPr>
          <w:rFonts w:ascii="Book Antiqua" w:hAnsi="Book Antiqua" w:hint="eastAsia"/>
          <w:vertAlign w:val="superscript"/>
          <w:lang w:val="en-GB" w:eastAsia="zh-CN"/>
        </w:rPr>
        <w:t>42</w:t>
      </w:r>
      <w:r w:rsidRPr="00130821">
        <w:rPr>
          <w:rFonts w:ascii="Book Antiqua" w:hAnsi="Book Antiqua"/>
          <w:vertAlign w:val="superscript"/>
          <w:lang w:val="en-GB"/>
        </w:rPr>
        <w:t>]</w:t>
      </w:r>
      <w:r w:rsidRPr="00130821">
        <w:rPr>
          <w:rFonts w:ascii="Book Antiqua" w:hAnsi="Book Antiqua"/>
          <w:lang w:val="en-GB"/>
        </w:rPr>
        <w:t xml:space="preserve">, and </w:t>
      </w:r>
      <w:r>
        <w:rPr>
          <w:rFonts w:ascii="Book Antiqua" w:hAnsi="Book Antiqua"/>
          <w:lang w:val="en-GB"/>
        </w:rPr>
        <w:t xml:space="preserve">its efficacy has been documented in nearly </w:t>
      </w:r>
      <w:r w:rsidRPr="00130821">
        <w:rPr>
          <w:rFonts w:ascii="Book Antiqua" w:hAnsi="Book Antiqua"/>
          <w:lang w:val="en-GB"/>
        </w:rPr>
        <w:t xml:space="preserve">two-thirds of patients </w:t>
      </w:r>
      <w:r>
        <w:rPr>
          <w:rFonts w:ascii="Book Antiqua" w:hAnsi="Book Antiqua"/>
          <w:lang w:val="en-GB"/>
        </w:rPr>
        <w:t>who failed IFX</w:t>
      </w:r>
      <w:r w:rsidRPr="00953227">
        <w:rPr>
          <w:rFonts w:ascii="Book Antiqua" w:hAnsi="Book Antiqua"/>
          <w:vertAlign w:val="superscript"/>
          <w:lang w:val="en-GB"/>
        </w:rPr>
        <w:t>[</w:t>
      </w:r>
      <w:r w:rsidRPr="00130821">
        <w:rPr>
          <w:rFonts w:ascii="Book Antiqua" w:hAnsi="Book Antiqua"/>
          <w:vertAlign w:val="superscript"/>
          <w:lang w:val="en-GB"/>
        </w:rPr>
        <w:t>33]</w:t>
      </w:r>
      <w:r w:rsidRPr="00130821">
        <w:rPr>
          <w:rFonts w:ascii="Book Antiqua" w:hAnsi="Book Antiqua"/>
          <w:lang w:val="en-GB"/>
        </w:rPr>
        <w:t>.</w:t>
      </w:r>
      <w:r>
        <w:rPr>
          <w:rFonts w:ascii="Book Antiqua" w:hAnsi="Book Antiqua" w:hint="eastAsia"/>
          <w:lang w:val="en-GB" w:eastAsia="zh-CN"/>
        </w:rPr>
        <w:t xml:space="preserve"> </w:t>
      </w:r>
      <w:r w:rsidRPr="00130821">
        <w:rPr>
          <w:rFonts w:ascii="Book Antiqua" w:hAnsi="Book Antiqua"/>
          <w:lang w:val="en-GB"/>
        </w:rPr>
        <w:t>A retrospective study was conducted by Fumery</w:t>
      </w:r>
      <w:r w:rsidR="000F607C">
        <w:rPr>
          <w:rFonts w:ascii="Book Antiqua" w:hAnsi="Book Antiqua" w:hint="eastAsia"/>
          <w:lang w:val="en-GB" w:eastAsia="zh-CN"/>
        </w:rPr>
        <w:t xml:space="preserve"> </w:t>
      </w:r>
      <w:r w:rsidRPr="000F607C">
        <w:rPr>
          <w:rFonts w:ascii="Book Antiqua" w:hAnsi="Book Antiqua"/>
          <w:i/>
          <w:lang w:val="en-GB"/>
        </w:rPr>
        <w:t>et al</w:t>
      </w:r>
      <w:r w:rsidR="000F607C" w:rsidRPr="00953227">
        <w:rPr>
          <w:rFonts w:ascii="Book Antiqua" w:hAnsi="Book Antiqua"/>
          <w:vertAlign w:val="superscript"/>
          <w:lang w:val="en-GB"/>
        </w:rPr>
        <w:t>[</w:t>
      </w:r>
      <w:r w:rsidR="000F607C" w:rsidRPr="00130821">
        <w:rPr>
          <w:rFonts w:ascii="Book Antiqua" w:hAnsi="Book Antiqua"/>
          <w:vertAlign w:val="superscript"/>
          <w:lang w:val="en-GB"/>
        </w:rPr>
        <w:t>33]</w:t>
      </w:r>
      <w:r w:rsidRPr="00130821">
        <w:rPr>
          <w:rFonts w:ascii="Book Antiqua" w:hAnsi="Book Antiqua"/>
          <w:lang w:val="en-GB"/>
        </w:rPr>
        <w:t xml:space="preserve"> who used the population-based EPIMAD registry to evaluate the effectiveness and safety of ADA in children with CD experiencing </w:t>
      </w:r>
      <w:r w:rsidRPr="00130821">
        <w:rPr>
          <w:rFonts w:ascii="Book Antiqua" w:hAnsi="Book Antiqua"/>
          <w:lang w:val="en-GB"/>
        </w:rPr>
        <w:lastRenderedPageBreak/>
        <w:t>IFX failure</w:t>
      </w:r>
      <w:r>
        <w:rPr>
          <w:rFonts w:ascii="Book Antiqua" w:hAnsi="Book Antiqua" w:hint="eastAsia"/>
          <w:lang w:val="en-GB" w:eastAsia="zh-CN"/>
        </w:rPr>
        <w:t xml:space="preserve"> </w:t>
      </w:r>
      <w:r w:rsidRPr="00130821">
        <w:rPr>
          <w:rFonts w:ascii="Book Antiqua" w:hAnsi="Book Antiqua"/>
          <w:lang w:val="en-GB"/>
        </w:rPr>
        <w:t>(Table 1)</w:t>
      </w:r>
      <w:r>
        <w:rPr>
          <w:rFonts w:ascii="Book Antiqua" w:hAnsi="Book Antiqua" w:hint="eastAsia"/>
          <w:lang w:val="en-GB" w:eastAsia="zh-CN"/>
        </w:rPr>
        <w:t>.</w:t>
      </w:r>
    </w:p>
    <w:p w14:paraId="070D5698" w14:textId="682B6907" w:rsidR="00563BB7" w:rsidRPr="000E4A7F" w:rsidRDefault="00563BB7" w:rsidP="006A3266">
      <w:pPr>
        <w:pStyle w:val="NormalWeb"/>
        <w:spacing w:before="0" w:beforeAutospacing="0" w:after="0" w:afterAutospacing="0" w:line="360" w:lineRule="auto"/>
        <w:ind w:firstLineChars="100" w:firstLine="240"/>
        <w:jc w:val="both"/>
        <w:rPr>
          <w:rFonts w:ascii="Book Antiqua" w:hAnsi="Book Antiqua"/>
          <w:lang w:val="en-GB" w:eastAsia="zh-CN"/>
        </w:rPr>
      </w:pPr>
      <w:r w:rsidRPr="000E4A7F">
        <w:rPr>
          <w:rFonts w:ascii="Book Antiqua" w:hAnsi="Book Antiqua"/>
          <w:lang w:val="en-GB"/>
        </w:rPr>
        <w:t>Twenty-seven children</w:t>
      </w:r>
      <w:r w:rsidRPr="00D43973">
        <w:rPr>
          <w:rFonts w:ascii="Book Antiqua" w:hAnsi="Book Antiqua"/>
          <w:lang w:val="en-GB"/>
        </w:rPr>
        <w:t xml:space="preserve"> with CD who received ADA before 18 years because of IFX failure or intolerance were included. </w:t>
      </w:r>
      <w:r>
        <w:rPr>
          <w:rFonts w:ascii="Book Antiqua" w:hAnsi="Book Antiqua"/>
          <w:lang w:val="en-GB"/>
        </w:rPr>
        <w:t>Clinical response measured by the physician</w:t>
      </w:r>
      <w:r w:rsidRPr="00D43973">
        <w:rPr>
          <w:rFonts w:ascii="Book Antiqua" w:hAnsi="Book Antiqua"/>
          <w:lang w:val="en-GB"/>
        </w:rPr>
        <w:t xml:space="preserve"> global assessment score </w:t>
      </w:r>
      <w:r>
        <w:rPr>
          <w:rFonts w:ascii="Book Antiqua" w:hAnsi="Book Antiqua"/>
          <w:lang w:val="en-GB"/>
        </w:rPr>
        <w:t>a</w:t>
      </w:r>
      <w:r w:rsidRPr="00D43973">
        <w:rPr>
          <w:rFonts w:ascii="Book Antiqua" w:hAnsi="Book Antiqua"/>
          <w:lang w:val="en-GB"/>
        </w:rPr>
        <w:t>fter a median follow-up of 16 (8-26) mo</w:t>
      </w:r>
      <w:r>
        <w:rPr>
          <w:rFonts w:ascii="Book Antiqua" w:hAnsi="Book Antiqua" w:hint="eastAsia"/>
          <w:lang w:val="en-GB" w:eastAsia="zh-CN"/>
        </w:rPr>
        <w:t xml:space="preserve"> </w:t>
      </w:r>
      <w:r>
        <w:rPr>
          <w:rFonts w:ascii="Book Antiqua" w:hAnsi="Book Antiqua"/>
          <w:lang w:val="en-GB"/>
        </w:rPr>
        <w:t xml:space="preserve">was observed </w:t>
      </w:r>
      <w:r w:rsidRPr="00D43973">
        <w:rPr>
          <w:rFonts w:ascii="Book Antiqua" w:hAnsi="Book Antiqua"/>
          <w:lang w:val="en-GB"/>
        </w:rPr>
        <w:t xml:space="preserve">in 19 patients (70%). Cumulative probability of failure to ADA treatment </w:t>
      </w:r>
      <w:r>
        <w:rPr>
          <w:rFonts w:ascii="Book Antiqua" w:hAnsi="Book Antiqua"/>
          <w:lang w:val="en-GB"/>
        </w:rPr>
        <w:t>at 6 mo</w:t>
      </w:r>
      <w:r>
        <w:rPr>
          <w:rFonts w:ascii="Book Antiqua" w:hAnsi="Book Antiqua" w:hint="eastAsia"/>
          <w:lang w:val="en-GB" w:eastAsia="zh-CN"/>
        </w:rPr>
        <w:t xml:space="preserve"> </w:t>
      </w:r>
      <w:r>
        <w:rPr>
          <w:rFonts w:ascii="Book Antiqua" w:hAnsi="Book Antiqua"/>
          <w:lang w:val="en-GB"/>
        </w:rPr>
        <w:t xml:space="preserve">and 1 year was </w:t>
      </w:r>
      <w:r w:rsidRPr="00D43973">
        <w:rPr>
          <w:rFonts w:ascii="Book Antiqua" w:hAnsi="Book Antiqua"/>
          <w:lang w:val="en-GB"/>
        </w:rPr>
        <w:t xml:space="preserve">38% </w:t>
      </w:r>
      <w:r>
        <w:rPr>
          <w:rFonts w:ascii="Book Antiqua" w:hAnsi="Book Antiqua"/>
          <w:lang w:val="en-GB"/>
        </w:rPr>
        <w:t xml:space="preserve">and 55%, respectively. </w:t>
      </w:r>
      <w:r w:rsidRPr="00130821">
        <w:rPr>
          <w:rFonts w:ascii="Book Antiqua" w:hAnsi="Book Antiqua"/>
          <w:lang w:val="en-GB"/>
        </w:rPr>
        <w:t>Overall, the results from this population-based cohort of p</w:t>
      </w:r>
      <w:r>
        <w:rPr>
          <w:rFonts w:ascii="Book Antiqua" w:hAnsi="Book Antiqua"/>
          <w:lang w:val="en-GB"/>
        </w:rPr>
        <w:t>a</w:t>
      </w:r>
      <w:r w:rsidRPr="00130821">
        <w:rPr>
          <w:rFonts w:ascii="Book Antiqua" w:hAnsi="Book Antiqua"/>
          <w:lang w:val="en-GB"/>
        </w:rPr>
        <w:t xml:space="preserve">ediatric-onset CD with IFX failure show that treatment with ADA was safe and effective in two-thirds of patients. </w:t>
      </w:r>
      <w:r>
        <w:rPr>
          <w:rFonts w:ascii="Book Antiqua" w:hAnsi="Book Antiqua"/>
          <w:lang w:val="en-GB"/>
        </w:rPr>
        <w:t xml:space="preserve">More specifically, ADA was effective in </w:t>
      </w:r>
      <w:r w:rsidRPr="00130821">
        <w:rPr>
          <w:rFonts w:ascii="Book Antiqua" w:hAnsi="Book Antiqua"/>
          <w:lang w:val="en-GB"/>
        </w:rPr>
        <w:t>100% of children intolerant to IFX, 68% of children with secondary failure to IFX, and only 25% of children with primary failure to IFX</w:t>
      </w:r>
      <w:r w:rsidRPr="00953227">
        <w:rPr>
          <w:rFonts w:ascii="Book Antiqua" w:hAnsi="Book Antiqua"/>
          <w:vertAlign w:val="superscript"/>
          <w:lang w:val="en-GB"/>
        </w:rPr>
        <w:t>[</w:t>
      </w:r>
      <w:r w:rsidRPr="00130821">
        <w:rPr>
          <w:rFonts w:ascii="Book Antiqua" w:hAnsi="Book Antiqua"/>
          <w:vertAlign w:val="superscript"/>
          <w:lang w:val="en-GB"/>
        </w:rPr>
        <w:t>33]</w:t>
      </w:r>
      <w:r w:rsidRPr="00130821">
        <w:rPr>
          <w:rFonts w:ascii="Book Antiqua" w:hAnsi="Book Antiqua"/>
          <w:lang w:val="en-GB"/>
        </w:rPr>
        <w:t>.</w:t>
      </w:r>
      <w:r>
        <w:rPr>
          <w:rFonts w:ascii="Book Antiqua" w:hAnsi="Book Antiqua" w:hint="eastAsia"/>
          <w:lang w:val="en-GB" w:eastAsia="zh-CN"/>
        </w:rPr>
        <w:t xml:space="preserve"> </w:t>
      </w:r>
      <w:r w:rsidRPr="00D43973">
        <w:rPr>
          <w:rFonts w:ascii="Book Antiqua" w:hAnsi="Book Antiqua"/>
          <w:lang w:val="en-GB"/>
        </w:rPr>
        <w:t xml:space="preserve">A </w:t>
      </w:r>
      <w:r w:rsidRPr="000E4A7F">
        <w:rPr>
          <w:rFonts w:ascii="Book Antiqua" w:hAnsi="Book Antiqua"/>
          <w:lang w:val="en-GB"/>
        </w:rPr>
        <w:t>systematic review on the same topic was performed by Dziechciarz</w:t>
      </w:r>
      <w:r w:rsidR="00180489" w:rsidRPr="00180489">
        <w:rPr>
          <w:rFonts w:ascii="Book Antiqua" w:hAnsi="Book Antiqua" w:hint="eastAsia"/>
          <w:i/>
          <w:lang w:val="en-GB" w:eastAsia="zh-CN"/>
        </w:rPr>
        <w:t xml:space="preserve"> </w:t>
      </w:r>
      <w:r w:rsidRPr="00180489">
        <w:rPr>
          <w:rFonts w:ascii="Book Antiqua" w:hAnsi="Book Antiqua"/>
          <w:i/>
          <w:lang w:val="en-GB"/>
        </w:rPr>
        <w:t>et al</w:t>
      </w:r>
      <w:r w:rsidR="00180489" w:rsidRPr="00953227">
        <w:rPr>
          <w:rFonts w:ascii="Book Antiqua" w:hAnsi="Book Antiqua"/>
          <w:vertAlign w:val="superscript"/>
          <w:lang w:val="en-GB"/>
        </w:rPr>
        <w:t>[</w:t>
      </w:r>
      <w:r w:rsidR="00180489">
        <w:rPr>
          <w:rFonts w:ascii="Book Antiqua" w:hAnsi="Book Antiqua"/>
          <w:vertAlign w:val="superscript"/>
          <w:lang w:val="en-GB"/>
        </w:rPr>
        <w:t>34</w:t>
      </w:r>
      <w:r w:rsidR="00180489" w:rsidRPr="000E4A7F">
        <w:rPr>
          <w:rFonts w:ascii="Book Antiqua" w:hAnsi="Book Antiqua"/>
          <w:vertAlign w:val="superscript"/>
          <w:lang w:val="en-GB"/>
        </w:rPr>
        <w:t>]</w:t>
      </w:r>
      <w:r w:rsidR="00180489">
        <w:rPr>
          <w:rFonts w:ascii="Book Antiqua" w:hAnsi="Book Antiqua" w:hint="eastAsia"/>
          <w:lang w:val="en-GB" w:eastAsia="zh-CN"/>
        </w:rPr>
        <w:t>.</w:t>
      </w:r>
      <w:r w:rsidRPr="000E4A7F">
        <w:rPr>
          <w:rFonts w:ascii="Book Antiqua" w:hAnsi="Book Antiqua"/>
          <w:lang w:val="en-GB"/>
        </w:rPr>
        <w:t xml:space="preserve"> </w:t>
      </w:r>
      <w:r w:rsidR="00180489" w:rsidRPr="000E4A7F">
        <w:rPr>
          <w:rFonts w:ascii="Book Antiqua" w:hAnsi="Book Antiqua"/>
          <w:lang w:val="en-GB"/>
        </w:rPr>
        <w:t xml:space="preserve">Who </w:t>
      </w:r>
      <w:r w:rsidRPr="000E4A7F">
        <w:rPr>
          <w:rFonts w:ascii="Book Antiqua" w:hAnsi="Book Antiqua"/>
          <w:lang w:val="en-GB"/>
        </w:rPr>
        <w:t>assessed the published evidence on the efficacy and safety of ADA for CD in children</w:t>
      </w:r>
      <w:r w:rsidR="00180489">
        <w:rPr>
          <w:rFonts w:ascii="Book Antiqua" w:hAnsi="Book Antiqua" w:hint="eastAsia"/>
          <w:lang w:val="en-GB" w:eastAsia="zh-CN"/>
        </w:rPr>
        <w:t xml:space="preserve"> </w:t>
      </w:r>
      <w:r w:rsidRPr="000E4A7F">
        <w:rPr>
          <w:rFonts w:ascii="Book Antiqua" w:hAnsi="Book Antiqua"/>
          <w:lang w:val="en-GB"/>
        </w:rPr>
        <w:t>(Table 1)</w:t>
      </w:r>
      <w:r w:rsidR="00180489">
        <w:rPr>
          <w:rFonts w:ascii="Book Antiqua" w:hAnsi="Book Antiqua" w:hint="eastAsia"/>
          <w:lang w:val="en-GB" w:eastAsia="zh-CN"/>
        </w:rPr>
        <w:t>.</w:t>
      </w:r>
    </w:p>
    <w:p w14:paraId="25BFB4CD" w14:textId="1BDAA726" w:rsidR="00563BB7" w:rsidRDefault="00563BB7" w:rsidP="006A3266">
      <w:pPr>
        <w:widowControl w:val="0"/>
        <w:autoSpaceDE w:val="0"/>
        <w:autoSpaceDN w:val="0"/>
        <w:adjustRightInd w:val="0"/>
        <w:spacing w:line="360" w:lineRule="auto"/>
        <w:ind w:firstLineChars="150" w:firstLine="360"/>
        <w:jc w:val="both"/>
        <w:rPr>
          <w:rFonts w:ascii="Book Antiqua" w:hAnsi="Book Antiqua"/>
          <w:lang w:val="en-GB"/>
        </w:rPr>
      </w:pPr>
      <w:r w:rsidRPr="000E4A7F">
        <w:rPr>
          <w:rFonts w:ascii="Book Antiqua" w:hAnsi="Book Antiqua"/>
          <w:lang w:val="en-GB"/>
        </w:rPr>
        <w:t>Randomised controlled</w:t>
      </w:r>
      <w:r w:rsidRPr="00D43973">
        <w:rPr>
          <w:rFonts w:ascii="Book Antiqua" w:hAnsi="Book Antiqua"/>
          <w:lang w:val="en-GB"/>
        </w:rPr>
        <w:t xml:space="preserve"> trials and observational studies (cohort studies, case series of more than 5 patients) were included.</w:t>
      </w:r>
      <w:r>
        <w:rPr>
          <w:rFonts w:ascii="Book Antiqua" w:hAnsi="Book Antiqua"/>
          <w:lang w:val="en-GB"/>
        </w:rPr>
        <w:t xml:space="preserve"> </w:t>
      </w:r>
      <w:r w:rsidRPr="00D43973">
        <w:rPr>
          <w:rFonts w:ascii="Book Antiqua" w:hAnsi="Book Antiqua"/>
          <w:lang w:val="en-GB"/>
        </w:rPr>
        <w:t>A total of 14 studies (1 randomised controlled trial, 13 case series), altogether including 664 patients (age range 1.9-21 years) were available for analysis. The pooled remissi</w:t>
      </w:r>
      <w:r>
        <w:rPr>
          <w:rFonts w:ascii="Book Antiqua" w:hAnsi="Book Antiqua"/>
          <w:lang w:val="en-GB"/>
        </w:rPr>
        <w:t xml:space="preserve">on rates were: 30% </w:t>
      </w:r>
      <w:r w:rsidRPr="00D43973">
        <w:rPr>
          <w:rFonts w:ascii="Book Antiqua" w:hAnsi="Book Antiqua"/>
          <w:lang w:val="en-GB"/>
        </w:rPr>
        <w:t xml:space="preserve">at 4 </w:t>
      </w:r>
      <w:r>
        <w:rPr>
          <w:rFonts w:ascii="Book Antiqua" w:hAnsi="Book Antiqua" w:hint="eastAsia"/>
          <w:lang w:val="en-GB" w:eastAsia="zh-CN"/>
        </w:rPr>
        <w:t>wk</w:t>
      </w:r>
      <w:r w:rsidRPr="00D43973">
        <w:rPr>
          <w:rFonts w:ascii="Book Antiqua" w:hAnsi="Book Antiqua"/>
          <w:lang w:val="en-GB"/>
        </w:rPr>
        <w:t xml:space="preserve">, </w:t>
      </w:r>
      <w:r>
        <w:rPr>
          <w:rFonts w:ascii="Book Antiqua" w:hAnsi="Book Antiqua"/>
          <w:lang w:val="en-GB"/>
        </w:rPr>
        <w:t>42% at 6 mo</w:t>
      </w:r>
      <w:r>
        <w:rPr>
          <w:rFonts w:ascii="Book Antiqua" w:hAnsi="Book Antiqua" w:hint="eastAsia"/>
          <w:lang w:val="en-GB" w:eastAsia="zh-CN"/>
        </w:rPr>
        <w:t xml:space="preserve"> </w:t>
      </w:r>
      <w:r>
        <w:rPr>
          <w:rFonts w:ascii="Book Antiqua" w:hAnsi="Book Antiqua"/>
          <w:lang w:val="en-GB"/>
        </w:rPr>
        <w:t>and 44%</w:t>
      </w:r>
      <w:r w:rsidRPr="00D43973">
        <w:rPr>
          <w:rFonts w:ascii="Book Antiqua" w:hAnsi="Book Antiqua"/>
          <w:lang w:val="en-GB"/>
        </w:rPr>
        <w:t xml:space="preserve"> at 12 mo. Of the total patients, 6% were </w:t>
      </w:r>
      <w:r>
        <w:rPr>
          <w:rFonts w:ascii="Book Antiqua" w:hAnsi="Book Antiqua"/>
          <w:lang w:val="en-GB"/>
        </w:rPr>
        <w:t>primary non-responders and 12%</w:t>
      </w:r>
      <w:r w:rsidRPr="00D43973">
        <w:rPr>
          <w:rFonts w:ascii="Book Antiqua" w:hAnsi="Book Antiqua"/>
          <w:lang w:val="en-GB"/>
        </w:rPr>
        <w:t xml:space="preserve"> had severe adverse events reported. However, studies differed with respect to patients' characteristics, including percentage of IFX-naïve patients, disease duration, disease</w:t>
      </w:r>
      <w:r>
        <w:rPr>
          <w:rFonts w:ascii="Book Antiqua" w:hAnsi="Book Antiqua"/>
          <w:lang w:val="en-GB"/>
        </w:rPr>
        <w:t xml:space="preserve"> localisation</w:t>
      </w:r>
      <w:r w:rsidRPr="00D43973">
        <w:rPr>
          <w:rFonts w:ascii="Book Antiqua" w:hAnsi="Book Antiqua"/>
          <w:lang w:val="en-GB"/>
        </w:rPr>
        <w:t>, ADA doses, treatment duration, and follow-up period</w:t>
      </w:r>
      <w:r w:rsidRPr="00953227">
        <w:rPr>
          <w:rFonts w:ascii="Book Antiqua" w:hAnsi="Book Antiqua"/>
          <w:vertAlign w:val="superscript"/>
          <w:lang w:val="en-GB"/>
        </w:rPr>
        <w:t>[</w:t>
      </w:r>
      <w:r>
        <w:rPr>
          <w:rFonts w:ascii="Book Antiqua" w:hAnsi="Book Antiqua"/>
          <w:vertAlign w:val="superscript"/>
          <w:lang w:val="en-GB"/>
        </w:rPr>
        <w:t>34</w:t>
      </w:r>
      <w:r w:rsidRPr="00BE1CD4">
        <w:rPr>
          <w:rFonts w:ascii="Book Antiqua" w:hAnsi="Book Antiqua"/>
          <w:vertAlign w:val="superscript"/>
          <w:lang w:val="en-GB"/>
        </w:rPr>
        <w:t>]</w:t>
      </w:r>
      <w:r w:rsidRPr="00D43973">
        <w:rPr>
          <w:rFonts w:ascii="Book Antiqua" w:hAnsi="Book Antiqua"/>
          <w:lang w:val="en-GB"/>
        </w:rPr>
        <w:t>.</w:t>
      </w:r>
    </w:p>
    <w:p w14:paraId="4687E890" w14:textId="77777777" w:rsidR="00563BB7"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sidRPr="00D43973">
        <w:rPr>
          <w:rFonts w:ascii="Book Antiqua" w:hAnsi="Book Antiqua"/>
          <w:lang w:val="en-GB"/>
        </w:rPr>
        <w:t>The Authors</w:t>
      </w:r>
      <w:r>
        <w:rPr>
          <w:rFonts w:ascii="Book Antiqua" w:hAnsi="Book Antiqua"/>
          <w:lang w:val="en-GB"/>
        </w:rPr>
        <w:t>’ conclusion</w:t>
      </w:r>
      <w:r w:rsidRPr="00D43973">
        <w:rPr>
          <w:rFonts w:ascii="Book Antiqua" w:hAnsi="Book Antiqua"/>
          <w:lang w:val="en-GB"/>
        </w:rPr>
        <w:t xml:space="preserve">, though limited by the low-quality evidence based mainly on case series, </w:t>
      </w:r>
      <w:r>
        <w:rPr>
          <w:rFonts w:ascii="Book Antiqua" w:hAnsi="Book Antiqua"/>
          <w:lang w:val="en-GB"/>
        </w:rPr>
        <w:t xml:space="preserve">is that </w:t>
      </w:r>
      <w:r w:rsidRPr="00D43973">
        <w:rPr>
          <w:rFonts w:ascii="Book Antiqua" w:hAnsi="Book Antiqua"/>
          <w:lang w:val="en-GB"/>
        </w:rPr>
        <w:t xml:space="preserve">approximately half of </w:t>
      </w:r>
      <w:r>
        <w:rPr>
          <w:rFonts w:ascii="Book Antiqua" w:hAnsi="Book Antiqua"/>
          <w:lang w:val="en-GB"/>
        </w:rPr>
        <w:t xml:space="preserve">the </w:t>
      </w:r>
      <w:r w:rsidRPr="00D43973">
        <w:rPr>
          <w:rFonts w:ascii="Book Antiqua" w:hAnsi="Book Antiqua"/>
          <w:lang w:val="en-GB"/>
        </w:rPr>
        <w:t xml:space="preserve">children with CD on ADA therapy achieve remission during the first year of </w:t>
      </w:r>
      <w:r>
        <w:rPr>
          <w:rFonts w:ascii="Book Antiqua" w:hAnsi="Book Antiqua"/>
          <w:lang w:val="en-GB"/>
        </w:rPr>
        <w:t xml:space="preserve">treatment </w:t>
      </w:r>
      <w:r w:rsidRPr="00D43973">
        <w:rPr>
          <w:rFonts w:ascii="Book Antiqua" w:hAnsi="Book Antiqua"/>
          <w:lang w:val="en-GB"/>
        </w:rPr>
        <w:t>with reasonable safety profile</w:t>
      </w:r>
      <w:r w:rsidRPr="00953227">
        <w:rPr>
          <w:rFonts w:ascii="Book Antiqua" w:hAnsi="Book Antiqua"/>
          <w:vertAlign w:val="superscript"/>
          <w:lang w:val="en-GB"/>
        </w:rPr>
        <w:t>[</w:t>
      </w:r>
      <w:r>
        <w:rPr>
          <w:rFonts w:ascii="Book Antiqua" w:hAnsi="Book Antiqua"/>
          <w:vertAlign w:val="superscript"/>
          <w:lang w:val="en-GB"/>
        </w:rPr>
        <w:t>34</w:t>
      </w:r>
      <w:r w:rsidRPr="00BE1CD4">
        <w:rPr>
          <w:rFonts w:ascii="Book Antiqua" w:hAnsi="Book Antiqua"/>
          <w:vertAlign w:val="superscript"/>
          <w:lang w:val="en-GB"/>
        </w:rPr>
        <w:t>]</w:t>
      </w:r>
      <w:r w:rsidRPr="00D43973">
        <w:rPr>
          <w:rFonts w:ascii="Book Antiqua" w:hAnsi="Book Antiqua"/>
          <w:lang w:val="en-GB"/>
        </w:rPr>
        <w:t xml:space="preserve">. </w:t>
      </w:r>
    </w:p>
    <w:p w14:paraId="66F1B477" w14:textId="77777777" w:rsidR="00563BB7" w:rsidRDefault="00563BB7" w:rsidP="006A3266">
      <w:pPr>
        <w:widowControl w:val="0"/>
        <w:autoSpaceDE w:val="0"/>
        <w:autoSpaceDN w:val="0"/>
        <w:adjustRightInd w:val="0"/>
        <w:spacing w:line="360" w:lineRule="auto"/>
        <w:jc w:val="both"/>
        <w:rPr>
          <w:rFonts w:ascii="Book Antiqua" w:hAnsi="Book Antiqua"/>
          <w:lang w:val="en-GB"/>
        </w:rPr>
      </w:pPr>
    </w:p>
    <w:p w14:paraId="61A51AC9" w14:textId="77777777" w:rsidR="00563BB7" w:rsidRPr="00953227" w:rsidRDefault="00563BB7" w:rsidP="006A3266">
      <w:pPr>
        <w:widowControl w:val="0"/>
        <w:autoSpaceDE w:val="0"/>
        <w:autoSpaceDN w:val="0"/>
        <w:adjustRightInd w:val="0"/>
        <w:spacing w:line="360" w:lineRule="auto"/>
        <w:jc w:val="both"/>
        <w:rPr>
          <w:rFonts w:ascii="Book Antiqua" w:hAnsi="Book Antiqua"/>
          <w:b/>
          <w:i/>
          <w:lang w:val="en-GB"/>
        </w:rPr>
      </w:pPr>
      <w:r w:rsidRPr="00953227">
        <w:rPr>
          <w:rFonts w:ascii="Book Antiqua" w:hAnsi="Book Antiqua"/>
          <w:b/>
          <w:i/>
          <w:lang w:val="en-GB"/>
        </w:rPr>
        <w:t>Vedolizumab</w:t>
      </w:r>
    </w:p>
    <w:p w14:paraId="16017DE5" w14:textId="4D309B7E" w:rsidR="00563BB7" w:rsidRPr="00130821" w:rsidRDefault="00563BB7" w:rsidP="006A3266">
      <w:pPr>
        <w:pStyle w:val="NormalWeb"/>
        <w:spacing w:before="0" w:beforeAutospacing="0" w:after="0" w:afterAutospacing="0" w:line="360" w:lineRule="auto"/>
        <w:jc w:val="both"/>
        <w:rPr>
          <w:rFonts w:ascii="Book Antiqua" w:hAnsi="Book Antiqua"/>
          <w:lang w:val="en-GB"/>
        </w:rPr>
      </w:pPr>
      <w:r>
        <w:rPr>
          <w:rFonts w:ascii="Book Antiqua" w:hAnsi="Book Antiqua"/>
          <w:lang w:val="en-GB"/>
        </w:rPr>
        <w:t xml:space="preserve">Vedolizumab is a recent biologic treatment, approved </w:t>
      </w:r>
      <w:r w:rsidRPr="00130821">
        <w:rPr>
          <w:rFonts w:ascii="Book Antiqua" w:hAnsi="Book Antiqua"/>
          <w:lang w:val="en-GB"/>
        </w:rPr>
        <w:t>for adult patients with IBD</w:t>
      </w:r>
      <w:r>
        <w:rPr>
          <w:rFonts w:ascii="Book Antiqua" w:hAnsi="Book Antiqua"/>
          <w:lang w:val="en-GB"/>
        </w:rPr>
        <w:t xml:space="preserve"> in 2014</w:t>
      </w:r>
      <w:r w:rsidRPr="00130821">
        <w:rPr>
          <w:rFonts w:ascii="Book Antiqua" w:hAnsi="Book Antiqua"/>
          <w:lang w:val="en-GB"/>
        </w:rPr>
        <w:t xml:space="preserve">. </w:t>
      </w:r>
      <w:r>
        <w:rPr>
          <w:rFonts w:ascii="Book Antiqua" w:hAnsi="Book Antiqua"/>
          <w:lang w:val="en-GB"/>
        </w:rPr>
        <w:t xml:space="preserve">It </w:t>
      </w:r>
      <w:r w:rsidRPr="00130821">
        <w:rPr>
          <w:rFonts w:ascii="Book Antiqua" w:hAnsi="Book Antiqua"/>
          <w:lang w:val="en-GB"/>
        </w:rPr>
        <w:t xml:space="preserve">is an anti-integrin therapy </w:t>
      </w:r>
      <w:r>
        <w:rPr>
          <w:rFonts w:ascii="Book Antiqua" w:hAnsi="Book Antiqua"/>
          <w:lang w:val="en-GB"/>
        </w:rPr>
        <w:t xml:space="preserve">that blocks </w:t>
      </w:r>
      <w:r w:rsidRPr="00130821">
        <w:rPr>
          <w:rFonts w:ascii="Book Antiqua" w:hAnsi="Book Antiqua"/>
          <w:lang w:val="en-GB"/>
        </w:rPr>
        <w:t xml:space="preserve">the a4b7 integrin receptor molecule present on the surface of lymphocytes, </w:t>
      </w:r>
      <w:r>
        <w:rPr>
          <w:rFonts w:ascii="Book Antiqua" w:hAnsi="Book Antiqua"/>
          <w:lang w:val="en-GB"/>
        </w:rPr>
        <w:t xml:space="preserve">and thus inhibits the migration of </w:t>
      </w:r>
      <w:r w:rsidRPr="00130821">
        <w:rPr>
          <w:rFonts w:ascii="Book Antiqua" w:hAnsi="Book Antiqua"/>
          <w:lang w:val="en-GB"/>
        </w:rPr>
        <w:t>intestinal T-lymphocyte</w:t>
      </w:r>
      <w:r>
        <w:rPr>
          <w:rFonts w:ascii="Book Antiqua" w:hAnsi="Book Antiqua"/>
          <w:lang w:val="en-GB"/>
        </w:rPr>
        <w:t xml:space="preserve">s </w:t>
      </w:r>
      <w:r w:rsidRPr="00130821">
        <w:rPr>
          <w:rFonts w:ascii="Book Antiqua" w:hAnsi="Book Antiqua"/>
          <w:lang w:val="en-GB"/>
        </w:rPr>
        <w:t>into the tissue</w:t>
      </w:r>
      <w:r w:rsidRPr="00953227">
        <w:rPr>
          <w:rFonts w:ascii="Book Antiqua" w:hAnsi="Book Antiqua"/>
          <w:vertAlign w:val="superscript"/>
          <w:lang w:val="en-GB"/>
        </w:rPr>
        <w:t>[</w:t>
      </w:r>
      <w:r w:rsidRPr="00130821">
        <w:rPr>
          <w:rFonts w:ascii="Book Antiqua" w:hAnsi="Book Antiqua"/>
          <w:vertAlign w:val="superscript"/>
          <w:lang w:val="en-GB"/>
        </w:rPr>
        <w:t>39,</w:t>
      </w:r>
      <w:r w:rsidR="000F607C">
        <w:rPr>
          <w:rFonts w:ascii="Book Antiqua" w:hAnsi="Book Antiqua" w:hint="eastAsia"/>
          <w:vertAlign w:val="superscript"/>
          <w:lang w:val="en-GB" w:eastAsia="zh-CN"/>
        </w:rPr>
        <w:t>44</w:t>
      </w:r>
      <w:r>
        <w:rPr>
          <w:rFonts w:ascii="Book Antiqua" w:hAnsi="Book Antiqua"/>
          <w:vertAlign w:val="superscript"/>
          <w:lang w:val="en-GB"/>
        </w:rPr>
        <w:t>,</w:t>
      </w:r>
      <w:r w:rsidR="000F607C">
        <w:rPr>
          <w:rFonts w:ascii="Book Antiqua" w:hAnsi="Book Antiqua" w:hint="eastAsia"/>
          <w:vertAlign w:val="superscript"/>
          <w:lang w:val="en-GB" w:eastAsia="zh-CN"/>
        </w:rPr>
        <w:t>45</w:t>
      </w:r>
      <w:r w:rsidRPr="00130821">
        <w:rPr>
          <w:rFonts w:ascii="Book Antiqua" w:hAnsi="Book Antiqua"/>
          <w:vertAlign w:val="superscript"/>
          <w:lang w:val="en-GB"/>
        </w:rPr>
        <w:t>]</w:t>
      </w:r>
      <w:r>
        <w:rPr>
          <w:rFonts w:ascii="Book Antiqua" w:hAnsi="Book Antiqua"/>
          <w:lang w:val="en-GB"/>
        </w:rPr>
        <w:t>. As t</w:t>
      </w:r>
      <w:r w:rsidRPr="00130821">
        <w:rPr>
          <w:rFonts w:ascii="Book Antiqua" w:hAnsi="Book Antiqua"/>
          <w:lang w:val="en-GB"/>
        </w:rPr>
        <w:t xml:space="preserve">his mechanism of action is restricted to the </w:t>
      </w:r>
      <w:r w:rsidRPr="00130821">
        <w:rPr>
          <w:rFonts w:ascii="Book Antiqua" w:hAnsi="Book Antiqua"/>
          <w:lang w:val="en-GB"/>
        </w:rPr>
        <w:lastRenderedPageBreak/>
        <w:t xml:space="preserve">gastrointestinal tract, </w:t>
      </w:r>
      <w:r>
        <w:rPr>
          <w:rFonts w:ascii="Book Antiqua" w:hAnsi="Book Antiqua"/>
          <w:lang w:val="en-GB"/>
        </w:rPr>
        <w:t>the risk</w:t>
      </w:r>
      <w:r w:rsidRPr="00130821">
        <w:rPr>
          <w:rFonts w:ascii="Book Antiqua" w:hAnsi="Book Antiqua"/>
          <w:lang w:val="en-GB"/>
        </w:rPr>
        <w:t xml:space="preserve"> of sys</w:t>
      </w:r>
      <w:r>
        <w:rPr>
          <w:rFonts w:ascii="Book Antiqua" w:hAnsi="Book Antiqua"/>
          <w:lang w:val="en-GB"/>
        </w:rPr>
        <w:t>temic immunosuppression (</w:t>
      </w:r>
      <w:r w:rsidRPr="00953227">
        <w:rPr>
          <w:rFonts w:ascii="Book Antiqua" w:hAnsi="Book Antiqua"/>
          <w:i/>
          <w:lang w:val="en-GB"/>
        </w:rPr>
        <w:t>i.e.</w:t>
      </w:r>
      <w:r w:rsidRPr="00953227">
        <w:rPr>
          <w:rFonts w:ascii="Book Antiqua" w:hAnsi="Book Antiqua" w:hint="eastAsia"/>
          <w:i/>
          <w:lang w:val="en-GB" w:eastAsia="zh-CN"/>
        </w:rPr>
        <w:t>,</w:t>
      </w:r>
      <w:r>
        <w:rPr>
          <w:rFonts w:ascii="Book Antiqua" w:hAnsi="Book Antiqua"/>
          <w:lang w:val="en-GB"/>
        </w:rPr>
        <w:t xml:space="preserve"> infections and malignancies)</w:t>
      </w:r>
      <w:r w:rsidRPr="00130821">
        <w:rPr>
          <w:rFonts w:ascii="Book Antiqua" w:hAnsi="Book Antiqua"/>
          <w:lang w:val="en-GB"/>
        </w:rPr>
        <w:t xml:space="preserve"> seen with other IBD therapies</w:t>
      </w:r>
      <w:r>
        <w:rPr>
          <w:rFonts w:ascii="Book Antiqua" w:hAnsi="Book Antiqua"/>
          <w:lang w:val="en-GB"/>
        </w:rPr>
        <w:t xml:space="preserve"> is mitigated</w:t>
      </w:r>
      <w:r w:rsidRPr="00953227">
        <w:rPr>
          <w:rFonts w:ascii="Book Antiqua" w:hAnsi="Book Antiqua"/>
          <w:vertAlign w:val="superscript"/>
          <w:lang w:val="en-GB"/>
        </w:rPr>
        <w:t>[</w:t>
      </w:r>
      <w:r w:rsidRPr="00130821">
        <w:rPr>
          <w:rFonts w:ascii="Book Antiqua" w:hAnsi="Book Antiqua"/>
          <w:vertAlign w:val="superscript"/>
          <w:lang w:val="en-GB"/>
        </w:rPr>
        <w:t>39]</w:t>
      </w:r>
      <w:r w:rsidRPr="00130821">
        <w:rPr>
          <w:rFonts w:ascii="Book Antiqua" w:hAnsi="Book Antiqua"/>
          <w:lang w:val="en-GB"/>
        </w:rPr>
        <w:t xml:space="preserve">. </w:t>
      </w:r>
    </w:p>
    <w:p w14:paraId="52476ABF" w14:textId="4E7EB546" w:rsidR="00563BB7" w:rsidRPr="00D43973" w:rsidRDefault="00563BB7" w:rsidP="006A3266">
      <w:pPr>
        <w:pStyle w:val="NormalWeb"/>
        <w:spacing w:before="0" w:beforeAutospacing="0" w:after="0" w:afterAutospacing="0" w:line="360" w:lineRule="auto"/>
        <w:ind w:firstLineChars="100" w:firstLine="240"/>
        <w:jc w:val="both"/>
        <w:rPr>
          <w:rFonts w:ascii="Book Antiqua" w:hAnsi="Book Antiqua"/>
          <w:lang w:val="en-GB"/>
        </w:rPr>
      </w:pPr>
      <w:r w:rsidRPr="00130821">
        <w:rPr>
          <w:rFonts w:ascii="Book Antiqua" w:hAnsi="Book Antiqua"/>
          <w:lang w:val="en-GB"/>
        </w:rPr>
        <w:t xml:space="preserve">Its predecessor, natalizumab, </w:t>
      </w:r>
      <w:r>
        <w:rPr>
          <w:rFonts w:ascii="Book Antiqua" w:hAnsi="Book Antiqua"/>
          <w:lang w:val="en-GB"/>
        </w:rPr>
        <w:t xml:space="preserve">acts with a non-specific binding </w:t>
      </w:r>
      <w:r w:rsidRPr="00130821">
        <w:rPr>
          <w:rFonts w:ascii="Book Antiqua" w:hAnsi="Book Antiqua"/>
          <w:lang w:val="en-GB"/>
        </w:rPr>
        <w:t xml:space="preserve">to the a4 chain </w:t>
      </w:r>
      <w:r>
        <w:rPr>
          <w:rFonts w:ascii="Book Antiqua" w:hAnsi="Book Antiqua"/>
          <w:lang w:val="en-GB"/>
        </w:rPr>
        <w:t xml:space="preserve">which causes interference with the </w:t>
      </w:r>
      <w:r w:rsidRPr="00130821">
        <w:rPr>
          <w:rFonts w:ascii="Book Antiqua" w:hAnsi="Book Antiqua"/>
          <w:lang w:val="en-GB"/>
        </w:rPr>
        <w:t xml:space="preserve">lymphocyte </w:t>
      </w:r>
      <w:r>
        <w:rPr>
          <w:rFonts w:ascii="Book Antiqua" w:hAnsi="Book Antiqua"/>
          <w:lang w:val="en-GB"/>
        </w:rPr>
        <w:t xml:space="preserve">trafficking in </w:t>
      </w:r>
      <w:r w:rsidRPr="00130821">
        <w:rPr>
          <w:rFonts w:ascii="Book Antiqua" w:hAnsi="Book Antiqua"/>
          <w:lang w:val="en-GB"/>
        </w:rPr>
        <w:t>the ce</w:t>
      </w:r>
      <w:r>
        <w:rPr>
          <w:rFonts w:ascii="Book Antiqua" w:hAnsi="Book Antiqua"/>
          <w:lang w:val="en-GB"/>
        </w:rPr>
        <w:t>ntral nervous system and led</w:t>
      </w:r>
      <w:r w:rsidRPr="00130821">
        <w:rPr>
          <w:rFonts w:ascii="Book Antiqua" w:hAnsi="Book Antiqua"/>
          <w:lang w:val="en-GB"/>
        </w:rPr>
        <w:t xml:space="preserve"> to the concern for </w:t>
      </w:r>
      <w:r>
        <w:rPr>
          <w:rFonts w:ascii="Book Antiqua" w:hAnsi="Book Antiqua"/>
          <w:lang w:val="en-GB"/>
        </w:rPr>
        <w:t>reactivation of John Cunningham (JC) virus</w:t>
      </w:r>
      <w:r w:rsidRPr="00130821">
        <w:rPr>
          <w:rFonts w:ascii="Book Antiqua" w:hAnsi="Book Antiqua"/>
          <w:lang w:val="en-GB"/>
        </w:rPr>
        <w:t xml:space="preserve"> and subsequent development of progressive multifocal leukoencephalopathy (PML)</w:t>
      </w:r>
      <w:r w:rsidRPr="00953227">
        <w:rPr>
          <w:rFonts w:ascii="Book Antiqua" w:hAnsi="Book Antiqua"/>
          <w:vertAlign w:val="superscript"/>
          <w:lang w:val="en-GB"/>
        </w:rPr>
        <w:t>[</w:t>
      </w:r>
      <w:r w:rsidRPr="00130821">
        <w:rPr>
          <w:rFonts w:ascii="Book Antiqua" w:hAnsi="Book Antiqua"/>
          <w:vertAlign w:val="superscript"/>
          <w:lang w:val="en-GB"/>
        </w:rPr>
        <w:t>45]</w:t>
      </w:r>
      <w:r w:rsidRPr="00130821">
        <w:rPr>
          <w:rFonts w:ascii="Book Antiqua" w:hAnsi="Book Antiqua"/>
          <w:lang w:val="en-GB"/>
        </w:rPr>
        <w:t>.</w:t>
      </w:r>
      <w:r>
        <w:rPr>
          <w:rFonts w:ascii="Book Antiqua" w:hAnsi="Book Antiqua" w:hint="eastAsia"/>
          <w:lang w:val="en-GB" w:eastAsia="zh-CN"/>
        </w:rPr>
        <w:t xml:space="preserve"> </w:t>
      </w:r>
      <w:r w:rsidRPr="00130821">
        <w:rPr>
          <w:rFonts w:ascii="Book Antiqua" w:hAnsi="Book Antiqua"/>
          <w:lang w:val="en-GB"/>
        </w:rPr>
        <w:t>Vedolizumab, being gut specific, does not interfere with immune surveillance in the central nervous system, therefore there is no risk of PML as assessed by the placebo-controlled GEMINI studies</w:t>
      </w:r>
      <w:r w:rsidRPr="00953227">
        <w:rPr>
          <w:rFonts w:ascii="Book Antiqua" w:hAnsi="Book Antiqua"/>
          <w:vertAlign w:val="superscript"/>
          <w:lang w:val="en-GB"/>
        </w:rPr>
        <w:t>[</w:t>
      </w:r>
      <w:r w:rsidR="000F607C">
        <w:rPr>
          <w:rFonts w:ascii="Book Antiqua" w:hAnsi="Book Antiqua" w:hint="eastAsia"/>
          <w:vertAlign w:val="superscript"/>
          <w:lang w:val="en-GB" w:eastAsia="zh-CN"/>
        </w:rPr>
        <w:t>44</w:t>
      </w:r>
      <w:r w:rsidRPr="00130821">
        <w:rPr>
          <w:rFonts w:ascii="Book Antiqua" w:hAnsi="Book Antiqua"/>
          <w:vertAlign w:val="superscript"/>
          <w:lang w:val="en-GB"/>
        </w:rPr>
        <w:t>]</w:t>
      </w:r>
      <w:r w:rsidRPr="00130821">
        <w:rPr>
          <w:rFonts w:ascii="Book Antiqua" w:hAnsi="Book Antiqua"/>
          <w:lang w:val="en-GB"/>
        </w:rPr>
        <w:t xml:space="preserve">. Anti-adhesion therapy appears to have </w:t>
      </w:r>
      <w:r>
        <w:rPr>
          <w:rFonts w:ascii="Book Antiqua" w:hAnsi="Book Antiqua"/>
          <w:lang w:val="en-GB"/>
        </w:rPr>
        <w:t>a favourable safety profile, though</w:t>
      </w:r>
      <w:r w:rsidRPr="00130821">
        <w:rPr>
          <w:rFonts w:ascii="Book Antiqua" w:hAnsi="Book Antiqua"/>
          <w:lang w:val="en-GB"/>
        </w:rPr>
        <w:t xml:space="preserve"> the experience in children is </w:t>
      </w:r>
      <w:r>
        <w:rPr>
          <w:rFonts w:ascii="Book Antiqua" w:hAnsi="Book Antiqua"/>
          <w:lang w:val="en-GB"/>
        </w:rPr>
        <w:t xml:space="preserve">still </w:t>
      </w:r>
      <w:r w:rsidRPr="00130821">
        <w:rPr>
          <w:rFonts w:ascii="Book Antiqua" w:hAnsi="Book Antiqua"/>
          <w:lang w:val="en-GB"/>
        </w:rPr>
        <w:t>extremely limited</w:t>
      </w:r>
      <w:r w:rsidRPr="00953227">
        <w:rPr>
          <w:rFonts w:ascii="Book Antiqua" w:hAnsi="Book Antiqua"/>
          <w:vertAlign w:val="superscript"/>
          <w:lang w:val="en-GB"/>
        </w:rPr>
        <w:t>[</w:t>
      </w:r>
      <w:r w:rsidRPr="00130821">
        <w:rPr>
          <w:rFonts w:ascii="Book Antiqua" w:hAnsi="Book Antiqua"/>
          <w:vertAlign w:val="superscript"/>
          <w:lang w:val="en-GB"/>
        </w:rPr>
        <w:t>17]</w:t>
      </w:r>
      <w:r w:rsidRPr="00130821">
        <w:rPr>
          <w:rFonts w:ascii="Book Antiqua" w:hAnsi="Book Antiqua"/>
          <w:lang w:val="en-GB"/>
        </w:rPr>
        <w:t>.</w:t>
      </w:r>
      <w:r>
        <w:rPr>
          <w:rFonts w:ascii="Book Antiqua" w:hAnsi="Book Antiqua" w:hint="eastAsia"/>
          <w:lang w:val="en-GB" w:eastAsia="zh-CN"/>
        </w:rPr>
        <w:t xml:space="preserve"> </w:t>
      </w:r>
      <w:r>
        <w:rPr>
          <w:rFonts w:ascii="Book Antiqua" w:hAnsi="Book Antiqua"/>
          <w:lang w:val="en-GB"/>
        </w:rPr>
        <w:t xml:space="preserve">Due to its mechanism of action of targeting gut-specific T-cell interactions, it is thought that Vedolizumab </w:t>
      </w:r>
      <w:r w:rsidRPr="00130821">
        <w:rPr>
          <w:rFonts w:ascii="Book Antiqua" w:hAnsi="Book Antiqua"/>
          <w:lang w:val="en-GB"/>
        </w:rPr>
        <w:t>may not sufficiently treat the extra</w:t>
      </w:r>
      <w:r>
        <w:rPr>
          <w:rFonts w:ascii="Book Antiqua" w:hAnsi="Book Antiqua"/>
          <w:lang w:val="en-GB"/>
        </w:rPr>
        <w:t xml:space="preserve">-intestinal manifestations </w:t>
      </w:r>
      <w:r w:rsidRPr="00130821">
        <w:rPr>
          <w:rFonts w:ascii="Book Antiqua" w:hAnsi="Book Antiqua"/>
          <w:lang w:val="en-GB"/>
        </w:rPr>
        <w:t xml:space="preserve">of IBD. </w:t>
      </w:r>
      <w:r>
        <w:rPr>
          <w:rFonts w:ascii="Book Antiqua" w:hAnsi="Book Antiqua"/>
          <w:lang w:val="en-GB"/>
        </w:rPr>
        <w:t>A dual therapy with therapeutic doses of immune-suppressants may therefore be needed to treat e</w:t>
      </w:r>
      <w:r w:rsidRPr="00130821">
        <w:rPr>
          <w:rFonts w:ascii="Book Antiqua" w:hAnsi="Book Antiqua"/>
          <w:lang w:val="en-GB"/>
        </w:rPr>
        <w:t>xtra</w:t>
      </w:r>
      <w:r>
        <w:rPr>
          <w:rFonts w:ascii="Book Antiqua" w:hAnsi="Book Antiqua"/>
          <w:lang w:val="en-GB"/>
        </w:rPr>
        <w:t>-</w:t>
      </w:r>
      <w:r w:rsidRPr="00130821">
        <w:rPr>
          <w:rFonts w:ascii="Book Antiqua" w:hAnsi="Book Antiqua"/>
          <w:lang w:val="en-GB"/>
        </w:rPr>
        <w:t>intestinal manifestations</w:t>
      </w:r>
      <w:r w:rsidRPr="00953227">
        <w:rPr>
          <w:rFonts w:ascii="Book Antiqua" w:hAnsi="Book Antiqua"/>
          <w:vertAlign w:val="superscript"/>
          <w:lang w:val="en-GB"/>
        </w:rPr>
        <w:t>[</w:t>
      </w:r>
      <w:r w:rsidRPr="00130821">
        <w:rPr>
          <w:rFonts w:ascii="Book Antiqua" w:hAnsi="Book Antiqua"/>
          <w:vertAlign w:val="superscript"/>
          <w:lang w:val="en-GB"/>
        </w:rPr>
        <w:t>39]</w:t>
      </w:r>
      <w:r>
        <w:rPr>
          <w:rFonts w:ascii="Book Antiqua" w:hAnsi="Book Antiqua"/>
          <w:lang w:val="en-GB"/>
        </w:rPr>
        <w:t xml:space="preserve">. So far, Vedolizumab has been particularly effective </w:t>
      </w:r>
      <w:r w:rsidRPr="00130821">
        <w:rPr>
          <w:rFonts w:ascii="Book Antiqua" w:hAnsi="Book Antiqua"/>
          <w:lang w:val="en-GB"/>
        </w:rPr>
        <w:t>amongst UC patients</w:t>
      </w:r>
      <w:r>
        <w:rPr>
          <w:rFonts w:ascii="Book Antiqua" w:hAnsi="Book Antiqua"/>
          <w:lang w:val="en-GB"/>
        </w:rPr>
        <w:t>,</w:t>
      </w:r>
      <w:r w:rsidRPr="00130821">
        <w:rPr>
          <w:rFonts w:ascii="Book Antiqua" w:hAnsi="Book Antiqua"/>
          <w:lang w:val="en-GB"/>
        </w:rPr>
        <w:t xml:space="preserve"> with a clinical response rate of 50% during induction</w:t>
      </w:r>
      <w:r w:rsidRPr="00953227">
        <w:rPr>
          <w:rFonts w:ascii="Book Antiqua" w:hAnsi="Book Antiqua"/>
          <w:vertAlign w:val="superscript"/>
          <w:lang w:val="en-GB"/>
        </w:rPr>
        <w:t>[</w:t>
      </w:r>
      <w:r w:rsidRPr="00130821">
        <w:rPr>
          <w:rFonts w:ascii="Book Antiqua" w:hAnsi="Book Antiqua"/>
          <w:vertAlign w:val="superscript"/>
          <w:lang w:val="en-GB"/>
        </w:rPr>
        <w:t>39]</w:t>
      </w:r>
      <w:r>
        <w:rPr>
          <w:rFonts w:ascii="Book Antiqua" w:hAnsi="Book Antiqua"/>
          <w:lang w:val="en-GB"/>
        </w:rPr>
        <w:t>. Whilst the use of V</w:t>
      </w:r>
      <w:r w:rsidRPr="00D43973">
        <w:rPr>
          <w:rFonts w:ascii="Book Antiqua" w:hAnsi="Book Antiqua"/>
          <w:lang w:val="en-GB"/>
        </w:rPr>
        <w:t xml:space="preserve">edolizumab </w:t>
      </w:r>
      <w:r>
        <w:rPr>
          <w:rFonts w:ascii="Book Antiqua" w:hAnsi="Book Antiqua"/>
          <w:lang w:val="en-GB"/>
        </w:rPr>
        <w:t xml:space="preserve">has been approved </w:t>
      </w:r>
      <w:r w:rsidRPr="00D43973">
        <w:rPr>
          <w:rFonts w:ascii="Book Antiqua" w:hAnsi="Book Antiqua"/>
          <w:lang w:val="en-GB"/>
        </w:rPr>
        <w:t>for the treatment of CD and UC in adults, there is incr</w:t>
      </w:r>
      <w:r>
        <w:rPr>
          <w:rFonts w:ascii="Book Antiqua" w:hAnsi="Book Antiqua"/>
          <w:lang w:val="en-GB"/>
        </w:rPr>
        <w:t>easing off-label use in paediatric IBD</w:t>
      </w:r>
      <w:r w:rsidRPr="00953227">
        <w:rPr>
          <w:rFonts w:ascii="Book Antiqua" w:hAnsi="Book Antiqua"/>
          <w:vertAlign w:val="superscript"/>
          <w:lang w:val="en-GB"/>
        </w:rPr>
        <w:t>[</w:t>
      </w:r>
      <w:r w:rsidR="000F607C">
        <w:rPr>
          <w:rFonts w:ascii="Book Antiqua" w:hAnsi="Book Antiqua" w:hint="eastAsia"/>
          <w:vertAlign w:val="superscript"/>
          <w:lang w:val="en-GB" w:eastAsia="zh-CN"/>
        </w:rPr>
        <w:t>44</w:t>
      </w:r>
      <w:r w:rsidRPr="00BE1CD4">
        <w:rPr>
          <w:rFonts w:ascii="Book Antiqua" w:hAnsi="Book Antiqua"/>
          <w:vertAlign w:val="superscript"/>
          <w:lang w:val="en-GB"/>
        </w:rPr>
        <w:t>]</w:t>
      </w:r>
      <w:r w:rsidRPr="00D43973">
        <w:rPr>
          <w:rFonts w:ascii="Book Antiqua" w:hAnsi="Book Antiqua"/>
          <w:lang w:val="en-GB"/>
        </w:rPr>
        <w:t>.</w:t>
      </w:r>
    </w:p>
    <w:p w14:paraId="18D6EFD7" w14:textId="6DFD2A8C" w:rsidR="00563BB7" w:rsidRPr="00130821" w:rsidRDefault="00563BB7" w:rsidP="006A3266">
      <w:pPr>
        <w:pStyle w:val="NormalWeb"/>
        <w:spacing w:before="0" w:beforeAutospacing="0" w:after="0" w:afterAutospacing="0" w:line="360" w:lineRule="auto"/>
        <w:ind w:firstLineChars="100" w:firstLine="240"/>
        <w:jc w:val="both"/>
        <w:rPr>
          <w:rFonts w:ascii="Book Antiqua" w:hAnsi="Book Antiqua"/>
          <w:lang w:val="en-GB"/>
        </w:rPr>
      </w:pPr>
      <w:r w:rsidRPr="00130821">
        <w:rPr>
          <w:rFonts w:ascii="Book Antiqua" w:hAnsi="Book Antiqua"/>
          <w:lang w:val="en-GB"/>
        </w:rPr>
        <w:t>Singh</w:t>
      </w:r>
      <w:r>
        <w:rPr>
          <w:rFonts w:ascii="Book Antiqua" w:hAnsi="Book Antiqua" w:hint="eastAsia"/>
          <w:lang w:val="en-GB" w:eastAsia="zh-CN"/>
        </w:rPr>
        <w:t xml:space="preserve"> </w:t>
      </w:r>
      <w:r w:rsidRPr="00953227">
        <w:rPr>
          <w:rFonts w:ascii="Book Antiqua" w:hAnsi="Book Antiqua"/>
          <w:i/>
          <w:lang w:val="en-GB"/>
        </w:rPr>
        <w:t>et al</w:t>
      </w:r>
      <w:r w:rsidRPr="00953227">
        <w:rPr>
          <w:rFonts w:ascii="Book Antiqua" w:hAnsi="Book Antiqua"/>
          <w:vertAlign w:val="superscript"/>
          <w:lang w:val="en-GB"/>
        </w:rPr>
        <w:t>[</w:t>
      </w:r>
      <w:r w:rsidR="000F607C">
        <w:rPr>
          <w:rFonts w:ascii="Book Antiqua" w:hAnsi="Book Antiqua" w:hint="eastAsia"/>
          <w:vertAlign w:val="superscript"/>
          <w:lang w:val="en-GB" w:eastAsia="zh-CN"/>
        </w:rPr>
        <w:t>44</w:t>
      </w:r>
      <w:r w:rsidRPr="00130821">
        <w:rPr>
          <w:rFonts w:ascii="Book Antiqua" w:hAnsi="Book Antiqua"/>
          <w:vertAlign w:val="superscript"/>
          <w:lang w:val="en-GB"/>
        </w:rPr>
        <w:t>]</w:t>
      </w:r>
      <w:r w:rsidRPr="00130821">
        <w:rPr>
          <w:rFonts w:ascii="Book Antiqua" w:hAnsi="Book Antiqua"/>
          <w:lang w:val="en-GB"/>
        </w:rPr>
        <w:t xml:space="preserve"> conducted a retrospective review t</w:t>
      </w:r>
      <w:r>
        <w:rPr>
          <w:rFonts w:ascii="Book Antiqua" w:hAnsi="Book Antiqua"/>
          <w:lang w:val="en-GB"/>
        </w:rPr>
        <w:t>o describe the experience with V</w:t>
      </w:r>
      <w:r w:rsidRPr="00130821">
        <w:rPr>
          <w:rFonts w:ascii="Book Antiqua" w:hAnsi="Book Antiqua"/>
          <w:lang w:val="en-GB"/>
        </w:rPr>
        <w:t xml:space="preserve">edolizumab in 52 </w:t>
      </w:r>
      <w:r>
        <w:rPr>
          <w:rFonts w:ascii="Book Antiqua" w:hAnsi="Book Antiqua"/>
          <w:lang w:val="en-GB"/>
        </w:rPr>
        <w:t xml:space="preserve">children with IBD </w:t>
      </w:r>
      <w:r w:rsidRPr="00130821">
        <w:rPr>
          <w:rFonts w:ascii="Book Antiqua" w:hAnsi="Book Antiqua"/>
          <w:lang w:val="en-GB"/>
        </w:rPr>
        <w:t>(58% CD and 42% UC) at 3 tertiary IBD centres and to examine predictors of remission. Ninety perc</w:t>
      </w:r>
      <w:r>
        <w:rPr>
          <w:rFonts w:ascii="Book Antiqua" w:hAnsi="Book Antiqua"/>
          <w:lang w:val="en-GB"/>
        </w:rPr>
        <w:t>ent of the patients had failed at least one</w:t>
      </w:r>
      <w:r w:rsidRPr="00130821">
        <w:rPr>
          <w:rFonts w:ascii="Book Antiqua" w:hAnsi="Book Antiqua"/>
          <w:lang w:val="en-GB"/>
        </w:rPr>
        <w:t xml:space="preserve"> anti-TNF agent. Week 14 remission rates for UC and CD were 76% and 42%, respectively (</w:t>
      </w:r>
      <w:r w:rsidRPr="00953227">
        <w:rPr>
          <w:rFonts w:ascii="Book Antiqua" w:hAnsi="Book Antiqua"/>
          <w:i/>
          <w:lang w:val="en-GB"/>
        </w:rPr>
        <w:t xml:space="preserve">P </w:t>
      </w:r>
      <w:r w:rsidRPr="00130821">
        <w:rPr>
          <w:rFonts w:ascii="Book Antiqua" w:hAnsi="Book Antiqua"/>
          <w:lang w:val="en-GB"/>
        </w:rPr>
        <w:t>&lt; 0.05).</w:t>
      </w:r>
      <w:r>
        <w:rPr>
          <w:rFonts w:ascii="Book Antiqua" w:hAnsi="Book Antiqua"/>
          <w:lang w:val="en-GB"/>
        </w:rPr>
        <w:t xml:space="preserve"> At week 4, e</w:t>
      </w:r>
      <w:r w:rsidRPr="00130821">
        <w:rPr>
          <w:rFonts w:ascii="Book Antiqua" w:hAnsi="Book Antiqua"/>
          <w:lang w:val="en-GB"/>
        </w:rPr>
        <w:t xml:space="preserve">ighty percent of anti-TNF-naive patients </w:t>
      </w:r>
      <w:r>
        <w:rPr>
          <w:rFonts w:ascii="Book Antiqua" w:hAnsi="Book Antiqua"/>
          <w:lang w:val="en-GB"/>
        </w:rPr>
        <w:t xml:space="preserve">were in </w:t>
      </w:r>
      <w:r w:rsidRPr="00130821">
        <w:rPr>
          <w:rFonts w:ascii="Book Antiqua" w:hAnsi="Book Antiqua"/>
          <w:lang w:val="en-GB"/>
        </w:rPr>
        <w:t xml:space="preserve">remission. At week 22, anti-TNF-naive patients had higher remission rates than </w:t>
      </w:r>
      <w:r>
        <w:rPr>
          <w:rFonts w:ascii="Book Antiqua" w:hAnsi="Book Antiqua"/>
          <w:lang w:val="en-GB"/>
        </w:rPr>
        <w:t xml:space="preserve">those previously exposed to anti-TNF </w:t>
      </w:r>
      <w:r w:rsidRPr="00130821">
        <w:rPr>
          <w:rFonts w:ascii="Book Antiqua" w:hAnsi="Book Antiqua"/>
          <w:lang w:val="en-GB"/>
        </w:rPr>
        <w:t xml:space="preserve">(100% </w:t>
      </w:r>
      <w:r w:rsidRPr="00953227">
        <w:rPr>
          <w:rFonts w:ascii="Book Antiqua" w:hAnsi="Book Antiqua" w:hint="eastAsia"/>
          <w:i/>
          <w:lang w:val="en-GB" w:eastAsia="zh-CN"/>
        </w:rPr>
        <w:t>vs</w:t>
      </w:r>
      <w:r w:rsidRPr="00130821">
        <w:rPr>
          <w:rFonts w:ascii="Book Antiqua" w:hAnsi="Book Antiqua"/>
          <w:lang w:val="en-GB"/>
        </w:rPr>
        <w:t xml:space="preserve"> 45%, </w:t>
      </w:r>
      <w:r w:rsidRPr="00953227">
        <w:rPr>
          <w:rFonts w:ascii="Book Antiqua" w:hAnsi="Book Antiqua"/>
          <w:i/>
          <w:lang w:val="en-GB"/>
        </w:rPr>
        <w:t xml:space="preserve">P </w:t>
      </w:r>
      <w:r w:rsidRPr="00130821">
        <w:rPr>
          <w:rFonts w:ascii="Book Antiqua" w:hAnsi="Book Antiqua"/>
          <w:lang w:val="en-GB"/>
        </w:rPr>
        <w:t>= 0.04). There were no safety concerns.</w:t>
      </w:r>
    </w:p>
    <w:p w14:paraId="08BBC567" w14:textId="2456412F" w:rsidR="00563BB7" w:rsidRPr="00D43973" w:rsidRDefault="00563BB7" w:rsidP="006A3266">
      <w:pPr>
        <w:widowControl w:val="0"/>
        <w:autoSpaceDE w:val="0"/>
        <w:autoSpaceDN w:val="0"/>
        <w:adjustRightInd w:val="0"/>
        <w:spacing w:line="360" w:lineRule="auto"/>
        <w:ind w:firstLineChars="150" w:firstLine="360"/>
        <w:jc w:val="both"/>
        <w:rPr>
          <w:rFonts w:ascii="Book Antiqua" w:hAnsi="Book Antiqua"/>
          <w:lang w:val="en-GB"/>
        </w:rPr>
      </w:pPr>
      <w:r>
        <w:rPr>
          <w:rFonts w:ascii="Book Antiqua" w:hAnsi="Book Antiqua"/>
          <w:lang w:val="en-GB"/>
        </w:rPr>
        <w:t>These results support V</w:t>
      </w:r>
      <w:r w:rsidRPr="00D43973">
        <w:rPr>
          <w:rFonts w:ascii="Book Antiqua" w:hAnsi="Book Antiqua"/>
          <w:lang w:val="en-GB"/>
        </w:rPr>
        <w:t>edolizumab as an effective and safe treatment in children with IBD, with UC patients experiencing earlier and higher rates of remission than</w:t>
      </w:r>
      <w:r>
        <w:rPr>
          <w:rFonts w:ascii="Book Antiqua" w:hAnsi="Book Antiqua"/>
          <w:lang w:val="en-GB"/>
        </w:rPr>
        <w:t xml:space="preserve"> children with CD</w:t>
      </w:r>
      <w:r w:rsidRPr="00D43973">
        <w:rPr>
          <w:rFonts w:ascii="Book Antiqua" w:hAnsi="Book Antiqua"/>
          <w:lang w:val="en-GB"/>
        </w:rPr>
        <w:t xml:space="preserve">. Also, the data reviewed shows that anti-TNF-naive patients </w:t>
      </w:r>
      <w:r>
        <w:rPr>
          <w:rFonts w:ascii="Book Antiqua" w:hAnsi="Book Antiqua"/>
          <w:lang w:val="en-GB"/>
        </w:rPr>
        <w:t>had higher remission rates compared to</w:t>
      </w:r>
      <w:r w:rsidRPr="00D43973">
        <w:rPr>
          <w:rFonts w:ascii="Book Antiqua" w:hAnsi="Book Antiqua"/>
          <w:lang w:val="en-GB"/>
        </w:rPr>
        <w:t xml:space="preserve"> those with </w:t>
      </w:r>
      <w:r>
        <w:rPr>
          <w:rFonts w:ascii="Book Antiqua" w:hAnsi="Book Antiqua"/>
          <w:lang w:val="en-GB"/>
        </w:rPr>
        <w:t xml:space="preserve">previous </w:t>
      </w:r>
      <w:r w:rsidRPr="00D43973">
        <w:rPr>
          <w:rFonts w:ascii="Book Antiqua" w:hAnsi="Book Antiqua"/>
          <w:lang w:val="en-GB"/>
        </w:rPr>
        <w:t>anti-TNF exposure</w:t>
      </w:r>
      <w:r w:rsidRPr="00953227">
        <w:rPr>
          <w:rFonts w:ascii="Book Antiqua" w:hAnsi="Book Antiqua"/>
          <w:vertAlign w:val="superscript"/>
          <w:lang w:val="en-GB"/>
        </w:rPr>
        <w:t>[</w:t>
      </w:r>
      <w:r w:rsidR="000F607C">
        <w:rPr>
          <w:rFonts w:ascii="Book Antiqua" w:hAnsi="Book Antiqua" w:hint="eastAsia"/>
          <w:vertAlign w:val="superscript"/>
          <w:lang w:val="en-GB" w:eastAsia="zh-CN"/>
        </w:rPr>
        <w:t>44</w:t>
      </w:r>
      <w:r w:rsidRPr="00BE1CD4">
        <w:rPr>
          <w:rFonts w:ascii="Book Antiqua" w:hAnsi="Book Antiqua"/>
          <w:vertAlign w:val="superscript"/>
          <w:lang w:val="en-GB"/>
        </w:rPr>
        <w:t>]</w:t>
      </w:r>
      <w:r w:rsidRPr="00D43973">
        <w:rPr>
          <w:rFonts w:ascii="Book Antiqua" w:hAnsi="Book Antiqua"/>
          <w:lang w:val="en-GB"/>
        </w:rPr>
        <w:t>.</w:t>
      </w:r>
    </w:p>
    <w:p w14:paraId="2690C009" w14:textId="77777777" w:rsidR="00563BB7" w:rsidRPr="00130821" w:rsidRDefault="00563BB7" w:rsidP="006A3266">
      <w:pPr>
        <w:pStyle w:val="NormalWeb"/>
        <w:spacing w:before="0" w:beforeAutospacing="0" w:after="0" w:afterAutospacing="0" w:line="360" w:lineRule="auto"/>
        <w:ind w:firstLineChars="100" w:firstLine="240"/>
        <w:jc w:val="both"/>
        <w:rPr>
          <w:rFonts w:ascii="Book Antiqua" w:hAnsi="Book Antiqua"/>
          <w:lang w:val="en-GB"/>
        </w:rPr>
      </w:pPr>
      <w:r w:rsidRPr="00130821">
        <w:rPr>
          <w:rFonts w:ascii="Book Antiqua" w:hAnsi="Book Antiqua"/>
          <w:lang w:val="en-GB"/>
        </w:rPr>
        <w:lastRenderedPageBreak/>
        <w:t>Conrad</w:t>
      </w:r>
      <w:r>
        <w:rPr>
          <w:rFonts w:ascii="Book Antiqua" w:hAnsi="Book Antiqua" w:hint="eastAsia"/>
          <w:lang w:val="en-GB" w:eastAsia="zh-CN"/>
        </w:rPr>
        <w:t xml:space="preserve"> </w:t>
      </w:r>
      <w:r w:rsidRPr="00953227">
        <w:rPr>
          <w:rFonts w:ascii="Book Antiqua" w:hAnsi="Book Antiqua"/>
          <w:i/>
          <w:lang w:val="en-GB"/>
        </w:rPr>
        <w:t>et al</w:t>
      </w:r>
      <w:r w:rsidRPr="00953227">
        <w:rPr>
          <w:rFonts w:ascii="Book Antiqua" w:hAnsi="Book Antiqua"/>
          <w:vertAlign w:val="superscript"/>
          <w:lang w:val="en-GB"/>
        </w:rPr>
        <w:t>[</w:t>
      </w:r>
      <w:r w:rsidRPr="00130821">
        <w:rPr>
          <w:rFonts w:ascii="Book Antiqua" w:hAnsi="Book Antiqua"/>
          <w:vertAlign w:val="superscript"/>
          <w:lang w:val="en-GB"/>
        </w:rPr>
        <w:t>39]</w:t>
      </w:r>
      <w:r w:rsidRPr="00130821">
        <w:rPr>
          <w:rFonts w:ascii="Book Antiqua" w:hAnsi="Book Antiqua"/>
          <w:lang w:val="en-GB"/>
        </w:rPr>
        <w:t xml:space="preserve"> conducted an observational single-centre prospective cohort study aime</w:t>
      </w:r>
      <w:r>
        <w:rPr>
          <w:rFonts w:ascii="Book Antiqua" w:hAnsi="Book Antiqua"/>
          <w:lang w:val="en-GB"/>
        </w:rPr>
        <w:t xml:space="preserve">d to determine the impact of Vedolizumab </w:t>
      </w:r>
      <w:r w:rsidRPr="00130821">
        <w:rPr>
          <w:rFonts w:ascii="Book Antiqua" w:hAnsi="Book Antiqua"/>
          <w:lang w:val="en-GB"/>
        </w:rPr>
        <w:t xml:space="preserve">on clinical response and on achieving steroid-free remission over 22 </w:t>
      </w:r>
      <w:r>
        <w:rPr>
          <w:rFonts w:ascii="Book Antiqua" w:hAnsi="Book Antiqua" w:hint="eastAsia"/>
          <w:lang w:val="en-GB" w:eastAsia="zh-CN"/>
        </w:rPr>
        <w:t>wk</w:t>
      </w:r>
      <w:r w:rsidRPr="00130821">
        <w:rPr>
          <w:rFonts w:ascii="Book Antiqua" w:hAnsi="Book Antiqua"/>
          <w:lang w:val="en-GB"/>
        </w:rPr>
        <w:t xml:space="preserve"> of therapy</w:t>
      </w:r>
      <w:r>
        <w:rPr>
          <w:rFonts w:ascii="Book Antiqua" w:hAnsi="Book Antiqua"/>
          <w:lang w:val="en-GB"/>
        </w:rPr>
        <w:t>. They recruited</w:t>
      </w:r>
      <w:r w:rsidRPr="00130821">
        <w:rPr>
          <w:rFonts w:ascii="Book Antiqua" w:hAnsi="Book Antiqua"/>
          <w:lang w:val="en-GB"/>
        </w:rPr>
        <w:t xml:space="preserve"> 21 </w:t>
      </w:r>
      <w:r>
        <w:rPr>
          <w:rFonts w:ascii="Book Antiqua" w:hAnsi="Book Antiqua"/>
          <w:lang w:val="en-GB"/>
        </w:rPr>
        <w:t xml:space="preserve">children </w:t>
      </w:r>
      <w:r w:rsidRPr="00130821">
        <w:rPr>
          <w:rFonts w:ascii="Book Antiqua" w:hAnsi="Book Antiqua"/>
          <w:lang w:val="en-GB"/>
        </w:rPr>
        <w:t xml:space="preserve">with refractory IBD (16 with CD), who had previously failed </w:t>
      </w:r>
      <w:r>
        <w:rPr>
          <w:rFonts w:ascii="Book Antiqua" w:hAnsi="Book Antiqua"/>
          <w:lang w:val="en-GB"/>
        </w:rPr>
        <w:t>anti-</w:t>
      </w:r>
      <w:r w:rsidRPr="00130821">
        <w:rPr>
          <w:rFonts w:ascii="Book Antiqua" w:hAnsi="Book Antiqua"/>
          <w:lang w:val="en-GB"/>
        </w:rPr>
        <w:t>TNF therapy.</w:t>
      </w:r>
    </w:p>
    <w:p w14:paraId="1A23D4EA" w14:textId="77777777" w:rsidR="00563BB7" w:rsidRDefault="00563BB7" w:rsidP="006A3266">
      <w:pPr>
        <w:pStyle w:val="NormalWeb"/>
        <w:spacing w:before="0" w:beforeAutospacing="0" w:after="0" w:afterAutospacing="0" w:line="360" w:lineRule="auto"/>
        <w:ind w:firstLineChars="150" w:firstLine="360"/>
        <w:jc w:val="both"/>
        <w:rPr>
          <w:rFonts w:ascii="Book Antiqua" w:hAnsi="Book Antiqua"/>
          <w:lang w:val="en-GB" w:eastAsia="zh-CN"/>
        </w:rPr>
      </w:pPr>
      <w:r w:rsidRPr="00130821">
        <w:rPr>
          <w:rFonts w:ascii="Book Antiqua" w:hAnsi="Book Antiqua"/>
          <w:lang w:val="en-GB"/>
        </w:rPr>
        <w:t>Clinical resp</w:t>
      </w:r>
      <w:r>
        <w:rPr>
          <w:rFonts w:ascii="Book Antiqua" w:hAnsi="Book Antiqua"/>
          <w:lang w:val="en-GB"/>
        </w:rPr>
        <w:t>onse was observed in 31.6% and in 57.9% by</w:t>
      </w:r>
      <w:r w:rsidRPr="00130821">
        <w:rPr>
          <w:rFonts w:ascii="Book Antiqua" w:hAnsi="Book Antiqua"/>
          <w:lang w:val="en-GB"/>
        </w:rPr>
        <w:t xml:space="preserve"> week 6 and by week 22</w:t>
      </w:r>
      <w:r>
        <w:rPr>
          <w:rFonts w:ascii="Book Antiqua" w:hAnsi="Book Antiqua"/>
          <w:lang w:val="en-GB"/>
        </w:rPr>
        <w:t>, respectively</w:t>
      </w:r>
      <w:r w:rsidRPr="00130821">
        <w:rPr>
          <w:rFonts w:ascii="Book Antiqua" w:hAnsi="Book Antiqua"/>
          <w:lang w:val="en-GB"/>
        </w:rPr>
        <w:t>. Steroid-free remission was seen in 1</w:t>
      </w:r>
      <w:r>
        <w:rPr>
          <w:rFonts w:ascii="Book Antiqua" w:hAnsi="Book Antiqua"/>
          <w:lang w:val="en-GB"/>
        </w:rPr>
        <w:t xml:space="preserve"> patient at week 6 </w:t>
      </w:r>
      <w:r w:rsidRPr="00130821">
        <w:rPr>
          <w:rFonts w:ascii="Book Antiqua" w:hAnsi="Book Antiqua"/>
          <w:lang w:val="en-GB"/>
        </w:rPr>
        <w:t xml:space="preserve">and </w:t>
      </w:r>
      <w:r>
        <w:rPr>
          <w:rFonts w:ascii="Book Antiqua" w:hAnsi="Book Antiqua"/>
          <w:lang w:val="en-GB"/>
        </w:rPr>
        <w:t xml:space="preserve">in </w:t>
      </w:r>
      <w:r w:rsidRPr="00130821">
        <w:rPr>
          <w:rFonts w:ascii="Book Antiqua" w:hAnsi="Book Antiqua"/>
          <w:lang w:val="en-GB"/>
        </w:rPr>
        <w:t>4</w:t>
      </w:r>
      <w:r>
        <w:rPr>
          <w:rFonts w:ascii="Book Antiqua" w:hAnsi="Book Antiqua"/>
          <w:lang w:val="en-GB"/>
        </w:rPr>
        <w:t xml:space="preserve"> (20</w:t>
      </w:r>
      <w:r w:rsidRPr="00130821">
        <w:rPr>
          <w:rFonts w:ascii="Book Antiqua" w:hAnsi="Book Antiqua"/>
          <w:lang w:val="en-GB"/>
        </w:rPr>
        <w:t xml:space="preserve">%) at </w:t>
      </w:r>
      <w:r>
        <w:rPr>
          <w:rFonts w:ascii="Book Antiqua" w:hAnsi="Book Antiqua"/>
          <w:lang w:val="en-GB"/>
        </w:rPr>
        <w:t>week 22. N</w:t>
      </w:r>
      <w:r w:rsidRPr="00130821">
        <w:rPr>
          <w:rFonts w:ascii="Book Antiqua" w:hAnsi="Book Antiqua"/>
          <w:lang w:val="en-GB"/>
        </w:rPr>
        <w:t>o infusion reactions</w:t>
      </w:r>
      <w:r>
        <w:rPr>
          <w:rFonts w:ascii="Book Antiqua" w:hAnsi="Book Antiqua"/>
          <w:lang w:val="en-GB"/>
        </w:rPr>
        <w:t xml:space="preserve"> were observed</w:t>
      </w:r>
      <w:r w:rsidRPr="00130821">
        <w:rPr>
          <w:rFonts w:ascii="Book Antiqua" w:hAnsi="Book Antiqua"/>
          <w:lang w:val="en-GB"/>
        </w:rPr>
        <w:t>. Vedolizumab was discontinued in 2 patients because of severe colitis, requiring surgical intervention</w:t>
      </w:r>
      <w:r w:rsidRPr="00953227">
        <w:rPr>
          <w:rFonts w:ascii="Book Antiqua" w:hAnsi="Book Antiqua"/>
          <w:vertAlign w:val="superscript"/>
          <w:lang w:val="en-GB"/>
        </w:rPr>
        <w:t>[</w:t>
      </w:r>
      <w:r w:rsidRPr="00130821">
        <w:rPr>
          <w:rFonts w:ascii="Book Antiqua" w:hAnsi="Book Antiqua"/>
          <w:vertAlign w:val="superscript"/>
          <w:lang w:val="en-GB"/>
        </w:rPr>
        <w:t>39]</w:t>
      </w:r>
      <w:r w:rsidRPr="00130821">
        <w:rPr>
          <w:rFonts w:ascii="Book Antiqua" w:hAnsi="Book Antiqua"/>
          <w:lang w:val="en-GB"/>
        </w:rPr>
        <w:t xml:space="preserve">. </w:t>
      </w:r>
      <w:r>
        <w:rPr>
          <w:rFonts w:ascii="Book Antiqua" w:hAnsi="Book Antiqua"/>
          <w:lang w:val="en-GB"/>
        </w:rPr>
        <w:t xml:space="preserve">These results, though limited by </w:t>
      </w:r>
      <w:r w:rsidRPr="00130821">
        <w:rPr>
          <w:rFonts w:ascii="Book Antiqua" w:hAnsi="Book Antiqua"/>
          <w:lang w:val="en-GB"/>
        </w:rPr>
        <w:t xml:space="preserve">the small sample size, describe a number of </w:t>
      </w:r>
      <w:r>
        <w:rPr>
          <w:rFonts w:ascii="Book Antiqua" w:hAnsi="Book Antiqua"/>
          <w:lang w:val="en-GB"/>
        </w:rPr>
        <w:t xml:space="preserve">children </w:t>
      </w:r>
      <w:r w:rsidRPr="00130821">
        <w:rPr>
          <w:rFonts w:ascii="Book Antiqua" w:hAnsi="Book Antiqua"/>
          <w:lang w:val="en-GB"/>
        </w:rPr>
        <w:t xml:space="preserve">with </w:t>
      </w:r>
      <w:r>
        <w:rPr>
          <w:rFonts w:ascii="Book Antiqua" w:hAnsi="Book Antiqua"/>
          <w:lang w:val="en-GB"/>
        </w:rPr>
        <w:t xml:space="preserve">severe disease who achieve </w:t>
      </w:r>
      <w:r w:rsidRPr="00130821">
        <w:rPr>
          <w:rFonts w:ascii="Book Antiqua" w:hAnsi="Book Antiqua"/>
          <w:lang w:val="en-GB"/>
        </w:rPr>
        <w:t xml:space="preserve">clinical response in the first 6 weeks </w:t>
      </w:r>
      <w:r>
        <w:rPr>
          <w:rFonts w:ascii="Book Antiqua" w:hAnsi="Book Antiqua"/>
          <w:lang w:val="en-GB"/>
        </w:rPr>
        <w:t xml:space="preserve">and a further increase in remission rate </w:t>
      </w:r>
      <w:r w:rsidRPr="00130821">
        <w:rPr>
          <w:rFonts w:ascii="Book Antiqua" w:hAnsi="Book Antiqua"/>
          <w:lang w:val="en-GB"/>
        </w:rPr>
        <w:t>by week 22</w:t>
      </w:r>
      <w:r w:rsidRPr="00953227">
        <w:rPr>
          <w:rFonts w:ascii="Book Antiqua" w:hAnsi="Book Antiqua"/>
          <w:vertAlign w:val="superscript"/>
          <w:lang w:val="en-GB"/>
        </w:rPr>
        <w:t>[</w:t>
      </w:r>
      <w:r w:rsidRPr="00130821">
        <w:rPr>
          <w:rFonts w:ascii="Book Antiqua" w:hAnsi="Book Antiqua"/>
          <w:vertAlign w:val="superscript"/>
          <w:lang w:val="en-GB"/>
        </w:rPr>
        <w:t>39]</w:t>
      </w:r>
      <w:r w:rsidRPr="00130821">
        <w:rPr>
          <w:rFonts w:ascii="Book Antiqua" w:hAnsi="Book Antiqua"/>
          <w:lang w:val="en-GB"/>
        </w:rPr>
        <w:t>.</w:t>
      </w:r>
      <w:r>
        <w:rPr>
          <w:rFonts w:ascii="Book Antiqua" w:hAnsi="Book Antiqua" w:hint="eastAsia"/>
          <w:lang w:val="en-GB" w:eastAsia="zh-CN"/>
        </w:rPr>
        <w:t xml:space="preserve"> </w:t>
      </w:r>
      <w:r>
        <w:rPr>
          <w:rFonts w:ascii="Book Antiqua" w:hAnsi="Book Antiqua"/>
          <w:lang w:val="en-GB"/>
        </w:rPr>
        <w:t>Overall, the data currently available on Vedolizumab from adult and paediatric studies suggests its use as an option to achieve</w:t>
      </w:r>
      <w:r w:rsidRPr="00130821">
        <w:rPr>
          <w:rFonts w:ascii="Book Antiqua" w:hAnsi="Book Antiqua"/>
          <w:lang w:val="en-GB"/>
        </w:rPr>
        <w:t xml:space="preserve"> clinical improvement in the most severe paediatric IBD patients (both CD and UC). </w:t>
      </w:r>
    </w:p>
    <w:p w14:paraId="6BABDEF6" w14:textId="77777777" w:rsidR="00563BB7" w:rsidRPr="00130821" w:rsidRDefault="00563BB7" w:rsidP="006A3266">
      <w:pPr>
        <w:pStyle w:val="NormalWeb"/>
        <w:spacing w:before="0" w:beforeAutospacing="0" w:after="0" w:afterAutospacing="0" w:line="360" w:lineRule="auto"/>
        <w:ind w:firstLineChars="150" w:firstLine="360"/>
        <w:jc w:val="both"/>
        <w:rPr>
          <w:rFonts w:ascii="Book Antiqua" w:hAnsi="Book Antiqua"/>
          <w:lang w:val="en-GB" w:eastAsia="zh-CN"/>
        </w:rPr>
      </w:pPr>
    </w:p>
    <w:p w14:paraId="3B9567EC" w14:textId="77777777" w:rsidR="00563BB7" w:rsidRPr="00953227" w:rsidRDefault="00563BB7" w:rsidP="006A3266">
      <w:pPr>
        <w:pStyle w:val="NormalWeb"/>
        <w:spacing w:before="0" w:beforeAutospacing="0" w:after="0" w:afterAutospacing="0" w:line="360" w:lineRule="auto"/>
        <w:jc w:val="both"/>
        <w:rPr>
          <w:rFonts w:ascii="Book Antiqua" w:hAnsi="Book Antiqua"/>
          <w:b/>
          <w:i/>
          <w:lang w:val="en-GB"/>
        </w:rPr>
      </w:pPr>
      <w:r w:rsidRPr="00953227">
        <w:rPr>
          <w:rFonts w:ascii="Book Antiqua" w:hAnsi="Book Antiqua"/>
          <w:b/>
          <w:i/>
          <w:lang w:val="en-GB"/>
        </w:rPr>
        <w:t xml:space="preserve">Biosimilars </w:t>
      </w:r>
    </w:p>
    <w:p w14:paraId="6DC0996E" w14:textId="1C0F7960" w:rsidR="00563BB7" w:rsidRPr="00130821" w:rsidRDefault="00563BB7" w:rsidP="006A3266">
      <w:pPr>
        <w:pStyle w:val="NormalWeb"/>
        <w:spacing w:before="0" w:beforeAutospacing="0" w:after="0" w:afterAutospacing="0" w:line="360" w:lineRule="auto"/>
        <w:jc w:val="both"/>
        <w:rPr>
          <w:rFonts w:ascii="Book Antiqua" w:hAnsi="Book Antiqua"/>
          <w:lang w:val="en-GB"/>
        </w:rPr>
      </w:pPr>
      <w:r>
        <w:rPr>
          <w:rFonts w:ascii="Book Antiqua" w:hAnsi="Book Antiqua"/>
          <w:lang w:val="en-GB"/>
        </w:rPr>
        <w:t>B</w:t>
      </w:r>
      <w:r w:rsidRPr="00130821">
        <w:rPr>
          <w:rFonts w:ascii="Book Antiqua" w:hAnsi="Book Antiqua"/>
          <w:lang w:val="en-GB"/>
        </w:rPr>
        <w:t>iosimilar</w:t>
      </w:r>
      <w:r>
        <w:rPr>
          <w:rFonts w:ascii="Book Antiqua" w:hAnsi="Book Antiqua"/>
          <w:lang w:val="en-GB"/>
        </w:rPr>
        <w:t xml:space="preserve">s are defined as </w:t>
      </w:r>
      <w:r w:rsidRPr="00130821">
        <w:rPr>
          <w:rFonts w:ascii="Book Antiqua" w:hAnsi="Book Antiqua"/>
          <w:lang w:val="en-GB"/>
        </w:rPr>
        <w:t xml:space="preserve">biological </w:t>
      </w:r>
      <w:r>
        <w:rPr>
          <w:rFonts w:ascii="Book Antiqua" w:hAnsi="Book Antiqua"/>
          <w:lang w:val="en-GB"/>
        </w:rPr>
        <w:t>agents that are</w:t>
      </w:r>
      <w:r w:rsidRPr="00130821">
        <w:rPr>
          <w:rFonts w:ascii="Book Antiqua" w:hAnsi="Book Antiqua"/>
          <w:lang w:val="en-GB"/>
        </w:rPr>
        <w:t xml:space="preserve"> highly similar to another reference drug already authorized for use</w:t>
      </w:r>
      <w:r w:rsidRPr="00953227">
        <w:rPr>
          <w:rFonts w:ascii="Book Antiqua" w:hAnsi="Book Antiqua"/>
          <w:vertAlign w:val="superscript"/>
          <w:lang w:val="en-GB"/>
        </w:rPr>
        <w:t>[</w:t>
      </w:r>
      <w:r w:rsidRPr="00130821">
        <w:rPr>
          <w:rFonts w:ascii="Book Antiqua" w:hAnsi="Book Antiqua"/>
          <w:vertAlign w:val="superscript"/>
          <w:lang w:val="en-GB"/>
        </w:rPr>
        <w:t>37,</w:t>
      </w:r>
      <w:r w:rsidR="000F607C">
        <w:rPr>
          <w:rFonts w:ascii="Book Antiqua" w:hAnsi="Book Antiqua" w:hint="eastAsia"/>
          <w:vertAlign w:val="superscript"/>
          <w:lang w:val="en-GB" w:eastAsia="zh-CN"/>
        </w:rPr>
        <w:t>46</w:t>
      </w:r>
      <w:r w:rsidRPr="00130821">
        <w:rPr>
          <w:rFonts w:ascii="Book Antiqua" w:hAnsi="Book Antiqua"/>
          <w:vertAlign w:val="superscript"/>
          <w:lang w:val="en-GB"/>
        </w:rPr>
        <w:t>]</w:t>
      </w:r>
      <w:r w:rsidRPr="00130821">
        <w:rPr>
          <w:rFonts w:ascii="Book Antiqua" w:hAnsi="Book Antiqua"/>
          <w:lang w:val="en-GB"/>
        </w:rPr>
        <w:t xml:space="preserve">. </w:t>
      </w:r>
      <w:r>
        <w:rPr>
          <w:rFonts w:ascii="Book Antiqua" w:hAnsi="Book Antiqua"/>
          <w:lang w:val="en-GB"/>
        </w:rPr>
        <w:t xml:space="preserve">This definition also implies that the quality, safety and efficacy of the biosimilar should not be affected by </w:t>
      </w:r>
      <w:r w:rsidRPr="00130821">
        <w:rPr>
          <w:rFonts w:ascii="Book Antiqua" w:hAnsi="Book Antiqua"/>
          <w:lang w:val="en-GB"/>
        </w:rPr>
        <w:t xml:space="preserve">any molecular and/or structural dissimilarities or </w:t>
      </w:r>
      <w:r>
        <w:rPr>
          <w:rFonts w:ascii="Book Antiqua" w:hAnsi="Book Antiqua"/>
          <w:lang w:val="en-GB"/>
        </w:rPr>
        <w:t xml:space="preserve">any </w:t>
      </w:r>
      <w:r w:rsidRPr="00130821">
        <w:rPr>
          <w:rFonts w:ascii="Book Antiqua" w:hAnsi="Book Antiqua"/>
          <w:lang w:val="en-GB"/>
        </w:rPr>
        <w:t>potential differences in the underlying mechanisms</w:t>
      </w:r>
      <w:r w:rsidRPr="00953227">
        <w:rPr>
          <w:rFonts w:ascii="Book Antiqua" w:hAnsi="Book Antiqua"/>
          <w:vertAlign w:val="superscript"/>
          <w:lang w:val="en-GB"/>
        </w:rPr>
        <w:t>[</w:t>
      </w:r>
      <w:r w:rsidRPr="00130821">
        <w:rPr>
          <w:rFonts w:ascii="Book Antiqua" w:hAnsi="Book Antiqua"/>
          <w:vertAlign w:val="superscript"/>
          <w:lang w:val="en-GB"/>
        </w:rPr>
        <w:t>37]</w:t>
      </w:r>
      <w:r w:rsidRPr="00130821">
        <w:rPr>
          <w:rFonts w:ascii="Book Antiqua" w:hAnsi="Book Antiqua"/>
          <w:lang w:val="en-GB"/>
        </w:rPr>
        <w:t>.</w:t>
      </w:r>
    </w:p>
    <w:p w14:paraId="10CB02DB" w14:textId="39FA1356" w:rsidR="00563BB7"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Pr>
          <w:rFonts w:ascii="Book Antiqua" w:hAnsi="Book Antiqua"/>
          <w:lang w:val="en-GB"/>
        </w:rPr>
        <w:t xml:space="preserve">Despite keeping the same aminoacid sequence as their reference drug, biosimilars end up being a different final product due to manufacturing process (including cell line, growth condition and purification processes), storage and transport, and subsequent various </w:t>
      </w:r>
      <w:r w:rsidRPr="00D43973">
        <w:rPr>
          <w:rFonts w:ascii="Book Antiqua" w:hAnsi="Book Antiqua"/>
          <w:lang w:val="en-GB"/>
        </w:rPr>
        <w:t>post-translational modiﬁcations (</w:t>
      </w:r>
      <w:r w:rsidRPr="00953227">
        <w:rPr>
          <w:rFonts w:ascii="Book Antiqua" w:hAnsi="Book Antiqua"/>
          <w:i/>
          <w:lang w:val="en-GB"/>
        </w:rPr>
        <w:t>e.g.</w:t>
      </w:r>
      <w:r w:rsidRPr="00953227">
        <w:rPr>
          <w:rFonts w:ascii="Book Antiqua" w:hAnsi="Book Antiqua" w:hint="eastAsia"/>
          <w:i/>
          <w:lang w:val="en-GB" w:eastAsia="zh-CN"/>
        </w:rPr>
        <w:t>,</w:t>
      </w:r>
      <w:r w:rsidR="00020B09">
        <w:rPr>
          <w:rFonts w:ascii="Book Antiqua" w:hAnsi="Book Antiqua" w:hint="eastAsia"/>
          <w:i/>
          <w:lang w:val="en-GB" w:eastAsia="zh-CN"/>
        </w:rPr>
        <w:t xml:space="preserve"> </w:t>
      </w:r>
      <w:r w:rsidRPr="00D43973">
        <w:rPr>
          <w:rFonts w:ascii="Book Antiqua" w:hAnsi="Book Antiqua"/>
          <w:lang w:val="en-GB"/>
        </w:rPr>
        <w:t>glycosylation, phosphorylation, sulfation)</w:t>
      </w:r>
      <w:r w:rsidRPr="00953227">
        <w:rPr>
          <w:rFonts w:ascii="Book Antiqua" w:hAnsi="Book Antiqua"/>
          <w:vertAlign w:val="superscript"/>
          <w:lang w:val="en-GB"/>
        </w:rPr>
        <w:t>[</w:t>
      </w:r>
      <w:r>
        <w:rPr>
          <w:rFonts w:ascii="Book Antiqua" w:hAnsi="Book Antiqua"/>
          <w:vertAlign w:val="superscript"/>
          <w:lang w:val="en-GB"/>
        </w:rPr>
        <w:t>37</w:t>
      </w:r>
      <w:r w:rsidRPr="00FE1E9F">
        <w:rPr>
          <w:rFonts w:ascii="Book Antiqua" w:hAnsi="Book Antiqua"/>
          <w:vertAlign w:val="superscript"/>
          <w:lang w:val="en-GB"/>
        </w:rPr>
        <w:t>]</w:t>
      </w:r>
      <w:r w:rsidRPr="00D43973">
        <w:rPr>
          <w:rFonts w:ascii="Book Antiqua" w:hAnsi="Book Antiqua"/>
          <w:lang w:val="en-GB"/>
        </w:rPr>
        <w:t xml:space="preserve">. Therefore, some uncertainty </w:t>
      </w:r>
      <w:r>
        <w:rPr>
          <w:rFonts w:ascii="Book Antiqua" w:hAnsi="Book Antiqua"/>
          <w:lang w:val="en-GB"/>
        </w:rPr>
        <w:t xml:space="preserve">still </w:t>
      </w:r>
      <w:r w:rsidRPr="00D43973">
        <w:rPr>
          <w:rFonts w:ascii="Book Antiqua" w:hAnsi="Book Antiqua"/>
          <w:lang w:val="en-GB"/>
        </w:rPr>
        <w:t xml:space="preserve">exists regarding the </w:t>
      </w:r>
      <w:r>
        <w:rPr>
          <w:rFonts w:ascii="Book Antiqua" w:hAnsi="Book Antiqua"/>
          <w:lang w:val="en-GB"/>
        </w:rPr>
        <w:t xml:space="preserve">exact drug efficacy, immunogenicity and </w:t>
      </w:r>
      <w:r w:rsidRPr="00D43973">
        <w:rPr>
          <w:rFonts w:ascii="Book Antiqua" w:hAnsi="Book Antiqua"/>
          <w:lang w:val="en-GB"/>
        </w:rPr>
        <w:t>pharmacology of biosimilars in IBD.</w:t>
      </w:r>
    </w:p>
    <w:p w14:paraId="573942A1" w14:textId="18B00E6D" w:rsidR="00563BB7" w:rsidRPr="00D43973" w:rsidRDefault="00563BB7" w:rsidP="006A3266">
      <w:pPr>
        <w:widowControl w:val="0"/>
        <w:autoSpaceDE w:val="0"/>
        <w:autoSpaceDN w:val="0"/>
        <w:adjustRightInd w:val="0"/>
        <w:spacing w:line="360" w:lineRule="auto"/>
        <w:ind w:firstLineChars="150" w:firstLine="360"/>
        <w:jc w:val="both"/>
        <w:rPr>
          <w:rFonts w:ascii="Book Antiqua" w:hAnsi="Book Antiqua"/>
          <w:lang w:val="en-GB"/>
        </w:rPr>
      </w:pPr>
      <w:r w:rsidRPr="00D43973">
        <w:rPr>
          <w:rFonts w:ascii="Book Antiqua" w:hAnsi="Book Antiqua"/>
          <w:lang w:val="en-GB"/>
        </w:rPr>
        <w:t xml:space="preserve">In 2013, the </w:t>
      </w:r>
      <w:r>
        <w:rPr>
          <w:rFonts w:ascii="Book Antiqua" w:hAnsi="Book Antiqua"/>
          <w:lang w:val="en-GB"/>
        </w:rPr>
        <w:t>European Medicines Agency (</w:t>
      </w:r>
      <w:r w:rsidRPr="00D43973">
        <w:rPr>
          <w:rFonts w:ascii="Book Antiqua" w:hAnsi="Book Antiqua"/>
          <w:lang w:val="en-GB"/>
        </w:rPr>
        <w:t>EMA</w:t>
      </w:r>
      <w:r>
        <w:rPr>
          <w:rFonts w:ascii="Book Antiqua" w:hAnsi="Book Antiqua"/>
          <w:lang w:val="en-GB"/>
        </w:rPr>
        <w:t>)</w:t>
      </w:r>
      <w:r w:rsidRPr="00D43973">
        <w:rPr>
          <w:rFonts w:ascii="Book Antiqua" w:hAnsi="Book Antiqua"/>
          <w:lang w:val="en-GB"/>
        </w:rPr>
        <w:t xml:space="preserve"> authorized two </w:t>
      </w:r>
      <w:r>
        <w:rPr>
          <w:rFonts w:ascii="Book Antiqua" w:hAnsi="Book Antiqua"/>
          <w:lang w:val="en-GB"/>
        </w:rPr>
        <w:t>IFX biosimilars, based on two randomized trials on CT-P13 (</w:t>
      </w:r>
      <w:r w:rsidRPr="00D43973">
        <w:rPr>
          <w:rFonts w:ascii="Book Antiqua" w:hAnsi="Book Antiqua"/>
          <w:lang w:val="en-GB"/>
        </w:rPr>
        <w:t>clinical development name for the biosimilar of Remicade</w:t>
      </w:r>
      <w:r>
        <w:rPr>
          <w:rFonts w:ascii="Book Antiqua" w:hAnsi="Book Antiqua"/>
          <w:lang w:val="en-GB"/>
        </w:rPr>
        <w:t>)</w:t>
      </w:r>
      <w:r w:rsidRPr="00D43973">
        <w:rPr>
          <w:rFonts w:ascii="Book Antiqua" w:hAnsi="Book Antiqua"/>
          <w:lang w:val="en-GB"/>
        </w:rPr>
        <w:t xml:space="preserve">: Remsima (Celltrion Inc., Incheon, South Korea) and Inflectra (Celltrion Inc., Hospira UK Ltd). </w:t>
      </w:r>
      <w:r>
        <w:rPr>
          <w:rFonts w:ascii="Book Antiqua" w:hAnsi="Book Antiqua"/>
          <w:lang w:val="en-GB"/>
        </w:rPr>
        <w:t>Because both trials</w:t>
      </w:r>
      <w:r w:rsidRPr="00D43973">
        <w:rPr>
          <w:rFonts w:ascii="Book Antiqua" w:hAnsi="Book Antiqua"/>
          <w:lang w:val="en-GB"/>
        </w:rPr>
        <w:t xml:space="preserve"> </w:t>
      </w:r>
      <w:r>
        <w:rPr>
          <w:rFonts w:ascii="Book Antiqua" w:hAnsi="Book Antiqua"/>
          <w:lang w:val="en-GB"/>
        </w:rPr>
        <w:t xml:space="preserve">showed </w:t>
      </w:r>
      <w:r w:rsidRPr="00D43973">
        <w:rPr>
          <w:rFonts w:ascii="Book Antiqua" w:hAnsi="Book Antiqua"/>
          <w:lang w:val="en-GB"/>
        </w:rPr>
        <w:t xml:space="preserve">equivalent efficacy, tolerance and safety, EMA </w:t>
      </w:r>
      <w:r>
        <w:rPr>
          <w:rFonts w:ascii="Book Antiqua" w:hAnsi="Book Antiqua"/>
          <w:lang w:val="en-GB"/>
        </w:rPr>
        <w:t xml:space="preserve">extended the approval </w:t>
      </w:r>
      <w:r w:rsidRPr="00D43973">
        <w:rPr>
          <w:rFonts w:ascii="Book Antiqua" w:hAnsi="Book Antiqua"/>
          <w:lang w:val="en-GB"/>
        </w:rPr>
        <w:t xml:space="preserve">to all indications for </w:t>
      </w:r>
      <w:r w:rsidRPr="00D43973">
        <w:rPr>
          <w:rFonts w:ascii="Book Antiqua" w:hAnsi="Book Antiqua"/>
          <w:lang w:val="en-GB"/>
        </w:rPr>
        <w:lastRenderedPageBreak/>
        <w:t>which the reference product is labelled, including both adult and paediatric CD and UC</w:t>
      </w:r>
      <w:r w:rsidRPr="00953227">
        <w:rPr>
          <w:rFonts w:ascii="Book Antiqua" w:hAnsi="Book Antiqua"/>
          <w:vertAlign w:val="superscript"/>
          <w:lang w:val="en-GB"/>
        </w:rPr>
        <w:t>[</w:t>
      </w:r>
      <w:r>
        <w:rPr>
          <w:rFonts w:ascii="Book Antiqua" w:hAnsi="Book Antiqua"/>
          <w:vertAlign w:val="superscript"/>
          <w:lang w:val="en-GB"/>
        </w:rPr>
        <w:t>37,</w:t>
      </w:r>
      <w:r w:rsidR="000F607C">
        <w:rPr>
          <w:rFonts w:ascii="Book Antiqua" w:hAnsi="Book Antiqua" w:hint="eastAsia"/>
          <w:vertAlign w:val="superscript"/>
          <w:lang w:val="en-GB" w:eastAsia="zh-CN"/>
        </w:rPr>
        <w:t>46</w:t>
      </w:r>
      <w:r w:rsidRPr="00FE1E9F">
        <w:rPr>
          <w:rFonts w:ascii="Book Antiqua" w:hAnsi="Book Antiqua"/>
          <w:vertAlign w:val="superscript"/>
          <w:lang w:val="en-GB"/>
        </w:rPr>
        <w:t>]</w:t>
      </w:r>
      <w:r w:rsidRPr="00D43973">
        <w:rPr>
          <w:rFonts w:ascii="Book Antiqua" w:hAnsi="Book Antiqua"/>
          <w:lang w:val="en-GB"/>
        </w:rPr>
        <w:t xml:space="preserve">. </w:t>
      </w:r>
      <w:r>
        <w:rPr>
          <w:rFonts w:ascii="Book Antiqua" w:hAnsi="Book Antiqua"/>
          <w:lang w:val="en-GB"/>
        </w:rPr>
        <w:t>A</w:t>
      </w:r>
      <w:r w:rsidRPr="00130821">
        <w:rPr>
          <w:rFonts w:ascii="Book Antiqua" w:hAnsi="Book Antiqua"/>
          <w:lang w:val="en-GB"/>
        </w:rPr>
        <w:t>t present</w:t>
      </w:r>
      <w:r>
        <w:rPr>
          <w:rFonts w:ascii="Book Antiqua" w:hAnsi="Book Antiqua"/>
          <w:lang w:val="en-GB"/>
        </w:rPr>
        <w:t>,</w:t>
      </w:r>
      <w:r w:rsidRPr="00130821">
        <w:rPr>
          <w:rFonts w:ascii="Book Antiqua" w:hAnsi="Book Antiqua"/>
          <w:lang w:val="en-GB"/>
        </w:rPr>
        <w:t xml:space="preserve"> a number of IFX biosimilars are licensed for treatment of CD and UC also in the paediatric </w:t>
      </w:r>
      <w:r>
        <w:rPr>
          <w:rFonts w:ascii="Book Antiqua" w:hAnsi="Book Antiqua"/>
          <w:lang w:val="en-GB"/>
        </w:rPr>
        <w:t>population.Cost containment remains o</w:t>
      </w:r>
      <w:r w:rsidRPr="00D43973">
        <w:rPr>
          <w:rFonts w:ascii="Book Antiqua" w:hAnsi="Book Antiqua"/>
          <w:lang w:val="en-GB"/>
        </w:rPr>
        <w:t xml:space="preserve">ne of the predominant reasons for development of biosimilars, </w:t>
      </w:r>
      <w:r>
        <w:rPr>
          <w:rFonts w:ascii="Book Antiqua" w:hAnsi="Book Antiqua"/>
          <w:lang w:val="en-GB"/>
        </w:rPr>
        <w:t xml:space="preserve">with a reduction in costs </w:t>
      </w:r>
      <w:r w:rsidRPr="00D43973">
        <w:rPr>
          <w:rFonts w:ascii="Book Antiqua" w:hAnsi="Book Antiqua"/>
          <w:lang w:val="en-GB"/>
        </w:rPr>
        <w:t xml:space="preserve">of anti-TNF therapy </w:t>
      </w:r>
      <w:r>
        <w:rPr>
          <w:rFonts w:ascii="Book Antiqua" w:hAnsi="Book Antiqua"/>
          <w:lang w:val="en-GB"/>
        </w:rPr>
        <w:t>for</w:t>
      </w:r>
      <w:r w:rsidRPr="00D43973">
        <w:rPr>
          <w:rFonts w:ascii="Book Antiqua" w:hAnsi="Book Antiqua"/>
          <w:lang w:val="en-GB"/>
        </w:rPr>
        <w:t xml:space="preserve"> IBD by up to 70%</w:t>
      </w:r>
      <w:r w:rsidRPr="00953227">
        <w:rPr>
          <w:rFonts w:ascii="Book Antiqua" w:hAnsi="Book Antiqua"/>
          <w:vertAlign w:val="superscript"/>
          <w:lang w:val="en-GB"/>
        </w:rPr>
        <w:t>[</w:t>
      </w:r>
      <w:r>
        <w:rPr>
          <w:rFonts w:ascii="Book Antiqua" w:hAnsi="Book Antiqua"/>
          <w:vertAlign w:val="superscript"/>
          <w:lang w:val="en-GB"/>
        </w:rPr>
        <w:t>37</w:t>
      </w:r>
      <w:r w:rsidRPr="00FE1E9F">
        <w:rPr>
          <w:rFonts w:ascii="Book Antiqua" w:hAnsi="Book Antiqua"/>
          <w:vertAlign w:val="superscript"/>
          <w:lang w:val="en-GB"/>
        </w:rPr>
        <w:t>]</w:t>
      </w:r>
      <w:r w:rsidRPr="00D43973">
        <w:rPr>
          <w:rFonts w:ascii="Book Antiqua" w:hAnsi="Book Antiqua"/>
          <w:lang w:val="en-GB"/>
        </w:rPr>
        <w:t>.</w:t>
      </w:r>
    </w:p>
    <w:p w14:paraId="4ABE07BC" w14:textId="13DBDE0F" w:rsidR="00563BB7" w:rsidRPr="00130821" w:rsidRDefault="00563BB7" w:rsidP="006A3266">
      <w:pPr>
        <w:widowControl w:val="0"/>
        <w:autoSpaceDE w:val="0"/>
        <w:autoSpaceDN w:val="0"/>
        <w:adjustRightInd w:val="0"/>
        <w:spacing w:line="360" w:lineRule="auto"/>
        <w:ind w:firstLineChars="100" w:firstLine="240"/>
        <w:jc w:val="both"/>
        <w:rPr>
          <w:rFonts w:ascii="Book Antiqua" w:hAnsi="Book Antiqua"/>
          <w:lang w:val="en-GB" w:eastAsia="zh-CN"/>
        </w:rPr>
      </w:pPr>
      <w:r w:rsidRPr="00D43973">
        <w:rPr>
          <w:rFonts w:ascii="Book Antiqua" w:hAnsi="Book Antiqua"/>
          <w:lang w:val="en-GB"/>
        </w:rPr>
        <w:t>Sieczkowska</w:t>
      </w:r>
      <w:r>
        <w:rPr>
          <w:rFonts w:ascii="Book Antiqua" w:hAnsi="Book Antiqua" w:hint="eastAsia"/>
          <w:lang w:val="en-GB" w:eastAsia="zh-CN"/>
        </w:rPr>
        <w:t xml:space="preserve"> </w:t>
      </w:r>
      <w:r w:rsidRPr="00953227">
        <w:rPr>
          <w:rFonts w:ascii="Book Antiqua" w:hAnsi="Book Antiqua"/>
          <w:i/>
          <w:lang w:val="en-GB"/>
        </w:rPr>
        <w:t>et al</w:t>
      </w:r>
      <w:r w:rsidRPr="00953227">
        <w:rPr>
          <w:rFonts w:ascii="Book Antiqua" w:hAnsi="Book Antiqua"/>
          <w:vertAlign w:val="superscript"/>
          <w:lang w:val="en-GB"/>
        </w:rPr>
        <w:t>[</w:t>
      </w:r>
      <w:r w:rsidR="000F607C">
        <w:rPr>
          <w:rFonts w:ascii="Book Antiqua" w:hAnsi="Book Antiqua" w:hint="eastAsia"/>
          <w:vertAlign w:val="superscript"/>
          <w:lang w:val="en-GB" w:eastAsia="zh-CN"/>
        </w:rPr>
        <w:t>46</w:t>
      </w:r>
      <w:r w:rsidRPr="000F1FC9">
        <w:rPr>
          <w:rFonts w:ascii="Book Antiqua" w:hAnsi="Book Antiqua"/>
          <w:vertAlign w:val="superscript"/>
          <w:lang w:val="en-GB"/>
        </w:rPr>
        <w:t>]</w:t>
      </w:r>
      <w:r w:rsidRPr="00D43973">
        <w:rPr>
          <w:rFonts w:ascii="Book Antiqua" w:hAnsi="Book Antiqua"/>
          <w:lang w:val="en-GB"/>
        </w:rPr>
        <w:t xml:space="preserve"> conducted a prospective study on 32 </w:t>
      </w:r>
      <w:r>
        <w:rPr>
          <w:rFonts w:ascii="Book Antiqua" w:hAnsi="Book Antiqua"/>
          <w:lang w:val="en-GB"/>
        </w:rPr>
        <w:t xml:space="preserve">children </w:t>
      </w:r>
      <w:r w:rsidRPr="00D43973">
        <w:rPr>
          <w:rFonts w:ascii="Book Antiqua" w:hAnsi="Book Antiqua"/>
          <w:lang w:val="en-GB"/>
        </w:rPr>
        <w:t>diagnosed with CD and 7 children with UC at 3 acad</w:t>
      </w:r>
      <w:r w:rsidRPr="000F1FC9">
        <w:rPr>
          <w:rFonts w:ascii="Book Antiqua" w:hAnsi="Book Antiqua"/>
          <w:lang w:val="en-GB"/>
        </w:rPr>
        <w:t>em</w:t>
      </w:r>
      <w:r>
        <w:rPr>
          <w:rFonts w:ascii="Book Antiqua" w:hAnsi="Book Antiqua"/>
          <w:lang w:val="en-GB"/>
        </w:rPr>
        <w:t>ic hospitals in Poland; these patients</w:t>
      </w:r>
      <w:r w:rsidRPr="000F1FC9">
        <w:rPr>
          <w:rFonts w:ascii="Book Antiqua" w:hAnsi="Book Antiqua"/>
          <w:lang w:val="en-GB"/>
        </w:rPr>
        <w:t xml:space="preserve"> were switched from IFX originator to its biosimilar (Remsima)</w:t>
      </w:r>
      <w:r>
        <w:rPr>
          <w:rFonts w:ascii="Book Antiqua" w:hAnsi="Book Antiqua" w:hint="eastAsia"/>
          <w:lang w:val="en-GB" w:eastAsia="zh-CN"/>
        </w:rPr>
        <w:t xml:space="preserve"> </w:t>
      </w:r>
      <w:r w:rsidRPr="000F1FC9">
        <w:rPr>
          <w:rFonts w:ascii="Book Antiqua" w:hAnsi="Book Antiqua"/>
          <w:lang w:val="en-GB"/>
        </w:rPr>
        <w:t>(Table 1)</w:t>
      </w:r>
      <w:r>
        <w:rPr>
          <w:rFonts w:ascii="Book Antiqua" w:hAnsi="Book Antiqua" w:hint="eastAsia"/>
          <w:lang w:val="en-GB" w:eastAsia="zh-CN"/>
        </w:rPr>
        <w:t xml:space="preserve">. </w:t>
      </w:r>
      <w:r w:rsidRPr="00130821">
        <w:rPr>
          <w:rFonts w:ascii="Book Antiqua" w:hAnsi="Book Antiqua"/>
          <w:lang w:val="en-GB"/>
        </w:rPr>
        <w:t>Analysis of biosimilar efficacy revealed rates of clinical remission of 88 and 57% for CD</w:t>
      </w:r>
      <w:r>
        <w:rPr>
          <w:rFonts w:ascii="Book Antiqua" w:hAnsi="Book Antiqua"/>
          <w:lang w:val="en-GB"/>
        </w:rPr>
        <w:t xml:space="preserve"> and UC patients, respectively, so, in conclusion, </w:t>
      </w:r>
      <w:r w:rsidRPr="00130821">
        <w:rPr>
          <w:rFonts w:ascii="Book Antiqua" w:hAnsi="Book Antiqua"/>
          <w:lang w:val="en-GB"/>
        </w:rPr>
        <w:t>switching from IFX originator to its biosi</w:t>
      </w:r>
      <w:r>
        <w:rPr>
          <w:rFonts w:ascii="Book Antiqua" w:hAnsi="Book Antiqua"/>
          <w:lang w:val="en-GB"/>
        </w:rPr>
        <w:t>milar was a safe option in this</w:t>
      </w:r>
      <w:r w:rsidRPr="00130821">
        <w:rPr>
          <w:rFonts w:ascii="Book Antiqua" w:hAnsi="Book Antiqua"/>
          <w:lang w:val="en-GB"/>
        </w:rPr>
        <w:t xml:space="preserve"> cohort </w:t>
      </w:r>
      <w:r>
        <w:rPr>
          <w:rFonts w:ascii="Book Antiqua" w:hAnsi="Book Antiqua"/>
          <w:lang w:val="en-GB"/>
        </w:rPr>
        <w:t>and a</w:t>
      </w:r>
      <w:r w:rsidRPr="00130821">
        <w:rPr>
          <w:rFonts w:ascii="Book Antiqua" w:hAnsi="Book Antiqua"/>
          <w:lang w:val="en-GB"/>
        </w:rPr>
        <w:t>fter the switch, the biosimilar was just as effective as the originator</w:t>
      </w:r>
      <w:r w:rsidRPr="00953227">
        <w:rPr>
          <w:rFonts w:ascii="Book Antiqua" w:hAnsi="Book Antiqua"/>
          <w:vertAlign w:val="superscript"/>
          <w:lang w:val="en-GB"/>
        </w:rPr>
        <w:t>[</w:t>
      </w:r>
      <w:r w:rsidR="000F607C">
        <w:rPr>
          <w:rFonts w:ascii="Book Antiqua" w:hAnsi="Book Antiqua" w:hint="eastAsia"/>
          <w:vertAlign w:val="superscript"/>
          <w:lang w:val="en-GB" w:eastAsia="zh-CN"/>
        </w:rPr>
        <w:t>46</w:t>
      </w:r>
      <w:r w:rsidRPr="00130821">
        <w:rPr>
          <w:rFonts w:ascii="Book Antiqua" w:hAnsi="Book Antiqua"/>
          <w:vertAlign w:val="superscript"/>
          <w:lang w:val="en-GB"/>
        </w:rPr>
        <w:t>]</w:t>
      </w:r>
      <w:r w:rsidRPr="00130821">
        <w:rPr>
          <w:rFonts w:ascii="Book Antiqua" w:hAnsi="Book Antiqua"/>
          <w:lang w:val="en-GB"/>
        </w:rPr>
        <w:t>.</w:t>
      </w:r>
    </w:p>
    <w:p w14:paraId="773B8AB0" w14:textId="74E29CAB" w:rsidR="00563BB7" w:rsidRDefault="00563BB7" w:rsidP="006A3266">
      <w:pPr>
        <w:widowControl w:val="0"/>
        <w:autoSpaceDE w:val="0"/>
        <w:autoSpaceDN w:val="0"/>
        <w:adjustRightInd w:val="0"/>
        <w:spacing w:line="360" w:lineRule="auto"/>
        <w:ind w:firstLineChars="100" w:firstLine="240"/>
        <w:jc w:val="both"/>
        <w:rPr>
          <w:rFonts w:ascii="Book Antiqua" w:hAnsi="Book Antiqua"/>
          <w:lang w:val="en-GB" w:eastAsia="zh-CN"/>
        </w:rPr>
      </w:pPr>
      <w:r>
        <w:rPr>
          <w:rFonts w:ascii="Book Antiqua" w:hAnsi="Book Antiqua"/>
          <w:lang w:val="en-GB"/>
        </w:rPr>
        <w:t>To date, preliminary results on</w:t>
      </w:r>
      <w:r w:rsidRPr="00D43973">
        <w:rPr>
          <w:rFonts w:ascii="Book Antiqua" w:hAnsi="Book Antiqua"/>
          <w:lang w:val="en-GB"/>
        </w:rPr>
        <w:t xml:space="preserve"> CT-P13 in IBD </w:t>
      </w:r>
      <w:r>
        <w:rPr>
          <w:rFonts w:ascii="Book Antiqua" w:hAnsi="Book Antiqua"/>
          <w:lang w:val="en-GB"/>
        </w:rPr>
        <w:t xml:space="preserve">are </w:t>
      </w:r>
      <w:r w:rsidRPr="00D43973">
        <w:rPr>
          <w:rFonts w:ascii="Book Antiqua" w:hAnsi="Book Antiqua"/>
          <w:lang w:val="en-GB"/>
        </w:rPr>
        <w:t xml:space="preserve">only </w:t>
      </w:r>
      <w:r>
        <w:rPr>
          <w:rFonts w:ascii="Book Antiqua" w:hAnsi="Book Antiqua"/>
          <w:lang w:val="en-GB"/>
        </w:rPr>
        <w:t xml:space="preserve">available from </w:t>
      </w:r>
      <w:r w:rsidRPr="00D43973">
        <w:rPr>
          <w:rFonts w:ascii="Book Antiqua" w:hAnsi="Book Antiqua"/>
          <w:lang w:val="en-GB"/>
        </w:rPr>
        <w:t>small post-marketing registries and case series with a relatively short-term follow-up period</w:t>
      </w:r>
      <w:r>
        <w:rPr>
          <w:rFonts w:ascii="Book Antiqua" w:hAnsi="Book Antiqua"/>
          <w:lang w:val="en-GB"/>
        </w:rPr>
        <w:t>.</w:t>
      </w:r>
      <w:r w:rsidRPr="00D43973">
        <w:rPr>
          <w:rFonts w:ascii="Book Antiqua" w:hAnsi="Book Antiqua"/>
          <w:lang w:val="en-GB"/>
        </w:rPr>
        <w:t xml:space="preserve"> </w:t>
      </w:r>
      <w:r>
        <w:rPr>
          <w:rFonts w:ascii="Book Antiqua" w:hAnsi="Book Antiqua"/>
          <w:lang w:val="en-GB"/>
        </w:rPr>
        <w:t xml:space="preserve">Although this data </w:t>
      </w:r>
      <w:r w:rsidRPr="00D43973">
        <w:rPr>
          <w:rFonts w:ascii="Book Antiqua" w:hAnsi="Book Antiqua"/>
          <w:lang w:val="en-GB"/>
        </w:rPr>
        <w:t>suggest</w:t>
      </w:r>
      <w:r>
        <w:rPr>
          <w:rFonts w:ascii="Book Antiqua" w:hAnsi="Book Antiqua"/>
          <w:lang w:val="en-GB"/>
        </w:rPr>
        <w:t>s</w:t>
      </w:r>
      <w:r w:rsidRPr="00D43973">
        <w:rPr>
          <w:rFonts w:ascii="Book Antiqua" w:hAnsi="Book Antiqua"/>
          <w:lang w:val="en-GB"/>
        </w:rPr>
        <w:t xml:space="preserve"> compara</w:t>
      </w:r>
      <w:r>
        <w:rPr>
          <w:rFonts w:ascii="Book Antiqua" w:hAnsi="Book Antiqua"/>
          <w:lang w:val="en-GB"/>
        </w:rPr>
        <w:t xml:space="preserve">ble efficacy and safety to IFX, more </w:t>
      </w:r>
      <w:r w:rsidRPr="00D43973">
        <w:rPr>
          <w:rFonts w:ascii="Book Antiqua" w:hAnsi="Book Antiqua"/>
          <w:lang w:val="en-GB"/>
        </w:rPr>
        <w:t>robust post-marketing studies and pharmacovigilance are warranted to evaluate the bioequivalence of CT-P13 in the coming years</w:t>
      </w:r>
      <w:r w:rsidRPr="00953227">
        <w:rPr>
          <w:rFonts w:ascii="Book Antiqua" w:hAnsi="Book Antiqua"/>
          <w:vertAlign w:val="superscript"/>
          <w:lang w:val="en-GB"/>
        </w:rPr>
        <w:t>[</w:t>
      </w:r>
      <w:r>
        <w:rPr>
          <w:rFonts w:ascii="Book Antiqua" w:hAnsi="Book Antiqua"/>
          <w:vertAlign w:val="superscript"/>
          <w:lang w:val="en-GB"/>
        </w:rPr>
        <w:t>37</w:t>
      </w:r>
      <w:r w:rsidRPr="00FE1E9F">
        <w:rPr>
          <w:rFonts w:ascii="Book Antiqua" w:hAnsi="Book Antiqua"/>
          <w:vertAlign w:val="superscript"/>
          <w:lang w:val="en-GB"/>
        </w:rPr>
        <w:t>]</w:t>
      </w:r>
      <w:r>
        <w:rPr>
          <w:rFonts w:ascii="Book Antiqua" w:hAnsi="Book Antiqua"/>
          <w:lang w:val="en-GB"/>
        </w:rPr>
        <w:t>.</w:t>
      </w:r>
      <w:r>
        <w:rPr>
          <w:rFonts w:ascii="Book Antiqua" w:hAnsi="Book Antiqua" w:hint="eastAsia"/>
          <w:lang w:val="en-GB" w:eastAsia="zh-CN"/>
        </w:rPr>
        <w:t xml:space="preserve"> </w:t>
      </w:r>
      <w:r>
        <w:rPr>
          <w:rFonts w:ascii="Book Antiqua" w:hAnsi="Book Antiqua"/>
          <w:lang w:val="en-GB"/>
        </w:rPr>
        <w:t xml:space="preserve">In Europe, at present, in order to switch </w:t>
      </w:r>
      <w:r w:rsidRPr="00130821">
        <w:rPr>
          <w:rFonts w:ascii="Book Antiqua" w:hAnsi="Book Antiqua"/>
          <w:lang w:val="en-GB"/>
        </w:rPr>
        <w:t>patients with IBD from IFX originator to its biosimilar</w:t>
      </w:r>
      <w:r>
        <w:rPr>
          <w:rFonts w:ascii="Book Antiqua" w:hAnsi="Book Antiqua"/>
          <w:lang w:val="en-GB"/>
        </w:rPr>
        <w:t>, the supervision of the treating physician and the patient’s consent are both required</w:t>
      </w:r>
      <w:r w:rsidRPr="00953227">
        <w:rPr>
          <w:rFonts w:ascii="Book Antiqua" w:hAnsi="Book Antiqua"/>
          <w:vertAlign w:val="superscript"/>
          <w:lang w:val="en-GB"/>
        </w:rPr>
        <w:t>[</w:t>
      </w:r>
      <w:r w:rsidR="000F607C">
        <w:rPr>
          <w:rFonts w:ascii="Book Antiqua" w:hAnsi="Book Antiqua" w:hint="eastAsia"/>
          <w:vertAlign w:val="superscript"/>
          <w:lang w:val="en-GB" w:eastAsia="zh-CN"/>
        </w:rPr>
        <w:t>46</w:t>
      </w:r>
      <w:r w:rsidRPr="00130821">
        <w:rPr>
          <w:rFonts w:ascii="Book Antiqua" w:hAnsi="Book Antiqua"/>
          <w:vertAlign w:val="superscript"/>
          <w:lang w:val="en-GB"/>
        </w:rPr>
        <w:t>]</w:t>
      </w:r>
      <w:r w:rsidRPr="00130821">
        <w:rPr>
          <w:rFonts w:ascii="Book Antiqua" w:hAnsi="Book Antiqua"/>
          <w:lang w:val="en-GB"/>
        </w:rPr>
        <w:t>.</w:t>
      </w:r>
    </w:p>
    <w:p w14:paraId="42448882" w14:textId="77777777" w:rsidR="00563BB7" w:rsidRPr="00953227" w:rsidRDefault="00563BB7" w:rsidP="006A3266">
      <w:pPr>
        <w:widowControl w:val="0"/>
        <w:autoSpaceDE w:val="0"/>
        <w:autoSpaceDN w:val="0"/>
        <w:adjustRightInd w:val="0"/>
        <w:spacing w:line="360" w:lineRule="auto"/>
        <w:ind w:firstLineChars="100" w:firstLine="240"/>
        <w:jc w:val="both"/>
        <w:rPr>
          <w:rFonts w:ascii="Book Antiqua" w:hAnsi="Book Antiqua"/>
          <w:lang w:val="en-GB" w:eastAsia="zh-CN"/>
        </w:rPr>
      </w:pPr>
    </w:p>
    <w:p w14:paraId="5A35C5C2" w14:textId="77777777" w:rsidR="00563BB7" w:rsidRPr="00130821" w:rsidRDefault="00563BB7" w:rsidP="006A3266">
      <w:pPr>
        <w:pStyle w:val="NormalWeb"/>
        <w:spacing w:before="0" w:beforeAutospacing="0" w:after="0" w:afterAutospacing="0" w:line="360" w:lineRule="auto"/>
        <w:jc w:val="both"/>
        <w:rPr>
          <w:rFonts w:ascii="Book Antiqua" w:hAnsi="Book Antiqua"/>
          <w:b/>
          <w:lang w:val="en-GB"/>
        </w:rPr>
      </w:pPr>
      <w:r w:rsidRPr="00130821">
        <w:rPr>
          <w:rFonts w:ascii="Book Antiqua" w:hAnsi="Book Antiqua"/>
          <w:b/>
          <w:lang w:val="en-GB"/>
        </w:rPr>
        <w:t>THALIDOMIDE</w:t>
      </w:r>
    </w:p>
    <w:p w14:paraId="5BF077D8" w14:textId="34A1474E" w:rsidR="00563BB7" w:rsidRPr="00130821" w:rsidRDefault="00563BB7" w:rsidP="006A3266">
      <w:pPr>
        <w:pStyle w:val="NormalWeb"/>
        <w:spacing w:before="0" w:beforeAutospacing="0" w:after="0" w:afterAutospacing="0" w:line="360" w:lineRule="auto"/>
        <w:jc w:val="both"/>
        <w:rPr>
          <w:rFonts w:ascii="Book Antiqua" w:hAnsi="Book Antiqua"/>
          <w:lang w:val="en-GB"/>
        </w:rPr>
      </w:pPr>
      <w:r w:rsidRPr="00130821">
        <w:rPr>
          <w:rFonts w:ascii="Book Antiqua" w:hAnsi="Book Antiqua"/>
          <w:lang w:val="en-GB"/>
        </w:rPr>
        <w:t>Thalidomide is an immunosuppressant drug used rarely in the treatment of refractory CD and UC</w:t>
      </w:r>
      <w:r w:rsidRPr="00953227">
        <w:rPr>
          <w:rFonts w:ascii="Book Antiqua" w:hAnsi="Book Antiqua"/>
          <w:vertAlign w:val="superscript"/>
          <w:lang w:val="en-GB"/>
        </w:rPr>
        <w:t>[</w:t>
      </w:r>
      <w:r w:rsidR="000F607C">
        <w:rPr>
          <w:rFonts w:ascii="Book Antiqua" w:hAnsi="Book Antiqua" w:hint="eastAsia"/>
          <w:vertAlign w:val="superscript"/>
          <w:lang w:val="en-GB" w:eastAsia="zh-CN"/>
        </w:rPr>
        <w:t>47</w:t>
      </w:r>
      <w:r w:rsidRPr="00130821">
        <w:rPr>
          <w:rFonts w:ascii="Book Antiqua" w:hAnsi="Book Antiqua"/>
          <w:vertAlign w:val="superscript"/>
          <w:lang w:val="en-GB"/>
        </w:rPr>
        <w:t>]</w:t>
      </w:r>
      <w:r>
        <w:rPr>
          <w:rFonts w:ascii="Book Antiqua" w:hAnsi="Book Antiqua"/>
          <w:lang w:val="en-GB"/>
        </w:rPr>
        <w:t>.</w:t>
      </w:r>
      <w:r>
        <w:rPr>
          <w:rFonts w:ascii="Book Antiqua" w:hAnsi="Book Antiqua" w:hint="eastAsia"/>
          <w:lang w:val="en-GB" w:eastAsia="zh-CN"/>
        </w:rPr>
        <w:t xml:space="preserve"> </w:t>
      </w:r>
      <w:r w:rsidRPr="00130821">
        <w:rPr>
          <w:rFonts w:ascii="Book Antiqua" w:hAnsi="Book Antiqua"/>
          <w:lang w:val="en-GB"/>
        </w:rPr>
        <w:t>Its mechanism of action includes several pathways such as inhibition of TNF, IFN-γ and IL-12, stimulation of IL-4 and IL-5 production and, more broadly, a shift in the pattern of lymphocyte cytokine from a Th1 (IFN-γ, IL-12) to Th2 (IL-4, IL-5) type</w:t>
      </w:r>
      <w:r w:rsidRPr="00953227">
        <w:rPr>
          <w:rFonts w:ascii="Book Antiqua" w:hAnsi="Book Antiqua"/>
          <w:vertAlign w:val="superscript"/>
          <w:lang w:val="en-GB"/>
        </w:rPr>
        <w:t>[</w:t>
      </w:r>
      <w:r w:rsidRPr="00130821">
        <w:rPr>
          <w:rFonts w:ascii="Book Antiqua" w:hAnsi="Book Antiqua"/>
          <w:vertAlign w:val="superscript"/>
          <w:lang w:val="en-GB"/>
        </w:rPr>
        <w:t>5]</w:t>
      </w:r>
      <w:r w:rsidRPr="00130821">
        <w:rPr>
          <w:rFonts w:ascii="Book Antiqua" w:hAnsi="Book Antiqua"/>
          <w:lang w:val="en-GB"/>
        </w:rPr>
        <w:t>. Thalidomide also interferes with integrin expression,</w:t>
      </w:r>
      <w:r>
        <w:rPr>
          <w:rFonts w:ascii="Book Antiqua" w:hAnsi="Book Antiqua"/>
          <w:lang w:val="en-GB"/>
        </w:rPr>
        <w:t xml:space="preserve"> decreases circulating helper T-</w:t>
      </w:r>
      <w:r w:rsidRPr="00130821">
        <w:rPr>
          <w:rFonts w:ascii="Book Antiqua" w:hAnsi="Book Antiqua"/>
          <w:lang w:val="en-GB"/>
        </w:rPr>
        <w:t>cells and inhibits angiogenesis</w:t>
      </w:r>
      <w:r w:rsidRPr="00953227">
        <w:rPr>
          <w:rFonts w:ascii="Book Antiqua" w:hAnsi="Book Antiqua"/>
          <w:vertAlign w:val="superscript"/>
          <w:lang w:val="en-GB"/>
        </w:rPr>
        <w:t>[</w:t>
      </w:r>
      <w:r w:rsidRPr="00130821">
        <w:rPr>
          <w:rFonts w:ascii="Book Antiqua" w:hAnsi="Book Antiqua"/>
          <w:vertAlign w:val="superscript"/>
          <w:lang w:val="en-GB"/>
        </w:rPr>
        <w:t>5]</w:t>
      </w:r>
      <w:r w:rsidRPr="00130821">
        <w:rPr>
          <w:rFonts w:ascii="Book Antiqua" w:hAnsi="Book Antiqua"/>
          <w:lang w:val="en-GB"/>
        </w:rPr>
        <w:t xml:space="preserve">. </w:t>
      </w:r>
    </w:p>
    <w:p w14:paraId="3332878A" w14:textId="2A39467E" w:rsidR="00563BB7" w:rsidRPr="00130821" w:rsidRDefault="00563BB7" w:rsidP="006A3266">
      <w:pPr>
        <w:pStyle w:val="NormalWeb"/>
        <w:spacing w:before="0" w:beforeAutospacing="0" w:after="0" w:afterAutospacing="0" w:line="360" w:lineRule="auto"/>
        <w:ind w:firstLineChars="100" w:firstLine="240"/>
        <w:jc w:val="both"/>
        <w:rPr>
          <w:rFonts w:ascii="Book Antiqua" w:hAnsi="Book Antiqua"/>
          <w:lang w:val="en-GB"/>
        </w:rPr>
      </w:pPr>
      <w:r w:rsidRPr="00130821">
        <w:rPr>
          <w:rFonts w:ascii="Book Antiqua" w:hAnsi="Book Antiqua"/>
          <w:lang w:val="en-GB"/>
        </w:rPr>
        <w:t xml:space="preserve">After its suspension due to major teratogenic effects, thalidomide has been more recently re-introduced </w:t>
      </w:r>
      <w:r>
        <w:rPr>
          <w:rFonts w:ascii="Book Antiqua" w:hAnsi="Book Antiqua"/>
          <w:lang w:val="en-GB"/>
        </w:rPr>
        <w:t xml:space="preserve">under FDA approval as an effective treatment for </w:t>
      </w:r>
      <w:r w:rsidRPr="00130821">
        <w:rPr>
          <w:rFonts w:ascii="Book Antiqua" w:hAnsi="Book Antiqua"/>
          <w:lang w:val="en-GB"/>
        </w:rPr>
        <w:t>multiple myeloma and s</w:t>
      </w:r>
      <w:r>
        <w:rPr>
          <w:rFonts w:ascii="Book Antiqua" w:hAnsi="Book Antiqua"/>
          <w:lang w:val="en-GB"/>
        </w:rPr>
        <w:t>evere erythema nodosum leprosum</w:t>
      </w:r>
      <w:r w:rsidRPr="00130821">
        <w:rPr>
          <w:rFonts w:ascii="Book Antiqua" w:hAnsi="Book Antiqua"/>
          <w:lang w:val="en-GB"/>
        </w:rPr>
        <w:t xml:space="preserve">. </w:t>
      </w:r>
      <w:r>
        <w:rPr>
          <w:rFonts w:ascii="Book Antiqua" w:hAnsi="Book Antiqua"/>
          <w:lang w:val="en-GB"/>
        </w:rPr>
        <w:t xml:space="preserve">It is also extensively used </w:t>
      </w:r>
      <w:r w:rsidRPr="00130821">
        <w:rPr>
          <w:rFonts w:ascii="Book Antiqua" w:hAnsi="Book Antiqua"/>
          <w:lang w:val="en-GB"/>
        </w:rPr>
        <w:t xml:space="preserve">off-label </w:t>
      </w:r>
      <w:r>
        <w:rPr>
          <w:rFonts w:ascii="Book Antiqua" w:hAnsi="Book Antiqua"/>
          <w:lang w:val="en-GB"/>
        </w:rPr>
        <w:t xml:space="preserve">for </w:t>
      </w:r>
      <w:r w:rsidRPr="00130821">
        <w:rPr>
          <w:rFonts w:ascii="Book Antiqua" w:hAnsi="Book Antiqua"/>
          <w:lang w:val="en-GB"/>
        </w:rPr>
        <w:t xml:space="preserve">immune-mediated and neoplastic conditions like discoid lupus </w:t>
      </w:r>
      <w:r w:rsidRPr="00130821">
        <w:rPr>
          <w:rFonts w:ascii="Book Antiqua" w:hAnsi="Book Antiqua"/>
          <w:lang w:val="en-GB"/>
        </w:rPr>
        <w:lastRenderedPageBreak/>
        <w:t>erythematosus</w:t>
      </w:r>
      <w:r>
        <w:rPr>
          <w:rFonts w:ascii="Book Antiqua" w:hAnsi="Book Antiqua"/>
          <w:lang w:val="en-GB"/>
        </w:rPr>
        <w:t>, erythema nodosum leprosum</w:t>
      </w:r>
      <w:r w:rsidRPr="00130821">
        <w:rPr>
          <w:rFonts w:ascii="Book Antiqua" w:hAnsi="Book Antiqua"/>
          <w:lang w:val="en-GB"/>
        </w:rPr>
        <w:t>, Behcet's syndrome, aphthous stomatitis</w:t>
      </w:r>
      <w:r>
        <w:rPr>
          <w:rFonts w:ascii="Book Antiqua" w:hAnsi="Book Antiqua"/>
          <w:lang w:val="en-GB"/>
        </w:rPr>
        <w:t xml:space="preserve">, </w:t>
      </w:r>
      <w:r w:rsidRPr="00130821">
        <w:rPr>
          <w:rFonts w:ascii="Book Antiqua" w:hAnsi="Book Antiqua"/>
          <w:lang w:val="en-GB"/>
        </w:rPr>
        <w:t>juvenile idiopathic arthritis, brain tumors, graft-versus-host disease and IBD</w:t>
      </w:r>
      <w:r w:rsidRPr="00953227">
        <w:rPr>
          <w:rFonts w:ascii="Book Antiqua" w:hAnsi="Book Antiqua"/>
          <w:vertAlign w:val="superscript"/>
          <w:lang w:val="en-GB"/>
        </w:rPr>
        <w:t>[</w:t>
      </w:r>
      <w:r>
        <w:rPr>
          <w:rFonts w:ascii="Book Antiqua" w:hAnsi="Book Antiqua"/>
          <w:vertAlign w:val="superscript"/>
          <w:lang w:val="en-GB"/>
        </w:rPr>
        <w:t>5,</w:t>
      </w:r>
      <w:r w:rsidRPr="00130821">
        <w:rPr>
          <w:rFonts w:ascii="Book Antiqua" w:hAnsi="Book Antiqua"/>
          <w:vertAlign w:val="superscript"/>
          <w:lang w:val="en-GB"/>
        </w:rPr>
        <w:t>18,</w:t>
      </w:r>
      <w:r w:rsidR="000F607C">
        <w:rPr>
          <w:rFonts w:ascii="Book Antiqua" w:hAnsi="Book Antiqua" w:hint="eastAsia"/>
          <w:vertAlign w:val="superscript"/>
          <w:lang w:val="en-GB" w:eastAsia="zh-CN"/>
        </w:rPr>
        <w:t>48</w:t>
      </w:r>
      <w:r w:rsidRPr="00130821">
        <w:rPr>
          <w:rFonts w:ascii="Book Antiqua" w:hAnsi="Book Antiqua"/>
          <w:vertAlign w:val="superscript"/>
          <w:lang w:val="en-GB"/>
        </w:rPr>
        <w:t>]</w:t>
      </w:r>
      <w:r w:rsidRPr="00130821">
        <w:rPr>
          <w:rFonts w:ascii="Book Antiqua" w:hAnsi="Book Antiqua"/>
          <w:lang w:val="en-GB"/>
        </w:rPr>
        <w:t xml:space="preserve">. </w:t>
      </w:r>
    </w:p>
    <w:p w14:paraId="34868C74" w14:textId="72520A5D" w:rsidR="00563BB7" w:rsidRPr="00130821" w:rsidRDefault="00563BB7" w:rsidP="006A3266">
      <w:pPr>
        <w:pStyle w:val="NormalWeb"/>
        <w:spacing w:before="0" w:beforeAutospacing="0" w:after="0" w:afterAutospacing="0" w:line="360" w:lineRule="auto"/>
        <w:ind w:firstLineChars="150" w:firstLine="360"/>
        <w:jc w:val="both"/>
        <w:rPr>
          <w:rFonts w:ascii="Book Antiqua" w:hAnsi="Book Antiqua"/>
          <w:lang w:val="en-GB"/>
        </w:rPr>
      </w:pPr>
      <w:r>
        <w:rPr>
          <w:rFonts w:ascii="Book Antiqua" w:hAnsi="Book Antiqua"/>
          <w:lang w:val="en-GB"/>
        </w:rPr>
        <w:t xml:space="preserve">Thalidomide is </w:t>
      </w:r>
      <w:r w:rsidRPr="00130821">
        <w:rPr>
          <w:rFonts w:ascii="Book Antiqua" w:hAnsi="Book Antiqua"/>
          <w:lang w:val="en-GB"/>
        </w:rPr>
        <w:t>used infrequently in the management of p</w:t>
      </w:r>
      <w:r>
        <w:rPr>
          <w:rFonts w:ascii="Book Antiqua" w:hAnsi="Book Antiqua"/>
          <w:lang w:val="en-GB"/>
        </w:rPr>
        <w:t>a</w:t>
      </w:r>
      <w:r w:rsidRPr="00130821">
        <w:rPr>
          <w:rFonts w:ascii="Book Antiqua" w:hAnsi="Book Antiqua"/>
          <w:lang w:val="en-GB"/>
        </w:rPr>
        <w:t xml:space="preserve">ediatric CD, </w:t>
      </w:r>
      <w:r>
        <w:rPr>
          <w:rFonts w:ascii="Book Antiqua" w:hAnsi="Book Antiqua"/>
          <w:lang w:val="en-GB"/>
        </w:rPr>
        <w:t xml:space="preserve">nevertheless it </w:t>
      </w:r>
      <w:r w:rsidRPr="00130821">
        <w:rPr>
          <w:rFonts w:ascii="Book Antiqua" w:hAnsi="Book Antiqua"/>
          <w:lang w:val="en-GB"/>
        </w:rPr>
        <w:t xml:space="preserve">represents a helpful option in treating </w:t>
      </w:r>
      <w:r>
        <w:rPr>
          <w:rFonts w:ascii="Book Antiqua" w:hAnsi="Book Antiqua"/>
          <w:lang w:val="en-GB"/>
        </w:rPr>
        <w:t xml:space="preserve">children </w:t>
      </w:r>
      <w:r w:rsidRPr="00130821">
        <w:rPr>
          <w:rFonts w:ascii="Book Antiqua" w:hAnsi="Book Antiqua"/>
          <w:lang w:val="en-GB"/>
        </w:rPr>
        <w:t xml:space="preserve">who lose response to one or more </w:t>
      </w:r>
      <w:r>
        <w:rPr>
          <w:rFonts w:ascii="Book Antiqua" w:hAnsi="Book Antiqua"/>
          <w:lang w:val="en-GB"/>
        </w:rPr>
        <w:t>conventional agents</w:t>
      </w:r>
      <w:r w:rsidRPr="00130821">
        <w:rPr>
          <w:rFonts w:ascii="Book Antiqua" w:hAnsi="Book Antiqua"/>
          <w:lang w:val="en-GB"/>
        </w:rPr>
        <w:t xml:space="preserve"> such as thiopurines, m</w:t>
      </w:r>
      <w:r>
        <w:rPr>
          <w:rFonts w:ascii="Book Antiqua" w:hAnsi="Book Antiqua"/>
          <w:lang w:val="en-GB"/>
        </w:rPr>
        <w:t>ethotrexate, and anti-TNF</w:t>
      </w:r>
      <w:r w:rsidRPr="00953227">
        <w:rPr>
          <w:rFonts w:ascii="Book Antiqua" w:hAnsi="Book Antiqua"/>
          <w:vertAlign w:val="superscript"/>
          <w:lang w:val="en-GB"/>
        </w:rPr>
        <w:t>[</w:t>
      </w:r>
      <w:r w:rsidR="000F607C">
        <w:rPr>
          <w:rFonts w:ascii="Book Antiqua" w:hAnsi="Book Antiqua" w:hint="eastAsia"/>
          <w:vertAlign w:val="superscript"/>
          <w:lang w:val="en-GB" w:eastAsia="zh-CN"/>
        </w:rPr>
        <w:t>48</w:t>
      </w:r>
      <w:r w:rsidRPr="00130821">
        <w:rPr>
          <w:rFonts w:ascii="Book Antiqua" w:hAnsi="Book Antiqua"/>
          <w:vertAlign w:val="superscript"/>
          <w:lang w:val="en-GB"/>
        </w:rPr>
        <w:t>]</w:t>
      </w:r>
      <w:r w:rsidRPr="00130821">
        <w:rPr>
          <w:rFonts w:ascii="Book Antiqua" w:hAnsi="Book Antiqua"/>
          <w:lang w:val="en-GB"/>
        </w:rPr>
        <w:t>.</w:t>
      </w:r>
    </w:p>
    <w:p w14:paraId="28C71762" w14:textId="0B65EEFD" w:rsidR="00563BB7" w:rsidRPr="00D43973" w:rsidRDefault="00563BB7" w:rsidP="006A3266">
      <w:pPr>
        <w:pStyle w:val="NormalWeb"/>
        <w:spacing w:before="0" w:beforeAutospacing="0" w:after="0" w:afterAutospacing="0" w:line="360" w:lineRule="auto"/>
        <w:ind w:firstLineChars="100" w:firstLine="240"/>
        <w:jc w:val="both"/>
        <w:rPr>
          <w:rFonts w:ascii="Book Antiqua" w:hAnsi="Book Antiqua"/>
          <w:lang w:val="en-GB"/>
        </w:rPr>
      </w:pPr>
      <w:r w:rsidRPr="00130821">
        <w:rPr>
          <w:rFonts w:ascii="Book Antiqua" w:hAnsi="Book Antiqua"/>
          <w:lang w:val="en-GB"/>
        </w:rPr>
        <w:t xml:space="preserve">Thalidomide </w:t>
      </w:r>
      <w:r>
        <w:rPr>
          <w:rFonts w:ascii="Book Antiqua" w:hAnsi="Book Antiqua"/>
          <w:lang w:val="en-GB"/>
        </w:rPr>
        <w:t xml:space="preserve">(administered </w:t>
      </w:r>
      <w:r w:rsidRPr="00130821">
        <w:rPr>
          <w:rFonts w:ascii="Book Antiqua" w:hAnsi="Book Antiqua"/>
          <w:lang w:val="en-GB"/>
        </w:rPr>
        <w:t>from 50 to 400</w:t>
      </w:r>
      <w:r>
        <w:rPr>
          <w:rFonts w:ascii="Calibri" w:hAnsi="Calibri" w:cs="Calibri" w:hint="eastAsia"/>
          <w:lang w:val="en-GB" w:eastAsia="zh-CN"/>
        </w:rPr>
        <w:t xml:space="preserve"> </w:t>
      </w:r>
      <w:r w:rsidRPr="00130821">
        <w:rPr>
          <w:rFonts w:ascii="Book Antiqua" w:hAnsi="Book Antiqua"/>
          <w:lang w:val="en-GB"/>
        </w:rPr>
        <w:t>mg/</w:t>
      </w:r>
      <w:r>
        <w:rPr>
          <w:rFonts w:ascii="Book Antiqua" w:hAnsi="Book Antiqua" w:hint="eastAsia"/>
          <w:lang w:val="en-GB" w:eastAsia="zh-CN"/>
        </w:rPr>
        <w:t>d</w:t>
      </w:r>
      <w:r w:rsidRPr="00130821">
        <w:rPr>
          <w:rFonts w:ascii="Book Antiqua" w:hAnsi="Book Antiqua"/>
          <w:lang w:val="en-GB"/>
        </w:rPr>
        <w:t xml:space="preserve"> in adults and 1.5 to 2.5</w:t>
      </w:r>
      <w:r>
        <w:rPr>
          <w:rFonts w:ascii="Calibri" w:hAnsi="Calibri" w:cs="Calibri" w:hint="eastAsia"/>
          <w:lang w:val="en-GB" w:eastAsia="zh-CN"/>
        </w:rPr>
        <w:t xml:space="preserve"> </w:t>
      </w:r>
      <w:r w:rsidRPr="00130821">
        <w:rPr>
          <w:rFonts w:ascii="Book Antiqua" w:hAnsi="Book Antiqua"/>
          <w:lang w:val="en-GB"/>
        </w:rPr>
        <w:t>mg/kg</w:t>
      </w:r>
      <w:r>
        <w:rPr>
          <w:rFonts w:ascii="Book Antiqua" w:hAnsi="Book Antiqua" w:hint="eastAsia"/>
          <w:lang w:val="en-GB" w:eastAsia="zh-CN"/>
        </w:rPr>
        <w:t xml:space="preserve"> per </w:t>
      </w:r>
      <w:r w:rsidRPr="00130821">
        <w:rPr>
          <w:rFonts w:ascii="Book Antiqua" w:hAnsi="Book Antiqua"/>
          <w:lang w:val="en-GB"/>
        </w:rPr>
        <w:t>d</w:t>
      </w:r>
      <w:r>
        <w:rPr>
          <w:rFonts w:ascii="Book Antiqua" w:hAnsi="Book Antiqua"/>
          <w:lang w:val="en-GB"/>
        </w:rPr>
        <w:t xml:space="preserve">ay </w:t>
      </w:r>
      <w:r w:rsidRPr="00130821">
        <w:rPr>
          <w:rFonts w:ascii="Book Antiqua" w:hAnsi="Book Antiqua"/>
          <w:lang w:val="en-GB"/>
        </w:rPr>
        <w:t>in children</w:t>
      </w:r>
      <w:r w:rsidRPr="00953227">
        <w:rPr>
          <w:rFonts w:ascii="Book Antiqua" w:hAnsi="Book Antiqua"/>
          <w:vertAlign w:val="superscript"/>
          <w:lang w:val="en-GB"/>
        </w:rPr>
        <w:t>[</w:t>
      </w:r>
      <w:r w:rsidR="000F607C">
        <w:rPr>
          <w:rFonts w:ascii="Book Antiqua" w:hAnsi="Book Antiqua" w:hint="eastAsia"/>
          <w:vertAlign w:val="superscript"/>
          <w:lang w:val="en-GB" w:eastAsia="zh-CN"/>
        </w:rPr>
        <w:t>47</w:t>
      </w:r>
      <w:r w:rsidRPr="00130821">
        <w:rPr>
          <w:rFonts w:ascii="Book Antiqua" w:hAnsi="Book Antiqua"/>
          <w:vertAlign w:val="superscript"/>
          <w:lang w:val="en-GB"/>
        </w:rPr>
        <w:t>]</w:t>
      </w:r>
      <w:r>
        <w:rPr>
          <w:rFonts w:ascii="Book Antiqua" w:hAnsi="Book Antiqua"/>
          <w:lang w:val="en-GB"/>
        </w:rPr>
        <w:t xml:space="preserve">) </w:t>
      </w:r>
      <w:r w:rsidRPr="00130821">
        <w:rPr>
          <w:rFonts w:ascii="Book Antiqua" w:hAnsi="Book Antiqua"/>
          <w:lang w:val="en-GB"/>
        </w:rPr>
        <w:t>has been shown to induce clinical remission and possibly mucosal healing</w:t>
      </w:r>
      <w:r w:rsidRPr="00953227">
        <w:rPr>
          <w:rFonts w:ascii="Book Antiqua" w:hAnsi="Book Antiqua"/>
          <w:vertAlign w:val="superscript"/>
          <w:lang w:val="en-GB"/>
        </w:rPr>
        <w:t>[</w:t>
      </w:r>
      <w:r w:rsidR="000F607C">
        <w:rPr>
          <w:rFonts w:ascii="Book Antiqua" w:hAnsi="Book Antiqua" w:hint="eastAsia"/>
          <w:vertAlign w:val="superscript"/>
          <w:lang w:val="en-GB" w:eastAsia="zh-CN"/>
        </w:rPr>
        <w:t>48</w:t>
      </w:r>
      <w:r w:rsidRPr="00130821">
        <w:rPr>
          <w:rFonts w:ascii="Book Antiqua" w:hAnsi="Book Antiqua"/>
          <w:vertAlign w:val="superscript"/>
          <w:lang w:val="en-GB"/>
        </w:rPr>
        <w:t>]</w:t>
      </w:r>
      <w:r w:rsidRPr="00130821">
        <w:rPr>
          <w:rFonts w:ascii="Book Antiqua" w:hAnsi="Book Antiqua"/>
          <w:lang w:val="en-GB"/>
        </w:rPr>
        <w:t xml:space="preserve">. </w:t>
      </w:r>
      <w:r w:rsidRPr="00D43973">
        <w:rPr>
          <w:rFonts w:ascii="Book Antiqua" w:hAnsi="Book Antiqua"/>
          <w:lang w:val="en-GB"/>
        </w:rPr>
        <w:t>A sy</w:t>
      </w:r>
      <w:r>
        <w:rPr>
          <w:rFonts w:ascii="Book Antiqua" w:hAnsi="Book Antiqua"/>
          <w:lang w:val="en-GB"/>
        </w:rPr>
        <w:t>stematic review by Yang</w:t>
      </w:r>
      <w:r>
        <w:rPr>
          <w:rFonts w:ascii="Book Antiqua" w:hAnsi="Book Antiqua" w:hint="eastAsia"/>
          <w:lang w:val="en-GB" w:eastAsia="zh-CN"/>
        </w:rPr>
        <w:t xml:space="preserve"> </w:t>
      </w:r>
      <w:r w:rsidRPr="00953227">
        <w:rPr>
          <w:rFonts w:ascii="Book Antiqua" w:hAnsi="Book Antiqua"/>
          <w:i/>
          <w:lang w:val="en-GB"/>
        </w:rPr>
        <w:t>et al</w:t>
      </w:r>
      <w:r w:rsidRPr="00953227">
        <w:rPr>
          <w:rFonts w:ascii="Book Antiqua" w:hAnsi="Book Antiqua"/>
          <w:vertAlign w:val="superscript"/>
          <w:lang w:val="en-GB"/>
        </w:rPr>
        <w:t>[</w:t>
      </w:r>
      <w:r>
        <w:rPr>
          <w:rFonts w:ascii="Book Antiqua" w:hAnsi="Book Antiqua"/>
          <w:vertAlign w:val="superscript"/>
          <w:lang w:val="en-GB"/>
        </w:rPr>
        <w:t>5</w:t>
      </w:r>
      <w:r w:rsidRPr="00FE1E9F">
        <w:rPr>
          <w:rFonts w:ascii="Book Antiqua" w:hAnsi="Book Antiqua"/>
          <w:vertAlign w:val="superscript"/>
          <w:lang w:val="en-GB"/>
        </w:rPr>
        <w:t>]</w:t>
      </w:r>
      <w:r w:rsidRPr="00D43973">
        <w:rPr>
          <w:rFonts w:ascii="Book Antiqua" w:hAnsi="Book Antiqua"/>
          <w:lang w:val="en-GB"/>
        </w:rPr>
        <w:t xml:space="preserve"> selected twelve studies (</w:t>
      </w:r>
      <w:r>
        <w:rPr>
          <w:rFonts w:ascii="Book Antiqua" w:hAnsi="Book Antiqua"/>
          <w:lang w:val="en-GB"/>
        </w:rPr>
        <w:t>2 RCTs and 10 case series) where thalidomide was used to induce</w:t>
      </w:r>
      <w:r w:rsidRPr="00D43973">
        <w:rPr>
          <w:rFonts w:ascii="Book Antiqua" w:hAnsi="Book Antiqua"/>
          <w:lang w:val="en-GB"/>
        </w:rPr>
        <w:t xml:space="preserve"> remission in </w:t>
      </w:r>
      <w:r>
        <w:rPr>
          <w:rFonts w:ascii="Book Antiqua" w:hAnsi="Book Antiqua"/>
          <w:lang w:val="en-GB"/>
        </w:rPr>
        <w:t xml:space="preserve">248 patients with IBD of all age groups </w:t>
      </w:r>
      <w:r w:rsidRPr="00D43973">
        <w:rPr>
          <w:rFonts w:ascii="Book Antiqua" w:hAnsi="Book Antiqua"/>
          <w:lang w:val="en-GB"/>
        </w:rPr>
        <w:t>(10 with UC, 238 with CD), 92 of whom</w:t>
      </w:r>
      <w:r>
        <w:rPr>
          <w:rFonts w:ascii="Book Antiqua" w:hAnsi="Book Antiqua"/>
          <w:lang w:val="en-GB"/>
        </w:rPr>
        <w:t xml:space="preserve"> were children.</w:t>
      </w:r>
      <w:r>
        <w:rPr>
          <w:rFonts w:ascii="Book Antiqua" w:hAnsi="Book Antiqua" w:hint="eastAsia"/>
          <w:lang w:val="en-GB" w:eastAsia="zh-CN"/>
        </w:rPr>
        <w:t xml:space="preserve"> </w:t>
      </w:r>
      <w:r>
        <w:rPr>
          <w:rFonts w:ascii="Book Antiqua" w:hAnsi="Book Antiqua"/>
          <w:lang w:val="en-GB"/>
        </w:rPr>
        <w:t xml:space="preserve">Remission rate </w:t>
      </w:r>
      <w:r w:rsidRPr="00D43973">
        <w:rPr>
          <w:rFonts w:ascii="Book Antiqua" w:hAnsi="Book Antiqua"/>
          <w:lang w:val="en-GB"/>
        </w:rPr>
        <w:t>was 49% and 25%</w:t>
      </w:r>
      <w:r>
        <w:rPr>
          <w:rFonts w:ascii="Book Antiqua" w:hAnsi="Book Antiqua"/>
          <w:lang w:val="en-GB"/>
        </w:rPr>
        <w:t>,</w:t>
      </w:r>
      <w:r w:rsidRPr="00D43973">
        <w:rPr>
          <w:rFonts w:ascii="Book Antiqua" w:hAnsi="Book Antiqua"/>
          <w:lang w:val="en-GB"/>
        </w:rPr>
        <w:t xml:space="preserve"> in adult luminal and perianal CD respectively</w:t>
      </w:r>
      <w:r>
        <w:rPr>
          <w:rFonts w:ascii="Book Antiqua" w:hAnsi="Book Antiqua"/>
          <w:lang w:val="en-GB"/>
        </w:rPr>
        <w:t>. In</w:t>
      </w:r>
      <w:r w:rsidRPr="00D43973">
        <w:rPr>
          <w:rFonts w:ascii="Book Antiqua" w:hAnsi="Book Antiqua"/>
          <w:lang w:val="en-GB"/>
        </w:rPr>
        <w:t xml:space="preserve"> adult</w:t>
      </w:r>
      <w:r>
        <w:rPr>
          <w:rFonts w:ascii="Book Antiqua" w:hAnsi="Book Antiqua"/>
          <w:lang w:val="en-GB"/>
        </w:rPr>
        <w:t>s with</w:t>
      </w:r>
      <w:r w:rsidRPr="00D43973">
        <w:rPr>
          <w:rFonts w:ascii="Book Antiqua" w:hAnsi="Book Antiqua"/>
          <w:lang w:val="en-GB"/>
        </w:rPr>
        <w:t xml:space="preserve"> UC, 50% achieved remission and 10% had </w:t>
      </w:r>
      <w:r>
        <w:rPr>
          <w:rFonts w:ascii="Book Antiqua" w:hAnsi="Book Antiqua"/>
          <w:lang w:val="en-GB"/>
        </w:rPr>
        <w:t xml:space="preserve">a </w:t>
      </w:r>
      <w:r w:rsidRPr="00D43973">
        <w:rPr>
          <w:rFonts w:ascii="Book Antiqua" w:hAnsi="Book Antiqua"/>
          <w:lang w:val="en-GB"/>
        </w:rPr>
        <w:t>partial response. One case series reported 21 patients (17 CD, 4 UC) who maintained remission for 6 mo</w:t>
      </w:r>
      <w:r w:rsidRPr="00953227">
        <w:rPr>
          <w:rFonts w:ascii="Book Antiqua" w:hAnsi="Book Antiqua"/>
          <w:vertAlign w:val="superscript"/>
          <w:lang w:val="en-GB"/>
        </w:rPr>
        <w:t>[</w:t>
      </w:r>
      <w:r>
        <w:rPr>
          <w:rFonts w:ascii="Book Antiqua" w:hAnsi="Book Antiqua"/>
          <w:vertAlign w:val="superscript"/>
          <w:lang w:val="en-GB"/>
        </w:rPr>
        <w:t>5</w:t>
      </w:r>
      <w:r w:rsidRPr="00FE1E9F">
        <w:rPr>
          <w:rFonts w:ascii="Book Antiqua" w:hAnsi="Book Antiqua"/>
          <w:vertAlign w:val="superscript"/>
          <w:lang w:val="en-GB"/>
        </w:rPr>
        <w:t>]</w:t>
      </w:r>
      <w:r w:rsidRPr="00D43973">
        <w:rPr>
          <w:rFonts w:ascii="Book Antiqua" w:hAnsi="Book Antiqua"/>
          <w:lang w:val="en-GB"/>
        </w:rPr>
        <w:t xml:space="preserve">. Amongst the adverse effects associated with thalidomide and reported in this review, the most common </w:t>
      </w:r>
      <w:r>
        <w:rPr>
          <w:rFonts w:ascii="Book Antiqua" w:hAnsi="Book Antiqua"/>
          <w:lang w:val="en-GB"/>
        </w:rPr>
        <w:t>was sedation,</w:t>
      </w:r>
      <w:r w:rsidRPr="00D43973">
        <w:rPr>
          <w:rFonts w:ascii="Book Antiqua" w:hAnsi="Book Antiqua"/>
          <w:lang w:val="en-GB"/>
        </w:rPr>
        <w:t xml:space="preserve"> in 32.3% of all patients, followed by peripheral neuropathy in 19.8% which was also the </w:t>
      </w:r>
      <w:r>
        <w:rPr>
          <w:rFonts w:ascii="Book Antiqua" w:hAnsi="Book Antiqua"/>
          <w:lang w:val="en-GB"/>
        </w:rPr>
        <w:t xml:space="preserve">main </w:t>
      </w:r>
      <w:r w:rsidRPr="00D43973">
        <w:rPr>
          <w:rFonts w:ascii="Book Antiqua" w:hAnsi="Book Antiqua"/>
          <w:lang w:val="en-GB"/>
        </w:rPr>
        <w:t>cause of discontinuation</w:t>
      </w:r>
      <w:r w:rsidRPr="00953227">
        <w:rPr>
          <w:rFonts w:ascii="Book Antiqua" w:hAnsi="Book Antiqua"/>
          <w:vertAlign w:val="superscript"/>
          <w:lang w:val="en-GB"/>
        </w:rPr>
        <w:t>[</w:t>
      </w:r>
      <w:r>
        <w:rPr>
          <w:rFonts w:ascii="Book Antiqua" w:hAnsi="Book Antiqua"/>
          <w:vertAlign w:val="superscript"/>
          <w:lang w:val="en-GB"/>
        </w:rPr>
        <w:t>5</w:t>
      </w:r>
      <w:r w:rsidRPr="00FE1E9F">
        <w:rPr>
          <w:rFonts w:ascii="Book Antiqua" w:hAnsi="Book Antiqua"/>
          <w:vertAlign w:val="superscript"/>
          <w:lang w:val="en-GB"/>
        </w:rPr>
        <w:t>]</w:t>
      </w:r>
      <w:r w:rsidRPr="00D43973">
        <w:rPr>
          <w:rFonts w:ascii="Book Antiqua" w:hAnsi="Book Antiqua"/>
          <w:lang w:val="en-GB"/>
        </w:rPr>
        <w:t>.</w:t>
      </w:r>
      <w:r>
        <w:rPr>
          <w:rFonts w:ascii="Book Antiqua" w:hAnsi="Book Antiqua" w:hint="eastAsia"/>
          <w:lang w:val="en-GB" w:eastAsia="zh-CN"/>
        </w:rPr>
        <w:t xml:space="preserve"> </w:t>
      </w:r>
      <w:r w:rsidRPr="00D43973">
        <w:rPr>
          <w:rFonts w:ascii="Book Antiqua" w:hAnsi="Book Antiqua"/>
          <w:lang w:val="en-GB"/>
        </w:rPr>
        <w:t>Amongst the studies in this review, one high quality RCT showed t</w:t>
      </w:r>
      <w:r>
        <w:rPr>
          <w:rFonts w:ascii="Book Antiqua" w:hAnsi="Book Antiqua"/>
          <w:lang w:val="en-GB"/>
        </w:rPr>
        <w:t>hat thalidomide is effective in</w:t>
      </w:r>
      <w:r w:rsidRPr="00D43973">
        <w:rPr>
          <w:rFonts w:ascii="Book Antiqua" w:hAnsi="Book Antiqua"/>
          <w:lang w:val="en-GB"/>
        </w:rPr>
        <w:t xml:space="preserve"> inducing remission in paediatric CD</w:t>
      </w:r>
      <w:r w:rsidRPr="00953227">
        <w:rPr>
          <w:rFonts w:ascii="Book Antiqua" w:hAnsi="Book Antiqua"/>
          <w:vertAlign w:val="superscript"/>
          <w:lang w:val="en-GB"/>
        </w:rPr>
        <w:t>[</w:t>
      </w:r>
      <w:r w:rsidR="000F607C">
        <w:rPr>
          <w:rFonts w:ascii="Book Antiqua" w:hAnsi="Book Antiqua" w:hint="eastAsia"/>
          <w:vertAlign w:val="superscript"/>
          <w:lang w:val="en-GB" w:eastAsia="zh-CN"/>
        </w:rPr>
        <w:t>49</w:t>
      </w:r>
      <w:r w:rsidRPr="00FE1E9F">
        <w:rPr>
          <w:rFonts w:ascii="Book Antiqua" w:hAnsi="Book Antiqua"/>
          <w:vertAlign w:val="superscript"/>
          <w:lang w:val="en-GB"/>
        </w:rPr>
        <w:t>]</w:t>
      </w:r>
      <w:r>
        <w:rPr>
          <w:rFonts w:ascii="Book Antiqua" w:hAnsi="Book Antiqua"/>
          <w:lang w:val="en-GB"/>
        </w:rPr>
        <w:t>.</w:t>
      </w:r>
      <w:r>
        <w:rPr>
          <w:rFonts w:ascii="Book Antiqua" w:hAnsi="Book Antiqua" w:hint="eastAsia"/>
          <w:lang w:val="en-GB" w:eastAsia="zh-CN"/>
        </w:rPr>
        <w:t xml:space="preserve"> </w:t>
      </w:r>
      <w:r w:rsidRPr="00D43973">
        <w:rPr>
          <w:rFonts w:ascii="Book Antiqua" w:hAnsi="Book Antiqua"/>
          <w:lang w:val="en-GB"/>
        </w:rPr>
        <w:t>Based on the evidence reviewed</w:t>
      </w:r>
      <w:r>
        <w:rPr>
          <w:rFonts w:ascii="Book Antiqua" w:hAnsi="Book Antiqua"/>
          <w:lang w:val="en-GB"/>
        </w:rPr>
        <w:t xml:space="preserve"> and given the limited data available</w:t>
      </w:r>
      <w:r w:rsidRPr="00D43973">
        <w:rPr>
          <w:rFonts w:ascii="Book Antiqua" w:hAnsi="Book Antiqua"/>
          <w:lang w:val="en-GB"/>
        </w:rPr>
        <w:t xml:space="preserve">, </w:t>
      </w:r>
      <w:r>
        <w:rPr>
          <w:rFonts w:ascii="Book Antiqua" w:hAnsi="Book Antiqua"/>
          <w:lang w:val="en-GB"/>
        </w:rPr>
        <w:t xml:space="preserve">the Authors </w:t>
      </w:r>
      <w:r w:rsidRPr="00D43973">
        <w:rPr>
          <w:rFonts w:ascii="Book Antiqua" w:hAnsi="Book Antiqua"/>
          <w:lang w:val="en-GB"/>
        </w:rPr>
        <w:t xml:space="preserve">support </w:t>
      </w:r>
      <w:r>
        <w:rPr>
          <w:rFonts w:ascii="Book Antiqua" w:hAnsi="Book Antiqua"/>
          <w:lang w:val="en-GB"/>
        </w:rPr>
        <w:t xml:space="preserve">the use </w:t>
      </w:r>
      <w:r w:rsidRPr="00D43973">
        <w:rPr>
          <w:rFonts w:ascii="Book Antiqua" w:hAnsi="Book Antiqua"/>
          <w:lang w:val="en-GB"/>
        </w:rPr>
        <w:t xml:space="preserve">of Thalidomide in </w:t>
      </w:r>
      <w:r>
        <w:rPr>
          <w:rFonts w:ascii="Book Antiqua" w:hAnsi="Book Antiqua"/>
          <w:lang w:val="en-GB"/>
        </w:rPr>
        <w:t xml:space="preserve">the most severe cases of IBD for </w:t>
      </w:r>
      <w:r w:rsidRPr="00D43973">
        <w:rPr>
          <w:rFonts w:ascii="Book Antiqua" w:hAnsi="Book Antiqua"/>
          <w:lang w:val="en-GB"/>
        </w:rPr>
        <w:t>induction or</w:t>
      </w:r>
      <w:r>
        <w:rPr>
          <w:rFonts w:ascii="Book Antiqua" w:hAnsi="Book Antiqua"/>
          <w:lang w:val="en-GB"/>
        </w:rPr>
        <w:t xml:space="preserve"> maintenance of remission</w:t>
      </w:r>
      <w:r w:rsidRPr="00953227">
        <w:rPr>
          <w:rFonts w:ascii="Book Antiqua" w:hAnsi="Book Antiqua"/>
          <w:vertAlign w:val="superscript"/>
          <w:lang w:val="en-GB"/>
        </w:rPr>
        <w:t>[</w:t>
      </w:r>
      <w:r>
        <w:rPr>
          <w:rFonts w:ascii="Book Antiqua" w:hAnsi="Book Antiqua"/>
          <w:vertAlign w:val="superscript"/>
          <w:lang w:val="en-GB"/>
        </w:rPr>
        <w:t>5</w:t>
      </w:r>
      <w:r w:rsidRPr="00FE1E9F">
        <w:rPr>
          <w:rFonts w:ascii="Book Antiqua" w:hAnsi="Book Antiqua"/>
          <w:vertAlign w:val="superscript"/>
          <w:lang w:val="en-GB"/>
        </w:rPr>
        <w:t>]</w:t>
      </w:r>
      <w:r w:rsidRPr="00D43973">
        <w:rPr>
          <w:rFonts w:ascii="Book Antiqua" w:hAnsi="Book Antiqua"/>
          <w:lang w:val="en-GB"/>
        </w:rPr>
        <w:t>.</w:t>
      </w:r>
    </w:p>
    <w:p w14:paraId="78D8CAE3" w14:textId="5C0D7F89" w:rsidR="00563BB7" w:rsidRPr="00130821" w:rsidRDefault="00563BB7" w:rsidP="006A3266">
      <w:pPr>
        <w:pStyle w:val="NormalWeb"/>
        <w:spacing w:before="0" w:beforeAutospacing="0" w:after="0" w:afterAutospacing="0" w:line="360" w:lineRule="auto"/>
        <w:ind w:firstLineChars="200" w:firstLine="480"/>
        <w:jc w:val="both"/>
        <w:rPr>
          <w:rFonts w:ascii="Book Antiqua" w:hAnsi="Book Antiqua"/>
          <w:lang w:val="en-GB"/>
        </w:rPr>
      </w:pPr>
      <w:r w:rsidRPr="00130821">
        <w:rPr>
          <w:rFonts w:ascii="Book Antiqua" w:hAnsi="Book Antiqua"/>
          <w:lang w:val="en-GB"/>
        </w:rPr>
        <w:t>Lazzerini</w:t>
      </w:r>
      <w:r w:rsidRPr="00953227">
        <w:rPr>
          <w:rFonts w:ascii="Book Antiqua" w:hAnsi="Book Antiqua"/>
          <w:i/>
          <w:lang w:val="en-GB"/>
        </w:rPr>
        <w:t xml:space="preserve"> et al</w:t>
      </w:r>
      <w:r w:rsidRPr="00953227">
        <w:rPr>
          <w:rFonts w:ascii="Book Antiqua" w:hAnsi="Book Antiqua"/>
          <w:vertAlign w:val="superscript"/>
          <w:lang w:val="en-GB"/>
        </w:rPr>
        <w:t>[</w:t>
      </w:r>
      <w:r w:rsidR="000F607C">
        <w:rPr>
          <w:rFonts w:ascii="Book Antiqua" w:hAnsi="Book Antiqua" w:hint="eastAsia"/>
          <w:vertAlign w:val="superscript"/>
          <w:lang w:val="en-GB" w:eastAsia="zh-CN"/>
        </w:rPr>
        <w:t>49</w:t>
      </w:r>
      <w:r>
        <w:rPr>
          <w:rFonts w:ascii="Book Antiqua" w:hAnsi="Book Antiqua"/>
          <w:vertAlign w:val="superscript"/>
          <w:lang w:val="en-GB"/>
        </w:rPr>
        <w:t>,</w:t>
      </w:r>
      <w:r w:rsidR="000F607C">
        <w:rPr>
          <w:rFonts w:ascii="Book Antiqua" w:hAnsi="Book Antiqua" w:hint="eastAsia"/>
          <w:vertAlign w:val="superscript"/>
          <w:lang w:val="en-GB" w:eastAsia="zh-CN"/>
        </w:rPr>
        <w:t>50</w:t>
      </w:r>
      <w:r w:rsidRPr="00130821">
        <w:rPr>
          <w:rFonts w:ascii="Book Antiqua" w:hAnsi="Book Antiqua"/>
          <w:vertAlign w:val="superscript"/>
          <w:lang w:val="en-GB"/>
        </w:rPr>
        <w:t>]</w:t>
      </w:r>
      <w:r w:rsidR="00180489">
        <w:rPr>
          <w:rFonts w:ascii="Book Antiqua" w:hAnsi="Book Antiqua" w:hint="eastAsia"/>
          <w:lang w:val="en-GB" w:eastAsia="zh-CN"/>
        </w:rPr>
        <w:t xml:space="preserve"> </w:t>
      </w:r>
      <w:r w:rsidRPr="00130821">
        <w:rPr>
          <w:rFonts w:ascii="Book Antiqua" w:hAnsi="Book Antiqua"/>
          <w:lang w:val="en-GB"/>
        </w:rPr>
        <w:t>conducted randomized placebo-controlled trials of thalidomide in both paediatric CD and UC</w:t>
      </w:r>
      <w:r>
        <w:rPr>
          <w:rFonts w:ascii="Book Antiqua" w:hAnsi="Book Antiqua" w:hint="eastAsia"/>
          <w:lang w:val="en-GB" w:eastAsia="zh-CN"/>
        </w:rPr>
        <w:t xml:space="preserve"> </w:t>
      </w:r>
      <w:r w:rsidRPr="00130821">
        <w:rPr>
          <w:rFonts w:ascii="Book Antiqua" w:hAnsi="Book Antiqua"/>
          <w:lang w:val="en-GB"/>
        </w:rPr>
        <w:t>(Table 1)</w:t>
      </w:r>
      <w:r>
        <w:rPr>
          <w:rFonts w:ascii="Book Antiqua" w:hAnsi="Book Antiqua" w:hint="eastAsia"/>
          <w:lang w:val="en-GB" w:eastAsia="zh-CN"/>
        </w:rPr>
        <w:t xml:space="preserve">. </w:t>
      </w:r>
      <w:r w:rsidRPr="00130821">
        <w:rPr>
          <w:rFonts w:ascii="Book Antiqua" w:hAnsi="Book Antiqua"/>
          <w:lang w:val="en-GB"/>
        </w:rPr>
        <w:t xml:space="preserve">In their CD trial, they randomized 52 children to receive thalidomide or placebo; almost all patients had not responded to thiopurines, and about 35% had also not responded to biologics. The majority of children had luminal disease and few had perianal disease. Although no significant response was noted at 4 </w:t>
      </w:r>
      <w:r>
        <w:rPr>
          <w:rFonts w:ascii="Book Antiqua" w:hAnsi="Book Antiqua" w:hint="eastAsia"/>
          <w:lang w:val="en-GB" w:eastAsia="zh-CN"/>
        </w:rPr>
        <w:t>wk</w:t>
      </w:r>
      <w:r w:rsidRPr="00130821">
        <w:rPr>
          <w:rFonts w:ascii="Book Antiqua" w:hAnsi="Book Antiqua"/>
          <w:lang w:val="en-GB"/>
        </w:rPr>
        <w:t xml:space="preserve">, by 8 </w:t>
      </w:r>
      <w:r>
        <w:rPr>
          <w:rFonts w:ascii="Book Antiqua" w:hAnsi="Book Antiqua" w:hint="eastAsia"/>
          <w:lang w:val="en-GB" w:eastAsia="zh-CN"/>
        </w:rPr>
        <w:t>wk</w:t>
      </w:r>
      <w:r w:rsidRPr="00130821">
        <w:rPr>
          <w:rFonts w:ascii="Book Antiqua" w:hAnsi="Book Antiqua"/>
          <w:lang w:val="en-GB"/>
        </w:rPr>
        <w:t xml:space="preserve"> 46% of children treated with thalidomide had a reduction in their PCDAI greater than 75%, compared with 12% amongst patients treated with placebo</w:t>
      </w:r>
      <w:r w:rsidRPr="00953227">
        <w:rPr>
          <w:rFonts w:ascii="Book Antiqua" w:hAnsi="Book Antiqua"/>
          <w:vertAlign w:val="superscript"/>
          <w:lang w:val="en-GB"/>
        </w:rPr>
        <w:t>[</w:t>
      </w:r>
      <w:r w:rsidR="000F607C">
        <w:rPr>
          <w:rFonts w:ascii="Book Antiqua" w:hAnsi="Book Antiqua" w:hint="eastAsia"/>
          <w:vertAlign w:val="superscript"/>
          <w:lang w:val="en-GB" w:eastAsia="zh-CN"/>
        </w:rPr>
        <w:t>49</w:t>
      </w:r>
      <w:r w:rsidRPr="00130821">
        <w:rPr>
          <w:rFonts w:ascii="Book Antiqua" w:hAnsi="Book Antiqua"/>
          <w:vertAlign w:val="superscript"/>
          <w:lang w:val="en-GB"/>
        </w:rPr>
        <w:t>]</w:t>
      </w:r>
      <w:r w:rsidRPr="00130821">
        <w:rPr>
          <w:rFonts w:ascii="Book Antiqua" w:hAnsi="Book Antiqua"/>
          <w:lang w:val="en-GB"/>
        </w:rPr>
        <w:t xml:space="preserve">. </w:t>
      </w:r>
    </w:p>
    <w:p w14:paraId="2FEC60D3" w14:textId="0CE2A043" w:rsidR="00563BB7" w:rsidRPr="00130821" w:rsidRDefault="00563BB7" w:rsidP="006A3266">
      <w:pPr>
        <w:pStyle w:val="NormalWeb"/>
        <w:spacing w:before="0" w:beforeAutospacing="0" w:after="0" w:afterAutospacing="0" w:line="360" w:lineRule="auto"/>
        <w:ind w:firstLineChars="150" w:firstLine="360"/>
        <w:jc w:val="both"/>
        <w:rPr>
          <w:rFonts w:ascii="Book Antiqua" w:hAnsi="Book Antiqua"/>
          <w:lang w:val="en-GB"/>
        </w:rPr>
      </w:pPr>
      <w:r w:rsidRPr="00130821">
        <w:rPr>
          <w:rFonts w:ascii="Book Antiqua" w:hAnsi="Book Antiqua"/>
          <w:lang w:val="en-GB"/>
        </w:rPr>
        <w:lastRenderedPageBreak/>
        <w:t xml:space="preserve">Their UC trial enrolled 26 children with active UC who were randomized to receive thalidomide or placebo. All patients had active disease despite thiopurines, </w:t>
      </w:r>
      <w:r>
        <w:rPr>
          <w:rFonts w:ascii="Book Antiqua" w:hAnsi="Book Antiqua"/>
          <w:lang w:val="en-GB"/>
        </w:rPr>
        <w:t>and about 35% had received previous</w:t>
      </w:r>
      <w:r w:rsidRPr="00130821">
        <w:rPr>
          <w:rFonts w:ascii="Book Antiqua" w:hAnsi="Book Antiqua"/>
          <w:lang w:val="en-GB"/>
        </w:rPr>
        <w:t xml:space="preserve"> IFX treatment. The UC children treated with thalidomide achieved </w:t>
      </w:r>
      <w:r>
        <w:rPr>
          <w:rFonts w:ascii="Book Antiqua" w:hAnsi="Book Antiqua"/>
          <w:lang w:val="en-GB"/>
        </w:rPr>
        <w:t xml:space="preserve">higher </w:t>
      </w:r>
      <w:r w:rsidRPr="00130821">
        <w:rPr>
          <w:rFonts w:ascii="Book Antiqua" w:hAnsi="Book Antiqua"/>
          <w:lang w:val="en-GB"/>
        </w:rPr>
        <w:t xml:space="preserve">remission rates at 8 </w:t>
      </w:r>
      <w:r>
        <w:rPr>
          <w:rFonts w:ascii="Book Antiqua" w:hAnsi="Book Antiqua" w:hint="eastAsia"/>
          <w:lang w:val="en-GB" w:eastAsia="zh-CN"/>
        </w:rPr>
        <w:t>wk</w:t>
      </w:r>
      <w:r w:rsidRPr="00130821">
        <w:rPr>
          <w:rFonts w:ascii="Book Antiqua" w:hAnsi="Book Antiqua"/>
          <w:lang w:val="en-GB"/>
        </w:rPr>
        <w:t xml:space="preserve"> (83% </w:t>
      </w:r>
      <w:r w:rsidRPr="00953227">
        <w:rPr>
          <w:rFonts w:ascii="Book Antiqua" w:hAnsi="Book Antiqua" w:hint="eastAsia"/>
          <w:i/>
          <w:lang w:val="en-GB" w:eastAsia="zh-CN"/>
        </w:rPr>
        <w:t>vs</w:t>
      </w:r>
      <w:r w:rsidRPr="00130821">
        <w:rPr>
          <w:rFonts w:ascii="Book Antiqua" w:hAnsi="Book Antiqua"/>
          <w:lang w:val="en-GB"/>
        </w:rPr>
        <w:t xml:space="preserve"> 19% for placebo) than </w:t>
      </w:r>
      <w:r>
        <w:rPr>
          <w:rFonts w:ascii="Book Antiqua" w:hAnsi="Book Antiqua"/>
          <w:lang w:val="en-GB"/>
        </w:rPr>
        <w:t xml:space="preserve">those </w:t>
      </w:r>
      <w:r w:rsidRPr="00130821">
        <w:rPr>
          <w:rFonts w:ascii="Book Antiqua" w:hAnsi="Book Antiqua"/>
          <w:lang w:val="en-GB"/>
        </w:rPr>
        <w:t>in the CD trial</w:t>
      </w:r>
      <w:r w:rsidRPr="00953227">
        <w:rPr>
          <w:rFonts w:ascii="Book Antiqua" w:hAnsi="Book Antiqua"/>
          <w:vertAlign w:val="superscript"/>
          <w:lang w:val="en-GB"/>
        </w:rPr>
        <w:t>[</w:t>
      </w:r>
      <w:r w:rsidR="000F607C">
        <w:rPr>
          <w:rFonts w:ascii="Book Antiqua" w:hAnsi="Book Antiqua" w:hint="eastAsia"/>
          <w:vertAlign w:val="superscript"/>
          <w:lang w:val="en-GB" w:eastAsia="zh-CN"/>
        </w:rPr>
        <w:t>50</w:t>
      </w:r>
      <w:r w:rsidRPr="00130821">
        <w:rPr>
          <w:rFonts w:ascii="Book Antiqua" w:hAnsi="Book Antiqua"/>
          <w:vertAlign w:val="superscript"/>
          <w:lang w:val="en-GB"/>
        </w:rPr>
        <w:t>]</w:t>
      </w:r>
      <w:r w:rsidRPr="00130821">
        <w:rPr>
          <w:rFonts w:ascii="Book Antiqua" w:hAnsi="Book Antiqua"/>
          <w:lang w:val="en-GB"/>
        </w:rPr>
        <w:t xml:space="preserve">. </w:t>
      </w:r>
    </w:p>
    <w:p w14:paraId="1A4B49F5" w14:textId="17A5B47A" w:rsidR="00563BB7" w:rsidRPr="00D43973" w:rsidRDefault="00563BB7" w:rsidP="006A3266">
      <w:pPr>
        <w:pStyle w:val="NormalWeb"/>
        <w:spacing w:before="0" w:beforeAutospacing="0" w:after="0" w:afterAutospacing="0" w:line="360" w:lineRule="auto"/>
        <w:ind w:firstLineChars="150" w:firstLine="360"/>
        <w:jc w:val="both"/>
        <w:rPr>
          <w:rFonts w:ascii="Book Antiqua" w:hAnsi="Book Antiqua"/>
          <w:lang w:val="en-GB"/>
        </w:rPr>
      </w:pPr>
      <w:r w:rsidRPr="00130821">
        <w:rPr>
          <w:rFonts w:ascii="Book Antiqua" w:hAnsi="Book Antiqua"/>
          <w:lang w:val="en-GB"/>
        </w:rPr>
        <w:t xml:space="preserve">Both trials showed that thalidomide does not work quickly, as there were no significant differences between placebo and thalidomide at 4 weeks, whereas major differences were seen by 8 </w:t>
      </w:r>
      <w:r>
        <w:rPr>
          <w:rFonts w:ascii="Book Antiqua" w:hAnsi="Book Antiqua" w:hint="eastAsia"/>
          <w:lang w:val="en-GB" w:eastAsia="zh-CN"/>
        </w:rPr>
        <w:t>wk</w:t>
      </w:r>
      <w:r w:rsidRPr="00953227">
        <w:rPr>
          <w:rFonts w:ascii="Book Antiqua" w:hAnsi="Book Antiqua"/>
          <w:vertAlign w:val="superscript"/>
          <w:lang w:val="en-GB"/>
        </w:rPr>
        <w:t>[</w:t>
      </w:r>
      <w:r w:rsidR="000F607C">
        <w:rPr>
          <w:rFonts w:ascii="Book Antiqua" w:hAnsi="Book Antiqua" w:hint="eastAsia"/>
          <w:vertAlign w:val="superscript"/>
          <w:lang w:val="en-GB" w:eastAsia="zh-CN"/>
        </w:rPr>
        <w:t>49</w:t>
      </w:r>
      <w:r>
        <w:rPr>
          <w:rFonts w:ascii="Book Antiqua" w:hAnsi="Book Antiqua"/>
          <w:vertAlign w:val="superscript"/>
          <w:lang w:val="en-GB"/>
        </w:rPr>
        <w:t>,</w:t>
      </w:r>
      <w:r w:rsidR="000F607C">
        <w:rPr>
          <w:rFonts w:ascii="Book Antiqua" w:hAnsi="Book Antiqua" w:hint="eastAsia"/>
          <w:vertAlign w:val="superscript"/>
          <w:lang w:val="en-GB" w:eastAsia="zh-CN"/>
        </w:rPr>
        <w:t>50</w:t>
      </w:r>
      <w:r w:rsidRPr="00130821">
        <w:rPr>
          <w:rFonts w:ascii="Book Antiqua" w:hAnsi="Book Antiqua"/>
          <w:vertAlign w:val="superscript"/>
          <w:lang w:val="en-GB"/>
        </w:rPr>
        <w:t>]</w:t>
      </w:r>
      <w:r w:rsidRPr="00130821">
        <w:rPr>
          <w:rFonts w:ascii="Book Antiqua" w:hAnsi="Book Antiqua"/>
          <w:lang w:val="en-GB"/>
        </w:rPr>
        <w:t>.</w:t>
      </w:r>
      <w:r>
        <w:rPr>
          <w:rFonts w:ascii="Book Antiqua" w:hAnsi="Book Antiqua" w:hint="eastAsia"/>
          <w:lang w:val="en-GB" w:eastAsia="zh-CN"/>
        </w:rPr>
        <w:t xml:space="preserve"> </w:t>
      </w:r>
      <w:r w:rsidRPr="00130821">
        <w:rPr>
          <w:rFonts w:ascii="Book Antiqua" w:hAnsi="Book Antiqua"/>
          <w:lang w:val="en-GB"/>
        </w:rPr>
        <w:t xml:space="preserve">These trials also support the use of Thalidomide as a maintenance agent in cases of refractory CD or UC, for example patients </w:t>
      </w:r>
      <w:r>
        <w:rPr>
          <w:rFonts w:ascii="Book Antiqua" w:hAnsi="Book Antiqua"/>
          <w:lang w:val="en-GB"/>
        </w:rPr>
        <w:t xml:space="preserve">with secondary loss of </w:t>
      </w:r>
      <w:r w:rsidRPr="00130821">
        <w:rPr>
          <w:rFonts w:ascii="Book Antiqua" w:hAnsi="Book Antiqua"/>
          <w:lang w:val="en-GB"/>
        </w:rPr>
        <w:t>response to biologics</w:t>
      </w:r>
      <w:r w:rsidRPr="00953227">
        <w:rPr>
          <w:rFonts w:ascii="Book Antiqua" w:hAnsi="Book Antiqua"/>
          <w:vertAlign w:val="superscript"/>
          <w:lang w:val="en-GB"/>
        </w:rPr>
        <w:t>[</w:t>
      </w:r>
      <w:r w:rsidR="000F607C">
        <w:rPr>
          <w:rFonts w:ascii="Book Antiqua" w:hAnsi="Book Antiqua" w:hint="eastAsia"/>
          <w:vertAlign w:val="superscript"/>
          <w:lang w:val="en-GB" w:eastAsia="zh-CN"/>
        </w:rPr>
        <w:t>49</w:t>
      </w:r>
      <w:r w:rsidRPr="00130821">
        <w:rPr>
          <w:rFonts w:ascii="Book Antiqua" w:hAnsi="Book Antiqua"/>
          <w:vertAlign w:val="superscript"/>
          <w:lang w:val="en-GB"/>
        </w:rPr>
        <w:t>,</w:t>
      </w:r>
      <w:r w:rsidR="000F607C">
        <w:rPr>
          <w:rFonts w:ascii="Book Antiqua" w:hAnsi="Book Antiqua" w:hint="eastAsia"/>
          <w:vertAlign w:val="superscript"/>
          <w:lang w:val="en-GB" w:eastAsia="zh-CN"/>
        </w:rPr>
        <w:t>50</w:t>
      </w:r>
      <w:r w:rsidRPr="00130821">
        <w:rPr>
          <w:rFonts w:ascii="Book Antiqua" w:hAnsi="Book Antiqua"/>
          <w:vertAlign w:val="superscript"/>
          <w:lang w:val="en-GB"/>
        </w:rPr>
        <w:t>]</w:t>
      </w:r>
      <w:r>
        <w:rPr>
          <w:rFonts w:ascii="Book Antiqua" w:hAnsi="Book Antiqua"/>
          <w:lang w:val="en-GB"/>
        </w:rPr>
        <w:t>.</w:t>
      </w:r>
      <w:r>
        <w:rPr>
          <w:rFonts w:ascii="Book Antiqua" w:hAnsi="Book Antiqua" w:hint="eastAsia"/>
          <w:lang w:val="en-GB" w:eastAsia="zh-CN"/>
        </w:rPr>
        <w:t xml:space="preserve"> </w:t>
      </w:r>
      <w:r w:rsidRPr="00D43973">
        <w:rPr>
          <w:rFonts w:ascii="Book Antiqua" w:hAnsi="Book Antiqua"/>
          <w:lang w:val="en-GB"/>
        </w:rPr>
        <w:t xml:space="preserve">Another more recent systematic review conducted by Bramuzzo </w:t>
      </w:r>
      <w:r>
        <w:rPr>
          <w:rFonts w:ascii="Book Antiqua" w:hAnsi="Book Antiqua" w:hint="eastAsia"/>
          <w:lang w:val="en-GB" w:eastAsia="zh-CN"/>
        </w:rPr>
        <w:t xml:space="preserve"> </w:t>
      </w:r>
      <w:r w:rsidRPr="00953227">
        <w:rPr>
          <w:rFonts w:ascii="Book Antiqua" w:hAnsi="Book Antiqua"/>
          <w:i/>
          <w:lang w:val="en-GB"/>
        </w:rPr>
        <w:t>et al</w:t>
      </w:r>
      <w:r w:rsidRPr="00953227">
        <w:rPr>
          <w:rFonts w:ascii="Book Antiqua" w:hAnsi="Book Antiqua"/>
          <w:vertAlign w:val="superscript"/>
          <w:lang w:val="en-GB"/>
        </w:rPr>
        <w:t>[</w:t>
      </w:r>
      <w:r w:rsidR="000F607C">
        <w:rPr>
          <w:rFonts w:ascii="Book Antiqua" w:hAnsi="Book Antiqua" w:hint="eastAsia"/>
          <w:vertAlign w:val="superscript"/>
          <w:lang w:val="en-GB" w:eastAsia="zh-CN"/>
        </w:rPr>
        <w:t>47</w:t>
      </w:r>
      <w:r w:rsidRPr="001D77F1">
        <w:rPr>
          <w:rFonts w:ascii="Book Antiqua" w:hAnsi="Book Antiqua"/>
          <w:vertAlign w:val="superscript"/>
          <w:lang w:val="en-GB"/>
        </w:rPr>
        <w:t>]</w:t>
      </w:r>
      <w:r w:rsidRPr="00D43973">
        <w:rPr>
          <w:rFonts w:ascii="Book Antiqua" w:hAnsi="Book Antiqua"/>
          <w:lang w:val="en-GB"/>
        </w:rPr>
        <w:t xml:space="preserve"> analysed 722 papers, including two randomized controlled trials and 29 uncontrolled studies for a total of 489 patients, 135 (28.4%) of whom we</w:t>
      </w:r>
      <w:r>
        <w:rPr>
          <w:rFonts w:ascii="Book Antiqua" w:hAnsi="Book Antiqua"/>
          <w:lang w:val="en-GB"/>
        </w:rPr>
        <w:t>re children.</w:t>
      </w:r>
      <w:r w:rsidRPr="00D43973">
        <w:rPr>
          <w:rFonts w:ascii="Book Antiqua" w:hAnsi="Book Antiqua"/>
          <w:lang w:val="en-GB"/>
        </w:rPr>
        <w:t xml:space="preserve"> </w:t>
      </w:r>
    </w:p>
    <w:p w14:paraId="55610489" w14:textId="448705EF" w:rsidR="00563BB7" w:rsidRPr="00D43973" w:rsidRDefault="00563BB7" w:rsidP="006A3266">
      <w:pPr>
        <w:widowControl w:val="0"/>
        <w:autoSpaceDE w:val="0"/>
        <w:autoSpaceDN w:val="0"/>
        <w:adjustRightInd w:val="0"/>
        <w:spacing w:line="360" w:lineRule="auto"/>
        <w:ind w:firstLineChars="150" w:firstLine="360"/>
        <w:jc w:val="both"/>
        <w:rPr>
          <w:rFonts w:ascii="Book Antiqua" w:hAnsi="Book Antiqua"/>
          <w:lang w:val="en-GB"/>
        </w:rPr>
      </w:pPr>
      <w:r w:rsidRPr="00D43973">
        <w:rPr>
          <w:rFonts w:ascii="Book Antiqua" w:hAnsi="Book Antiqua"/>
          <w:lang w:val="en-GB"/>
        </w:rPr>
        <w:t>Overall, thalidomide appeared to be a promising therapy for IBD: induction of clinical remission was achieved in 51.4% of cases, and in 69.3% a clinical response was observed in the first months of treatment</w:t>
      </w:r>
      <w:r>
        <w:rPr>
          <w:rFonts w:ascii="Book Antiqua" w:hAnsi="Book Antiqua"/>
          <w:lang w:val="en-GB"/>
        </w:rPr>
        <w:t>.</w:t>
      </w:r>
      <w:r w:rsidRPr="00D43973">
        <w:rPr>
          <w:rFonts w:ascii="Book Antiqua" w:hAnsi="Book Antiqua"/>
          <w:lang w:val="en-GB"/>
        </w:rPr>
        <w:t xml:space="preserve"> In almost 50% of the cases in which endoscopy was performed, complete mucosal healing was observed and a further 15% of patients showed an improvement in their endoscopy score</w:t>
      </w:r>
      <w:r w:rsidRPr="00953227">
        <w:rPr>
          <w:rFonts w:ascii="Book Antiqua" w:hAnsi="Book Antiqua"/>
          <w:vertAlign w:val="superscript"/>
          <w:lang w:val="en-GB"/>
        </w:rPr>
        <w:t>[</w:t>
      </w:r>
      <w:r w:rsidR="000F607C">
        <w:rPr>
          <w:rFonts w:ascii="Book Antiqua" w:hAnsi="Book Antiqua" w:hint="eastAsia"/>
          <w:vertAlign w:val="superscript"/>
          <w:lang w:val="en-GB" w:eastAsia="zh-CN"/>
        </w:rPr>
        <w:t>47</w:t>
      </w:r>
      <w:r w:rsidRPr="001D77F1">
        <w:rPr>
          <w:rFonts w:ascii="Book Antiqua" w:hAnsi="Book Antiqua"/>
          <w:vertAlign w:val="superscript"/>
          <w:lang w:val="en-GB"/>
        </w:rPr>
        <w:t>]</w:t>
      </w:r>
      <w:r w:rsidRPr="00D43973">
        <w:rPr>
          <w:rFonts w:ascii="Book Antiqua" w:hAnsi="Book Antiqua"/>
          <w:lang w:val="en-GB"/>
        </w:rPr>
        <w:t>.</w:t>
      </w:r>
      <w:r>
        <w:rPr>
          <w:rFonts w:ascii="Book Antiqua" w:hAnsi="Book Antiqua" w:hint="eastAsia"/>
          <w:lang w:val="en-GB" w:eastAsia="zh-CN"/>
        </w:rPr>
        <w:t xml:space="preserve"> </w:t>
      </w:r>
      <w:r w:rsidRPr="00D43973">
        <w:rPr>
          <w:rFonts w:ascii="Book Antiqua" w:hAnsi="Book Antiqua"/>
          <w:lang w:val="en-GB"/>
        </w:rPr>
        <w:t>IBD remission was maintained in 72.2% after 12 mo</w:t>
      </w:r>
      <w:r>
        <w:rPr>
          <w:rFonts w:ascii="Book Antiqua" w:hAnsi="Book Antiqua" w:hint="eastAsia"/>
          <w:lang w:val="en-GB" w:eastAsia="zh-CN"/>
        </w:rPr>
        <w:t xml:space="preserve"> </w:t>
      </w:r>
      <w:r w:rsidRPr="00D43973">
        <w:rPr>
          <w:rFonts w:ascii="Book Antiqua" w:hAnsi="Book Antiqua"/>
          <w:lang w:val="en-GB"/>
        </w:rPr>
        <w:t>and in 54.5% after 2 years</w:t>
      </w:r>
      <w:r w:rsidRPr="00953227">
        <w:rPr>
          <w:rFonts w:ascii="Book Antiqua" w:hAnsi="Book Antiqua"/>
          <w:vertAlign w:val="superscript"/>
          <w:lang w:val="en-GB"/>
        </w:rPr>
        <w:t>[</w:t>
      </w:r>
      <w:r w:rsidR="000F607C">
        <w:rPr>
          <w:rFonts w:ascii="Book Antiqua" w:hAnsi="Book Antiqua" w:hint="eastAsia"/>
          <w:vertAlign w:val="superscript"/>
          <w:lang w:val="en-GB" w:eastAsia="zh-CN"/>
        </w:rPr>
        <w:t>47</w:t>
      </w:r>
      <w:r w:rsidRPr="001D77F1">
        <w:rPr>
          <w:rFonts w:ascii="Book Antiqua" w:hAnsi="Book Antiqua"/>
          <w:vertAlign w:val="superscript"/>
          <w:lang w:val="en-GB"/>
        </w:rPr>
        <w:t>]</w:t>
      </w:r>
      <w:r>
        <w:rPr>
          <w:rFonts w:ascii="Book Antiqua" w:hAnsi="Book Antiqua"/>
          <w:lang w:val="en-GB"/>
        </w:rPr>
        <w:t>.</w:t>
      </w:r>
    </w:p>
    <w:p w14:paraId="05F7CF05" w14:textId="1128AA46" w:rsidR="00563BB7" w:rsidRDefault="00563BB7" w:rsidP="006A3266">
      <w:pPr>
        <w:widowControl w:val="0"/>
        <w:autoSpaceDE w:val="0"/>
        <w:autoSpaceDN w:val="0"/>
        <w:adjustRightInd w:val="0"/>
        <w:spacing w:line="360" w:lineRule="auto"/>
        <w:ind w:firstLineChars="100" w:firstLine="240"/>
        <w:jc w:val="both"/>
        <w:rPr>
          <w:rFonts w:ascii="Book Antiqua" w:hAnsi="Book Antiqua"/>
          <w:lang w:val="en-GB" w:eastAsia="zh-CN"/>
        </w:rPr>
      </w:pPr>
      <w:r w:rsidRPr="00D43973">
        <w:rPr>
          <w:rFonts w:ascii="Book Antiqua" w:hAnsi="Book Antiqua"/>
          <w:lang w:val="en-GB"/>
        </w:rPr>
        <w:t>Adverse events leading to drug suspension had a cumulative incide</w:t>
      </w:r>
      <w:r>
        <w:rPr>
          <w:rFonts w:ascii="Book Antiqua" w:hAnsi="Book Antiqua"/>
          <w:lang w:val="en-GB"/>
        </w:rPr>
        <w:t>nce of 19.7/1000 patients-month</w:t>
      </w:r>
      <w:r w:rsidRPr="00D43973">
        <w:rPr>
          <w:rFonts w:ascii="Book Antiqua" w:hAnsi="Book Antiqua"/>
          <w:lang w:val="en-GB"/>
        </w:rPr>
        <w:t xml:space="preserve">, with neurological </w:t>
      </w:r>
      <w:r>
        <w:rPr>
          <w:rFonts w:ascii="Book Antiqua" w:hAnsi="Book Antiqua"/>
          <w:lang w:val="en-GB"/>
        </w:rPr>
        <w:t xml:space="preserve">symptoms </w:t>
      </w:r>
      <w:r w:rsidRPr="00D43973">
        <w:rPr>
          <w:rFonts w:ascii="Book Antiqua" w:hAnsi="Book Antiqua"/>
          <w:lang w:val="en-GB"/>
        </w:rPr>
        <w:t xml:space="preserve">being the </w:t>
      </w:r>
      <w:r>
        <w:rPr>
          <w:rFonts w:ascii="Book Antiqua" w:hAnsi="Book Antiqua"/>
          <w:lang w:val="en-GB"/>
        </w:rPr>
        <w:t xml:space="preserve">main </w:t>
      </w:r>
      <w:r w:rsidRPr="00D43973">
        <w:rPr>
          <w:rFonts w:ascii="Book Antiqua" w:hAnsi="Book Antiqua"/>
          <w:lang w:val="en-GB"/>
        </w:rPr>
        <w:t>cause</w:t>
      </w:r>
      <w:r w:rsidRPr="00953227">
        <w:rPr>
          <w:rFonts w:ascii="Book Antiqua" w:hAnsi="Book Antiqua"/>
          <w:vertAlign w:val="superscript"/>
          <w:lang w:val="en-GB"/>
        </w:rPr>
        <w:t>[</w:t>
      </w:r>
      <w:r>
        <w:rPr>
          <w:rFonts w:ascii="Book Antiqua" w:hAnsi="Book Antiqua"/>
          <w:vertAlign w:val="superscript"/>
          <w:lang w:val="en-GB"/>
        </w:rPr>
        <w:t>48</w:t>
      </w:r>
      <w:r w:rsidRPr="001D77F1">
        <w:rPr>
          <w:rFonts w:ascii="Book Antiqua" w:hAnsi="Book Antiqua"/>
          <w:vertAlign w:val="superscript"/>
          <w:lang w:val="en-GB"/>
        </w:rPr>
        <w:t>]</w:t>
      </w:r>
      <w:r w:rsidRPr="00D43973">
        <w:rPr>
          <w:rFonts w:ascii="Book Antiqua" w:hAnsi="Book Antiqua"/>
          <w:lang w:val="en-GB"/>
        </w:rPr>
        <w:t>.</w:t>
      </w:r>
      <w:r>
        <w:rPr>
          <w:rFonts w:ascii="Book Antiqua" w:hAnsi="Book Antiqua" w:hint="eastAsia"/>
          <w:lang w:val="en-GB" w:eastAsia="zh-CN"/>
        </w:rPr>
        <w:t xml:space="preserve"> </w:t>
      </w:r>
      <w:r w:rsidRPr="00D43973">
        <w:rPr>
          <w:rFonts w:ascii="Book Antiqua" w:hAnsi="Book Antiqua"/>
          <w:lang w:val="en-GB"/>
        </w:rPr>
        <w:t xml:space="preserve">This review highlights that thalidomide is an effective alternative </w:t>
      </w:r>
      <w:r>
        <w:rPr>
          <w:rFonts w:ascii="Book Antiqua" w:hAnsi="Book Antiqua"/>
          <w:lang w:val="en-GB"/>
        </w:rPr>
        <w:t>in patients who fail biologic treatment</w:t>
      </w:r>
      <w:r w:rsidRPr="00D43973">
        <w:rPr>
          <w:rFonts w:ascii="Book Antiqua" w:hAnsi="Book Antiqua"/>
          <w:lang w:val="en-GB"/>
        </w:rPr>
        <w:t xml:space="preserve">, </w:t>
      </w:r>
      <w:r>
        <w:rPr>
          <w:rFonts w:ascii="Book Antiqua" w:hAnsi="Book Antiqua"/>
          <w:lang w:val="en-GB"/>
        </w:rPr>
        <w:t xml:space="preserve">which is most likely due to the </w:t>
      </w:r>
      <w:r w:rsidRPr="00D43973">
        <w:rPr>
          <w:rFonts w:ascii="Book Antiqua" w:hAnsi="Book Antiqua"/>
          <w:lang w:val="en-GB"/>
        </w:rPr>
        <w:t>different mechanism of action of Thalidomide compared to anti-TN</w:t>
      </w:r>
      <w:r>
        <w:rPr>
          <w:rFonts w:ascii="Book Antiqua" w:hAnsi="Book Antiqua"/>
          <w:lang w:val="en-GB"/>
        </w:rPr>
        <w:t>F agents</w:t>
      </w:r>
      <w:r w:rsidRPr="00953227">
        <w:rPr>
          <w:rFonts w:ascii="Book Antiqua" w:hAnsi="Book Antiqua"/>
          <w:vertAlign w:val="superscript"/>
          <w:lang w:val="en-GB"/>
        </w:rPr>
        <w:t>[</w:t>
      </w:r>
      <w:r w:rsidR="000F607C">
        <w:rPr>
          <w:rFonts w:ascii="Book Antiqua" w:hAnsi="Book Antiqua" w:hint="eastAsia"/>
          <w:vertAlign w:val="superscript"/>
          <w:lang w:val="en-GB" w:eastAsia="zh-CN"/>
        </w:rPr>
        <w:t>47</w:t>
      </w:r>
      <w:r w:rsidRPr="001D77F1">
        <w:rPr>
          <w:rFonts w:ascii="Book Antiqua" w:hAnsi="Book Antiqua"/>
          <w:vertAlign w:val="superscript"/>
          <w:lang w:val="en-GB"/>
        </w:rPr>
        <w:t>]</w:t>
      </w:r>
      <w:r>
        <w:rPr>
          <w:rFonts w:ascii="Book Antiqua" w:hAnsi="Book Antiqua"/>
          <w:lang w:val="en-GB"/>
        </w:rPr>
        <w:t>.</w:t>
      </w:r>
      <w:r>
        <w:rPr>
          <w:rFonts w:ascii="Book Antiqua" w:hAnsi="Book Antiqua" w:hint="eastAsia"/>
          <w:lang w:val="en-GB" w:eastAsia="zh-CN"/>
        </w:rPr>
        <w:t xml:space="preserve"> </w:t>
      </w:r>
      <w:r w:rsidRPr="00130821">
        <w:rPr>
          <w:rFonts w:ascii="Book Antiqua" w:hAnsi="Book Antiqua"/>
          <w:lang w:val="en-GB"/>
        </w:rPr>
        <w:t>Careful precautions must be taken to avoid its use in pregnant women. No case of teratogen</w:t>
      </w:r>
      <w:r>
        <w:rPr>
          <w:rFonts w:ascii="Book Antiqua" w:hAnsi="Book Antiqua"/>
          <w:lang w:val="en-GB"/>
        </w:rPr>
        <w:t>icity has been observed in 124</w:t>
      </w:r>
      <w:r w:rsidRPr="00130821">
        <w:rPr>
          <w:rFonts w:ascii="Book Antiqua" w:hAnsi="Book Antiqua"/>
          <w:lang w:val="en-GB"/>
        </w:rPr>
        <w:t>000 patients enrolled in the thalidomide distribution risk management program for more than 6 years</w:t>
      </w:r>
      <w:r w:rsidRPr="00953227">
        <w:rPr>
          <w:rFonts w:ascii="Book Antiqua" w:hAnsi="Book Antiqua"/>
          <w:vertAlign w:val="superscript"/>
          <w:lang w:val="en-GB"/>
        </w:rPr>
        <w:t>[</w:t>
      </w:r>
      <w:r w:rsidR="000F607C">
        <w:rPr>
          <w:rFonts w:ascii="Book Antiqua" w:hAnsi="Book Antiqua" w:hint="eastAsia"/>
          <w:vertAlign w:val="superscript"/>
          <w:lang w:val="en-GB" w:eastAsia="zh-CN"/>
        </w:rPr>
        <w:t>49</w:t>
      </w:r>
      <w:r w:rsidRPr="00130821">
        <w:rPr>
          <w:rFonts w:ascii="Book Antiqua" w:hAnsi="Book Antiqua"/>
          <w:vertAlign w:val="superscript"/>
          <w:lang w:val="en-GB"/>
        </w:rPr>
        <w:t>,</w:t>
      </w:r>
      <w:r w:rsidR="000F607C">
        <w:rPr>
          <w:rFonts w:ascii="Book Antiqua" w:hAnsi="Book Antiqua" w:hint="eastAsia"/>
          <w:vertAlign w:val="superscript"/>
          <w:lang w:val="en-GB" w:eastAsia="zh-CN"/>
        </w:rPr>
        <w:t>50</w:t>
      </w:r>
      <w:r w:rsidRPr="00130821">
        <w:rPr>
          <w:rFonts w:ascii="Book Antiqua" w:hAnsi="Book Antiqua"/>
          <w:vertAlign w:val="superscript"/>
          <w:lang w:val="en-GB"/>
        </w:rPr>
        <w:t>]</w:t>
      </w:r>
      <w:r w:rsidRPr="00130821">
        <w:rPr>
          <w:rFonts w:ascii="Book Antiqua" w:hAnsi="Book Antiqua"/>
          <w:lang w:val="en-GB"/>
        </w:rPr>
        <w:t>. Other reported side effects of thalidomide include peripheral neuropathy</w:t>
      </w:r>
      <w:r>
        <w:rPr>
          <w:rFonts w:ascii="Book Antiqua" w:hAnsi="Book Antiqua"/>
          <w:lang w:val="en-GB"/>
        </w:rPr>
        <w:t xml:space="preserve"> (</w:t>
      </w:r>
      <w:r w:rsidRPr="00130821">
        <w:rPr>
          <w:rFonts w:ascii="Book Antiqua" w:hAnsi="Book Antiqua"/>
          <w:lang w:val="en-GB"/>
        </w:rPr>
        <w:t>clinical or subclinical</w:t>
      </w:r>
      <w:r>
        <w:rPr>
          <w:rFonts w:ascii="Book Antiqua" w:hAnsi="Book Antiqua"/>
          <w:lang w:val="en-GB"/>
        </w:rPr>
        <w:t>, primarily with axonal damage) followed by</w:t>
      </w:r>
      <w:r w:rsidRPr="00130821">
        <w:rPr>
          <w:rFonts w:ascii="Book Antiqua" w:hAnsi="Book Antiqua"/>
          <w:lang w:val="en-GB"/>
        </w:rPr>
        <w:t xml:space="preserve"> sedation, constipation, mood disturbances, skin rash, pedal oedema, neutropenia and deep vein thrombosis</w:t>
      </w:r>
      <w:r w:rsidRPr="00953227">
        <w:rPr>
          <w:rFonts w:ascii="Book Antiqua" w:hAnsi="Book Antiqua"/>
          <w:vertAlign w:val="superscript"/>
          <w:lang w:val="en-GB"/>
        </w:rPr>
        <w:t>[</w:t>
      </w:r>
      <w:r w:rsidRPr="00130821">
        <w:rPr>
          <w:rFonts w:ascii="Book Antiqua" w:hAnsi="Book Antiqua"/>
          <w:vertAlign w:val="superscript"/>
          <w:lang w:val="en-GB"/>
        </w:rPr>
        <w:t>5,</w:t>
      </w:r>
      <w:r w:rsidR="000F607C">
        <w:rPr>
          <w:rFonts w:ascii="Book Antiqua" w:hAnsi="Book Antiqua" w:hint="eastAsia"/>
          <w:vertAlign w:val="superscript"/>
          <w:lang w:val="en-GB" w:eastAsia="zh-CN"/>
        </w:rPr>
        <w:t>48</w:t>
      </w:r>
      <w:r w:rsidRPr="00130821">
        <w:rPr>
          <w:rFonts w:ascii="Book Antiqua" w:hAnsi="Book Antiqua"/>
          <w:vertAlign w:val="superscript"/>
          <w:lang w:val="en-GB"/>
        </w:rPr>
        <w:t>]</w:t>
      </w:r>
      <w:r w:rsidRPr="00130821">
        <w:rPr>
          <w:rFonts w:ascii="Book Antiqua" w:hAnsi="Book Antiqua"/>
          <w:lang w:val="en-GB"/>
        </w:rPr>
        <w:t xml:space="preserve">. </w:t>
      </w:r>
    </w:p>
    <w:p w14:paraId="0ECD9EBA" w14:textId="77777777" w:rsidR="00563BB7" w:rsidRPr="00130821" w:rsidRDefault="00563BB7" w:rsidP="006A3266">
      <w:pPr>
        <w:widowControl w:val="0"/>
        <w:autoSpaceDE w:val="0"/>
        <w:autoSpaceDN w:val="0"/>
        <w:adjustRightInd w:val="0"/>
        <w:spacing w:line="360" w:lineRule="auto"/>
        <w:ind w:firstLineChars="100" w:firstLine="240"/>
        <w:jc w:val="both"/>
        <w:rPr>
          <w:rFonts w:ascii="Book Antiqua" w:hAnsi="Book Antiqua"/>
          <w:lang w:val="en-GB" w:eastAsia="zh-CN"/>
        </w:rPr>
      </w:pPr>
    </w:p>
    <w:p w14:paraId="014F09FC" w14:textId="77777777" w:rsidR="00563BB7" w:rsidRPr="00953227" w:rsidRDefault="00563BB7" w:rsidP="006A3266">
      <w:pPr>
        <w:widowControl w:val="0"/>
        <w:autoSpaceDE w:val="0"/>
        <w:autoSpaceDN w:val="0"/>
        <w:adjustRightInd w:val="0"/>
        <w:spacing w:line="360" w:lineRule="auto"/>
        <w:jc w:val="both"/>
        <w:rPr>
          <w:rFonts w:ascii="Book Antiqua" w:hAnsi="Book Antiqua"/>
          <w:b/>
          <w:lang w:val="en-GB" w:eastAsia="zh-CN"/>
        </w:rPr>
      </w:pPr>
      <w:r>
        <w:rPr>
          <w:rFonts w:ascii="Book Antiqua" w:hAnsi="Book Antiqua"/>
          <w:b/>
          <w:lang w:val="en-GB"/>
        </w:rPr>
        <w:lastRenderedPageBreak/>
        <w:t>STUDIES ON NEW TREATMENTS</w:t>
      </w:r>
    </w:p>
    <w:p w14:paraId="503EB5CE" w14:textId="39287493" w:rsidR="00563BB7" w:rsidRDefault="00563BB7" w:rsidP="006A3266">
      <w:pPr>
        <w:widowControl w:val="0"/>
        <w:autoSpaceDE w:val="0"/>
        <w:autoSpaceDN w:val="0"/>
        <w:adjustRightInd w:val="0"/>
        <w:spacing w:line="360" w:lineRule="auto"/>
        <w:jc w:val="both"/>
        <w:rPr>
          <w:rFonts w:ascii="Book Antiqua" w:hAnsi="Book Antiqua"/>
          <w:lang w:val="en-GB" w:eastAsia="zh-CN"/>
        </w:rPr>
      </w:pPr>
      <w:r>
        <w:rPr>
          <w:rFonts w:ascii="Book Antiqua" w:hAnsi="Book Antiqua"/>
          <w:lang w:val="en-GB"/>
        </w:rPr>
        <w:t>New biologics and other agents are being tested in phase II and III trials on adult patients with IBD and are therefore on the horizon within the field of paediatric gastroenterology as well.</w:t>
      </w:r>
      <w:r>
        <w:rPr>
          <w:rFonts w:ascii="Book Antiqua" w:hAnsi="Book Antiqua" w:hint="eastAsia"/>
          <w:lang w:val="en-GB" w:eastAsia="zh-CN"/>
        </w:rPr>
        <w:t xml:space="preserve"> </w:t>
      </w:r>
      <w:r>
        <w:rPr>
          <w:rFonts w:ascii="Book Antiqua" w:hAnsi="Book Antiqua"/>
          <w:lang w:val="en-GB"/>
        </w:rPr>
        <w:t xml:space="preserve">Examples are the </w:t>
      </w:r>
      <w:r w:rsidRPr="009B4D65">
        <w:rPr>
          <w:rFonts w:ascii="Book Antiqua" w:hAnsi="Book Antiqua"/>
        </w:rPr>
        <w:t xml:space="preserve">IL-23 inhibitor risankizumab </w:t>
      </w:r>
      <w:r>
        <w:rPr>
          <w:rFonts w:ascii="Book Antiqua" w:hAnsi="Book Antiqua"/>
        </w:rPr>
        <w:t>and the IL 12- IL 23 inhibitor ustekinumab.</w:t>
      </w:r>
      <w:r>
        <w:rPr>
          <w:rFonts w:ascii="Book Antiqua" w:hAnsi="Book Antiqua" w:hint="eastAsia"/>
          <w:lang w:val="en-GB" w:eastAsia="zh-CN"/>
        </w:rPr>
        <w:t xml:space="preserve"> </w:t>
      </w:r>
      <w:r>
        <w:rPr>
          <w:rFonts w:ascii="Book Antiqua" w:hAnsi="Book Antiqua"/>
          <w:lang w:val="en-GB"/>
        </w:rPr>
        <w:t>Drug therapies that interfere</w:t>
      </w:r>
      <w:r w:rsidRPr="00D43973">
        <w:rPr>
          <w:rFonts w:ascii="Book Antiqua" w:hAnsi="Book Antiqua"/>
          <w:lang w:val="en-GB"/>
        </w:rPr>
        <w:t xml:space="preserve"> selectively with lymphocyte trafficking are </w:t>
      </w:r>
      <w:r>
        <w:rPr>
          <w:rFonts w:ascii="Book Antiqua" w:hAnsi="Book Antiqua"/>
          <w:lang w:val="en-GB"/>
        </w:rPr>
        <w:t xml:space="preserve">also </w:t>
      </w:r>
      <w:r w:rsidRPr="00D43973">
        <w:rPr>
          <w:rFonts w:ascii="Book Antiqua" w:hAnsi="Book Antiqua"/>
          <w:lang w:val="en-GB"/>
        </w:rPr>
        <w:t>emerging treatment options for UC</w:t>
      </w:r>
      <w:r w:rsidRPr="00953227">
        <w:rPr>
          <w:rFonts w:ascii="Book Antiqua" w:hAnsi="Book Antiqua"/>
          <w:vertAlign w:val="superscript"/>
          <w:lang w:val="en-GB"/>
        </w:rPr>
        <w:t>[</w:t>
      </w:r>
      <w:r w:rsidRPr="001D77F1">
        <w:rPr>
          <w:rFonts w:ascii="Book Antiqua" w:hAnsi="Book Antiqua"/>
          <w:vertAlign w:val="superscript"/>
          <w:lang w:val="en-GB"/>
        </w:rPr>
        <w:t>1</w:t>
      </w:r>
      <w:r>
        <w:rPr>
          <w:rFonts w:ascii="Book Antiqua" w:hAnsi="Book Antiqua"/>
          <w:vertAlign w:val="superscript"/>
          <w:lang w:val="en-GB"/>
        </w:rPr>
        <w:t>1</w:t>
      </w:r>
      <w:r w:rsidRPr="001D77F1">
        <w:rPr>
          <w:rFonts w:ascii="Book Antiqua" w:hAnsi="Book Antiqua"/>
          <w:vertAlign w:val="superscript"/>
          <w:lang w:val="en-GB"/>
        </w:rPr>
        <w:t>,</w:t>
      </w:r>
      <w:r w:rsidR="000F607C">
        <w:rPr>
          <w:rFonts w:ascii="Book Antiqua" w:hAnsi="Book Antiqua" w:hint="eastAsia"/>
          <w:vertAlign w:val="superscript"/>
          <w:lang w:val="en-GB" w:eastAsia="zh-CN"/>
        </w:rPr>
        <w:t>51</w:t>
      </w:r>
      <w:r w:rsidRPr="001D77F1">
        <w:rPr>
          <w:rFonts w:ascii="Book Antiqua" w:hAnsi="Book Antiqua"/>
          <w:vertAlign w:val="superscript"/>
          <w:lang w:val="en-GB"/>
        </w:rPr>
        <w:t>]</w:t>
      </w:r>
      <w:r>
        <w:rPr>
          <w:rFonts w:ascii="Book Antiqua" w:hAnsi="Book Antiqua"/>
          <w:lang w:val="en-GB"/>
        </w:rPr>
        <w:t>.</w:t>
      </w:r>
      <w:r>
        <w:rPr>
          <w:rFonts w:ascii="Book Antiqua" w:hAnsi="Book Antiqua" w:hint="eastAsia"/>
          <w:lang w:val="en-GB" w:eastAsia="zh-CN"/>
        </w:rPr>
        <w:t xml:space="preserve"> </w:t>
      </w:r>
      <w:r w:rsidRPr="00D43973">
        <w:rPr>
          <w:rFonts w:ascii="Book Antiqua" w:hAnsi="Book Antiqua"/>
          <w:lang w:val="en-GB"/>
        </w:rPr>
        <w:t xml:space="preserve">Etrolizumab is a humanized monoclonal antibody against the b7 integrin subunit </w:t>
      </w:r>
      <w:r>
        <w:rPr>
          <w:rFonts w:ascii="Book Antiqua" w:hAnsi="Book Antiqua"/>
          <w:lang w:val="en-GB"/>
        </w:rPr>
        <w:t xml:space="preserve">that acts by </w:t>
      </w:r>
      <w:r w:rsidRPr="00D43973">
        <w:rPr>
          <w:rFonts w:ascii="Book Antiqua" w:hAnsi="Book Antiqua"/>
          <w:lang w:val="en-GB"/>
        </w:rPr>
        <w:t>reducing the homing of leukocytes to the gut mucosa and the retention o</w:t>
      </w:r>
      <w:r>
        <w:rPr>
          <w:rFonts w:ascii="Book Antiqua" w:hAnsi="Book Antiqua"/>
          <w:lang w:val="en-GB"/>
        </w:rPr>
        <w:t>f lymphocytes in the epithelium</w:t>
      </w:r>
      <w:r w:rsidRPr="00953227">
        <w:rPr>
          <w:rFonts w:ascii="Book Antiqua" w:hAnsi="Book Antiqua"/>
          <w:vertAlign w:val="superscript"/>
          <w:lang w:val="en-GB"/>
        </w:rPr>
        <w:t>[</w:t>
      </w:r>
      <w:r w:rsidRPr="001D77F1">
        <w:rPr>
          <w:rFonts w:ascii="Book Antiqua" w:hAnsi="Book Antiqua"/>
          <w:vertAlign w:val="superscript"/>
          <w:lang w:val="en-GB"/>
        </w:rPr>
        <w:t>1</w:t>
      </w:r>
      <w:r>
        <w:rPr>
          <w:rFonts w:ascii="Book Antiqua" w:hAnsi="Book Antiqua"/>
          <w:vertAlign w:val="superscript"/>
          <w:lang w:val="en-GB"/>
        </w:rPr>
        <w:t>1</w:t>
      </w:r>
      <w:r w:rsidRPr="001D77F1">
        <w:rPr>
          <w:rFonts w:ascii="Book Antiqua" w:hAnsi="Book Antiqua"/>
          <w:vertAlign w:val="superscript"/>
          <w:lang w:val="en-GB"/>
        </w:rPr>
        <w:t>]</w:t>
      </w:r>
      <w:r>
        <w:rPr>
          <w:rFonts w:ascii="Book Antiqua" w:hAnsi="Book Antiqua"/>
          <w:lang w:val="en-GB"/>
        </w:rPr>
        <w:t>.</w:t>
      </w:r>
      <w:r>
        <w:rPr>
          <w:rFonts w:ascii="Book Antiqua" w:hAnsi="Book Antiqua" w:hint="eastAsia"/>
          <w:lang w:val="en-GB" w:eastAsia="zh-CN"/>
        </w:rPr>
        <w:t xml:space="preserve"> </w:t>
      </w:r>
      <w:r w:rsidRPr="00D43973">
        <w:rPr>
          <w:rFonts w:ascii="Book Antiqua" w:hAnsi="Book Antiqua"/>
          <w:lang w:val="en-GB"/>
        </w:rPr>
        <w:t>It has recent</w:t>
      </w:r>
      <w:r>
        <w:rPr>
          <w:rFonts w:ascii="Book Antiqua" w:hAnsi="Book Antiqua"/>
          <w:lang w:val="en-GB"/>
        </w:rPr>
        <w:t>ly been tested in</w:t>
      </w:r>
      <w:r w:rsidRPr="00D43973">
        <w:rPr>
          <w:rFonts w:ascii="Book Antiqua" w:hAnsi="Book Antiqua"/>
          <w:lang w:val="en-GB"/>
        </w:rPr>
        <w:t xml:space="preserve"> a phase 2 study showing efficacy in pa</w:t>
      </w:r>
      <w:r>
        <w:rPr>
          <w:rFonts w:ascii="Book Antiqua" w:hAnsi="Book Antiqua"/>
          <w:lang w:val="en-GB"/>
        </w:rPr>
        <w:t>tients with moderate to severe UC, compared to placebo</w:t>
      </w:r>
      <w:r w:rsidRPr="00953227">
        <w:rPr>
          <w:rFonts w:ascii="Book Antiqua" w:hAnsi="Book Antiqua"/>
          <w:vertAlign w:val="superscript"/>
          <w:lang w:val="en-GB"/>
        </w:rPr>
        <w:t>[</w:t>
      </w:r>
      <w:r w:rsidRPr="001D77F1">
        <w:rPr>
          <w:rFonts w:ascii="Book Antiqua" w:hAnsi="Book Antiqua"/>
          <w:vertAlign w:val="superscript"/>
          <w:lang w:val="en-GB"/>
        </w:rPr>
        <w:t>1</w:t>
      </w:r>
      <w:r>
        <w:rPr>
          <w:rFonts w:ascii="Book Antiqua" w:hAnsi="Book Antiqua"/>
          <w:vertAlign w:val="superscript"/>
          <w:lang w:val="en-GB"/>
        </w:rPr>
        <w:t>1</w:t>
      </w:r>
      <w:r w:rsidRPr="001D77F1">
        <w:rPr>
          <w:rFonts w:ascii="Book Antiqua" w:hAnsi="Book Antiqua"/>
          <w:vertAlign w:val="superscript"/>
          <w:lang w:val="en-GB"/>
        </w:rPr>
        <w:t>]</w:t>
      </w:r>
      <w:r>
        <w:rPr>
          <w:rFonts w:ascii="Book Antiqua" w:hAnsi="Book Antiqua"/>
          <w:lang w:val="en-GB"/>
        </w:rPr>
        <w:t>.</w:t>
      </w:r>
      <w:r>
        <w:rPr>
          <w:rFonts w:ascii="Book Antiqua" w:hAnsi="Book Antiqua" w:hint="eastAsia"/>
          <w:lang w:val="en-GB" w:eastAsia="zh-CN"/>
        </w:rPr>
        <w:t xml:space="preserve"> </w:t>
      </w:r>
      <w:r w:rsidRPr="00D43973">
        <w:rPr>
          <w:rFonts w:ascii="Book Antiqua" w:hAnsi="Book Antiqua"/>
          <w:lang w:val="en-GB"/>
        </w:rPr>
        <w:t xml:space="preserve">Levels of </w:t>
      </w:r>
      <w:r>
        <w:rPr>
          <w:rFonts w:ascii="Book Antiqua" w:hAnsi="Book Antiqua"/>
          <w:lang w:val="en-GB"/>
        </w:rPr>
        <w:t>granzyme A (</w:t>
      </w:r>
      <w:r w:rsidRPr="00D43973">
        <w:rPr>
          <w:rFonts w:ascii="Book Antiqua" w:hAnsi="Book Antiqua"/>
          <w:lang w:val="en-GB"/>
        </w:rPr>
        <w:t>GZMA</w:t>
      </w:r>
      <w:r>
        <w:rPr>
          <w:rFonts w:ascii="Book Antiqua" w:hAnsi="Book Antiqua"/>
          <w:lang w:val="en-GB"/>
        </w:rPr>
        <w:t>)</w:t>
      </w:r>
      <w:r w:rsidRPr="00D43973">
        <w:rPr>
          <w:rFonts w:ascii="Book Antiqua" w:hAnsi="Book Antiqua"/>
          <w:lang w:val="en-GB"/>
        </w:rPr>
        <w:t xml:space="preserve"> and </w:t>
      </w:r>
      <w:r>
        <w:rPr>
          <w:rFonts w:ascii="Book Antiqua" w:hAnsi="Book Antiqua"/>
          <w:lang w:val="en-GB"/>
        </w:rPr>
        <w:t>integrin aE (</w:t>
      </w:r>
      <w:r w:rsidRPr="00D43973">
        <w:rPr>
          <w:rFonts w:ascii="Book Antiqua" w:hAnsi="Book Antiqua"/>
          <w:lang w:val="en-GB"/>
        </w:rPr>
        <w:t>ITGAE</w:t>
      </w:r>
      <w:r>
        <w:rPr>
          <w:rFonts w:ascii="Book Antiqua" w:hAnsi="Book Antiqua"/>
          <w:lang w:val="en-GB"/>
        </w:rPr>
        <w:t>)</w:t>
      </w:r>
      <w:r w:rsidRPr="00D43973">
        <w:rPr>
          <w:rFonts w:ascii="Book Antiqua" w:hAnsi="Book Antiqua"/>
          <w:lang w:val="en-GB"/>
        </w:rPr>
        <w:t xml:space="preserve"> mRNAs in colon tissues can identify patients with UC who are most like</w:t>
      </w:r>
      <w:r>
        <w:rPr>
          <w:rFonts w:ascii="Book Antiqua" w:hAnsi="Book Antiqua"/>
          <w:lang w:val="en-GB"/>
        </w:rPr>
        <w:t>ly to benefit from etrolizumab</w:t>
      </w:r>
      <w:r w:rsidRPr="00953227">
        <w:rPr>
          <w:rFonts w:ascii="Book Antiqua" w:hAnsi="Book Antiqua"/>
          <w:vertAlign w:val="superscript"/>
          <w:lang w:val="en-GB"/>
        </w:rPr>
        <w:t>[</w:t>
      </w:r>
      <w:r w:rsidRPr="001D77F1">
        <w:rPr>
          <w:rFonts w:ascii="Book Antiqua" w:hAnsi="Book Antiqua"/>
          <w:vertAlign w:val="superscript"/>
          <w:lang w:val="en-GB"/>
        </w:rPr>
        <w:t>1</w:t>
      </w:r>
      <w:r>
        <w:rPr>
          <w:rFonts w:ascii="Book Antiqua" w:hAnsi="Book Antiqua"/>
          <w:vertAlign w:val="superscript"/>
          <w:lang w:val="en-GB"/>
        </w:rPr>
        <w:t>1</w:t>
      </w:r>
      <w:r w:rsidRPr="001D77F1">
        <w:rPr>
          <w:rFonts w:ascii="Book Antiqua" w:hAnsi="Book Antiqua"/>
          <w:vertAlign w:val="superscript"/>
          <w:lang w:val="en-GB"/>
        </w:rPr>
        <w:t>]</w:t>
      </w:r>
      <w:r w:rsidRPr="00D43973">
        <w:rPr>
          <w:rFonts w:ascii="Book Antiqua" w:hAnsi="Book Antiqua"/>
          <w:lang w:val="en-GB"/>
        </w:rPr>
        <w:t xml:space="preserve"> </w:t>
      </w:r>
      <w:r>
        <w:rPr>
          <w:rFonts w:ascii="Book Antiqua" w:hAnsi="Book Antiqua"/>
          <w:lang w:val="en-GB"/>
        </w:rPr>
        <w:t>(Table 1)</w:t>
      </w:r>
      <w:r>
        <w:rPr>
          <w:rFonts w:ascii="Book Antiqua" w:hAnsi="Book Antiqua" w:hint="eastAsia"/>
          <w:lang w:val="en-GB" w:eastAsia="zh-CN"/>
        </w:rPr>
        <w:t>.</w:t>
      </w:r>
    </w:p>
    <w:p w14:paraId="10D16E97" w14:textId="76B7FE93" w:rsidR="00563BB7" w:rsidRPr="00D43973"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Pr>
          <w:rFonts w:ascii="Book Antiqua" w:hAnsi="Book Antiqua"/>
          <w:lang w:val="en-GB"/>
        </w:rPr>
        <w:t xml:space="preserve">Another agent recently developed is </w:t>
      </w:r>
      <w:r w:rsidRPr="00D43973">
        <w:rPr>
          <w:rFonts w:ascii="Book Antiqua" w:hAnsi="Book Antiqua"/>
          <w:lang w:val="en-GB"/>
        </w:rPr>
        <w:t>Ozanim</w:t>
      </w:r>
      <w:r>
        <w:rPr>
          <w:rFonts w:ascii="Book Antiqua" w:hAnsi="Book Antiqua"/>
          <w:lang w:val="en-GB"/>
        </w:rPr>
        <w:t>od (RPC1063),</w:t>
      </w:r>
      <w:r w:rsidRPr="00D43973">
        <w:rPr>
          <w:rFonts w:ascii="Book Antiqua" w:hAnsi="Book Antiqua"/>
          <w:lang w:val="en-GB"/>
        </w:rPr>
        <w:t xml:space="preserve"> an oral agonist of the sphingosine-1-phosphate receptor subtypes 1 and 5 that induces </w:t>
      </w:r>
      <w:r>
        <w:rPr>
          <w:rFonts w:ascii="Book Antiqua" w:hAnsi="Book Antiqua"/>
          <w:lang w:val="en-GB"/>
        </w:rPr>
        <w:t xml:space="preserve">sequestration of </w:t>
      </w:r>
      <w:r w:rsidRPr="00D43973">
        <w:rPr>
          <w:rFonts w:ascii="Book Antiqua" w:hAnsi="Book Antiqua"/>
          <w:lang w:val="en-GB"/>
        </w:rPr>
        <w:t>per</w:t>
      </w:r>
      <w:r>
        <w:rPr>
          <w:rFonts w:ascii="Book Antiqua" w:hAnsi="Book Antiqua"/>
          <w:lang w:val="en-GB"/>
        </w:rPr>
        <w:t>ipheral lymphocytes</w:t>
      </w:r>
      <w:r w:rsidRPr="00D43973">
        <w:rPr>
          <w:rFonts w:ascii="Book Antiqua" w:hAnsi="Book Antiqua"/>
          <w:lang w:val="en-GB"/>
        </w:rPr>
        <w:t xml:space="preserve">, </w:t>
      </w:r>
      <w:r>
        <w:rPr>
          <w:rFonts w:ascii="Book Antiqua" w:hAnsi="Book Antiqua"/>
          <w:lang w:val="en-GB"/>
        </w:rPr>
        <w:t xml:space="preserve">and as a consequence a decrease in </w:t>
      </w:r>
      <w:r w:rsidRPr="00D43973">
        <w:rPr>
          <w:rFonts w:ascii="Book Antiqua" w:hAnsi="Book Antiqua"/>
          <w:lang w:val="en-GB"/>
        </w:rPr>
        <w:t>the number of activated lymphocytes circulating to the gastrointestinal tract</w:t>
      </w:r>
      <w:r w:rsidRPr="00953227">
        <w:rPr>
          <w:rFonts w:ascii="Book Antiqua" w:hAnsi="Book Antiqua"/>
          <w:vertAlign w:val="superscript"/>
          <w:lang w:val="en-GB"/>
        </w:rPr>
        <w:t>[</w:t>
      </w:r>
      <w:r w:rsidR="000F607C">
        <w:rPr>
          <w:rFonts w:ascii="Book Antiqua" w:hAnsi="Book Antiqua" w:hint="eastAsia"/>
          <w:vertAlign w:val="superscript"/>
          <w:lang w:val="en-GB" w:eastAsia="zh-CN"/>
        </w:rPr>
        <w:t>51</w:t>
      </w:r>
      <w:r w:rsidRPr="001D77F1">
        <w:rPr>
          <w:rFonts w:ascii="Book Antiqua" w:hAnsi="Book Antiqua"/>
          <w:vertAlign w:val="superscript"/>
          <w:lang w:val="en-GB"/>
        </w:rPr>
        <w:t>]</w:t>
      </w:r>
      <w:r w:rsidRPr="00D43973">
        <w:rPr>
          <w:rFonts w:ascii="Book Antiqua" w:hAnsi="Book Antiqua"/>
          <w:lang w:val="en-GB"/>
        </w:rPr>
        <w:t>.</w:t>
      </w:r>
      <w:r>
        <w:rPr>
          <w:rFonts w:ascii="Book Antiqua" w:hAnsi="Book Antiqua" w:hint="eastAsia"/>
          <w:lang w:val="en-GB" w:eastAsia="zh-CN"/>
        </w:rPr>
        <w:t xml:space="preserve"> </w:t>
      </w:r>
      <w:r>
        <w:rPr>
          <w:rFonts w:ascii="Book Antiqua" w:hAnsi="Book Antiqua"/>
          <w:lang w:val="en-GB"/>
        </w:rPr>
        <w:t xml:space="preserve">Its </w:t>
      </w:r>
      <w:r w:rsidRPr="00D43973">
        <w:rPr>
          <w:rFonts w:ascii="Book Antiqua" w:hAnsi="Book Antiqua"/>
          <w:lang w:val="en-GB"/>
        </w:rPr>
        <w:t xml:space="preserve">agonists induce internalization and degradation of the S1P1 receptor, </w:t>
      </w:r>
      <w:r>
        <w:rPr>
          <w:rFonts w:ascii="Book Antiqua" w:hAnsi="Book Antiqua"/>
          <w:lang w:val="en-GB"/>
        </w:rPr>
        <w:t xml:space="preserve">which makes </w:t>
      </w:r>
      <w:r w:rsidRPr="00D43973">
        <w:rPr>
          <w:rFonts w:ascii="Book Antiqua" w:hAnsi="Book Antiqua"/>
          <w:lang w:val="en-GB"/>
        </w:rPr>
        <w:t xml:space="preserve">B and T lymphocytes incapable of migrating from secondary lymphoid organs, </w:t>
      </w:r>
      <w:r>
        <w:rPr>
          <w:rFonts w:ascii="Book Antiqua" w:hAnsi="Book Antiqua"/>
          <w:lang w:val="en-GB"/>
        </w:rPr>
        <w:t xml:space="preserve">with subsequent </w:t>
      </w:r>
      <w:r w:rsidRPr="00D43973">
        <w:rPr>
          <w:rFonts w:ascii="Book Antiqua" w:hAnsi="Book Antiqua"/>
          <w:lang w:val="en-GB"/>
        </w:rPr>
        <w:t>reduction in circulating lymphocytes</w:t>
      </w:r>
      <w:r w:rsidRPr="00953227">
        <w:rPr>
          <w:rFonts w:ascii="Book Antiqua" w:hAnsi="Book Antiqua"/>
          <w:vertAlign w:val="superscript"/>
          <w:lang w:val="en-GB"/>
        </w:rPr>
        <w:t>[</w:t>
      </w:r>
      <w:r w:rsidR="000F607C">
        <w:rPr>
          <w:rFonts w:ascii="Book Antiqua" w:hAnsi="Book Antiqua" w:hint="eastAsia"/>
          <w:vertAlign w:val="superscript"/>
          <w:lang w:val="en-GB" w:eastAsia="zh-CN"/>
        </w:rPr>
        <w:t>51</w:t>
      </w:r>
      <w:r w:rsidRPr="001D77F1">
        <w:rPr>
          <w:rFonts w:ascii="Book Antiqua" w:hAnsi="Book Antiqua"/>
          <w:vertAlign w:val="superscript"/>
          <w:lang w:val="en-GB"/>
        </w:rPr>
        <w:t>]</w:t>
      </w:r>
      <w:r>
        <w:rPr>
          <w:rFonts w:ascii="Book Antiqua" w:hAnsi="Book Antiqua"/>
          <w:lang w:val="en-GB"/>
        </w:rPr>
        <w:t>. Being an</w:t>
      </w:r>
      <w:r w:rsidRPr="00D43973">
        <w:rPr>
          <w:rFonts w:ascii="Book Antiqua" w:hAnsi="Book Antiqua"/>
          <w:lang w:val="en-GB"/>
        </w:rPr>
        <w:t xml:space="preserve"> oral formulation</w:t>
      </w:r>
      <w:r>
        <w:rPr>
          <w:rFonts w:ascii="Book Antiqua" w:hAnsi="Book Antiqua"/>
          <w:lang w:val="en-GB"/>
        </w:rPr>
        <w:t>, Ozanimod</w:t>
      </w:r>
      <w:r w:rsidRPr="00D43973">
        <w:rPr>
          <w:rFonts w:ascii="Book Antiqua" w:hAnsi="Book Antiqua"/>
          <w:lang w:val="en-GB"/>
        </w:rPr>
        <w:t xml:space="preserve"> represents an alternative to </w:t>
      </w:r>
      <w:r>
        <w:rPr>
          <w:rFonts w:ascii="Book Antiqua" w:hAnsi="Book Antiqua"/>
          <w:lang w:val="en-GB"/>
        </w:rPr>
        <w:t xml:space="preserve">infusions of </w:t>
      </w:r>
      <w:r w:rsidRPr="00D43973">
        <w:rPr>
          <w:rFonts w:ascii="Book Antiqua" w:hAnsi="Book Antiqua"/>
          <w:lang w:val="en-GB"/>
        </w:rPr>
        <w:t>monoclonal antibodies for the treatment of UC</w:t>
      </w:r>
      <w:r>
        <w:rPr>
          <w:rFonts w:ascii="Book Antiqua" w:hAnsi="Book Antiqua"/>
          <w:lang w:val="en-GB"/>
        </w:rPr>
        <w:t xml:space="preserve">, with no risk of </w:t>
      </w:r>
      <w:r w:rsidRPr="00D43973">
        <w:rPr>
          <w:rFonts w:ascii="Book Antiqua" w:hAnsi="Book Antiqua"/>
          <w:lang w:val="en-GB"/>
        </w:rPr>
        <w:t xml:space="preserve">sensitization </w:t>
      </w:r>
      <w:r>
        <w:rPr>
          <w:rFonts w:ascii="Book Antiqua" w:hAnsi="Book Antiqua"/>
          <w:lang w:val="en-GB"/>
        </w:rPr>
        <w:t xml:space="preserve">and </w:t>
      </w:r>
      <w:r w:rsidRPr="00D43973">
        <w:rPr>
          <w:rFonts w:ascii="Book Antiqua" w:hAnsi="Book Antiqua"/>
          <w:lang w:val="en-GB"/>
        </w:rPr>
        <w:t xml:space="preserve">formation of antidrug antibodies. On the other hand, this product can be less selective than monoclonal antibodies, which may </w:t>
      </w:r>
      <w:r>
        <w:rPr>
          <w:rFonts w:ascii="Book Antiqua" w:hAnsi="Book Antiqua"/>
          <w:lang w:val="en-GB"/>
        </w:rPr>
        <w:t xml:space="preserve">expose to </w:t>
      </w:r>
      <w:r w:rsidRPr="00D43973">
        <w:rPr>
          <w:rFonts w:ascii="Book Antiqua" w:hAnsi="Book Antiqua"/>
          <w:lang w:val="en-GB"/>
        </w:rPr>
        <w:t>adverse effects</w:t>
      </w:r>
      <w:r w:rsidRPr="00953227">
        <w:rPr>
          <w:rFonts w:ascii="Book Antiqua" w:hAnsi="Book Antiqua"/>
          <w:vertAlign w:val="superscript"/>
          <w:lang w:val="en-GB"/>
        </w:rPr>
        <w:t>[</w:t>
      </w:r>
      <w:r w:rsidR="000F607C">
        <w:rPr>
          <w:rFonts w:ascii="Book Antiqua" w:hAnsi="Book Antiqua" w:hint="eastAsia"/>
          <w:vertAlign w:val="superscript"/>
          <w:lang w:val="en-GB" w:eastAsia="zh-CN"/>
        </w:rPr>
        <w:t>51</w:t>
      </w:r>
      <w:r w:rsidRPr="001D77F1">
        <w:rPr>
          <w:rFonts w:ascii="Book Antiqua" w:hAnsi="Book Antiqua"/>
          <w:vertAlign w:val="superscript"/>
          <w:lang w:val="en-GB"/>
        </w:rPr>
        <w:t>]</w:t>
      </w:r>
      <w:r w:rsidRPr="00D43973">
        <w:rPr>
          <w:rFonts w:ascii="Book Antiqua" w:hAnsi="Book Antiqua"/>
          <w:lang w:val="en-GB"/>
        </w:rPr>
        <w:t>.</w:t>
      </w:r>
    </w:p>
    <w:p w14:paraId="4D8C5220" w14:textId="354C2E71" w:rsidR="00563BB7" w:rsidRPr="00D43973" w:rsidRDefault="00563BB7" w:rsidP="006A3266">
      <w:pPr>
        <w:widowControl w:val="0"/>
        <w:autoSpaceDE w:val="0"/>
        <w:autoSpaceDN w:val="0"/>
        <w:adjustRightInd w:val="0"/>
        <w:spacing w:line="360" w:lineRule="auto"/>
        <w:ind w:firstLineChars="150" w:firstLine="360"/>
        <w:jc w:val="both"/>
        <w:rPr>
          <w:rFonts w:ascii="Book Antiqua" w:hAnsi="Book Antiqua"/>
          <w:lang w:val="en-GB" w:eastAsia="zh-CN"/>
        </w:rPr>
      </w:pPr>
      <w:r w:rsidRPr="00D43973">
        <w:rPr>
          <w:rFonts w:ascii="Book Antiqua" w:hAnsi="Book Antiqua"/>
          <w:lang w:val="en-GB"/>
        </w:rPr>
        <w:t>Sandborn</w:t>
      </w:r>
      <w:r w:rsidRPr="00953227">
        <w:rPr>
          <w:rFonts w:ascii="Book Antiqua" w:hAnsi="Book Antiqua" w:hint="eastAsia"/>
          <w:i/>
          <w:lang w:val="en-GB" w:eastAsia="zh-CN"/>
        </w:rPr>
        <w:t xml:space="preserve"> </w:t>
      </w:r>
      <w:r w:rsidRPr="00953227">
        <w:rPr>
          <w:rFonts w:ascii="Book Antiqua" w:hAnsi="Book Antiqua"/>
          <w:i/>
          <w:lang w:val="en-GB"/>
        </w:rPr>
        <w:t>et al</w:t>
      </w:r>
      <w:r w:rsidRPr="00953227">
        <w:rPr>
          <w:rFonts w:ascii="Book Antiqua" w:hAnsi="Book Antiqua"/>
          <w:vertAlign w:val="superscript"/>
          <w:lang w:val="en-GB"/>
        </w:rPr>
        <w:t>[</w:t>
      </w:r>
      <w:r w:rsidR="000F607C">
        <w:rPr>
          <w:rFonts w:ascii="Book Antiqua" w:hAnsi="Book Antiqua" w:hint="eastAsia"/>
          <w:vertAlign w:val="superscript"/>
          <w:lang w:val="en-GB" w:eastAsia="zh-CN"/>
        </w:rPr>
        <w:t>51</w:t>
      </w:r>
      <w:r w:rsidRPr="004F1DAE">
        <w:rPr>
          <w:rFonts w:ascii="Book Antiqua" w:hAnsi="Book Antiqua"/>
          <w:vertAlign w:val="superscript"/>
          <w:lang w:val="en-GB"/>
        </w:rPr>
        <w:t>]</w:t>
      </w:r>
      <w:r w:rsidRPr="00D43973">
        <w:rPr>
          <w:rFonts w:ascii="Book Antiqua" w:hAnsi="Book Antiqua"/>
          <w:lang w:val="en-GB"/>
        </w:rPr>
        <w:t xml:space="preserve"> performed a double-blind, placebo-controlled phase 2 trial of Ozanimod in 197 adults with moderate-to-severe UC. Clinical remission at 8 </w:t>
      </w:r>
      <w:r w:rsidR="000F607C">
        <w:rPr>
          <w:rFonts w:ascii="Book Antiqua" w:hAnsi="Book Antiqua" w:hint="eastAsia"/>
          <w:lang w:val="en-GB" w:eastAsia="zh-CN"/>
        </w:rPr>
        <w:t>wk</w:t>
      </w:r>
      <w:r w:rsidR="000F607C" w:rsidRPr="00D43973">
        <w:rPr>
          <w:rFonts w:ascii="Book Antiqua" w:hAnsi="Book Antiqua"/>
          <w:lang w:val="en-GB"/>
        </w:rPr>
        <w:t xml:space="preserve"> </w:t>
      </w:r>
      <w:r>
        <w:rPr>
          <w:rFonts w:ascii="Book Antiqua" w:hAnsi="Book Antiqua"/>
          <w:lang w:val="en-GB"/>
        </w:rPr>
        <w:t xml:space="preserve">was observed </w:t>
      </w:r>
      <w:r w:rsidRPr="00D43973">
        <w:rPr>
          <w:rFonts w:ascii="Book Antiqua" w:hAnsi="Book Antiqua"/>
          <w:lang w:val="en-GB"/>
        </w:rPr>
        <w:t>in 16% of the patients who received 1 mg of Ozanimod and in 14% of those who received 0.5 mg, as compared with 6% of those who received placebo (</w:t>
      </w:r>
      <w:r w:rsidRPr="00953227">
        <w:rPr>
          <w:rFonts w:ascii="Book Antiqua" w:hAnsi="Book Antiqua"/>
          <w:i/>
          <w:lang w:val="en-GB"/>
        </w:rPr>
        <w:t>P</w:t>
      </w:r>
      <w:r w:rsidRPr="00D43973">
        <w:rPr>
          <w:rFonts w:ascii="Book Antiqua" w:hAnsi="Book Antiqua"/>
          <w:lang w:val="en-GB"/>
        </w:rPr>
        <w:t xml:space="preserve"> = 0.</w:t>
      </w:r>
      <w:r>
        <w:rPr>
          <w:rFonts w:ascii="Book Antiqua" w:hAnsi="Book Antiqua"/>
          <w:lang w:val="en-GB"/>
        </w:rPr>
        <w:t>048,</w:t>
      </w:r>
      <w:r w:rsidRPr="004F1DAE">
        <w:rPr>
          <w:rFonts w:ascii="Book Antiqua" w:hAnsi="Book Antiqua"/>
          <w:lang w:val="en-GB"/>
        </w:rPr>
        <w:t xml:space="preserve"> </w:t>
      </w:r>
      <w:r w:rsidRPr="00953227">
        <w:rPr>
          <w:rFonts w:ascii="Book Antiqua" w:hAnsi="Book Antiqua"/>
          <w:i/>
          <w:lang w:val="en-GB"/>
        </w:rPr>
        <w:t>P</w:t>
      </w:r>
      <w:r w:rsidRPr="004F1DAE">
        <w:rPr>
          <w:rFonts w:ascii="Book Antiqua" w:hAnsi="Book Antiqua"/>
          <w:lang w:val="en-GB"/>
        </w:rPr>
        <w:t xml:space="preserve"> </w:t>
      </w:r>
      <w:r>
        <w:rPr>
          <w:rFonts w:ascii="Book Antiqua" w:hAnsi="Book Antiqua"/>
          <w:lang w:val="en-GB"/>
        </w:rPr>
        <w:t>= 0.14, respectively</w:t>
      </w:r>
      <w:r w:rsidRPr="004F1DAE">
        <w:rPr>
          <w:rFonts w:ascii="Book Antiqua" w:hAnsi="Book Antiqua"/>
          <w:lang w:val="en-GB"/>
        </w:rPr>
        <w:t>)</w:t>
      </w:r>
      <w:r>
        <w:rPr>
          <w:rFonts w:ascii="Book Antiqua" w:hAnsi="Book Antiqua" w:hint="eastAsia"/>
          <w:lang w:val="en-GB" w:eastAsia="zh-CN"/>
        </w:rPr>
        <w:t xml:space="preserve"> </w:t>
      </w:r>
      <w:r w:rsidRPr="004F1DAE">
        <w:rPr>
          <w:rFonts w:ascii="Book Antiqua" w:hAnsi="Book Antiqua"/>
          <w:lang w:val="en-GB"/>
        </w:rPr>
        <w:t>(Table 1)</w:t>
      </w:r>
      <w:r>
        <w:rPr>
          <w:rFonts w:ascii="Book Antiqua" w:hAnsi="Book Antiqua" w:hint="eastAsia"/>
          <w:lang w:val="en-GB" w:eastAsia="zh-CN"/>
        </w:rPr>
        <w:t>.</w:t>
      </w:r>
    </w:p>
    <w:p w14:paraId="1B37631A" w14:textId="469E6D6E" w:rsidR="00563BB7" w:rsidRPr="00D43973"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sidRPr="00D43973">
        <w:rPr>
          <w:rFonts w:ascii="Book Antiqua" w:hAnsi="Book Antiqua"/>
          <w:lang w:val="en-GB"/>
        </w:rPr>
        <w:t xml:space="preserve">At week 32, the rate of clinical remission was 21% in the group that received 1 mg of Ozanimod, 26% in the group that received 0.5 mg of Ozanimod, and 6% in the </w:t>
      </w:r>
      <w:r w:rsidRPr="00D43973">
        <w:rPr>
          <w:rFonts w:ascii="Book Antiqua" w:hAnsi="Book Antiqua"/>
          <w:lang w:val="en-GB"/>
        </w:rPr>
        <w:lastRenderedPageBreak/>
        <w:t>group that received placebo; the rate of clinical response was 51%, 35%, and 20%, respectively</w:t>
      </w:r>
      <w:r w:rsidRPr="00953227">
        <w:rPr>
          <w:rFonts w:ascii="Book Antiqua" w:hAnsi="Book Antiqua"/>
          <w:vertAlign w:val="superscript"/>
          <w:lang w:val="en-GB"/>
        </w:rPr>
        <w:t>[</w:t>
      </w:r>
      <w:r w:rsidR="000F607C">
        <w:rPr>
          <w:rFonts w:ascii="Book Antiqua" w:hAnsi="Book Antiqua" w:hint="eastAsia"/>
          <w:vertAlign w:val="superscript"/>
          <w:lang w:val="en-GB" w:eastAsia="zh-CN"/>
        </w:rPr>
        <w:t>51</w:t>
      </w:r>
      <w:r w:rsidRPr="001D77F1">
        <w:rPr>
          <w:rFonts w:ascii="Book Antiqua" w:hAnsi="Book Antiqua"/>
          <w:vertAlign w:val="superscript"/>
          <w:lang w:val="en-GB"/>
        </w:rPr>
        <w:t>]</w:t>
      </w:r>
      <w:r w:rsidRPr="00D43973">
        <w:rPr>
          <w:rFonts w:ascii="Book Antiqua" w:hAnsi="Book Antiqua"/>
          <w:lang w:val="en-GB"/>
        </w:rPr>
        <w:t xml:space="preserve">. </w:t>
      </w:r>
    </w:p>
    <w:p w14:paraId="36E1AF3E" w14:textId="46D900A2" w:rsidR="00563BB7" w:rsidRPr="00D43973" w:rsidRDefault="00563BB7" w:rsidP="006A3266">
      <w:pPr>
        <w:widowControl w:val="0"/>
        <w:autoSpaceDE w:val="0"/>
        <w:autoSpaceDN w:val="0"/>
        <w:adjustRightInd w:val="0"/>
        <w:spacing w:line="360" w:lineRule="auto"/>
        <w:ind w:firstLineChars="150" w:firstLine="360"/>
        <w:jc w:val="both"/>
        <w:rPr>
          <w:rFonts w:ascii="Book Antiqua" w:hAnsi="Book Antiqua"/>
          <w:lang w:val="en-GB"/>
        </w:rPr>
      </w:pPr>
      <w:r w:rsidRPr="00D43973">
        <w:rPr>
          <w:rFonts w:ascii="Book Antiqua" w:hAnsi="Book Antiqua"/>
          <w:lang w:val="en-GB"/>
        </w:rPr>
        <w:t>At week 8, absolute lymphocyte counts dropped by 49% from baseline in the group that received 1 mg of Ozanimod and by 32% from baseline in the group that received 0.5 mg</w:t>
      </w:r>
      <w:r w:rsidRPr="00953227">
        <w:rPr>
          <w:rFonts w:ascii="Book Antiqua" w:hAnsi="Book Antiqua"/>
          <w:vertAlign w:val="superscript"/>
          <w:lang w:val="en-GB"/>
        </w:rPr>
        <w:t>[</w:t>
      </w:r>
      <w:r w:rsidR="000F607C">
        <w:rPr>
          <w:rFonts w:ascii="Book Antiqua" w:hAnsi="Book Antiqua" w:hint="eastAsia"/>
          <w:vertAlign w:val="superscript"/>
          <w:lang w:val="en-GB" w:eastAsia="zh-CN"/>
        </w:rPr>
        <w:t>51</w:t>
      </w:r>
      <w:r w:rsidRPr="001D77F1">
        <w:rPr>
          <w:rFonts w:ascii="Book Antiqua" w:hAnsi="Book Antiqua"/>
          <w:vertAlign w:val="superscript"/>
          <w:lang w:val="en-GB"/>
        </w:rPr>
        <w:t>]</w:t>
      </w:r>
      <w:r w:rsidRPr="00D43973">
        <w:rPr>
          <w:rFonts w:ascii="Book Antiqua" w:hAnsi="Book Antiqua"/>
          <w:lang w:val="en-GB"/>
        </w:rPr>
        <w:t>. The most common adverse events overall were anemia and headache</w:t>
      </w:r>
      <w:r w:rsidRPr="00953227">
        <w:rPr>
          <w:rFonts w:ascii="Book Antiqua" w:hAnsi="Book Antiqua"/>
          <w:vertAlign w:val="superscript"/>
          <w:lang w:val="en-GB"/>
        </w:rPr>
        <w:t>[</w:t>
      </w:r>
      <w:r>
        <w:rPr>
          <w:rFonts w:ascii="Book Antiqua" w:hAnsi="Book Antiqua"/>
          <w:vertAlign w:val="superscript"/>
          <w:lang w:val="en-GB"/>
        </w:rPr>
        <w:t>52</w:t>
      </w:r>
      <w:r w:rsidRPr="001D77F1">
        <w:rPr>
          <w:rFonts w:ascii="Book Antiqua" w:hAnsi="Book Antiqua"/>
          <w:vertAlign w:val="superscript"/>
          <w:lang w:val="en-GB"/>
        </w:rPr>
        <w:t>]</w:t>
      </w:r>
      <w:r w:rsidRPr="00D43973">
        <w:rPr>
          <w:rFonts w:ascii="Book Antiqua" w:hAnsi="Book Antiqua"/>
          <w:lang w:val="en-GB"/>
        </w:rPr>
        <w:t xml:space="preserve">. </w:t>
      </w:r>
    </w:p>
    <w:p w14:paraId="0B0CAC5A" w14:textId="0DFA215E" w:rsidR="00563BB7"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sidRPr="00D43973">
        <w:rPr>
          <w:rFonts w:ascii="Book Antiqua" w:hAnsi="Book Antiqua"/>
          <w:lang w:val="en-GB"/>
        </w:rPr>
        <w:t xml:space="preserve">From this preliminary trial, the Authors conclude that Ozanimod at a daily dose of 1 mg is more effective than placebo in inducing clinical remission of UC. </w:t>
      </w:r>
      <w:r>
        <w:rPr>
          <w:rFonts w:ascii="Book Antiqua" w:hAnsi="Book Antiqua"/>
          <w:lang w:val="en-GB"/>
        </w:rPr>
        <w:t>However, c</w:t>
      </w:r>
      <w:r w:rsidRPr="00D43973">
        <w:rPr>
          <w:rFonts w:ascii="Book Antiqua" w:hAnsi="Book Antiqua"/>
          <w:lang w:val="en-GB"/>
        </w:rPr>
        <w:t>omplete assessment of clinical efficacy and safety could not be achieved by this trial due to l</w:t>
      </w:r>
      <w:r>
        <w:rPr>
          <w:rFonts w:ascii="Book Antiqua" w:hAnsi="Book Antiqua"/>
          <w:lang w:val="en-GB"/>
        </w:rPr>
        <w:t>imitations in size and duration</w:t>
      </w:r>
      <w:r w:rsidRPr="00953227">
        <w:rPr>
          <w:rFonts w:ascii="Book Antiqua" w:hAnsi="Book Antiqua"/>
          <w:vertAlign w:val="superscript"/>
          <w:lang w:val="en-GB"/>
        </w:rPr>
        <w:t>[</w:t>
      </w:r>
      <w:r w:rsidR="000F607C">
        <w:rPr>
          <w:rFonts w:ascii="Book Antiqua" w:hAnsi="Book Antiqua" w:hint="eastAsia"/>
          <w:vertAlign w:val="superscript"/>
          <w:lang w:val="en-GB" w:eastAsia="zh-CN"/>
        </w:rPr>
        <w:t>51</w:t>
      </w:r>
      <w:r w:rsidRPr="001D77F1">
        <w:rPr>
          <w:rFonts w:ascii="Book Antiqua" w:hAnsi="Book Antiqua"/>
          <w:vertAlign w:val="superscript"/>
          <w:lang w:val="en-GB"/>
        </w:rPr>
        <w:t>]</w:t>
      </w:r>
      <w:r>
        <w:rPr>
          <w:rFonts w:ascii="Book Antiqua" w:hAnsi="Book Antiqua"/>
          <w:lang w:val="en-GB"/>
        </w:rPr>
        <w:t>.</w:t>
      </w:r>
      <w:r>
        <w:rPr>
          <w:rFonts w:ascii="Book Antiqua" w:hAnsi="Book Antiqua" w:hint="eastAsia"/>
          <w:lang w:val="en-GB" w:eastAsia="zh-CN"/>
        </w:rPr>
        <w:t xml:space="preserve"> </w:t>
      </w:r>
      <w:r>
        <w:rPr>
          <w:rFonts w:ascii="Book Antiqua" w:hAnsi="Book Antiqua"/>
          <w:lang w:val="en-GB"/>
        </w:rPr>
        <w:t>Another monoclonal antibody recently investigated is the anti-NKG2D, which acts by</w:t>
      </w:r>
      <w:r w:rsidRPr="00D43973">
        <w:rPr>
          <w:rFonts w:ascii="Book Antiqua" w:hAnsi="Book Antiqua"/>
          <w:lang w:val="en-GB"/>
        </w:rPr>
        <w:t xml:space="preserve"> antagonising </w:t>
      </w:r>
      <w:r>
        <w:rPr>
          <w:rFonts w:ascii="Book Antiqua" w:hAnsi="Book Antiqua"/>
          <w:lang w:val="en-GB"/>
        </w:rPr>
        <w:t xml:space="preserve">the </w:t>
      </w:r>
      <w:r w:rsidRPr="00D43973">
        <w:rPr>
          <w:rFonts w:ascii="Book Antiqua" w:hAnsi="Book Antiqua"/>
          <w:lang w:val="en-GB"/>
        </w:rPr>
        <w:t xml:space="preserve">human immunoglobulin G4 that </w:t>
      </w:r>
      <w:r>
        <w:rPr>
          <w:rFonts w:ascii="Book Antiqua" w:hAnsi="Book Antiqua"/>
          <w:lang w:val="en-GB"/>
        </w:rPr>
        <w:t xml:space="preserve">binds to natural killer group 2 </w:t>
      </w:r>
      <w:r w:rsidRPr="00D43973">
        <w:rPr>
          <w:rFonts w:ascii="Book Antiqua" w:hAnsi="Book Antiqua"/>
          <w:lang w:val="en-GB"/>
        </w:rPr>
        <w:t>member D (NKG2D) receptors</w:t>
      </w:r>
      <w:r>
        <w:rPr>
          <w:rFonts w:ascii="Book Antiqua" w:hAnsi="Book Antiqua"/>
          <w:lang w:val="en-GB"/>
        </w:rPr>
        <w:t xml:space="preserve">. </w:t>
      </w:r>
    </w:p>
    <w:p w14:paraId="003CAF79" w14:textId="612BF8E1" w:rsidR="00563BB7" w:rsidRPr="00130821" w:rsidRDefault="00563BB7" w:rsidP="006A3266">
      <w:pPr>
        <w:pStyle w:val="NormalWeb"/>
        <w:spacing w:before="0" w:beforeAutospacing="0" w:after="0" w:afterAutospacing="0" w:line="360" w:lineRule="auto"/>
        <w:ind w:firstLineChars="150" w:firstLine="360"/>
        <w:jc w:val="both"/>
        <w:rPr>
          <w:rFonts w:ascii="Book Antiqua" w:hAnsi="Book Antiqua"/>
          <w:lang w:val="en-GB"/>
        </w:rPr>
      </w:pPr>
      <w:r>
        <w:rPr>
          <w:rFonts w:ascii="Book Antiqua" w:hAnsi="Book Antiqua"/>
          <w:lang w:val="en-GB"/>
        </w:rPr>
        <w:t>The interaction between i</w:t>
      </w:r>
      <w:r w:rsidRPr="00130821">
        <w:rPr>
          <w:rFonts w:ascii="Book Antiqua" w:hAnsi="Book Antiqua"/>
          <w:lang w:val="en-GB"/>
        </w:rPr>
        <w:t xml:space="preserve">ntestinal epithelial cells </w:t>
      </w:r>
      <w:r>
        <w:rPr>
          <w:rFonts w:ascii="Book Antiqua" w:hAnsi="Book Antiqua"/>
          <w:lang w:val="en-GB"/>
        </w:rPr>
        <w:t xml:space="preserve">and </w:t>
      </w:r>
      <w:r w:rsidRPr="00130821">
        <w:rPr>
          <w:rFonts w:ascii="Book Antiqua" w:hAnsi="Book Antiqua"/>
          <w:lang w:val="en-GB"/>
        </w:rPr>
        <w:t xml:space="preserve">T-cells in the </w:t>
      </w:r>
      <w:r>
        <w:rPr>
          <w:rFonts w:ascii="Book Antiqua" w:hAnsi="Book Antiqua"/>
          <w:lang w:val="en-GB"/>
        </w:rPr>
        <w:t xml:space="preserve">gut </w:t>
      </w:r>
      <w:r w:rsidRPr="00130821">
        <w:rPr>
          <w:rFonts w:ascii="Book Antiqua" w:hAnsi="Book Antiqua"/>
          <w:lang w:val="en-GB"/>
        </w:rPr>
        <w:t xml:space="preserve">mucosa </w:t>
      </w:r>
      <w:r>
        <w:rPr>
          <w:rFonts w:ascii="Book Antiqua" w:hAnsi="Book Antiqua"/>
          <w:lang w:val="en-GB"/>
        </w:rPr>
        <w:t xml:space="preserve">has a key role in T-cell regulation. NKG2D receptors </w:t>
      </w:r>
      <w:r w:rsidRPr="00D43973">
        <w:rPr>
          <w:rFonts w:ascii="Book Antiqua" w:hAnsi="Book Antiqua"/>
          <w:lang w:val="en-GB"/>
        </w:rPr>
        <w:t>are expressed by T cells and innate lymphoid cells, and exhibit pro-inflammatory properties</w:t>
      </w:r>
      <w:r>
        <w:rPr>
          <w:rFonts w:ascii="Book Antiqua" w:hAnsi="Book Antiqua"/>
          <w:lang w:val="en-GB"/>
        </w:rPr>
        <w:t xml:space="preserve">. Upregulated </w:t>
      </w:r>
      <w:r w:rsidRPr="00130821">
        <w:rPr>
          <w:rFonts w:ascii="Book Antiqua" w:hAnsi="Book Antiqua"/>
          <w:lang w:val="en-GB"/>
        </w:rPr>
        <w:t xml:space="preserve">NKG2D ligands on epithelial cells in the inflamed tissue of patients with IBD may activate </w:t>
      </w:r>
      <w:r>
        <w:rPr>
          <w:rFonts w:ascii="Book Antiqua" w:hAnsi="Book Antiqua"/>
          <w:lang w:val="en-GB"/>
        </w:rPr>
        <w:t>the proliferation of several subsets of effector T-</w:t>
      </w:r>
      <w:r w:rsidRPr="00130821">
        <w:rPr>
          <w:rFonts w:ascii="Book Antiqua" w:hAnsi="Book Antiqua"/>
          <w:lang w:val="en-GB"/>
        </w:rPr>
        <w:t>cells, leading to increased production of pro-in</w:t>
      </w:r>
      <w:r>
        <w:rPr>
          <w:rFonts w:ascii="Book Antiqua" w:hAnsi="Book Antiqua"/>
          <w:lang w:val="en-GB"/>
        </w:rPr>
        <w:t>flammatory cytokines and enhanced</w:t>
      </w:r>
      <w:r w:rsidRPr="00130821">
        <w:rPr>
          <w:rFonts w:ascii="Book Antiqua" w:hAnsi="Book Antiqua"/>
          <w:lang w:val="en-GB"/>
        </w:rPr>
        <w:t xml:space="preserve"> cytotoxicity</w:t>
      </w:r>
      <w:r w:rsidRPr="00953227">
        <w:rPr>
          <w:rFonts w:ascii="Book Antiqua" w:hAnsi="Book Antiqua"/>
          <w:vertAlign w:val="superscript"/>
          <w:lang w:val="en-GB"/>
        </w:rPr>
        <w:t>[</w:t>
      </w:r>
      <w:r w:rsidR="000F607C">
        <w:rPr>
          <w:rFonts w:ascii="Book Antiqua" w:hAnsi="Book Antiqua" w:hint="eastAsia"/>
          <w:vertAlign w:val="superscript"/>
          <w:lang w:val="en-GB" w:eastAsia="zh-CN"/>
        </w:rPr>
        <w:t>52</w:t>
      </w:r>
      <w:r w:rsidRPr="00130821">
        <w:rPr>
          <w:rFonts w:ascii="Book Antiqua" w:hAnsi="Book Antiqua"/>
          <w:vertAlign w:val="superscript"/>
          <w:lang w:val="en-GB"/>
        </w:rPr>
        <w:t>]</w:t>
      </w:r>
      <w:r w:rsidRPr="00130821">
        <w:rPr>
          <w:rFonts w:ascii="Book Antiqua" w:hAnsi="Book Antiqua"/>
          <w:lang w:val="en-GB"/>
        </w:rPr>
        <w:t>. Previous trials have demonstrated an i</w:t>
      </w:r>
      <w:r>
        <w:rPr>
          <w:rFonts w:ascii="Book Antiqua" w:hAnsi="Book Antiqua"/>
          <w:lang w:val="en-GB"/>
        </w:rPr>
        <w:t xml:space="preserve">ncrease in effector T cells as well as in the </w:t>
      </w:r>
      <w:r w:rsidRPr="00130821">
        <w:rPr>
          <w:rFonts w:ascii="Book Antiqua" w:hAnsi="Book Antiqua"/>
          <w:lang w:val="en-GB"/>
        </w:rPr>
        <w:t>expression of NK receptors on T cells in patients with CD</w:t>
      </w:r>
      <w:r w:rsidRPr="00953227">
        <w:rPr>
          <w:rFonts w:ascii="Book Antiqua" w:hAnsi="Book Antiqua"/>
          <w:vertAlign w:val="superscript"/>
          <w:lang w:val="en-GB"/>
        </w:rPr>
        <w:t>[</w:t>
      </w:r>
      <w:r w:rsidR="000F607C">
        <w:rPr>
          <w:rFonts w:ascii="Book Antiqua" w:hAnsi="Book Antiqua" w:hint="eastAsia"/>
          <w:vertAlign w:val="superscript"/>
          <w:lang w:val="en-GB" w:eastAsia="zh-CN"/>
        </w:rPr>
        <w:t>52</w:t>
      </w:r>
      <w:r w:rsidRPr="00130821">
        <w:rPr>
          <w:rFonts w:ascii="Book Antiqua" w:hAnsi="Book Antiqua"/>
          <w:vertAlign w:val="superscript"/>
          <w:lang w:val="en-GB"/>
        </w:rPr>
        <w:t>]</w:t>
      </w:r>
      <w:r>
        <w:rPr>
          <w:rFonts w:ascii="Book Antiqua" w:hAnsi="Book Antiqua"/>
          <w:lang w:val="en-GB"/>
        </w:rPr>
        <w:t xml:space="preserve">. </w:t>
      </w:r>
      <w:r w:rsidRPr="00130821">
        <w:rPr>
          <w:rFonts w:ascii="Book Antiqua" w:hAnsi="Book Antiqua"/>
          <w:lang w:val="en-GB"/>
        </w:rPr>
        <w:t>Also, neutralising anti-NKG2D antibodies have been shown to reduce inflammatory-induced colitis in murine models</w:t>
      </w:r>
      <w:r w:rsidRPr="00953227">
        <w:rPr>
          <w:rFonts w:ascii="Book Antiqua" w:hAnsi="Book Antiqua"/>
          <w:vertAlign w:val="superscript"/>
          <w:lang w:val="en-GB"/>
        </w:rPr>
        <w:t>[</w:t>
      </w:r>
      <w:r w:rsidR="000F607C">
        <w:rPr>
          <w:rFonts w:ascii="Book Antiqua" w:hAnsi="Book Antiqua" w:hint="eastAsia"/>
          <w:vertAlign w:val="superscript"/>
          <w:lang w:val="en-GB" w:eastAsia="zh-CN"/>
        </w:rPr>
        <w:t>52</w:t>
      </w:r>
      <w:r w:rsidRPr="00130821">
        <w:rPr>
          <w:rFonts w:ascii="Book Antiqua" w:hAnsi="Book Antiqua"/>
          <w:vertAlign w:val="superscript"/>
          <w:lang w:val="en-GB"/>
        </w:rPr>
        <w:t>]</w:t>
      </w:r>
      <w:r w:rsidRPr="00130821">
        <w:rPr>
          <w:rFonts w:ascii="Book Antiqua" w:hAnsi="Book Antiqua"/>
          <w:lang w:val="en-GB"/>
        </w:rPr>
        <w:t xml:space="preserve">. </w:t>
      </w:r>
    </w:p>
    <w:p w14:paraId="33245FF8" w14:textId="6EF7C885" w:rsidR="00563BB7" w:rsidRPr="00D43973" w:rsidRDefault="00563BB7" w:rsidP="006A3266">
      <w:pPr>
        <w:widowControl w:val="0"/>
        <w:autoSpaceDE w:val="0"/>
        <w:autoSpaceDN w:val="0"/>
        <w:adjustRightInd w:val="0"/>
        <w:spacing w:line="360" w:lineRule="auto"/>
        <w:ind w:firstLineChars="150" w:firstLine="360"/>
        <w:jc w:val="both"/>
        <w:rPr>
          <w:rFonts w:ascii="Book Antiqua" w:hAnsi="Book Antiqua"/>
          <w:lang w:val="en-GB" w:eastAsia="zh-CN"/>
        </w:rPr>
      </w:pPr>
      <w:r w:rsidRPr="00D43973">
        <w:rPr>
          <w:rFonts w:ascii="Book Antiqua" w:hAnsi="Book Antiqua"/>
          <w:lang w:val="en-GB"/>
        </w:rPr>
        <w:t>Allez</w:t>
      </w:r>
      <w:r>
        <w:rPr>
          <w:rFonts w:ascii="Book Antiqua" w:hAnsi="Book Antiqua" w:hint="eastAsia"/>
          <w:lang w:val="en-GB" w:eastAsia="zh-CN"/>
        </w:rPr>
        <w:t xml:space="preserve"> </w:t>
      </w:r>
      <w:r w:rsidRPr="00953227">
        <w:rPr>
          <w:rFonts w:ascii="Book Antiqua" w:hAnsi="Book Antiqua"/>
          <w:i/>
          <w:lang w:val="en-GB"/>
        </w:rPr>
        <w:t>et al</w:t>
      </w:r>
      <w:r w:rsidRPr="00953227">
        <w:rPr>
          <w:rFonts w:ascii="Book Antiqua" w:hAnsi="Book Antiqua"/>
          <w:vertAlign w:val="superscript"/>
          <w:lang w:val="en-GB"/>
        </w:rPr>
        <w:t>[</w:t>
      </w:r>
      <w:r w:rsidR="000F607C">
        <w:rPr>
          <w:rFonts w:ascii="Book Antiqua" w:hAnsi="Book Antiqua" w:hint="eastAsia"/>
          <w:vertAlign w:val="superscript"/>
          <w:lang w:val="en-GB" w:eastAsia="zh-CN"/>
        </w:rPr>
        <w:t>52</w:t>
      </w:r>
      <w:r w:rsidRPr="00B22E8C">
        <w:rPr>
          <w:rFonts w:ascii="Book Antiqua" w:hAnsi="Book Antiqua"/>
          <w:vertAlign w:val="superscript"/>
          <w:lang w:val="en-GB"/>
        </w:rPr>
        <w:t>]</w:t>
      </w:r>
      <w:r w:rsidRPr="00D43973">
        <w:rPr>
          <w:rFonts w:ascii="Book Antiqua" w:hAnsi="Book Antiqua"/>
          <w:lang w:val="en-GB"/>
        </w:rPr>
        <w:t xml:space="preserve"> performed a randomised, double-blind, parallel group trial of a single subcutaneous dose of</w:t>
      </w:r>
      <w:r>
        <w:rPr>
          <w:rFonts w:ascii="Book Antiqua" w:hAnsi="Book Antiqua" w:hint="eastAsia"/>
          <w:lang w:val="en-GB" w:eastAsia="zh-CN"/>
        </w:rPr>
        <w:t xml:space="preserve"> </w:t>
      </w:r>
      <w:r w:rsidRPr="00D43973">
        <w:rPr>
          <w:rFonts w:ascii="Book Antiqua" w:hAnsi="Book Antiqua"/>
          <w:lang w:val="en-GB"/>
        </w:rPr>
        <w:t xml:space="preserve">2 mg/kg anti-NKG2D or placebo in 78 adult patients with </w:t>
      </w:r>
      <w:r>
        <w:rPr>
          <w:rFonts w:ascii="Book Antiqua" w:hAnsi="Book Antiqua"/>
          <w:lang w:val="en-GB"/>
        </w:rPr>
        <w:t xml:space="preserve">active </w:t>
      </w:r>
      <w:r w:rsidRPr="00D43973">
        <w:rPr>
          <w:rFonts w:ascii="Book Antiqua" w:hAnsi="Book Antiqua"/>
          <w:lang w:val="en-GB"/>
        </w:rPr>
        <w:t>CD</w:t>
      </w:r>
      <w:r>
        <w:rPr>
          <w:rFonts w:ascii="Book Antiqua" w:hAnsi="Book Antiqua" w:hint="eastAsia"/>
          <w:lang w:val="en-GB" w:eastAsia="zh-CN"/>
        </w:rPr>
        <w:t xml:space="preserve"> </w:t>
      </w:r>
      <w:r w:rsidRPr="00B22E8C">
        <w:rPr>
          <w:rFonts w:ascii="Book Antiqua" w:hAnsi="Book Antiqua"/>
          <w:lang w:val="en-GB"/>
        </w:rPr>
        <w:t>(Table 1)</w:t>
      </w:r>
      <w:r>
        <w:rPr>
          <w:rFonts w:ascii="Book Antiqua" w:hAnsi="Book Antiqua" w:hint="eastAsia"/>
          <w:lang w:val="en-GB" w:eastAsia="zh-CN"/>
        </w:rPr>
        <w:t>.</w:t>
      </w:r>
    </w:p>
    <w:p w14:paraId="15826A9D" w14:textId="1F7FCB00" w:rsidR="00563BB7" w:rsidRPr="00D43973"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sidRPr="00D43973">
        <w:rPr>
          <w:rFonts w:ascii="Book Antiqua" w:hAnsi="Book Antiqua"/>
          <w:lang w:val="en-GB"/>
        </w:rPr>
        <w:t>Change i</w:t>
      </w:r>
      <w:r>
        <w:rPr>
          <w:rFonts w:ascii="Book Antiqua" w:hAnsi="Book Antiqua"/>
          <w:lang w:val="en-GB"/>
        </w:rPr>
        <w:t xml:space="preserve">n CDAI from baseline to week 4 was the primary end-point, and was not found to differ </w:t>
      </w:r>
      <w:r w:rsidRPr="00D43973">
        <w:rPr>
          <w:rFonts w:ascii="Book Antiqua" w:hAnsi="Book Antiqua"/>
          <w:lang w:val="en-GB"/>
        </w:rPr>
        <w:t>sig</w:t>
      </w:r>
      <w:r>
        <w:rPr>
          <w:rFonts w:ascii="Book Antiqua" w:hAnsi="Book Antiqua"/>
          <w:lang w:val="en-GB"/>
        </w:rPr>
        <w:t xml:space="preserve">nificantly </w:t>
      </w:r>
      <w:r w:rsidRPr="00D43973">
        <w:rPr>
          <w:rFonts w:ascii="Book Antiqua" w:hAnsi="Book Antiqua"/>
          <w:lang w:val="en-GB"/>
        </w:rPr>
        <w:t xml:space="preserve">between anti-NKG2D and placebo; however, a significant difference </w:t>
      </w:r>
      <w:r>
        <w:rPr>
          <w:rFonts w:ascii="Book Antiqua" w:hAnsi="Book Antiqua"/>
          <w:lang w:val="en-GB"/>
        </w:rPr>
        <w:t xml:space="preserve">was observed </w:t>
      </w:r>
      <w:r w:rsidRPr="00D43973">
        <w:rPr>
          <w:rFonts w:ascii="Book Antiqua" w:hAnsi="Book Antiqua"/>
          <w:lang w:val="en-GB"/>
        </w:rPr>
        <w:t>by week 12 (</w:t>
      </w:r>
      <w:r w:rsidRPr="00953227">
        <w:rPr>
          <w:rFonts w:ascii="Book Antiqua" w:hAnsi="Book Antiqua"/>
          <w:i/>
          <w:lang w:val="en-GB"/>
        </w:rPr>
        <w:t xml:space="preserve">P </w:t>
      </w:r>
      <w:r w:rsidRPr="00D43973">
        <w:rPr>
          <w:rFonts w:ascii="Book Antiqua" w:hAnsi="Book Antiqua"/>
          <w:lang w:val="en-GB"/>
        </w:rPr>
        <w:t>≤ 0.10)</w:t>
      </w:r>
      <w:r w:rsidRPr="00953227">
        <w:rPr>
          <w:rFonts w:ascii="Book Antiqua" w:hAnsi="Book Antiqua"/>
          <w:vertAlign w:val="superscript"/>
          <w:lang w:val="en-GB"/>
        </w:rPr>
        <w:t>[</w:t>
      </w:r>
      <w:r w:rsidR="000F607C">
        <w:rPr>
          <w:rFonts w:ascii="Book Antiqua" w:hAnsi="Book Antiqua" w:hint="eastAsia"/>
          <w:vertAlign w:val="superscript"/>
          <w:lang w:val="en-GB" w:eastAsia="zh-CN"/>
        </w:rPr>
        <w:t>52</w:t>
      </w:r>
      <w:r w:rsidRPr="001D77F1">
        <w:rPr>
          <w:rFonts w:ascii="Book Antiqua" w:hAnsi="Book Antiqua"/>
          <w:vertAlign w:val="superscript"/>
          <w:lang w:val="en-GB"/>
        </w:rPr>
        <w:t>]</w:t>
      </w:r>
      <w:r w:rsidRPr="00D43973">
        <w:rPr>
          <w:rFonts w:ascii="Book Antiqua" w:hAnsi="Book Antiqua"/>
          <w:lang w:val="en-GB"/>
        </w:rPr>
        <w:t xml:space="preserve">. </w:t>
      </w:r>
      <w:r>
        <w:rPr>
          <w:rFonts w:ascii="Book Antiqua" w:hAnsi="Book Antiqua"/>
          <w:lang w:val="en-GB"/>
        </w:rPr>
        <w:t>The group of patients who hadn’t previously failed biologics and were treated with anti-NKG2D (</w:t>
      </w:r>
      <w:r w:rsidRPr="00953227">
        <w:rPr>
          <w:rFonts w:ascii="Book Antiqua" w:hAnsi="Book Antiqua"/>
          <w:i/>
          <w:lang w:val="en-GB"/>
        </w:rPr>
        <w:t>n</w:t>
      </w:r>
      <w:r>
        <w:rPr>
          <w:rFonts w:ascii="Book Antiqua" w:hAnsi="Book Antiqua" w:hint="eastAsia"/>
          <w:lang w:val="en-GB" w:eastAsia="zh-CN"/>
        </w:rPr>
        <w:t xml:space="preserve"> </w:t>
      </w:r>
      <w:r>
        <w:rPr>
          <w:rFonts w:ascii="Book Antiqua" w:hAnsi="Book Antiqua"/>
          <w:lang w:val="en-GB"/>
        </w:rPr>
        <w:t>=</w:t>
      </w:r>
      <w:r>
        <w:rPr>
          <w:rFonts w:ascii="Book Antiqua" w:hAnsi="Book Antiqua" w:hint="eastAsia"/>
          <w:lang w:val="en-GB" w:eastAsia="zh-CN"/>
        </w:rPr>
        <w:t xml:space="preserve"> </w:t>
      </w:r>
      <w:r>
        <w:rPr>
          <w:rFonts w:ascii="Book Antiqua" w:hAnsi="Book Antiqua"/>
          <w:lang w:val="en-GB"/>
        </w:rPr>
        <w:t xml:space="preserve">28) showed the most significant </w:t>
      </w:r>
      <w:r w:rsidRPr="00D43973">
        <w:rPr>
          <w:rFonts w:ascii="Book Antiqua" w:hAnsi="Book Antiqua"/>
          <w:lang w:val="en-GB"/>
        </w:rPr>
        <w:t xml:space="preserve">improvement from week 1 onward. </w:t>
      </w:r>
      <w:r>
        <w:rPr>
          <w:rFonts w:ascii="Book Antiqua" w:hAnsi="Book Antiqua"/>
          <w:lang w:val="en-GB"/>
        </w:rPr>
        <w:t xml:space="preserve">Most adverse </w:t>
      </w:r>
      <w:r>
        <w:rPr>
          <w:rFonts w:ascii="Book Antiqua" w:hAnsi="Book Antiqua"/>
          <w:lang w:val="en-GB"/>
        </w:rPr>
        <w:lastRenderedPageBreak/>
        <w:t>events</w:t>
      </w:r>
      <w:r w:rsidRPr="00D43973">
        <w:rPr>
          <w:rFonts w:ascii="Book Antiqua" w:hAnsi="Book Antiqua"/>
          <w:lang w:val="en-GB"/>
        </w:rPr>
        <w:t xml:space="preserve"> were mild (49%) or moderate (43%). No a</w:t>
      </w:r>
      <w:r>
        <w:rPr>
          <w:rFonts w:ascii="Book Antiqua" w:hAnsi="Book Antiqua"/>
          <w:lang w:val="en-GB"/>
        </w:rPr>
        <w:t>ntidrug antibodies were detected</w:t>
      </w:r>
      <w:r w:rsidRPr="00953227">
        <w:rPr>
          <w:rFonts w:ascii="Book Antiqua" w:hAnsi="Book Antiqua"/>
          <w:vertAlign w:val="superscript"/>
          <w:lang w:val="en-GB"/>
        </w:rPr>
        <w:t>[</w:t>
      </w:r>
      <w:r w:rsidR="000F607C">
        <w:rPr>
          <w:rFonts w:ascii="Book Antiqua" w:hAnsi="Book Antiqua" w:hint="eastAsia"/>
          <w:vertAlign w:val="superscript"/>
          <w:lang w:val="en-GB" w:eastAsia="zh-CN"/>
        </w:rPr>
        <w:t>52</w:t>
      </w:r>
      <w:r w:rsidRPr="001D77F1">
        <w:rPr>
          <w:rFonts w:ascii="Book Antiqua" w:hAnsi="Book Antiqua"/>
          <w:vertAlign w:val="superscript"/>
          <w:lang w:val="en-GB"/>
        </w:rPr>
        <w:t>]</w:t>
      </w:r>
      <w:r w:rsidRPr="00D43973">
        <w:rPr>
          <w:rFonts w:ascii="Book Antiqua" w:hAnsi="Book Antiqua"/>
          <w:lang w:val="en-GB"/>
        </w:rPr>
        <w:t>.</w:t>
      </w:r>
    </w:p>
    <w:p w14:paraId="4740CFC4" w14:textId="049B6F1C" w:rsidR="00563BB7" w:rsidRPr="00D43973" w:rsidRDefault="00563BB7" w:rsidP="006A3266">
      <w:pPr>
        <w:widowControl w:val="0"/>
        <w:autoSpaceDE w:val="0"/>
        <w:autoSpaceDN w:val="0"/>
        <w:adjustRightInd w:val="0"/>
        <w:spacing w:line="360" w:lineRule="auto"/>
        <w:ind w:firstLineChars="150" w:firstLine="360"/>
        <w:jc w:val="both"/>
        <w:rPr>
          <w:rFonts w:ascii="Book Antiqua" w:hAnsi="Book Antiqua"/>
          <w:lang w:val="en-GB"/>
        </w:rPr>
      </w:pPr>
      <w:r>
        <w:rPr>
          <w:rFonts w:ascii="Book Antiqua" w:hAnsi="Book Antiqua"/>
          <w:lang w:val="en-GB"/>
        </w:rPr>
        <w:t>Based</w:t>
      </w:r>
      <w:r w:rsidRPr="00D43973">
        <w:rPr>
          <w:rFonts w:ascii="Book Antiqua" w:hAnsi="Book Antiqua"/>
          <w:lang w:val="en-GB"/>
        </w:rPr>
        <w:t xml:space="preserve"> on the results of this trials, the A</w:t>
      </w:r>
      <w:r>
        <w:rPr>
          <w:rFonts w:ascii="Book Antiqua" w:hAnsi="Book Antiqua"/>
          <w:lang w:val="en-GB"/>
        </w:rPr>
        <w:t>uthors conclude that a single s.c.</w:t>
      </w:r>
      <w:r w:rsidRPr="00D43973">
        <w:rPr>
          <w:rFonts w:ascii="Book Antiqua" w:hAnsi="Book Antiqua"/>
          <w:lang w:val="en-GB"/>
        </w:rPr>
        <w:t xml:space="preserve"> dose of 2</w:t>
      </w:r>
      <w:r w:rsidRPr="00D43973">
        <w:rPr>
          <w:rFonts w:cs="Calibri"/>
          <w:lang w:val="en-GB"/>
        </w:rPr>
        <w:t> </w:t>
      </w:r>
      <w:r w:rsidRPr="00D43973">
        <w:rPr>
          <w:rFonts w:ascii="Book Antiqua" w:hAnsi="Book Antiqua"/>
          <w:lang w:val="en-GB"/>
        </w:rPr>
        <w:t xml:space="preserve">mg/kg anti-NKG2D did not reduce disease activity at week 4, but </w:t>
      </w:r>
      <w:r>
        <w:rPr>
          <w:rFonts w:ascii="Book Antiqua" w:hAnsi="Book Antiqua"/>
          <w:lang w:val="en-GB"/>
        </w:rPr>
        <w:t xml:space="preserve">it showed </w:t>
      </w:r>
      <w:r w:rsidRPr="00D43973">
        <w:rPr>
          <w:rFonts w:ascii="Book Antiqua" w:hAnsi="Book Antiqua"/>
          <w:lang w:val="en-GB"/>
        </w:rPr>
        <w:t xml:space="preserve">significant </w:t>
      </w:r>
      <w:r>
        <w:rPr>
          <w:rFonts w:ascii="Book Antiqua" w:hAnsi="Book Antiqua"/>
          <w:lang w:val="en-GB"/>
        </w:rPr>
        <w:t xml:space="preserve">response rate </w:t>
      </w:r>
      <w:r w:rsidRPr="00D43973">
        <w:rPr>
          <w:rFonts w:ascii="Book Antiqua" w:hAnsi="Book Antiqua"/>
          <w:lang w:val="en-GB"/>
        </w:rPr>
        <w:t>at week 12. Therefore, there is evidence to consider further investment in anti-NKG2D in IBD</w:t>
      </w:r>
      <w:r w:rsidRPr="00953227">
        <w:rPr>
          <w:rFonts w:ascii="Book Antiqua" w:hAnsi="Book Antiqua"/>
          <w:vertAlign w:val="superscript"/>
          <w:lang w:val="en-GB"/>
        </w:rPr>
        <w:t>[</w:t>
      </w:r>
      <w:r w:rsidR="000F607C">
        <w:rPr>
          <w:rFonts w:ascii="Book Antiqua" w:hAnsi="Book Antiqua" w:hint="eastAsia"/>
          <w:vertAlign w:val="superscript"/>
          <w:lang w:val="en-GB" w:eastAsia="zh-CN"/>
        </w:rPr>
        <w:t>52</w:t>
      </w:r>
      <w:r w:rsidRPr="001D77F1">
        <w:rPr>
          <w:rFonts w:ascii="Book Antiqua" w:hAnsi="Book Antiqua"/>
          <w:vertAlign w:val="superscript"/>
          <w:lang w:val="en-GB"/>
        </w:rPr>
        <w:t>]</w:t>
      </w:r>
      <w:r w:rsidRPr="00D43973">
        <w:rPr>
          <w:rFonts w:ascii="Book Antiqua" w:hAnsi="Book Antiqua"/>
          <w:lang w:val="en-GB"/>
        </w:rPr>
        <w:t>.</w:t>
      </w:r>
    </w:p>
    <w:p w14:paraId="1C6F7E07" w14:textId="77777777" w:rsidR="00563BB7" w:rsidRPr="00D43973" w:rsidRDefault="00563BB7" w:rsidP="006A3266">
      <w:pPr>
        <w:widowControl w:val="0"/>
        <w:autoSpaceDE w:val="0"/>
        <w:autoSpaceDN w:val="0"/>
        <w:adjustRightInd w:val="0"/>
        <w:spacing w:line="360" w:lineRule="auto"/>
        <w:jc w:val="both"/>
        <w:rPr>
          <w:rFonts w:ascii="Book Antiqua" w:hAnsi="Book Antiqua"/>
          <w:b/>
          <w:lang w:val="en-GB"/>
        </w:rPr>
      </w:pPr>
    </w:p>
    <w:p w14:paraId="7C4294A0" w14:textId="77777777" w:rsidR="00563BB7" w:rsidRPr="00CB2E83" w:rsidRDefault="00563BB7" w:rsidP="006A3266">
      <w:pPr>
        <w:widowControl w:val="0"/>
        <w:autoSpaceDE w:val="0"/>
        <w:autoSpaceDN w:val="0"/>
        <w:adjustRightInd w:val="0"/>
        <w:spacing w:line="360" w:lineRule="auto"/>
        <w:jc w:val="both"/>
        <w:rPr>
          <w:rFonts w:ascii="Book Antiqua" w:hAnsi="Book Antiqua"/>
          <w:b/>
          <w:lang w:val="en-GB"/>
        </w:rPr>
      </w:pPr>
      <w:r w:rsidRPr="00CB2E83">
        <w:rPr>
          <w:rFonts w:ascii="Book Antiqua" w:hAnsi="Book Antiqua"/>
          <w:b/>
          <w:lang w:val="en-GB"/>
        </w:rPr>
        <w:t>DISCUSSION</w:t>
      </w:r>
    </w:p>
    <w:p w14:paraId="214CC646" w14:textId="77777777" w:rsidR="00563BB7" w:rsidRPr="00130821" w:rsidRDefault="00563BB7" w:rsidP="006A3266">
      <w:pPr>
        <w:widowControl w:val="0"/>
        <w:autoSpaceDE w:val="0"/>
        <w:autoSpaceDN w:val="0"/>
        <w:adjustRightInd w:val="0"/>
        <w:spacing w:line="360" w:lineRule="auto"/>
        <w:jc w:val="both"/>
        <w:rPr>
          <w:rFonts w:ascii="Book Antiqua" w:hAnsi="Book Antiqua"/>
          <w:color w:val="000000"/>
          <w:lang w:val="en-GB"/>
        </w:rPr>
      </w:pPr>
      <w:r w:rsidRPr="00130821">
        <w:rPr>
          <w:rFonts w:ascii="Book Antiqua" w:hAnsi="Book Antiqua"/>
          <w:color w:val="000000"/>
          <w:lang w:val="en-GB"/>
        </w:rPr>
        <w:t>Though major progress has been achieved in treating IBD patients of all ages, there are still significant limitations in what is currently avai</w:t>
      </w:r>
      <w:r>
        <w:rPr>
          <w:rFonts w:ascii="Book Antiqua" w:hAnsi="Book Antiqua"/>
          <w:color w:val="000000"/>
          <w:lang w:val="en-GB"/>
        </w:rPr>
        <w:t>lable to manage this condition.</w:t>
      </w:r>
      <w:r>
        <w:rPr>
          <w:rFonts w:ascii="Book Antiqua" w:hAnsi="Book Antiqua" w:hint="eastAsia"/>
          <w:color w:val="000000"/>
          <w:lang w:val="en-GB" w:eastAsia="zh-CN"/>
        </w:rPr>
        <w:t xml:space="preserve"> </w:t>
      </w:r>
      <w:r w:rsidRPr="00130821">
        <w:rPr>
          <w:rFonts w:ascii="Book Antiqua" w:hAnsi="Book Antiqua"/>
          <w:color w:val="000000"/>
          <w:lang w:val="en-GB"/>
        </w:rPr>
        <w:t>The advent of new biologics and other medications targeting pathways previously unexplored (</w:t>
      </w:r>
      <w:r w:rsidRPr="00953227">
        <w:rPr>
          <w:rFonts w:ascii="Book Antiqua" w:hAnsi="Book Antiqua"/>
          <w:i/>
          <w:color w:val="000000"/>
          <w:lang w:val="en-GB"/>
        </w:rPr>
        <w:t>e.g.</w:t>
      </w:r>
      <w:r w:rsidRPr="00953227">
        <w:rPr>
          <w:rFonts w:ascii="Book Antiqua" w:hAnsi="Book Antiqua" w:hint="eastAsia"/>
          <w:i/>
          <w:color w:val="000000"/>
          <w:lang w:val="en-GB" w:eastAsia="zh-CN"/>
        </w:rPr>
        <w:t>,</w:t>
      </w:r>
      <w:r w:rsidRPr="00130821">
        <w:rPr>
          <w:rFonts w:ascii="Book Antiqua" w:hAnsi="Book Antiqua"/>
          <w:color w:val="000000"/>
          <w:lang w:val="en-GB"/>
        </w:rPr>
        <w:t xml:space="preserve"> leukocyte trafficking through the gut mucosa) has provided clinicians with more hope for patients who fail to respond to current treatments. Nevertheless, whilst the causative mechanisms underlying IBD are not yet fully understood, treatment options can only target downstream components of this inflammatory chain.</w:t>
      </w:r>
    </w:p>
    <w:p w14:paraId="195F208E" w14:textId="4045FEB2" w:rsidR="00563BB7" w:rsidRPr="00953227" w:rsidRDefault="00563BB7" w:rsidP="006A3266">
      <w:pPr>
        <w:widowControl w:val="0"/>
        <w:autoSpaceDE w:val="0"/>
        <w:autoSpaceDN w:val="0"/>
        <w:adjustRightInd w:val="0"/>
        <w:spacing w:line="360" w:lineRule="auto"/>
        <w:ind w:firstLineChars="100" w:firstLine="240"/>
        <w:jc w:val="both"/>
        <w:rPr>
          <w:rFonts w:ascii="Book Antiqua" w:hAnsi="Book Antiqua"/>
          <w:lang w:val="en-GB"/>
        </w:rPr>
      </w:pPr>
      <w:r w:rsidRPr="00D43973">
        <w:rPr>
          <w:rFonts w:ascii="Book Antiqua" w:hAnsi="Book Antiqua"/>
          <w:lang w:val="en-GB"/>
        </w:rPr>
        <w:t xml:space="preserve">IBD, and CD in particular, are difficult to categorise as distinct disease entities, as the </w:t>
      </w:r>
      <w:r>
        <w:rPr>
          <w:rFonts w:ascii="Book Antiqua" w:hAnsi="Book Antiqua"/>
          <w:lang w:val="en-GB"/>
        </w:rPr>
        <w:t>spectrum</w:t>
      </w:r>
      <w:r w:rsidRPr="00D43973">
        <w:rPr>
          <w:rFonts w:ascii="Book Antiqua" w:hAnsi="Book Antiqua"/>
          <w:lang w:val="en-GB"/>
        </w:rPr>
        <w:t xml:space="preserve"> of its cli</w:t>
      </w:r>
      <w:r>
        <w:rPr>
          <w:rFonts w:ascii="Book Antiqua" w:hAnsi="Book Antiqua"/>
          <w:lang w:val="en-GB"/>
        </w:rPr>
        <w:t>nical phenotype is very</w:t>
      </w:r>
      <w:r w:rsidRPr="00D43973">
        <w:rPr>
          <w:rFonts w:ascii="Book Antiqua" w:hAnsi="Book Antiqua"/>
          <w:lang w:val="en-GB"/>
        </w:rPr>
        <w:t xml:space="preserve"> broad and variable, with </w:t>
      </w:r>
      <w:r>
        <w:rPr>
          <w:rFonts w:ascii="Book Antiqua" w:hAnsi="Book Antiqua"/>
          <w:lang w:val="en-GB"/>
        </w:rPr>
        <w:t xml:space="preserve">mild disease </w:t>
      </w:r>
      <w:r w:rsidRPr="00D43973">
        <w:rPr>
          <w:rFonts w:ascii="Book Antiqua" w:hAnsi="Book Antiqua"/>
          <w:lang w:val="en-GB"/>
        </w:rPr>
        <w:t>responding to standard treatments</w:t>
      </w:r>
      <w:r>
        <w:rPr>
          <w:rFonts w:ascii="Book Antiqua" w:hAnsi="Book Antiqua"/>
          <w:lang w:val="en-GB"/>
        </w:rPr>
        <w:t>,</w:t>
      </w:r>
      <w:r w:rsidRPr="00D43973">
        <w:rPr>
          <w:rFonts w:ascii="Book Antiqua" w:hAnsi="Book Antiqua"/>
          <w:lang w:val="en-GB"/>
        </w:rPr>
        <w:t xml:space="preserve"> and severe </w:t>
      </w:r>
      <w:r>
        <w:rPr>
          <w:rFonts w:ascii="Book Antiqua" w:hAnsi="Book Antiqua"/>
          <w:lang w:val="en-GB"/>
        </w:rPr>
        <w:t>disease often developing to structuring or penetrating phenotypes that require surgery, despite the use of multiple treatment escalations</w:t>
      </w:r>
      <w:r w:rsidRPr="00953227">
        <w:rPr>
          <w:rFonts w:ascii="Book Antiqua" w:hAnsi="Book Antiqua"/>
          <w:vertAlign w:val="superscript"/>
          <w:lang w:val="en-GB"/>
        </w:rPr>
        <w:t>[</w:t>
      </w:r>
      <w:r w:rsidR="000F607C">
        <w:rPr>
          <w:rFonts w:ascii="Book Antiqua" w:hAnsi="Book Antiqua" w:hint="eastAsia"/>
          <w:vertAlign w:val="superscript"/>
          <w:lang w:val="en-GB" w:eastAsia="zh-CN"/>
        </w:rPr>
        <w:t>53</w:t>
      </w:r>
      <w:r w:rsidRPr="004D0AB5">
        <w:rPr>
          <w:rFonts w:ascii="Book Antiqua" w:hAnsi="Book Antiqua"/>
          <w:vertAlign w:val="superscript"/>
          <w:lang w:val="en-GB"/>
        </w:rPr>
        <w:t>]</w:t>
      </w:r>
      <w:r w:rsidRPr="00D43973">
        <w:rPr>
          <w:rFonts w:ascii="Book Antiqua" w:hAnsi="Book Antiqua"/>
          <w:lang w:val="en-GB"/>
        </w:rPr>
        <w:t xml:space="preserve">. </w:t>
      </w:r>
      <w:r>
        <w:rPr>
          <w:rFonts w:ascii="Book Antiqua" w:hAnsi="Book Antiqua" w:hint="eastAsia"/>
          <w:lang w:val="en-GB" w:eastAsia="zh-CN"/>
        </w:rPr>
        <w:t xml:space="preserve"> </w:t>
      </w:r>
      <w:r w:rsidRPr="00D43973">
        <w:rPr>
          <w:rFonts w:ascii="Book Antiqua" w:hAnsi="Book Antiqua"/>
          <w:lang w:val="en-GB"/>
        </w:rPr>
        <w:t xml:space="preserve">Once </w:t>
      </w:r>
      <w:r>
        <w:rPr>
          <w:rFonts w:ascii="Book Antiqua" w:hAnsi="Book Antiqua"/>
          <w:lang w:val="en-GB"/>
        </w:rPr>
        <w:t xml:space="preserve">significant chronic </w:t>
      </w:r>
      <w:r w:rsidRPr="00D43973">
        <w:rPr>
          <w:rFonts w:ascii="Book Antiqua" w:hAnsi="Book Antiqua"/>
          <w:lang w:val="en-GB"/>
        </w:rPr>
        <w:t xml:space="preserve">bowel damage occurs in IBD, the chances of </w:t>
      </w:r>
      <w:r>
        <w:rPr>
          <w:rFonts w:ascii="Book Antiqua" w:hAnsi="Book Antiqua"/>
          <w:lang w:val="en-GB"/>
        </w:rPr>
        <w:t xml:space="preserve">recovery with </w:t>
      </w:r>
      <w:r w:rsidRPr="00D43973">
        <w:rPr>
          <w:rFonts w:ascii="Book Antiqua" w:hAnsi="Book Antiqua"/>
          <w:lang w:val="en-GB"/>
        </w:rPr>
        <w:t xml:space="preserve">medical treatments </w:t>
      </w:r>
      <w:r>
        <w:rPr>
          <w:rFonts w:ascii="Book Antiqua" w:hAnsi="Book Antiqua"/>
          <w:lang w:val="en-GB"/>
        </w:rPr>
        <w:t xml:space="preserve">alone </w:t>
      </w:r>
      <w:r w:rsidRPr="00D43973">
        <w:rPr>
          <w:rFonts w:ascii="Book Antiqua" w:hAnsi="Book Antiqua"/>
          <w:lang w:val="en-GB"/>
        </w:rPr>
        <w:t>are limited. Therefore, the ideal treatment should be offer</w:t>
      </w:r>
      <w:r>
        <w:rPr>
          <w:rFonts w:ascii="Book Antiqua" w:hAnsi="Book Antiqua"/>
          <w:lang w:val="en-GB"/>
        </w:rPr>
        <w:t>ed before complications develop</w:t>
      </w:r>
      <w:r w:rsidRPr="00953227">
        <w:rPr>
          <w:rFonts w:ascii="Book Antiqua" w:hAnsi="Book Antiqua"/>
          <w:vertAlign w:val="superscript"/>
          <w:lang w:val="en-GB"/>
        </w:rPr>
        <w:t>[</w:t>
      </w:r>
      <w:r w:rsidR="000F607C">
        <w:rPr>
          <w:rFonts w:ascii="Book Antiqua" w:hAnsi="Book Antiqua" w:hint="eastAsia"/>
          <w:vertAlign w:val="superscript"/>
          <w:lang w:val="en-GB" w:eastAsia="zh-CN"/>
        </w:rPr>
        <w:t>53</w:t>
      </w:r>
      <w:r w:rsidRPr="004D0AB5">
        <w:rPr>
          <w:rFonts w:ascii="Book Antiqua" w:hAnsi="Book Antiqua"/>
          <w:vertAlign w:val="superscript"/>
          <w:lang w:val="en-GB"/>
        </w:rPr>
        <w:t>]</w:t>
      </w:r>
      <w:r>
        <w:rPr>
          <w:rFonts w:ascii="Book Antiqua" w:hAnsi="Book Antiqua"/>
          <w:lang w:val="en-GB"/>
        </w:rPr>
        <w:t>.</w:t>
      </w:r>
      <w:r>
        <w:rPr>
          <w:rFonts w:ascii="Book Antiqua" w:hAnsi="Book Antiqua" w:hint="eastAsia"/>
          <w:lang w:val="en-GB" w:eastAsia="zh-CN"/>
        </w:rPr>
        <w:t xml:space="preserve"> </w:t>
      </w:r>
      <w:r w:rsidRPr="00D43973">
        <w:rPr>
          <w:rFonts w:ascii="Book Antiqua" w:hAnsi="Book Antiqua"/>
          <w:lang w:val="en-GB"/>
        </w:rPr>
        <w:t xml:space="preserve">Step-up and top-down approaches have been debated for different risk groups of children with IBD. The management of paediatric IBD has evolved significantly over recent years with evidence-based guidelines in place to provide uniform and solid guidance in clinical practice. Nevertheless, </w:t>
      </w:r>
      <w:r>
        <w:rPr>
          <w:rFonts w:ascii="Book Antiqua" w:hAnsi="Book Antiqua"/>
          <w:lang w:val="en-GB"/>
        </w:rPr>
        <w:t xml:space="preserve">a </w:t>
      </w:r>
      <w:r w:rsidRPr="00D43973">
        <w:rPr>
          <w:rFonts w:ascii="Book Antiqua" w:hAnsi="Book Antiqua"/>
          <w:lang w:val="en-GB"/>
        </w:rPr>
        <w:t>long-term response is only observed in less than half of the patients with CD</w:t>
      </w:r>
      <w:r w:rsidRPr="00953227">
        <w:rPr>
          <w:rFonts w:ascii="Book Antiqua" w:hAnsi="Book Antiqua"/>
          <w:vertAlign w:val="superscript"/>
          <w:lang w:val="en-GB"/>
        </w:rPr>
        <w:t>[</w:t>
      </w:r>
      <w:r>
        <w:rPr>
          <w:rFonts w:ascii="Book Antiqua" w:hAnsi="Book Antiqua"/>
          <w:vertAlign w:val="superscript"/>
          <w:lang w:val="en-GB"/>
        </w:rPr>
        <w:t>3,</w:t>
      </w:r>
      <w:r w:rsidR="000F607C">
        <w:rPr>
          <w:rFonts w:ascii="Book Antiqua" w:hAnsi="Book Antiqua" w:hint="eastAsia"/>
          <w:vertAlign w:val="superscript"/>
          <w:lang w:val="en-GB" w:eastAsia="zh-CN"/>
        </w:rPr>
        <w:t>52</w:t>
      </w:r>
      <w:r w:rsidRPr="004D0AB5">
        <w:rPr>
          <w:rFonts w:ascii="Book Antiqua" w:hAnsi="Book Antiqua"/>
          <w:vertAlign w:val="superscript"/>
          <w:lang w:val="en-GB"/>
        </w:rPr>
        <w:t>]</w:t>
      </w:r>
      <w:r>
        <w:rPr>
          <w:rFonts w:ascii="Book Antiqua" w:hAnsi="Book Antiqua"/>
          <w:lang w:val="en-GB"/>
        </w:rPr>
        <w:t xml:space="preserve">. </w:t>
      </w:r>
      <w:r>
        <w:rPr>
          <w:rFonts w:ascii="Book Antiqua" w:hAnsi="Book Antiqua" w:hint="eastAsia"/>
          <w:lang w:val="en-GB" w:eastAsia="zh-CN"/>
        </w:rPr>
        <w:t xml:space="preserve"> </w:t>
      </w:r>
      <w:r>
        <w:rPr>
          <w:rFonts w:ascii="Book Antiqua" w:hAnsi="Book Antiqua"/>
          <w:lang w:val="en-GB"/>
        </w:rPr>
        <w:t>Although new biologics are continuously being</w:t>
      </w:r>
      <w:r w:rsidRPr="00D43973">
        <w:rPr>
          <w:rFonts w:ascii="Book Antiqua" w:hAnsi="Book Antiqua"/>
          <w:lang w:val="en-GB"/>
        </w:rPr>
        <w:t xml:space="preserve"> developed, primarily monoclonal antibodies targeting the </w:t>
      </w:r>
      <w:r>
        <w:rPr>
          <w:rFonts w:ascii="Book Antiqua" w:hAnsi="Book Antiqua"/>
          <w:lang w:val="en-GB"/>
        </w:rPr>
        <w:t xml:space="preserve">trafficking of immune cells, we certainly are in need of </w:t>
      </w:r>
      <w:r w:rsidRPr="00D43973">
        <w:rPr>
          <w:rFonts w:ascii="Book Antiqua" w:hAnsi="Book Antiqua"/>
          <w:lang w:val="en-GB"/>
        </w:rPr>
        <w:t>more therapies with novel mechanisms of action</w:t>
      </w:r>
      <w:r w:rsidRPr="00953227">
        <w:rPr>
          <w:rFonts w:ascii="Book Antiqua" w:hAnsi="Book Antiqua"/>
          <w:vertAlign w:val="superscript"/>
          <w:lang w:val="en-GB"/>
        </w:rPr>
        <w:t>[</w:t>
      </w:r>
      <w:r w:rsidR="000F607C">
        <w:rPr>
          <w:rFonts w:ascii="Book Antiqua" w:hAnsi="Book Antiqua" w:hint="eastAsia"/>
          <w:vertAlign w:val="superscript"/>
          <w:lang w:val="en-GB" w:eastAsia="zh-CN"/>
        </w:rPr>
        <w:t>52</w:t>
      </w:r>
      <w:r w:rsidRPr="004D0AB5">
        <w:rPr>
          <w:rFonts w:ascii="Book Antiqua" w:hAnsi="Book Antiqua"/>
          <w:vertAlign w:val="superscript"/>
          <w:lang w:val="en-GB"/>
        </w:rPr>
        <w:t>]</w:t>
      </w:r>
      <w:r>
        <w:rPr>
          <w:rFonts w:ascii="Book Antiqua" w:hAnsi="Book Antiqua"/>
          <w:lang w:val="en-GB"/>
        </w:rPr>
        <w:t>.</w:t>
      </w:r>
      <w:r>
        <w:rPr>
          <w:rFonts w:ascii="Book Antiqua" w:hAnsi="Book Antiqua" w:hint="eastAsia"/>
          <w:lang w:val="en-GB" w:eastAsia="zh-CN"/>
        </w:rPr>
        <w:t xml:space="preserve"> </w:t>
      </w:r>
      <w:r w:rsidRPr="00130821">
        <w:rPr>
          <w:rFonts w:ascii="Book Antiqua" w:hAnsi="Book Antiqua"/>
          <w:color w:val="000000"/>
          <w:lang w:val="en-GB"/>
        </w:rPr>
        <w:t xml:space="preserve">More significant advances have been achieved in monitoring drug administration and the response to medications, in particular the clinical availability of AZA </w:t>
      </w:r>
      <w:r w:rsidRPr="00130821">
        <w:rPr>
          <w:rFonts w:ascii="Book Antiqua" w:hAnsi="Book Antiqua"/>
          <w:color w:val="000000"/>
          <w:lang w:val="en-GB"/>
        </w:rPr>
        <w:lastRenderedPageBreak/>
        <w:t>metabolites, IFX and ADA trough levels and anti-IFX antibody measurements in clinical practice (</w:t>
      </w:r>
      <w:r w:rsidRPr="00563BB7">
        <w:rPr>
          <w:rFonts w:ascii="Book Antiqua" w:hAnsi="Book Antiqua"/>
          <w:i/>
          <w:color w:val="000000"/>
          <w:lang w:val="en-GB"/>
        </w:rPr>
        <w:t>i.e.</w:t>
      </w:r>
      <w:r w:rsidRPr="00563BB7">
        <w:rPr>
          <w:rFonts w:ascii="Book Antiqua" w:hAnsi="Book Antiqua" w:hint="eastAsia"/>
          <w:i/>
          <w:color w:val="000000"/>
          <w:lang w:val="en-GB" w:eastAsia="zh-CN"/>
        </w:rPr>
        <w:t>,</w:t>
      </w:r>
      <w:r w:rsidRPr="00130821">
        <w:rPr>
          <w:rFonts w:ascii="Book Antiqua" w:hAnsi="Book Antiqua"/>
          <w:color w:val="000000"/>
          <w:lang w:val="en-GB"/>
        </w:rPr>
        <w:t xml:space="preserve"> TDM, therapeutic drug monitoring). This has allowed a major step forward in monitoring and targeting patients’ treatments with a more personalised approach.</w:t>
      </w:r>
    </w:p>
    <w:p w14:paraId="7170B91B" w14:textId="175910FE" w:rsidR="00563BB7" w:rsidRPr="00953227" w:rsidRDefault="00563BB7" w:rsidP="006A3266">
      <w:pPr>
        <w:widowControl w:val="0"/>
        <w:autoSpaceDE w:val="0"/>
        <w:autoSpaceDN w:val="0"/>
        <w:adjustRightInd w:val="0"/>
        <w:spacing w:line="360" w:lineRule="auto"/>
        <w:ind w:firstLineChars="100" w:firstLine="240"/>
        <w:jc w:val="both"/>
        <w:rPr>
          <w:rFonts w:ascii="Book Antiqua" w:hAnsi="Book Antiqua"/>
          <w:color w:val="000000"/>
          <w:lang w:val="en-GB"/>
        </w:rPr>
      </w:pPr>
      <w:r w:rsidRPr="00130821">
        <w:rPr>
          <w:rFonts w:ascii="Book Antiqua" w:hAnsi="Book Antiqua"/>
          <w:color w:val="000000"/>
          <w:lang w:val="en-GB"/>
        </w:rPr>
        <w:t>Despite routine use of solid clinical scores (</w:t>
      </w:r>
      <w:r w:rsidRPr="00953227">
        <w:rPr>
          <w:rFonts w:ascii="Book Antiqua" w:hAnsi="Book Antiqua"/>
          <w:i/>
          <w:color w:val="000000"/>
          <w:lang w:val="en-GB"/>
        </w:rPr>
        <w:t>e.g.</w:t>
      </w:r>
      <w:r w:rsidRPr="00953227">
        <w:rPr>
          <w:rFonts w:ascii="Book Antiqua" w:hAnsi="Book Antiqua" w:hint="eastAsia"/>
          <w:i/>
          <w:color w:val="000000"/>
          <w:lang w:val="en-GB" w:eastAsia="zh-CN"/>
        </w:rPr>
        <w:t>,</w:t>
      </w:r>
      <w:r w:rsidRPr="00130821">
        <w:rPr>
          <w:rFonts w:ascii="Book Antiqua" w:hAnsi="Book Antiqua"/>
          <w:color w:val="000000"/>
          <w:lang w:val="en-GB"/>
        </w:rPr>
        <w:t xml:space="preserve"> PCDAI, PUCAI) and biochemical parameters (blood-based and stool-based), we are currently still depending on invasive reassessments (</w:t>
      </w:r>
      <w:r w:rsidRPr="00461DAE">
        <w:rPr>
          <w:rFonts w:ascii="Book Antiqua" w:hAnsi="Book Antiqua"/>
          <w:i/>
          <w:color w:val="000000"/>
          <w:lang w:val="en-GB"/>
        </w:rPr>
        <w:t>i.e.</w:t>
      </w:r>
      <w:r w:rsidR="000F607C" w:rsidRPr="00461DAE">
        <w:rPr>
          <w:rFonts w:ascii="Book Antiqua" w:hAnsi="Book Antiqua" w:hint="eastAsia"/>
          <w:i/>
          <w:color w:val="000000"/>
          <w:lang w:val="en-GB" w:eastAsia="zh-CN"/>
        </w:rPr>
        <w:t>,</w:t>
      </w:r>
      <w:r w:rsidRPr="00461DAE">
        <w:rPr>
          <w:rFonts w:ascii="Book Antiqua" w:hAnsi="Book Antiqua"/>
          <w:i/>
          <w:color w:val="000000"/>
          <w:lang w:val="en-GB"/>
        </w:rPr>
        <w:t xml:space="preserve"> </w:t>
      </w:r>
      <w:r w:rsidRPr="00130821">
        <w:rPr>
          <w:rFonts w:ascii="Book Antiqua" w:hAnsi="Book Antiqua"/>
          <w:color w:val="000000"/>
          <w:lang w:val="en-GB"/>
        </w:rPr>
        <w:t>endoscopic procedures) for an adequate monitoring of the disease course.</w:t>
      </w:r>
      <w:r>
        <w:rPr>
          <w:rFonts w:ascii="Book Antiqua" w:hAnsi="Book Antiqua" w:hint="eastAsia"/>
          <w:color w:val="000000"/>
          <w:lang w:val="en-GB" w:eastAsia="zh-CN"/>
        </w:rPr>
        <w:t xml:space="preserve"> </w:t>
      </w:r>
      <w:r w:rsidRPr="00130821">
        <w:rPr>
          <w:rFonts w:ascii="Book Antiqua" w:hAnsi="Book Antiqua"/>
          <w:color w:val="000000"/>
          <w:lang w:val="en-GB"/>
        </w:rPr>
        <w:t>One next goal on the horizon is therefore the development of reliable biomarkers to be used for prediction</w:t>
      </w:r>
      <w:r>
        <w:rPr>
          <w:rFonts w:ascii="Book Antiqua" w:hAnsi="Book Antiqua"/>
          <w:color w:val="000000"/>
          <w:lang w:val="en-GB"/>
        </w:rPr>
        <w:t xml:space="preserve"> of prognostic outcomes in IBD.</w:t>
      </w:r>
      <w:r>
        <w:rPr>
          <w:rFonts w:ascii="Book Antiqua" w:hAnsi="Book Antiqua" w:hint="eastAsia"/>
          <w:color w:val="000000"/>
          <w:lang w:val="en-GB" w:eastAsia="zh-CN"/>
        </w:rPr>
        <w:t xml:space="preserve"> </w:t>
      </w:r>
      <w:r w:rsidRPr="00D43973">
        <w:rPr>
          <w:rFonts w:ascii="Book Antiqua" w:hAnsi="Book Antiqua"/>
          <w:lang w:val="en-GB"/>
        </w:rPr>
        <w:t xml:space="preserve">The ability to stratify individual patients’ risk would </w:t>
      </w:r>
      <w:r>
        <w:rPr>
          <w:rFonts w:ascii="Book Antiqua" w:hAnsi="Book Antiqua"/>
          <w:lang w:val="en-GB"/>
        </w:rPr>
        <w:t>allow clinicians to personalise treatment from</w:t>
      </w:r>
      <w:r w:rsidRPr="00D43973">
        <w:rPr>
          <w:rFonts w:ascii="Book Antiqua" w:hAnsi="Book Antiqua"/>
          <w:lang w:val="en-GB"/>
        </w:rPr>
        <w:t xml:space="preserve"> disease presentation, tailoring more potent drugs (possibly in combination) to patient</w:t>
      </w:r>
      <w:r>
        <w:rPr>
          <w:rFonts w:ascii="Book Antiqua" w:hAnsi="Book Antiqua"/>
          <w:lang w:val="en-GB"/>
        </w:rPr>
        <w:t>s</w:t>
      </w:r>
      <w:r w:rsidRPr="00D43973">
        <w:rPr>
          <w:rFonts w:ascii="Book Antiqua" w:hAnsi="Book Antiqua"/>
          <w:lang w:val="en-GB"/>
        </w:rPr>
        <w:t xml:space="preserve"> with </w:t>
      </w:r>
      <w:r>
        <w:rPr>
          <w:rFonts w:ascii="Book Antiqua" w:hAnsi="Book Antiqua"/>
          <w:lang w:val="en-GB"/>
        </w:rPr>
        <w:t xml:space="preserve">a </w:t>
      </w:r>
      <w:r w:rsidRPr="00D43973">
        <w:rPr>
          <w:rFonts w:ascii="Book Antiqua" w:hAnsi="Book Antiqua"/>
          <w:lang w:val="en-GB"/>
        </w:rPr>
        <w:t>high risk of severe disease</w:t>
      </w:r>
      <w:r>
        <w:rPr>
          <w:rFonts w:ascii="Book Antiqua" w:hAnsi="Book Antiqua"/>
          <w:lang w:val="en-GB"/>
        </w:rPr>
        <w:t>,</w:t>
      </w:r>
      <w:r w:rsidRPr="00D43973">
        <w:rPr>
          <w:rFonts w:ascii="Book Antiqua" w:hAnsi="Book Antiqua"/>
          <w:lang w:val="en-GB"/>
        </w:rPr>
        <w:t xml:space="preserve"> using more standard options </w:t>
      </w:r>
      <w:r>
        <w:rPr>
          <w:rFonts w:ascii="Book Antiqua" w:hAnsi="Book Antiqua"/>
          <w:lang w:val="en-GB"/>
        </w:rPr>
        <w:t>for patients who are destined for</w:t>
      </w:r>
      <w:r w:rsidRPr="00D43973">
        <w:rPr>
          <w:rFonts w:ascii="Book Antiqua" w:hAnsi="Book Antiqua"/>
          <w:lang w:val="en-GB"/>
        </w:rPr>
        <w:t xml:space="preserve"> a milder disease course</w:t>
      </w:r>
      <w:r w:rsidRPr="00953227">
        <w:rPr>
          <w:rFonts w:ascii="Book Antiqua" w:hAnsi="Book Antiqua"/>
          <w:vertAlign w:val="superscript"/>
          <w:lang w:val="en-GB"/>
        </w:rPr>
        <w:t>[</w:t>
      </w:r>
      <w:r w:rsidR="000F607C">
        <w:rPr>
          <w:rFonts w:ascii="Book Antiqua" w:hAnsi="Book Antiqua" w:hint="eastAsia"/>
          <w:vertAlign w:val="superscript"/>
          <w:lang w:val="en-GB" w:eastAsia="zh-CN"/>
        </w:rPr>
        <w:t>53</w:t>
      </w:r>
      <w:r w:rsidR="000F607C" w:rsidRPr="004D0AB5">
        <w:rPr>
          <w:rFonts w:ascii="Book Antiqua" w:hAnsi="Book Antiqua"/>
          <w:vertAlign w:val="superscript"/>
          <w:lang w:val="en-GB"/>
        </w:rPr>
        <w:t>]</w:t>
      </w:r>
      <w:r w:rsidR="000F607C" w:rsidRPr="00D43973">
        <w:rPr>
          <w:rFonts w:ascii="Book Antiqua" w:hAnsi="Book Antiqua"/>
          <w:lang w:val="en-GB"/>
        </w:rPr>
        <w:t>.</w:t>
      </w:r>
      <w:r w:rsidR="00020B09">
        <w:rPr>
          <w:rFonts w:ascii="Book Antiqua" w:hAnsi="Book Antiqua" w:hint="eastAsia"/>
          <w:lang w:val="en-GB" w:eastAsia="zh-CN"/>
        </w:rPr>
        <w:t xml:space="preserve"> </w:t>
      </w:r>
      <w:r w:rsidRPr="00D43973">
        <w:rPr>
          <w:rFonts w:ascii="Book Antiqua" w:hAnsi="Book Antiqua"/>
          <w:lang w:val="en-GB"/>
        </w:rPr>
        <w:t>This in</w:t>
      </w:r>
      <w:r>
        <w:rPr>
          <w:rFonts w:ascii="Book Antiqua" w:hAnsi="Book Antiqua"/>
          <w:lang w:val="en-GB"/>
        </w:rPr>
        <w:t>dividualised approach requires</w:t>
      </w:r>
      <w:r w:rsidRPr="00D43973">
        <w:rPr>
          <w:rFonts w:ascii="Book Antiqua" w:hAnsi="Book Antiqua"/>
          <w:lang w:val="en-GB"/>
        </w:rPr>
        <w:t xml:space="preserve"> reliable prognostic biomarker</w:t>
      </w:r>
      <w:r>
        <w:rPr>
          <w:rFonts w:ascii="Book Antiqua" w:hAnsi="Book Antiqua"/>
          <w:lang w:val="en-GB"/>
        </w:rPr>
        <w:t>s and hence</w:t>
      </w:r>
      <w:r w:rsidRPr="00D43973">
        <w:rPr>
          <w:rFonts w:ascii="Book Antiqua" w:hAnsi="Book Antiqua"/>
          <w:lang w:val="en-GB"/>
        </w:rPr>
        <w:t xml:space="preserve"> major effort</w:t>
      </w:r>
      <w:r>
        <w:rPr>
          <w:rFonts w:ascii="Book Antiqua" w:hAnsi="Book Antiqua"/>
          <w:lang w:val="en-GB"/>
        </w:rPr>
        <w:t xml:space="preserve">s are being made in the development of such markers. </w:t>
      </w:r>
      <w:r w:rsidRPr="00D43973">
        <w:rPr>
          <w:rFonts w:ascii="Book Antiqua" w:hAnsi="Book Antiqua"/>
          <w:lang w:val="en-GB"/>
        </w:rPr>
        <w:t>Risk stratifi</w:t>
      </w:r>
      <w:r>
        <w:rPr>
          <w:rFonts w:ascii="Book Antiqua" w:hAnsi="Book Antiqua"/>
          <w:lang w:val="en-GB"/>
        </w:rPr>
        <w:t>cation models would allow clinicians</w:t>
      </w:r>
      <w:r w:rsidRPr="00D43973">
        <w:rPr>
          <w:rFonts w:ascii="Book Antiqua" w:hAnsi="Book Antiqua"/>
          <w:lang w:val="en-GB"/>
        </w:rPr>
        <w:t xml:space="preserve"> to treat patients effectively before complications arise, and to optimise majorly the management o</w:t>
      </w:r>
      <w:r>
        <w:rPr>
          <w:rFonts w:ascii="Book Antiqua" w:hAnsi="Book Antiqua"/>
          <w:lang w:val="en-GB"/>
        </w:rPr>
        <w:t>f patients with IBD as improve</w:t>
      </w:r>
      <w:r w:rsidRPr="00D43973">
        <w:rPr>
          <w:rFonts w:ascii="Book Antiqua" w:hAnsi="Book Antiqua"/>
          <w:lang w:val="en-GB"/>
        </w:rPr>
        <w:t xml:space="preserve"> the cost effectiveness of their care</w:t>
      </w:r>
      <w:r w:rsidRPr="00953227">
        <w:rPr>
          <w:rFonts w:ascii="Book Antiqua" w:hAnsi="Book Antiqua"/>
          <w:vertAlign w:val="superscript"/>
          <w:lang w:val="en-GB"/>
        </w:rPr>
        <w:t>[</w:t>
      </w:r>
      <w:r w:rsidR="000F607C">
        <w:rPr>
          <w:rFonts w:ascii="Book Antiqua" w:hAnsi="Book Antiqua" w:hint="eastAsia"/>
          <w:vertAlign w:val="superscript"/>
          <w:lang w:val="en-GB" w:eastAsia="zh-CN"/>
        </w:rPr>
        <w:t>53</w:t>
      </w:r>
      <w:r w:rsidRPr="004D0AB5">
        <w:rPr>
          <w:rFonts w:ascii="Book Antiqua" w:hAnsi="Book Antiqua"/>
          <w:vertAlign w:val="superscript"/>
          <w:lang w:val="en-GB"/>
        </w:rPr>
        <w:t>]</w:t>
      </w:r>
      <w:r w:rsidRPr="00D43973">
        <w:rPr>
          <w:rFonts w:ascii="Book Antiqua" w:hAnsi="Book Antiqua"/>
          <w:lang w:val="en-GB"/>
        </w:rPr>
        <w:t xml:space="preserve">. </w:t>
      </w:r>
    </w:p>
    <w:p w14:paraId="0C7A32A1" w14:textId="77777777" w:rsidR="00563BB7" w:rsidRPr="00D43973" w:rsidRDefault="00563BB7" w:rsidP="006A3266">
      <w:pPr>
        <w:widowControl w:val="0"/>
        <w:autoSpaceDE w:val="0"/>
        <w:autoSpaceDN w:val="0"/>
        <w:adjustRightInd w:val="0"/>
        <w:spacing w:line="360" w:lineRule="auto"/>
        <w:jc w:val="both"/>
        <w:rPr>
          <w:rFonts w:ascii="Book Antiqua" w:hAnsi="Book Antiqua"/>
          <w:lang w:val="en-GB"/>
        </w:rPr>
      </w:pPr>
    </w:p>
    <w:p w14:paraId="3F414418" w14:textId="5D1B98B9" w:rsidR="00563BB7" w:rsidRPr="00D43973" w:rsidRDefault="00563BB7" w:rsidP="006A3266">
      <w:pPr>
        <w:widowControl w:val="0"/>
        <w:autoSpaceDE w:val="0"/>
        <w:autoSpaceDN w:val="0"/>
        <w:adjustRightInd w:val="0"/>
        <w:spacing w:line="360" w:lineRule="auto"/>
        <w:jc w:val="both"/>
        <w:rPr>
          <w:rFonts w:ascii="Book Antiqua" w:hAnsi="Book Antiqua"/>
          <w:lang w:val="en-GB" w:eastAsia="zh-CN"/>
        </w:rPr>
      </w:pPr>
      <w:r w:rsidRPr="00CB2E83">
        <w:rPr>
          <w:rFonts w:ascii="Book Antiqua" w:hAnsi="Book Antiqua"/>
          <w:b/>
          <w:lang w:val="en-GB"/>
        </w:rPr>
        <w:t>CONCLUSION</w:t>
      </w:r>
    </w:p>
    <w:p w14:paraId="45DE1B9E" w14:textId="77777777" w:rsidR="00563BB7" w:rsidRDefault="00563BB7" w:rsidP="006A3266">
      <w:pPr>
        <w:widowControl w:val="0"/>
        <w:autoSpaceDE w:val="0"/>
        <w:autoSpaceDN w:val="0"/>
        <w:adjustRightInd w:val="0"/>
        <w:spacing w:line="360" w:lineRule="auto"/>
        <w:jc w:val="both"/>
        <w:rPr>
          <w:rFonts w:ascii="Book Antiqua" w:hAnsi="Book Antiqua"/>
          <w:lang w:val="en-GB"/>
        </w:rPr>
      </w:pPr>
      <w:r w:rsidRPr="00D43973">
        <w:rPr>
          <w:rFonts w:ascii="Book Antiqua" w:hAnsi="Book Antiqua"/>
          <w:lang w:val="en-GB"/>
        </w:rPr>
        <w:t>Our narr</w:t>
      </w:r>
      <w:r>
        <w:rPr>
          <w:rFonts w:ascii="Book Antiqua" w:hAnsi="Book Antiqua"/>
          <w:lang w:val="en-GB"/>
        </w:rPr>
        <w:t>ative review summarises some of the</w:t>
      </w:r>
      <w:r w:rsidRPr="00D43973">
        <w:rPr>
          <w:rFonts w:ascii="Book Antiqua" w:hAnsi="Book Antiqua"/>
          <w:lang w:val="en-GB"/>
        </w:rPr>
        <w:t xml:space="preserve"> recent advances in treating children with IBD. Whilst the mechanism</w:t>
      </w:r>
      <w:r>
        <w:rPr>
          <w:rFonts w:ascii="Book Antiqua" w:hAnsi="Book Antiqua"/>
          <w:lang w:val="en-GB"/>
        </w:rPr>
        <w:t>s underlying this condition are</w:t>
      </w:r>
      <w:r w:rsidRPr="00D43973">
        <w:rPr>
          <w:rFonts w:ascii="Book Antiqua" w:hAnsi="Book Antiqua"/>
          <w:lang w:val="en-GB"/>
        </w:rPr>
        <w:t xml:space="preserve"> yet to be fully understood, </w:t>
      </w:r>
      <w:r>
        <w:rPr>
          <w:rFonts w:ascii="Book Antiqua" w:hAnsi="Book Antiqua"/>
          <w:lang w:val="en-GB"/>
        </w:rPr>
        <w:t xml:space="preserve">both </w:t>
      </w:r>
      <w:r w:rsidRPr="00D43973">
        <w:rPr>
          <w:rFonts w:ascii="Book Antiqua" w:hAnsi="Book Antiqua"/>
          <w:lang w:val="en-GB"/>
        </w:rPr>
        <w:t>old</w:t>
      </w:r>
      <w:r>
        <w:rPr>
          <w:rFonts w:ascii="Book Antiqua" w:hAnsi="Book Antiqua"/>
          <w:lang w:val="en-GB"/>
        </w:rPr>
        <w:t xml:space="preserve"> and new</w:t>
      </w:r>
      <w:r w:rsidRPr="00D43973">
        <w:rPr>
          <w:rFonts w:ascii="Book Antiqua" w:hAnsi="Book Antiqua"/>
          <w:lang w:val="en-GB"/>
        </w:rPr>
        <w:t xml:space="preserve"> generation treatments can </w:t>
      </w:r>
      <w:r>
        <w:rPr>
          <w:rFonts w:ascii="Book Antiqua" w:hAnsi="Book Antiqua"/>
          <w:lang w:val="en-GB"/>
        </w:rPr>
        <w:t>still only target known</w:t>
      </w:r>
      <w:r w:rsidRPr="00D43973">
        <w:rPr>
          <w:rFonts w:ascii="Book Antiqua" w:hAnsi="Book Antiqua"/>
          <w:lang w:val="en-GB"/>
        </w:rPr>
        <w:t xml:space="preserve"> pathways of what</w:t>
      </w:r>
      <w:r>
        <w:rPr>
          <w:rFonts w:ascii="Book Antiqua" w:hAnsi="Book Antiqua"/>
          <w:lang w:val="en-GB"/>
        </w:rPr>
        <w:t xml:space="preserve"> is a very complex pathogenesis. </w:t>
      </w:r>
      <w:r>
        <w:rPr>
          <w:rFonts w:ascii="Book Antiqua" w:hAnsi="Book Antiqua" w:hint="eastAsia"/>
          <w:lang w:val="en-GB" w:eastAsia="zh-CN"/>
        </w:rPr>
        <w:t xml:space="preserve"> </w:t>
      </w:r>
      <w:r w:rsidRPr="00D43973">
        <w:rPr>
          <w:rFonts w:ascii="Book Antiqua" w:hAnsi="Book Antiqua"/>
          <w:lang w:val="en-GB"/>
        </w:rPr>
        <w:t>A significant proportion of children with IBD does not respond to currently available treatment</w:t>
      </w:r>
      <w:r>
        <w:rPr>
          <w:rFonts w:ascii="Book Antiqua" w:hAnsi="Book Antiqua"/>
          <w:lang w:val="en-GB"/>
        </w:rPr>
        <w:t>s,</w:t>
      </w:r>
      <w:r w:rsidRPr="00D43973">
        <w:rPr>
          <w:rFonts w:ascii="Book Antiqua" w:hAnsi="Book Antiqua"/>
          <w:lang w:val="en-GB"/>
        </w:rPr>
        <w:t xml:space="preserve"> either at diagnosis or during disease course, therefore new treatment options are </w:t>
      </w:r>
      <w:r>
        <w:rPr>
          <w:rFonts w:ascii="Book Antiqua" w:hAnsi="Book Antiqua"/>
          <w:lang w:val="en-GB"/>
        </w:rPr>
        <w:t>urgently needed.</w:t>
      </w:r>
      <w:r>
        <w:rPr>
          <w:rFonts w:ascii="Book Antiqua" w:hAnsi="Book Antiqua" w:hint="eastAsia"/>
          <w:lang w:val="en-GB" w:eastAsia="zh-CN"/>
        </w:rPr>
        <w:t xml:space="preserve"> </w:t>
      </w:r>
      <w:r w:rsidRPr="00D43973">
        <w:rPr>
          <w:rFonts w:ascii="Book Antiqua" w:hAnsi="Book Antiqua"/>
          <w:lang w:val="en-GB"/>
        </w:rPr>
        <w:t xml:space="preserve">Major advances have been achieved in monitoring the individual metabolism, toxicity and response to </w:t>
      </w:r>
      <w:r>
        <w:rPr>
          <w:rFonts w:ascii="Book Antiqua" w:hAnsi="Book Antiqua"/>
          <w:lang w:val="en-GB"/>
        </w:rPr>
        <w:t>treatments in IBD.</w:t>
      </w:r>
      <w:r>
        <w:rPr>
          <w:rFonts w:ascii="Book Antiqua" w:hAnsi="Book Antiqua" w:hint="eastAsia"/>
          <w:lang w:val="en-GB" w:eastAsia="zh-CN"/>
        </w:rPr>
        <w:t xml:space="preserve"> </w:t>
      </w:r>
      <w:r w:rsidRPr="00D43973">
        <w:rPr>
          <w:rFonts w:ascii="Book Antiqua" w:hAnsi="Book Antiqua"/>
          <w:lang w:val="en-GB"/>
        </w:rPr>
        <w:t xml:space="preserve">Amongst the priorities in current research is the development of reliable prognostic biomarkers, an essential step towards </w:t>
      </w:r>
      <w:r>
        <w:rPr>
          <w:rFonts w:ascii="Book Antiqua" w:hAnsi="Book Antiqua"/>
          <w:lang w:val="en-GB"/>
        </w:rPr>
        <w:t>the personalised treatment of patients with IBD.</w:t>
      </w:r>
      <w:r w:rsidRPr="00D43973">
        <w:rPr>
          <w:rFonts w:ascii="Book Antiqua" w:hAnsi="Book Antiqua"/>
          <w:lang w:val="en-GB"/>
        </w:rPr>
        <w:t xml:space="preserve"> </w:t>
      </w:r>
    </w:p>
    <w:p w14:paraId="3EF18B50" w14:textId="77777777" w:rsidR="00355665" w:rsidRDefault="00355665" w:rsidP="006A3266">
      <w:pPr>
        <w:spacing w:line="360" w:lineRule="auto"/>
        <w:jc w:val="both"/>
        <w:rPr>
          <w:rFonts w:ascii="Book Antiqua" w:hAnsi="Book Antiqua"/>
          <w:b/>
          <w:lang w:val="en-GB"/>
        </w:rPr>
      </w:pPr>
      <w:r>
        <w:rPr>
          <w:rFonts w:ascii="Book Antiqua" w:hAnsi="Book Antiqua"/>
          <w:b/>
          <w:lang w:val="en-GB"/>
        </w:rPr>
        <w:br w:type="page"/>
      </w:r>
    </w:p>
    <w:p w14:paraId="7464CC08" w14:textId="2E4C083F" w:rsidR="00450450" w:rsidRDefault="00CB2E83" w:rsidP="006A3266">
      <w:pPr>
        <w:pStyle w:val="ListParagraph"/>
        <w:spacing w:line="360" w:lineRule="auto"/>
        <w:ind w:left="0"/>
        <w:jc w:val="both"/>
        <w:rPr>
          <w:rFonts w:ascii="Book Antiqua" w:hAnsi="Book Antiqua"/>
          <w:lang w:val="en-GB" w:eastAsia="zh-CN"/>
        </w:rPr>
      </w:pPr>
      <w:r w:rsidRPr="00CB2E83">
        <w:rPr>
          <w:rFonts w:ascii="Book Antiqua" w:hAnsi="Book Antiqua"/>
          <w:b/>
          <w:lang w:val="en-GB"/>
        </w:rPr>
        <w:lastRenderedPageBreak/>
        <w:t>REFERENCES</w:t>
      </w:r>
    </w:p>
    <w:p w14:paraId="33E6661B"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1 </w:t>
      </w:r>
      <w:r w:rsidRPr="00B84710">
        <w:rPr>
          <w:rFonts w:ascii="Book Antiqua" w:hAnsi="Book Antiqua" w:cs="Tahoma"/>
          <w:b/>
          <w:bCs/>
          <w:color w:val="000000" w:themeColor="text1"/>
        </w:rPr>
        <w:t>Meijer B</w:t>
      </w:r>
      <w:r w:rsidRPr="00B84710">
        <w:rPr>
          <w:rFonts w:ascii="Book Antiqua" w:hAnsi="Book Antiqua" w:cs="Tahoma"/>
          <w:color w:val="000000" w:themeColor="text1"/>
        </w:rPr>
        <w:t>, Mulder CJ, Peters GJ, van Bodegraven AA, de Boer NK. Efficacy of thioguanine treatment in inflammatory bowel disease: A systematic review. </w:t>
      </w:r>
      <w:r w:rsidRPr="00B84710">
        <w:rPr>
          <w:rFonts w:ascii="Book Antiqua" w:hAnsi="Book Antiqua" w:cs="Tahoma"/>
          <w:i/>
          <w:iCs/>
          <w:color w:val="000000" w:themeColor="text1"/>
        </w:rPr>
        <w:t>World J Gastroenterol</w:t>
      </w:r>
      <w:r w:rsidRPr="00B84710">
        <w:rPr>
          <w:rFonts w:ascii="Book Antiqua" w:hAnsi="Book Antiqua" w:cs="Tahoma"/>
          <w:color w:val="000000" w:themeColor="text1"/>
        </w:rPr>
        <w:t> 2016; </w:t>
      </w:r>
      <w:r w:rsidRPr="00B84710">
        <w:rPr>
          <w:rFonts w:ascii="Book Antiqua" w:hAnsi="Book Antiqua" w:cs="Tahoma"/>
          <w:b/>
          <w:bCs/>
          <w:color w:val="000000" w:themeColor="text1"/>
        </w:rPr>
        <w:t>22</w:t>
      </w:r>
      <w:r w:rsidRPr="00B84710">
        <w:rPr>
          <w:rFonts w:ascii="Book Antiqua" w:hAnsi="Book Antiqua" w:cs="Tahoma"/>
          <w:color w:val="000000" w:themeColor="text1"/>
        </w:rPr>
        <w:t>: 9012-9021 [PMID: 27833392 DOI: 10.3748/wjg.v22.i40.9012]</w:t>
      </w:r>
    </w:p>
    <w:p w14:paraId="28E7F419"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2 </w:t>
      </w:r>
      <w:r w:rsidRPr="00B84710">
        <w:rPr>
          <w:rFonts w:ascii="Book Antiqua" w:hAnsi="Book Antiqua" w:cs="Tahoma"/>
          <w:b/>
          <w:bCs/>
          <w:color w:val="000000" w:themeColor="text1"/>
        </w:rPr>
        <w:t>Kolho KL</w:t>
      </w:r>
      <w:r w:rsidRPr="00B84710">
        <w:rPr>
          <w:rFonts w:ascii="Book Antiqua" w:hAnsi="Book Antiqua" w:cs="Tahoma"/>
          <w:color w:val="000000" w:themeColor="text1"/>
        </w:rPr>
        <w:t>, Ainamo A. Progress in the treatment and outcome of pediatric inflammatory bowel disease patients. </w:t>
      </w:r>
      <w:r w:rsidRPr="00B84710">
        <w:rPr>
          <w:rFonts w:ascii="Book Antiqua" w:hAnsi="Book Antiqua" w:cs="Tahoma"/>
          <w:i/>
          <w:iCs/>
          <w:color w:val="000000" w:themeColor="text1"/>
        </w:rPr>
        <w:t>Expert Rev Clin Immunol</w:t>
      </w:r>
      <w:r w:rsidRPr="00B84710">
        <w:rPr>
          <w:rFonts w:ascii="Book Antiqua" w:hAnsi="Book Antiqua" w:cs="Tahoma"/>
          <w:color w:val="000000" w:themeColor="text1"/>
        </w:rPr>
        <w:t> 2016; </w:t>
      </w:r>
      <w:r w:rsidRPr="00B84710">
        <w:rPr>
          <w:rFonts w:ascii="Book Antiqua" w:hAnsi="Book Antiqua" w:cs="Tahoma"/>
          <w:b/>
          <w:bCs/>
          <w:color w:val="000000" w:themeColor="text1"/>
        </w:rPr>
        <w:t>12</w:t>
      </w:r>
      <w:r w:rsidRPr="00B84710">
        <w:rPr>
          <w:rFonts w:ascii="Book Antiqua" w:hAnsi="Book Antiqua" w:cs="Tahoma"/>
          <w:color w:val="000000" w:themeColor="text1"/>
        </w:rPr>
        <w:t>: 1337-1345 [PMID: 27322874 DOI: 10.1080/1744666X.2016.1201422]</w:t>
      </w:r>
    </w:p>
    <w:p w14:paraId="658C3833"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3 </w:t>
      </w:r>
      <w:r w:rsidRPr="00B84710">
        <w:rPr>
          <w:rFonts w:ascii="Book Antiqua" w:hAnsi="Book Antiqua" w:cs="Tahoma"/>
          <w:b/>
          <w:bCs/>
          <w:color w:val="000000" w:themeColor="text1"/>
        </w:rPr>
        <w:t>Kammermeier J</w:t>
      </w:r>
      <w:r w:rsidRPr="00B84710">
        <w:rPr>
          <w:rFonts w:ascii="Book Antiqua" w:hAnsi="Book Antiqua" w:cs="Tahoma"/>
          <w:color w:val="000000" w:themeColor="text1"/>
        </w:rPr>
        <w:t>, Morris MA, Garrick V, Furman M, Rodrigues A, Russell RK; BSPGHAN IBD Working Group. Management of Crohn's disease. </w:t>
      </w:r>
      <w:r w:rsidRPr="00B84710">
        <w:rPr>
          <w:rFonts w:ascii="Book Antiqua" w:hAnsi="Book Antiqua" w:cs="Tahoma"/>
          <w:i/>
          <w:iCs/>
          <w:color w:val="000000" w:themeColor="text1"/>
        </w:rPr>
        <w:t>Arch Dis Child</w:t>
      </w:r>
      <w:r w:rsidRPr="00B84710">
        <w:rPr>
          <w:rFonts w:ascii="Book Antiqua" w:hAnsi="Book Antiqua" w:cs="Tahoma"/>
          <w:color w:val="000000" w:themeColor="text1"/>
        </w:rPr>
        <w:t> 2016; </w:t>
      </w:r>
      <w:r w:rsidRPr="00B84710">
        <w:rPr>
          <w:rFonts w:ascii="Book Antiqua" w:hAnsi="Book Antiqua" w:cs="Tahoma"/>
          <w:b/>
          <w:bCs/>
          <w:color w:val="000000" w:themeColor="text1"/>
        </w:rPr>
        <w:t>101</w:t>
      </w:r>
      <w:r w:rsidRPr="00B84710">
        <w:rPr>
          <w:rFonts w:ascii="Book Antiqua" w:hAnsi="Book Antiqua" w:cs="Tahoma"/>
          <w:color w:val="000000" w:themeColor="text1"/>
        </w:rPr>
        <w:t>: 475-480 [PMID: 26553907 DOI: 10.1136/archdischild-2014-307217]</w:t>
      </w:r>
    </w:p>
    <w:p w14:paraId="4F54E38E"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4 </w:t>
      </w:r>
      <w:r w:rsidRPr="00B84710">
        <w:rPr>
          <w:rFonts w:ascii="Book Antiqua" w:hAnsi="Book Antiqua" w:cs="Tahoma"/>
          <w:b/>
          <w:bCs/>
          <w:color w:val="000000" w:themeColor="text1"/>
        </w:rPr>
        <w:t>Lim WC</w:t>
      </w:r>
      <w:r w:rsidRPr="00B84710">
        <w:rPr>
          <w:rFonts w:ascii="Book Antiqua" w:hAnsi="Book Antiqua" w:cs="Tahoma"/>
          <w:color w:val="000000" w:themeColor="text1"/>
        </w:rPr>
        <w:t>, Wang Y, MacDonald JK, Hanauer S. Aminosalicylates for induction of remission or response in Crohn's disease. </w:t>
      </w:r>
      <w:r w:rsidRPr="00B84710">
        <w:rPr>
          <w:rFonts w:ascii="Book Antiqua" w:hAnsi="Book Antiqua" w:cs="Tahoma"/>
          <w:i/>
          <w:iCs/>
          <w:color w:val="000000" w:themeColor="text1"/>
        </w:rPr>
        <w:t>Cochrane Database Syst Rev</w:t>
      </w:r>
      <w:r w:rsidRPr="00B84710">
        <w:rPr>
          <w:rFonts w:ascii="Book Antiqua" w:hAnsi="Book Antiqua" w:cs="Tahoma"/>
          <w:color w:val="000000" w:themeColor="text1"/>
        </w:rPr>
        <w:t> 2016; </w:t>
      </w:r>
      <w:r w:rsidRPr="00B84710">
        <w:rPr>
          <w:rFonts w:ascii="Book Antiqua" w:hAnsi="Book Antiqua" w:cs="Tahoma"/>
          <w:b/>
          <w:bCs/>
          <w:color w:val="000000" w:themeColor="text1"/>
        </w:rPr>
        <w:t>7</w:t>
      </w:r>
      <w:r w:rsidRPr="00B84710">
        <w:rPr>
          <w:rFonts w:ascii="Book Antiqua" w:hAnsi="Book Antiqua" w:cs="Tahoma"/>
          <w:color w:val="000000" w:themeColor="text1"/>
        </w:rPr>
        <w:t>: CD008870 [PMID: 27372735 DOI: 10.1002/14651858.CD008870.pub2]</w:t>
      </w:r>
    </w:p>
    <w:p w14:paraId="06AA8F10"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5 </w:t>
      </w:r>
      <w:r w:rsidRPr="00B84710">
        <w:rPr>
          <w:rFonts w:ascii="Book Antiqua" w:hAnsi="Book Antiqua" w:cs="Tahoma"/>
          <w:b/>
          <w:bCs/>
          <w:color w:val="000000" w:themeColor="text1"/>
        </w:rPr>
        <w:t>Yang C</w:t>
      </w:r>
      <w:r w:rsidRPr="00B84710">
        <w:rPr>
          <w:rFonts w:ascii="Book Antiqua" w:hAnsi="Book Antiqua" w:cs="Tahoma"/>
          <w:color w:val="000000" w:themeColor="text1"/>
        </w:rPr>
        <w:t>, Singh P, Singh H, Le ML, El-Matary W. Systematic review: thalidomide and thalidomide analogues for treatment of inflammatory bowel disease. </w:t>
      </w:r>
      <w:r w:rsidRPr="00B84710">
        <w:rPr>
          <w:rFonts w:ascii="Book Antiqua" w:hAnsi="Book Antiqua" w:cs="Tahoma"/>
          <w:i/>
          <w:iCs/>
          <w:color w:val="000000" w:themeColor="text1"/>
        </w:rPr>
        <w:t>Aliment Pharmacol Ther</w:t>
      </w:r>
      <w:r w:rsidRPr="00B84710">
        <w:rPr>
          <w:rFonts w:ascii="Book Antiqua" w:hAnsi="Book Antiqua" w:cs="Tahoma"/>
          <w:color w:val="000000" w:themeColor="text1"/>
        </w:rPr>
        <w:t> 2015; </w:t>
      </w:r>
      <w:r w:rsidRPr="00B84710">
        <w:rPr>
          <w:rFonts w:ascii="Book Antiqua" w:hAnsi="Book Antiqua" w:cs="Tahoma"/>
          <w:b/>
          <w:bCs/>
          <w:color w:val="000000" w:themeColor="text1"/>
        </w:rPr>
        <w:t>41</w:t>
      </w:r>
      <w:r w:rsidRPr="00B84710">
        <w:rPr>
          <w:rFonts w:ascii="Book Antiqua" w:hAnsi="Book Antiqua" w:cs="Tahoma"/>
          <w:color w:val="000000" w:themeColor="text1"/>
        </w:rPr>
        <w:t>: 1079-1093 [PMID: 25858208 DOI: 10.1111/apt.13181]</w:t>
      </w:r>
    </w:p>
    <w:p w14:paraId="583F0F6F"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6 </w:t>
      </w:r>
      <w:r w:rsidRPr="00B84710">
        <w:rPr>
          <w:rFonts w:ascii="Book Antiqua" w:hAnsi="Book Antiqua" w:cs="Tahoma"/>
          <w:b/>
          <w:bCs/>
          <w:color w:val="000000" w:themeColor="text1"/>
        </w:rPr>
        <w:t>Corica D</w:t>
      </w:r>
      <w:r w:rsidRPr="00B84710">
        <w:rPr>
          <w:rFonts w:ascii="Book Antiqua" w:hAnsi="Book Antiqua" w:cs="Tahoma"/>
          <w:color w:val="000000" w:themeColor="text1"/>
        </w:rPr>
        <w:t>, Romano C. Biological Therapy in Pediatric Inflammatory Bowel Disease: A Systematic Review. </w:t>
      </w:r>
      <w:r w:rsidRPr="00B84710">
        <w:rPr>
          <w:rFonts w:ascii="Book Antiqua" w:hAnsi="Book Antiqua" w:cs="Tahoma"/>
          <w:i/>
          <w:iCs/>
          <w:color w:val="000000" w:themeColor="text1"/>
        </w:rPr>
        <w:t>J Clin Gastroenterol</w:t>
      </w:r>
      <w:r w:rsidRPr="00B84710">
        <w:rPr>
          <w:rFonts w:ascii="Book Antiqua" w:hAnsi="Book Antiqua" w:cs="Tahoma"/>
          <w:color w:val="000000" w:themeColor="text1"/>
        </w:rPr>
        <w:t> 2017; </w:t>
      </w:r>
      <w:r w:rsidRPr="00B84710">
        <w:rPr>
          <w:rFonts w:ascii="Book Antiqua" w:hAnsi="Book Antiqua" w:cs="Tahoma"/>
          <w:b/>
          <w:bCs/>
          <w:color w:val="000000" w:themeColor="text1"/>
        </w:rPr>
        <w:t>51</w:t>
      </w:r>
      <w:r w:rsidRPr="00B84710">
        <w:rPr>
          <w:rFonts w:ascii="Book Antiqua" w:hAnsi="Book Antiqua" w:cs="Tahoma"/>
          <w:color w:val="000000" w:themeColor="text1"/>
        </w:rPr>
        <w:t>: 100-110 [PMID: 27636407 DOI: 10.1097/MCG.0000000000000696]</w:t>
      </w:r>
    </w:p>
    <w:p w14:paraId="063FFF20"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7 </w:t>
      </w:r>
      <w:r w:rsidRPr="00B84710">
        <w:rPr>
          <w:rFonts w:ascii="Book Antiqua" w:hAnsi="Book Antiqua" w:cs="Tahoma"/>
          <w:b/>
          <w:bCs/>
          <w:color w:val="000000" w:themeColor="text1"/>
        </w:rPr>
        <w:t>Sharma S</w:t>
      </w:r>
      <w:r w:rsidRPr="00B84710">
        <w:rPr>
          <w:rFonts w:ascii="Book Antiqua" w:hAnsi="Book Antiqua" w:cs="Tahoma"/>
          <w:color w:val="000000" w:themeColor="text1"/>
        </w:rPr>
        <w:t>, Eckert D, Hyams JS, Mensing S, Thakkar RB, Robinson AM, Rosh JR, Ruemmele FM, Awni WM. Pharmacokinetics and exposure-efficacy relationship of adalimumab in pediatric patients with moderate to severe Crohn's disease: results from a randomized, multicenter, phase-3 study. </w:t>
      </w:r>
      <w:r w:rsidRPr="00B84710">
        <w:rPr>
          <w:rFonts w:ascii="Book Antiqua" w:hAnsi="Book Antiqua" w:cs="Tahoma"/>
          <w:i/>
          <w:iCs/>
          <w:color w:val="000000" w:themeColor="text1"/>
        </w:rPr>
        <w:t>Inflamm Bowel Dis</w:t>
      </w:r>
      <w:r w:rsidRPr="00B84710">
        <w:rPr>
          <w:rFonts w:ascii="Book Antiqua" w:hAnsi="Book Antiqua" w:cs="Tahoma"/>
          <w:color w:val="000000" w:themeColor="text1"/>
        </w:rPr>
        <w:t> 2015; </w:t>
      </w:r>
      <w:r w:rsidRPr="00B84710">
        <w:rPr>
          <w:rFonts w:ascii="Book Antiqua" w:hAnsi="Book Antiqua" w:cs="Tahoma"/>
          <w:b/>
          <w:bCs/>
          <w:color w:val="000000" w:themeColor="text1"/>
        </w:rPr>
        <w:t>21</w:t>
      </w:r>
      <w:r w:rsidRPr="00B84710">
        <w:rPr>
          <w:rFonts w:ascii="Book Antiqua" w:hAnsi="Book Antiqua" w:cs="Tahoma"/>
          <w:color w:val="000000" w:themeColor="text1"/>
        </w:rPr>
        <w:t>: 783-792 [PMID: 25723614 DOI: 10.1097/MIB.0000000000000327]</w:t>
      </w:r>
    </w:p>
    <w:p w14:paraId="602B3462"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8 </w:t>
      </w:r>
      <w:r w:rsidRPr="00B84710">
        <w:rPr>
          <w:rFonts w:ascii="Book Antiqua" w:hAnsi="Book Antiqua" w:cs="Tahoma"/>
          <w:b/>
          <w:bCs/>
          <w:color w:val="000000" w:themeColor="text1"/>
        </w:rPr>
        <w:t>Gordon M</w:t>
      </w:r>
      <w:r w:rsidRPr="00B84710">
        <w:rPr>
          <w:rFonts w:ascii="Book Antiqua" w:hAnsi="Book Antiqua" w:cs="Tahoma"/>
          <w:color w:val="000000" w:themeColor="text1"/>
        </w:rPr>
        <w:t>, Taylor K, Akobeng AK, Thomas AG. Azathioprine and 6-mercaptopurine for maintenance of surgically-induced remission in Crohn's disease. </w:t>
      </w:r>
      <w:r w:rsidRPr="00B84710">
        <w:rPr>
          <w:rFonts w:ascii="Book Antiqua" w:hAnsi="Book Antiqua" w:cs="Tahoma"/>
          <w:i/>
          <w:iCs/>
          <w:color w:val="000000" w:themeColor="text1"/>
        </w:rPr>
        <w:t>Cochrane Database Syst Rev</w:t>
      </w:r>
      <w:r w:rsidRPr="00B84710">
        <w:rPr>
          <w:rFonts w:ascii="Book Antiqua" w:hAnsi="Book Antiqua" w:cs="Tahoma"/>
          <w:color w:val="000000" w:themeColor="text1"/>
        </w:rPr>
        <w:t> 2014; </w:t>
      </w:r>
      <w:r w:rsidRPr="00B84710">
        <w:rPr>
          <w:rFonts w:ascii="Book Antiqua" w:hAnsi="Book Antiqua" w:cs="Tahoma" w:hint="eastAsia"/>
          <w:b/>
          <w:color w:val="000000" w:themeColor="text1"/>
        </w:rPr>
        <w:t>(8)</w:t>
      </w:r>
      <w:r w:rsidRPr="00B84710">
        <w:rPr>
          <w:rFonts w:ascii="Book Antiqua" w:hAnsi="Book Antiqua" w:cs="Tahoma"/>
          <w:b/>
          <w:color w:val="000000" w:themeColor="text1"/>
        </w:rPr>
        <w:t xml:space="preserve">: </w:t>
      </w:r>
      <w:r w:rsidRPr="00B84710">
        <w:rPr>
          <w:rFonts w:ascii="Book Antiqua" w:hAnsi="Book Antiqua" w:cs="Tahoma"/>
          <w:color w:val="000000" w:themeColor="text1"/>
        </w:rPr>
        <w:t>CD010233 [PMID: 25081347 DOI: 10.1002/14651858.CD010233.pub2]</w:t>
      </w:r>
    </w:p>
    <w:p w14:paraId="7485718F"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9 </w:t>
      </w:r>
      <w:r w:rsidRPr="00B84710">
        <w:rPr>
          <w:rFonts w:ascii="Book Antiqua" w:hAnsi="Book Antiqua" w:cs="Tahoma"/>
          <w:b/>
          <w:bCs/>
          <w:color w:val="000000" w:themeColor="text1"/>
        </w:rPr>
        <w:t>Sherlock ME</w:t>
      </w:r>
      <w:r w:rsidRPr="00B84710">
        <w:rPr>
          <w:rFonts w:ascii="Book Antiqua" w:hAnsi="Book Antiqua" w:cs="Tahoma"/>
          <w:color w:val="000000" w:themeColor="text1"/>
        </w:rPr>
        <w:t>, MacDonald JK, Griffiths AM, Steinhart AH, Seow CH. Oral budesonide for induction of remission in ulcerative colitis. </w:t>
      </w:r>
      <w:r w:rsidRPr="00B84710">
        <w:rPr>
          <w:rFonts w:ascii="Book Antiqua" w:hAnsi="Book Antiqua" w:cs="Tahoma"/>
          <w:i/>
          <w:iCs/>
          <w:color w:val="000000" w:themeColor="text1"/>
        </w:rPr>
        <w:t>Cochrane Database Syst Rev</w:t>
      </w:r>
      <w:r w:rsidRPr="00B84710">
        <w:rPr>
          <w:rFonts w:ascii="Book Antiqua" w:hAnsi="Book Antiqua" w:cs="Tahoma"/>
          <w:color w:val="000000" w:themeColor="text1"/>
        </w:rPr>
        <w:t> 2015; </w:t>
      </w:r>
      <w:r w:rsidRPr="00B84710">
        <w:rPr>
          <w:rFonts w:ascii="Book Antiqua" w:hAnsi="Book Antiqua" w:cs="Tahoma" w:hint="eastAsia"/>
          <w:b/>
          <w:color w:val="000000" w:themeColor="text1"/>
        </w:rPr>
        <w:t>(</w:t>
      </w:r>
      <w:r>
        <w:rPr>
          <w:rFonts w:ascii="Book Antiqua" w:hAnsi="Book Antiqua" w:cs="Tahoma" w:hint="eastAsia"/>
          <w:b/>
          <w:color w:val="000000" w:themeColor="text1"/>
        </w:rPr>
        <w:t>10</w:t>
      </w:r>
      <w:r w:rsidRPr="00B84710">
        <w:rPr>
          <w:rFonts w:ascii="Book Antiqua" w:hAnsi="Book Antiqua" w:cs="Tahoma" w:hint="eastAsia"/>
          <w:b/>
          <w:color w:val="000000" w:themeColor="text1"/>
        </w:rPr>
        <w:t>)</w:t>
      </w:r>
      <w:r w:rsidRPr="00B84710">
        <w:rPr>
          <w:rFonts w:ascii="Book Antiqua" w:hAnsi="Book Antiqua" w:cs="Tahoma"/>
          <w:b/>
          <w:color w:val="000000" w:themeColor="text1"/>
        </w:rPr>
        <w:t>:</w:t>
      </w:r>
      <w:r w:rsidRPr="00B84710">
        <w:rPr>
          <w:rFonts w:ascii="Book Antiqua" w:hAnsi="Book Antiqua" w:cs="Tahoma"/>
          <w:color w:val="000000" w:themeColor="text1"/>
        </w:rPr>
        <w:t xml:space="preserve"> CD007698 [PMID: 26497719 DOI: 10.1002/14651858.CD007698.pub3]</w:t>
      </w:r>
    </w:p>
    <w:p w14:paraId="3E62729C"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lastRenderedPageBreak/>
        <w:t>10 </w:t>
      </w:r>
      <w:r w:rsidRPr="00B84710">
        <w:rPr>
          <w:rFonts w:ascii="Book Antiqua" w:hAnsi="Book Antiqua" w:cs="Tahoma"/>
          <w:b/>
          <w:bCs/>
          <w:color w:val="000000" w:themeColor="text1"/>
        </w:rPr>
        <w:t>Bousvaros A</w:t>
      </w:r>
      <w:r w:rsidRPr="00B84710">
        <w:rPr>
          <w:rFonts w:ascii="Book Antiqua" w:hAnsi="Book Antiqua" w:cs="Tahoma"/>
          <w:color w:val="000000" w:themeColor="text1"/>
        </w:rPr>
        <w:t>. Thalidomide Treatment of Pediatric Ulcerative Colitis: A New Use for an Old Drug. </w:t>
      </w:r>
      <w:r w:rsidRPr="00B84710">
        <w:rPr>
          <w:rFonts w:ascii="Book Antiqua" w:hAnsi="Book Antiqua" w:cs="Tahoma"/>
          <w:i/>
          <w:iCs/>
          <w:color w:val="000000" w:themeColor="text1"/>
        </w:rPr>
        <w:t>Inflamm Bowel Dis</w:t>
      </w:r>
      <w:r w:rsidRPr="00B84710">
        <w:rPr>
          <w:rFonts w:ascii="Book Antiqua" w:hAnsi="Book Antiqua" w:cs="Tahoma"/>
          <w:color w:val="000000" w:themeColor="text1"/>
        </w:rPr>
        <w:t> 2015; </w:t>
      </w:r>
      <w:r w:rsidRPr="00B84710">
        <w:rPr>
          <w:rFonts w:ascii="Book Antiqua" w:hAnsi="Book Antiqua" w:cs="Tahoma"/>
          <w:b/>
          <w:bCs/>
          <w:color w:val="000000" w:themeColor="text1"/>
        </w:rPr>
        <w:t>21</w:t>
      </w:r>
      <w:r w:rsidRPr="00B84710">
        <w:rPr>
          <w:rFonts w:ascii="Book Antiqua" w:hAnsi="Book Antiqua" w:cs="Tahoma"/>
          <w:color w:val="000000" w:themeColor="text1"/>
        </w:rPr>
        <w:t>: 1750-1751 [PMID: 26199988 DOI: 10.1097/MIB.0000000000000430]</w:t>
      </w:r>
    </w:p>
    <w:p w14:paraId="61D3A7A8" w14:textId="4EEDAF2C"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11 </w:t>
      </w:r>
      <w:r w:rsidRPr="00B84710">
        <w:rPr>
          <w:rFonts w:ascii="Book Antiqua" w:hAnsi="Book Antiqua" w:cs="Tahoma"/>
          <w:b/>
          <w:bCs/>
          <w:color w:val="000000" w:themeColor="text1"/>
        </w:rPr>
        <w:t>Tew GW</w:t>
      </w:r>
      <w:r w:rsidRPr="00B84710">
        <w:rPr>
          <w:rFonts w:ascii="Book Antiqua" w:hAnsi="Book Antiqua" w:cs="Tahoma"/>
          <w:color w:val="000000" w:themeColor="text1"/>
        </w:rPr>
        <w:t>, Hackney JA, Gibbons D, Lamb CA, Luca D, Egen JG, Diehl L, Eastham Anderson J, Vermeire S, Mansfield JC, Feagan BG, Panes J, Baumgart DC, Schreiber S, Dotan I, Sandborn WJ, Kirby JA, Irving PM, De Hertogh G, Van Assche GA, Rutgeerts P, O'Byrne S, Hayday A, Keir ME. Association Between Response to Etrolizumab and Expression of Integrin αE and Granzyme A in Colon Biopsies of Patients With Ulcerative Colitis. </w:t>
      </w:r>
      <w:r w:rsidRPr="00B84710">
        <w:rPr>
          <w:rFonts w:ascii="Book Antiqua" w:hAnsi="Book Antiqua" w:cs="Tahoma"/>
          <w:i/>
          <w:iCs/>
          <w:color w:val="000000" w:themeColor="text1"/>
        </w:rPr>
        <w:t>Gastroenterology</w:t>
      </w:r>
      <w:r w:rsidRPr="00B84710">
        <w:rPr>
          <w:rFonts w:ascii="Book Antiqua" w:hAnsi="Book Antiqua" w:cs="Tahoma"/>
          <w:color w:val="000000" w:themeColor="text1"/>
        </w:rPr>
        <w:t> 2016; </w:t>
      </w:r>
      <w:r w:rsidRPr="00B84710">
        <w:rPr>
          <w:rFonts w:ascii="Book Antiqua" w:hAnsi="Book Antiqua" w:cs="Tahoma"/>
          <w:b/>
          <w:bCs/>
          <w:color w:val="000000" w:themeColor="text1"/>
        </w:rPr>
        <w:t>150</w:t>
      </w:r>
      <w:r w:rsidRPr="00B84710">
        <w:rPr>
          <w:rFonts w:ascii="Book Antiqua" w:hAnsi="Book Antiqua" w:cs="Tahoma"/>
          <w:color w:val="000000" w:themeColor="text1"/>
        </w:rPr>
        <w:t>: 477-</w:t>
      </w:r>
      <w:r w:rsidR="00020B09">
        <w:rPr>
          <w:rFonts w:ascii="Book Antiqua" w:hAnsi="Book Antiqua" w:cs="Tahoma" w:hint="eastAsia"/>
          <w:color w:val="000000" w:themeColor="text1"/>
          <w:lang w:eastAsia="zh-CN"/>
        </w:rPr>
        <w:t>4</w:t>
      </w:r>
      <w:r w:rsidRPr="00B84710">
        <w:rPr>
          <w:rFonts w:ascii="Book Antiqua" w:hAnsi="Book Antiqua" w:cs="Tahoma"/>
          <w:color w:val="000000" w:themeColor="text1"/>
        </w:rPr>
        <w:t>87.e9 [PMID: 26522261 DOI: 10.1053/j.gastro.2015.10.041]</w:t>
      </w:r>
    </w:p>
    <w:p w14:paraId="0FD3C1D5"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12 </w:t>
      </w:r>
      <w:r w:rsidRPr="00B84710">
        <w:rPr>
          <w:rFonts w:ascii="Book Antiqua" w:hAnsi="Book Antiqua" w:cs="Tahoma"/>
          <w:b/>
          <w:bCs/>
          <w:color w:val="000000" w:themeColor="text1"/>
        </w:rPr>
        <w:t>Gasparetto M</w:t>
      </w:r>
      <w:r w:rsidRPr="00B84710">
        <w:rPr>
          <w:rFonts w:ascii="Book Antiqua" w:hAnsi="Book Antiqua" w:cs="Tahoma"/>
          <w:color w:val="000000" w:themeColor="text1"/>
        </w:rPr>
        <w:t>, Guariso G. Crohn's disease and growth deficiency in children and adolescents. </w:t>
      </w:r>
      <w:r w:rsidRPr="00B84710">
        <w:rPr>
          <w:rFonts w:ascii="Book Antiqua" w:hAnsi="Book Antiqua" w:cs="Tahoma"/>
          <w:i/>
          <w:iCs/>
          <w:color w:val="000000" w:themeColor="text1"/>
        </w:rPr>
        <w:t>World J Gastroenterol</w:t>
      </w:r>
      <w:r w:rsidRPr="00B84710">
        <w:rPr>
          <w:rFonts w:ascii="Book Antiqua" w:hAnsi="Book Antiqua" w:cs="Tahoma"/>
          <w:color w:val="000000" w:themeColor="text1"/>
        </w:rPr>
        <w:t> 2014; </w:t>
      </w:r>
      <w:r w:rsidRPr="00B84710">
        <w:rPr>
          <w:rFonts w:ascii="Book Antiqua" w:hAnsi="Book Antiqua" w:cs="Tahoma"/>
          <w:b/>
          <w:bCs/>
          <w:color w:val="000000" w:themeColor="text1"/>
        </w:rPr>
        <w:t>20</w:t>
      </w:r>
      <w:r w:rsidRPr="00B84710">
        <w:rPr>
          <w:rFonts w:ascii="Book Antiqua" w:hAnsi="Book Antiqua" w:cs="Tahoma"/>
          <w:color w:val="000000" w:themeColor="text1"/>
        </w:rPr>
        <w:t>: 13219-13233 [PMID: 25309059 DOI: 10.3748/wjg.v20.i37.13219]</w:t>
      </w:r>
    </w:p>
    <w:p w14:paraId="49BFCE23"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13 </w:t>
      </w:r>
      <w:r w:rsidRPr="00B84710">
        <w:rPr>
          <w:rFonts w:ascii="Book Antiqua" w:hAnsi="Book Antiqua" w:cs="Tahoma"/>
          <w:b/>
          <w:bCs/>
          <w:color w:val="000000" w:themeColor="text1"/>
        </w:rPr>
        <w:t>Bartelink IH</w:t>
      </w:r>
      <w:r w:rsidRPr="00B84710">
        <w:rPr>
          <w:rFonts w:ascii="Book Antiqua" w:hAnsi="Book Antiqua" w:cs="Tahoma"/>
          <w:color w:val="000000" w:themeColor="text1"/>
        </w:rPr>
        <w:t>, Rademaker CM, Schobben AF, van den Anker JN. Guidelines on paediatric dosing on the basis of developmental physiology and pharmacokinetic considerations. </w:t>
      </w:r>
      <w:r w:rsidRPr="00B84710">
        <w:rPr>
          <w:rFonts w:ascii="Book Antiqua" w:hAnsi="Book Antiqua" w:cs="Tahoma"/>
          <w:i/>
          <w:iCs/>
          <w:color w:val="000000" w:themeColor="text1"/>
        </w:rPr>
        <w:t>Clin Pharmacokinet</w:t>
      </w:r>
      <w:r w:rsidRPr="00B84710">
        <w:rPr>
          <w:rFonts w:ascii="Book Antiqua" w:hAnsi="Book Antiqua" w:cs="Tahoma"/>
          <w:color w:val="000000" w:themeColor="text1"/>
        </w:rPr>
        <w:t> 2006; </w:t>
      </w:r>
      <w:r w:rsidRPr="00B84710">
        <w:rPr>
          <w:rFonts w:ascii="Book Antiqua" w:hAnsi="Book Antiqua" w:cs="Tahoma"/>
          <w:b/>
          <w:bCs/>
          <w:color w:val="000000" w:themeColor="text1"/>
        </w:rPr>
        <w:t>45</w:t>
      </w:r>
      <w:r w:rsidRPr="00B84710">
        <w:rPr>
          <w:rFonts w:ascii="Book Antiqua" w:hAnsi="Book Antiqua" w:cs="Tahoma"/>
          <w:color w:val="000000" w:themeColor="text1"/>
        </w:rPr>
        <w:t>: 1077-1097 [PMID: 17048973 DOI: 10.2165/00003088-200645110-00003]</w:t>
      </w:r>
    </w:p>
    <w:p w14:paraId="5E53F2AC"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14 </w:t>
      </w:r>
      <w:r w:rsidRPr="00B84710">
        <w:rPr>
          <w:rFonts w:ascii="Book Antiqua" w:hAnsi="Book Antiqua" w:cs="Tahoma"/>
          <w:b/>
          <w:bCs/>
          <w:color w:val="000000" w:themeColor="text1"/>
        </w:rPr>
        <w:t>Vinks AA</w:t>
      </w:r>
      <w:r w:rsidRPr="00B84710">
        <w:rPr>
          <w:rFonts w:ascii="Book Antiqua" w:hAnsi="Book Antiqua" w:cs="Tahoma"/>
          <w:color w:val="000000" w:themeColor="text1"/>
        </w:rPr>
        <w:t>, Emoto C, Fukuda T. Modeling and simulation in pediatric drug therapy: Application of pharmacometrics to define the right dose for children. </w:t>
      </w:r>
      <w:r w:rsidRPr="00B84710">
        <w:rPr>
          <w:rFonts w:ascii="Book Antiqua" w:hAnsi="Book Antiqua" w:cs="Tahoma"/>
          <w:i/>
          <w:iCs/>
          <w:color w:val="000000" w:themeColor="text1"/>
        </w:rPr>
        <w:t>Clin Pharmacol Ther</w:t>
      </w:r>
      <w:r w:rsidRPr="00B84710">
        <w:rPr>
          <w:rFonts w:ascii="Book Antiqua" w:hAnsi="Book Antiqua" w:cs="Tahoma"/>
          <w:color w:val="000000" w:themeColor="text1"/>
        </w:rPr>
        <w:t> 2015; </w:t>
      </w:r>
      <w:r w:rsidRPr="00B84710">
        <w:rPr>
          <w:rFonts w:ascii="Book Antiqua" w:hAnsi="Book Antiqua" w:cs="Tahoma"/>
          <w:b/>
          <w:bCs/>
          <w:color w:val="000000" w:themeColor="text1"/>
        </w:rPr>
        <w:t>98</w:t>
      </w:r>
      <w:r w:rsidRPr="00B84710">
        <w:rPr>
          <w:rFonts w:ascii="Book Antiqua" w:hAnsi="Book Antiqua" w:cs="Tahoma"/>
          <w:color w:val="000000" w:themeColor="text1"/>
        </w:rPr>
        <w:t>: 298-308 [PMID: 26073179 DOI: 10.1002/cpt.169]</w:t>
      </w:r>
    </w:p>
    <w:p w14:paraId="5591A825"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15 </w:t>
      </w:r>
      <w:r w:rsidRPr="00B84710">
        <w:rPr>
          <w:rFonts w:ascii="Book Antiqua" w:hAnsi="Book Antiqua" w:cs="Tahoma"/>
          <w:b/>
          <w:bCs/>
          <w:color w:val="000000" w:themeColor="text1"/>
        </w:rPr>
        <w:t>Sigall-Boneh R</w:t>
      </w:r>
      <w:r w:rsidRPr="00B84710">
        <w:rPr>
          <w:rFonts w:ascii="Book Antiqua" w:hAnsi="Book Antiqua" w:cs="Tahoma"/>
          <w:color w:val="000000" w:themeColor="text1"/>
        </w:rPr>
        <w:t>, Pfeffer-Gik T, Segal I, Zangen T, Boaz M, Levine A. Partial enteral nutrition with a Crohn's disease exclusion diet is effective for induction of remission in children and young adults with Crohn's disease. </w:t>
      </w:r>
      <w:r w:rsidRPr="00B84710">
        <w:rPr>
          <w:rFonts w:ascii="Book Antiqua" w:hAnsi="Book Antiqua" w:cs="Tahoma"/>
          <w:i/>
          <w:iCs/>
          <w:color w:val="000000" w:themeColor="text1"/>
        </w:rPr>
        <w:t>Inflamm Bowel Dis</w:t>
      </w:r>
      <w:r w:rsidRPr="00B84710">
        <w:rPr>
          <w:rFonts w:ascii="Book Antiqua" w:hAnsi="Book Antiqua" w:cs="Tahoma"/>
          <w:color w:val="000000" w:themeColor="text1"/>
        </w:rPr>
        <w:t>2014; </w:t>
      </w:r>
      <w:r w:rsidRPr="00B84710">
        <w:rPr>
          <w:rFonts w:ascii="Book Antiqua" w:hAnsi="Book Antiqua" w:cs="Tahoma"/>
          <w:b/>
          <w:bCs/>
          <w:color w:val="000000" w:themeColor="text1"/>
        </w:rPr>
        <w:t>20</w:t>
      </w:r>
      <w:r w:rsidRPr="00B84710">
        <w:rPr>
          <w:rFonts w:ascii="Book Antiqua" w:hAnsi="Book Antiqua" w:cs="Tahoma"/>
          <w:color w:val="000000" w:themeColor="text1"/>
        </w:rPr>
        <w:t>: 1353-1360 [PMID: 24983973 DOI: 10.1097/MIB.0000000000000110]</w:t>
      </w:r>
    </w:p>
    <w:p w14:paraId="4FEC705A"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16 </w:t>
      </w:r>
      <w:r w:rsidRPr="00B84710">
        <w:rPr>
          <w:rFonts w:ascii="Book Antiqua" w:hAnsi="Book Antiqua" w:cs="Tahoma"/>
          <w:b/>
          <w:bCs/>
          <w:color w:val="000000" w:themeColor="text1"/>
        </w:rPr>
        <w:t>Grover Z</w:t>
      </w:r>
      <w:r w:rsidRPr="00B84710">
        <w:rPr>
          <w:rFonts w:ascii="Book Antiqua" w:hAnsi="Book Antiqua" w:cs="Tahoma"/>
          <w:color w:val="000000" w:themeColor="text1"/>
        </w:rPr>
        <w:t>, Burgess C, Muir R, Reilly C, Lewindon PJ. Early Mucosal Healing with Exclusive Enteral Nutrition is Associated with Improved Outcomes in Newly Diagnosed Children with Luminal Crohn's disease. </w:t>
      </w:r>
      <w:r w:rsidRPr="00B84710">
        <w:rPr>
          <w:rFonts w:ascii="Book Antiqua" w:hAnsi="Book Antiqua" w:cs="Tahoma"/>
          <w:i/>
          <w:iCs/>
          <w:color w:val="000000" w:themeColor="text1"/>
        </w:rPr>
        <w:t>J Crohns Colitis</w:t>
      </w:r>
      <w:r w:rsidRPr="00B84710">
        <w:rPr>
          <w:rFonts w:ascii="Book Antiqua" w:hAnsi="Book Antiqua" w:cs="Tahoma"/>
          <w:color w:val="000000" w:themeColor="text1"/>
        </w:rPr>
        <w:t> 2016; </w:t>
      </w:r>
      <w:r w:rsidRPr="00B84710">
        <w:rPr>
          <w:rFonts w:ascii="Book Antiqua" w:hAnsi="Book Antiqua" w:cs="Tahoma"/>
          <w:b/>
          <w:bCs/>
          <w:color w:val="000000" w:themeColor="text1"/>
        </w:rPr>
        <w:t>10</w:t>
      </w:r>
      <w:r w:rsidRPr="00B84710">
        <w:rPr>
          <w:rFonts w:ascii="Book Antiqua" w:hAnsi="Book Antiqua" w:cs="Tahoma"/>
          <w:color w:val="000000" w:themeColor="text1"/>
        </w:rPr>
        <w:t>: 1159-1164 [PMID: 26980840 DOI: 10.1093/ecco-jcc/jjw075]</w:t>
      </w:r>
    </w:p>
    <w:p w14:paraId="3C9F0F87"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17 </w:t>
      </w:r>
      <w:r w:rsidRPr="00B84710">
        <w:rPr>
          <w:rFonts w:ascii="Book Antiqua" w:hAnsi="Book Antiqua" w:cs="Tahoma"/>
          <w:b/>
          <w:bCs/>
          <w:color w:val="000000" w:themeColor="text1"/>
        </w:rPr>
        <w:t>Grossi V</w:t>
      </w:r>
      <w:r w:rsidRPr="00B84710">
        <w:rPr>
          <w:rFonts w:ascii="Book Antiqua" w:hAnsi="Book Antiqua" w:cs="Tahoma"/>
          <w:color w:val="000000" w:themeColor="text1"/>
        </w:rPr>
        <w:t>, Hyams JS. The safety of treatment options for pediatric Crohn's disease. </w:t>
      </w:r>
      <w:r w:rsidRPr="00B84710">
        <w:rPr>
          <w:rFonts w:ascii="Book Antiqua" w:hAnsi="Book Antiqua" w:cs="Tahoma"/>
          <w:i/>
          <w:iCs/>
          <w:color w:val="000000" w:themeColor="text1"/>
        </w:rPr>
        <w:t>Expert Opin Drug Saf</w:t>
      </w:r>
      <w:r w:rsidRPr="00B84710">
        <w:rPr>
          <w:rFonts w:ascii="Book Antiqua" w:hAnsi="Book Antiqua" w:cs="Tahoma"/>
          <w:color w:val="000000" w:themeColor="text1"/>
        </w:rPr>
        <w:t> 2016; </w:t>
      </w:r>
      <w:r w:rsidRPr="00B84710">
        <w:rPr>
          <w:rFonts w:ascii="Book Antiqua" w:hAnsi="Book Antiqua" w:cs="Tahoma"/>
          <w:b/>
          <w:bCs/>
          <w:color w:val="000000" w:themeColor="text1"/>
        </w:rPr>
        <w:t>15</w:t>
      </w:r>
      <w:r w:rsidRPr="00B84710">
        <w:rPr>
          <w:rFonts w:ascii="Book Antiqua" w:hAnsi="Book Antiqua" w:cs="Tahoma"/>
          <w:color w:val="000000" w:themeColor="text1"/>
        </w:rPr>
        <w:t>: 1383-1390 [PMID: 27367297 DOI: 10.1080/14740338.2016.1203418]</w:t>
      </w:r>
    </w:p>
    <w:p w14:paraId="3D2377EC"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lastRenderedPageBreak/>
        <w:t>18 </w:t>
      </w:r>
      <w:r w:rsidRPr="00B84710">
        <w:rPr>
          <w:rFonts w:ascii="Book Antiqua" w:hAnsi="Book Antiqua" w:cs="Tahoma"/>
          <w:b/>
          <w:bCs/>
          <w:color w:val="000000" w:themeColor="text1"/>
        </w:rPr>
        <w:t>Nuti F</w:t>
      </w:r>
      <w:r w:rsidRPr="00B84710">
        <w:rPr>
          <w:rFonts w:ascii="Book Antiqua" w:hAnsi="Book Antiqua" w:cs="Tahoma"/>
          <w:color w:val="000000" w:themeColor="text1"/>
        </w:rPr>
        <w:t>, Civitelli F, Bloise S, Oliva S, Aloi M, Latorre G, Viola F, Cucchiara S. Prospective Evaluation of the Achievement of Mucosal Healing with Anti-TNF-α Therapy in a Paediatric Crohn's Disease Cohort. </w:t>
      </w:r>
      <w:r w:rsidRPr="00B84710">
        <w:rPr>
          <w:rFonts w:ascii="Book Antiqua" w:hAnsi="Book Antiqua" w:cs="Tahoma"/>
          <w:i/>
          <w:iCs/>
          <w:color w:val="000000" w:themeColor="text1"/>
        </w:rPr>
        <w:t>J Crohns Colitis</w:t>
      </w:r>
      <w:r w:rsidRPr="00B84710">
        <w:rPr>
          <w:rFonts w:ascii="Book Antiqua" w:hAnsi="Book Antiqua" w:cs="Tahoma"/>
          <w:color w:val="000000" w:themeColor="text1"/>
        </w:rPr>
        <w:t> 2016; </w:t>
      </w:r>
      <w:r w:rsidRPr="00B84710">
        <w:rPr>
          <w:rFonts w:ascii="Book Antiqua" w:hAnsi="Book Antiqua" w:cs="Tahoma"/>
          <w:b/>
          <w:bCs/>
          <w:color w:val="000000" w:themeColor="text1"/>
        </w:rPr>
        <w:t>10</w:t>
      </w:r>
      <w:r w:rsidRPr="00B84710">
        <w:rPr>
          <w:rFonts w:ascii="Book Antiqua" w:hAnsi="Book Antiqua" w:cs="Tahoma"/>
          <w:color w:val="000000" w:themeColor="text1"/>
        </w:rPr>
        <w:t>: 5-12 [PMID: 26188350 DOI: 10.1093/ecco-jcc/jjv126]</w:t>
      </w:r>
    </w:p>
    <w:p w14:paraId="14BC7653"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19 </w:t>
      </w:r>
      <w:r w:rsidRPr="00B84710">
        <w:rPr>
          <w:rFonts w:ascii="Book Antiqua" w:hAnsi="Book Antiqua" w:cs="Tahoma"/>
          <w:b/>
          <w:bCs/>
          <w:color w:val="000000" w:themeColor="text1"/>
        </w:rPr>
        <w:t>Pigneur B</w:t>
      </w:r>
      <w:r w:rsidRPr="00B84710">
        <w:rPr>
          <w:rFonts w:ascii="Book Antiqua" w:hAnsi="Book Antiqua" w:cs="Tahoma"/>
          <w:color w:val="000000" w:themeColor="text1"/>
        </w:rPr>
        <w:t>, Sokol H. Fecal microbiota transplantation in inflammatory bowel disease: the quest for the holy grail. </w:t>
      </w:r>
      <w:r w:rsidRPr="00B84710">
        <w:rPr>
          <w:rFonts w:ascii="Book Antiqua" w:hAnsi="Book Antiqua" w:cs="Tahoma"/>
          <w:i/>
          <w:iCs/>
          <w:color w:val="000000" w:themeColor="text1"/>
        </w:rPr>
        <w:t>Mucosal Immunol</w:t>
      </w:r>
      <w:r w:rsidRPr="00B84710">
        <w:rPr>
          <w:rFonts w:ascii="Book Antiqua" w:hAnsi="Book Antiqua" w:cs="Tahoma"/>
          <w:color w:val="000000" w:themeColor="text1"/>
        </w:rPr>
        <w:t> 2016; </w:t>
      </w:r>
      <w:r w:rsidRPr="00B84710">
        <w:rPr>
          <w:rFonts w:ascii="Book Antiqua" w:hAnsi="Book Antiqua" w:cs="Tahoma"/>
          <w:b/>
          <w:bCs/>
          <w:color w:val="000000" w:themeColor="text1"/>
        </w:rPr>
        <w:t>9</w:t>
      </w:r>
      <w:r w:rsidRPr="00B84710">
        <w:rPr>
          <w:rFonts w:ascii="Book Antiqua" w:hAnsi="Book Antiqua" w:cs="Tahoma"/>
          <w:color w:val="000000" w:themeColor="text1"/>
        </w:rPr>
        <w:t>: 1360-1365 [PMID: 27461176 DOI: 10.1038/mi.2016.67]</w:t>
      </w:r>
    </w:p>
    <w:p w14:paraId="1D13FC9C"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20 </w:t>
      </w:r>
      <w:r w:rsidRPr="00B84710">
        <w:rPr>
          <w:rFonts w:ascii="Book Antiqua" w:hAnsi="Book Antiqua" w:cs="Tahoma"/>
          <w:b/>
          <w:bCs/>
          <w:color w:val="000000" w:themeColor="text1"/>
        </w:rPr>
        <w:t>Moayyedi P</w:t>
      </w:r>
      <w:r w:rsidRPr="00B84710">
        <w:rPr>
          <w:rFonts w:ascii="Book Antiqua" w:hAnsi="Book Antiqua" w:cs="Tahoma"/>
          <w:color w:val="000000" w:themeColor="text1"/>
        </w:rPr>
        <w:t>, Surette MG, Kim PT, Libertucci J, Wolfe M, Onischi C, Armstrong D, Marshall JK, Kassam Z, Reinisch W, Lee CH. Fecal Microbiota Transplantation Induces Remission in Patients With Active Ulcerative Colitis in a Randomized Controlled Trial. </w:t>
      </w:r>
      <w:r w:rsidRPr="00B84710">
        <w:rPr>
          <w:rFonts w:ascii="Book Antiqua" w:hAnsi="Book Antiqua" w:cs="Tahoma"/>
          <w:i/>
          <w:iCs/>
          <w:color w:val="000000" w:themeColor="text1"/>
        </w:rPr>
        <w:t>Gastroenterology</w:t>
      </w:r>
      <w:r w:rsidRPr="00B84710">
        <w:rPr>
          <w:rFonts w:ascii="Book Antiqua" w:hAnsi="Book Antiqua" w:cs="Tahoma"/>
          <w:color w:val="000000" w:themeColor="text1"/>
        </w:rPr>
        <w:t> 2015; </w:t>
      </w:r>
      <w:r w:rsidRPr="00B84710">
        <w:rPr>
          <w:rFonts w:ascii="Book Antiqua" w:hAnsi="Book Antiqua" w:cs="Tahoma"/>
          <w:b/>
          <w:bCs/>
          <w:color w:val="000000" w:themeColor="text1"/>
        </w:rPr>
        <w:t>149</w:t>
      </w:r>
      <w:r w:rsidRPr="00B84710">
        <w:rPr>
          <w:rFonts w:ascii="Book Antiqua" w:hAnsi="Book Antiqua" w:cs="Tahoma"/>
          <w:color w:val="000000" w:themeColor="text1"/>
        </w:rPr>
        <w:t>: 102-109.e6 [PMID: 25857665 DOI: 10.1053/j.gastro.2015.04.001]</w:t>
      </w:r>
    </w:p>
    <w:p w14:paraId="22CEB7D4"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21 </w:t>
      </w:r>
      <w:r w:rsidRPr="00B84710">
        <w:rPr>
          <w:rFonts w:ascii="Book Antiqua" w:hAnsi="Book Antiqua" w:cs="Tahoma"/>
          <w:b/>
          <w:bCs/>
          <w:color w:val="000000" w:themeColor="text1"/>
        </w:rPr>
        <w:t>Ruemmele FM,</w:t>
      </w:r>
      <w:r w:rsidRPr="00B84710">
        <w:rPr>
          <w:rFonts w:ascii="Book Antiqua" w:hAnsi="Book Antiqua" w:cs="Tahoma"/>
          <w:color w:val="000000" w:themeColor="text1"/>
        </w:rPr>
        <w:t> Veres G, Kolho KL, Griffiths A, Levine A, Escher JC, Amil Dias J, Barabino A, Braegger CP, Bronsky J, Buderus S, Martín-de-Carpi J, De Ridder L, Fagerberg UL, Hugot JP, Kierkus J, Kolacek S, Koletzko S, Lionetti P, Miele E, Navas López VM, Paerregaard A, Russell RK, Serban DE, Shaoul R, Van Rheenen P, Veereman G, Weiss B, Wilson D, Dignass A, Eliakim A, Winter H, Turner D. ECCO/ESPGHAN. Consensus guidelines of ECCO/ESPGHAN on the medical management of paediatric Crohn’s disease. J Crohns Colitis 2014; 8: 1179–207.</w:t>
      </w:r>
    </w:p>
    <w:p w14:paraId="6F6EFA9B"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22 </w:t>
      </w:r>
      <w:r w:rsidRPr="00B84710">
        <w:rPr>
          <w:rFonts w:ascii="Book Antiqua" w:hAnsi="Book Antiqua" w:cs="Tahoma"/>
          <w:b/>
          <w:bCs/>
          <w:color w:val="000000" w:themeColor="text1"/>
        </w:rPr>
        <w:t>Rossen NG</w:t>
      </w:r>
      <w:r w:rsidRPr="00B84710">
        <w:rPr>
          <w:rFonts w:ascii="Book Antiqua" w:hAnsi="Book Antiqua" w:cs="Tahoma"/>
          <w:color w:val="000000" w:themeColor="text1"/>
        </w:rPr>
        <w:t>, Fuentes S, van der Spek MJ, Tijssen JG, Hartman JH, Duflou A, Löwenberg M, van den Brink GR, Mathus-Vliegen EM, de Vos WM, Zoetendal EG, D'Haens GR, Ponsioen CY. Findings From a Randomized Controlled Trial of Fecal Transplantation for Patients With Ulcerative Colitis. </w:t>
      </w:r>
      <w:r w:rsidRPr="00B84710">
        <w:rPr>
          <w:rFonts w:ascii="Book Antiqua" w:hAnsi="Book Antiqua" w:cs="Tahoma"/>
          <w:i/>
          <w:iCs/>
          <w:color w:val="000000" w:themeColor="text1"/>
        </w:rPr>
        <w:t>Gastroenterology</w:t>
      </w:r>
      <w:r w:rsidRPr="00B84710">
        <w:rPr>
          <w:rFonts w:ascii="Book Antiqua" w:hAnsi="Book Antiqua" w:cs="Tahoma"/>
          <w:color w:val="000000" w:themeColor="text1"/>
        </w:rPr>
        <w:t> 2015; </w:t>
      </w:r>
      <w:r w:rsidRPr="00B84710">
        <w:rPr>
          <w:rFonts w:ascii="Book Antiqua" w:hAnsi="Book Antiqua" w:cs="Tahoma"/>
          <w:b/>
          <w:bCs/>
          <w:color w:val="000000" w:themeColor="text1"/>
        </w:rPr>
        <w:t>149</w:t>
      </w:r>
      <w:r w:rsidRPr="00B84710">
        <w:rPr>
          <w:rFonts w:ascii="Book Antiqua" w:hAnsi="Book Antiqua" w:cs="Tahoma"/>
          <w:color w:val="000000" w:themeColor="text1"/>
        </w:rPr>
        <w:t>: 110-118.e4 [PMID: 25836986 DOI: 10.1053/j.gastro.2015.03.045]</w:t>
      </w:r>
    </w:p>
    <w:p w14:paraId="0F910E2A"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23 </w:t>
      </w:r>
      <w:r w:rsidRPr="00B84710">
        <w:rPr>
          <w:rFonts w:ascii="Book Antiqua" w:hAnsi="Book Antiqua" w:cs="Tahoma"/>
          <w:b/>
          <w:bCs/>
          <w:color w:val="000000" w:themeColor="text1"/>
        </w:rPr>
        <w:t>Stocco G</w:t>
      </w:r>
      <w:r w:rsidRPr="00B84710">
        <w:rPr>
          <w:rFonts w:ascii="Book Antiqua" w:hAnsi="Book Antiqua" w:cs="Tahoma"/>
          <w:color w:val="000000" w:themeColor="text1"/>
        </w:rPr>
        <w:t>, Cuzzoni E, De Iudicibus S, Favretto D, Malusà N, Martelossi S, Pozzi E, Lionetti P, Ventura A, Decorti G. Thiopurine metabolites variations during co-treatment with aminosalicylates for inflammatory bowel disease: effect of N-acetyl transferase polymorphisms. </w:t>
      </w:r>
      <w:r w:rsidRPr="00B84710">
        <w:rPr>
          <w:rFonts w:ascii="Book Antiqua" w:hAnsi="Book Antiqua" w:cs="Tahoma"/>
          <w:i/>
          <w:iCs/>
          <w:color w:val="000000" w:themeColor="text1"/>
        </w:rPr>
        <w:t>World J Gastroenterol</w:t>
      </w:r>
      <w:r w:rsidRPr="00B84710">
        <w:rPr>
          <w:rFonts w:ascii="Book Antiqua" w:hAnsi="Book Antiqua" w:cs="Tahoma"/>
          <w:color w:val="000000" w:themeColor="text1"/>
        </w:rPr>
        <w:t> 2015; </w:t>
      </w:r>
      <w:r w:rsidRPr="00B84710">
        <w:rPr>
          <w:rFonts w:ascii="Book Antiqua" w:hAnsi="Book Antiqua" w:cs="Tahoma"/>
          <w:b/>
          <w:bCs/>
          <w:color w:val="000000" w:themeColor="text1"/>
        </w:rPr>
        <w:t>21</w:t>
      </w:r>
      <w:r w:rsidRPr="00B84710">
        <w:rPr>
          <w:rFonts w:ascii="Book Antiqua" w:hAnsi="Book Antiqua" w:cs="Tahoma"/>
          <w:color w:val="000000" w:themeColor="text1"/>
        </w:rPr>
        <w:t>: 3571-3578 [PMID: 25834322 DOI: 10.3748/wjg.v21.i12.3571]</w:t>
      </w:r>
    </w:p>
    <w:p w14:paraId="4AD90C7E"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24 </w:t>
      </w:r>
      <w:r w:rsidRPr="00B84710">
        <w:rPr>
          <w:rFonts w:ascii="Book Antiqua" w:hAnsi="Book Antiqua" w:cs="Tahoma"/>
          <w:b/>
          <w:bCs/>
          <w:color w:val="000000" w:themeColor="text1"/>
        </w:rPr>
        <w:t>Ford AC</w:t>
      </w:r>
      <w:r w:rsidRPr="00B84710">
        <w:rPr>
          <w:rFonts w:ascii="Book Antiqua" w:hAnsi="Book Antiqua" w:cs="Tahoma"/>
          <w:color w:val="000000" w:themeColor="text1"/>
        </w:rPr>
        <w:t xml:space="preserve">, Bernstein CN, Khan KJ, Abreu MT, Marshall JK, Talley NJ, Moayyedi P. Glucocorticosteroid therapy in inflammatory bowel disease: systematic review and </w:t>
      </w:r>
      <w:r w:rsidRPr="00B84710">
        <w:rPr>
          <w:rFonts w:ascii="Book Antiqua" w:hAnsi="Book Antiqua" w:cs="Tahoma"/>
          <w:color w:val="000000" w:themeColor="text1"/>
        </w:rPr>
        <w:lastRenderedPageBreak/>
        <w:t>meta-analysis. </w:t>
      </w:r>
      <w:r w:rsidRPr="00B84710">
        <w:rPr>
          <w:rFonts w:ascii="Book Antiqua" w:hAnsi="Book Antiqua" w:cs="Tahoma"/>
          <w:i/>
          <w:iCs/>
          <w:color w:val="000000" w:themeColor="text1"/>
        </w:rPr>
        <w:t>Am J Gastroenterol</w:t>
      </w:r>
      <w:r w:rsidRPr="00B84710">
        <w:rPr>
          <w:rFonts w:ascii="Book Antiqua" w:hAnsi="Book Antiqua" w:cs="Tahoma"/>
          <w:color w:val="000000" w:themeColor="text1"/>
        </w:rPr>
        <w:t> 2011; </w:t>
      </w:r>
      <w:r w:rsidRPr="00B84710">
        <w:rPr>
          <w:rFonts w:ascii="Book Antiqua" w:hAnsi="Book Antiqua" w:cs="Tahoma"/>
          <w:b/>
          <w:bCs/>
          <w:color w:val="000000" w:themeColor="text1"/>
        </w:rPr>
        <w:t>106</w:t>
      </w:r>
      <w:r w:rsidRPr="00B84710">
        <w:rPr>
          <w:rFonts w:ascii="Book Antiqua" w:hAnsi="Book Antiqua" w:cs="Tahoma"/>
          <w:color w:val="000000" w:themeColor="text1"/>
        </w:rPr>
        <w:t>: 590-9; quiz 600 [PMID: 21407179 DOI: 10.1038/ajg.2011.70]</w:t>
      </w:r>
    </w:p>
    <w:p w14:paraId="03C11033"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25 </w:t>
      </w:r>
      <w:r w:rsidRPr="00B84710">
        <w:rPr>
          <w:rFonts w:ascii="Book Antiqua" w:hAnsi="Book Antiqua" w:cs="Tahoma"/>
          <w:b/>
          <w:bCs/>
          <w:color w:val="000000" w:themeColor="text1"/>
        </w:rPr>
        <w:t>Roberts RL</w:t>
      </w:r>
      <w:r w:rsidRPr="00B84710">
        <w:rPr>
          <w:rFonts w:ascii="Book Antiqua" w:hAnsi="Book Antiqua" w:cs="Tahoma"/>
          <w:color w:val="000000" w:themeColor="text1"/>
        </w:rPr>
        <w:t>, Barclay ML. Update on thiopurine pharmacogenetics in inflammatory bowel disease. </w:t>
      </w:r>
      <w:r w:rsidRPr="00B84710">
        <w:rPr>
          <w:rFonts w:ascii="Book Antiqua" w:hAnsi="Book Antiqua" w:cs="Tahoma"/>
          <w:i/>
          <w:iCs/>
          <w:color w:val="000000" w:themeColor="text1"/>
        </w:rPr>
        <w:t>Pharmacogenomics</w:t>
      </w:r>
      <w:r w:rsidRPr="00B84710">
        <w:rPr>
          <w:rFonts w:ascii="Book Antiqua" w:hAnsi="Book Antiqua" w:cs="Tahoma"/>
          <w:color w:val="000000" w:themeColor="text1"/>
        </w:rPr>
        <w:t> 2015; </w:t>
      </w:r>
      <w:r w:rsidRPr="00B84710">
        <w:rPr>
          <w:rFonts w:ascii="Book Antiqua" w:hAnsi="Book Antiqua" w:cs="Tahoma"/>
          <w:b/>
          <w:bCs/>
          <w:color w:val="000000" w:themeColor="text1"/>
        </w:rPr>
        <w:t>16</w:t>
      </w:r>
      <w:r w:rsidRPr="00B84710">
        <w:rPr>
          <w:rFonts w:ascii="Book Antiqua" w:hAnsi="Book Antiqua" w:cs="Tahoma"/>
          <w:color w:val="000000" w:themeColor="text1"/>
        </w:rPr>
        <w:t>: 891-903 [PMID: 26067482 DOI: 10.2217/pgs.15.29]</w:t>
      </w:r>
    </w:p>
    <w:p w14:paraId="20972083"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26 </w:t>
      </w:r>
      <w:r w:rsidRPr="00B84710">
        <w:rPr>
          <w:rFonts w:ascii="Book Antiqua" w:hAnsi="Book Antiqua" w:cs="Tahoma"/>
          <w:b/>
          <w:bCs/>
          <w:color w:val="000000" w:themeColor="text1"/>
        </w:rPr>
        <w:t>Chande N</w:t>
      </w:r>
      <w:r w:rsidRPr="00B84710">
        <w:rPr>
          <w:rFonts w:ascii="Book Antiqua" w:hAnsi="Book Antiqua" w:cs="Tahoma"/>
          <w:color w:val="000000" w:themeColor="text1"/>
        </w:rPr>
        <w:t>, Patton PH, Tsoulis DJ, Thomas BS, MacDonald JK. Azathioprine or 6-mercaptopurine for maintenance of remission in Crohn's disease. </w:t>
      </w:r>
      <w:r w:rsidRPr="00B84710">
        <w:rPr>
          <w:rFonts w:ascii="Book Antiqua" w:hAnsi="Book Antiqua" w:cs="Tahoma"/>
          <w:i/>
          <w:iCs/>
          <w:color w:val="000000" w:themeColor="text1"/>
        </w:rPr>
        <w:t>Cochrane Database Syst Rev</w:t>
      </w:r>
      <w:r w:rsidRPr="00B84710">
        <w:rPr>
          <w:rFonts w:ascii="Book Antiqua" w:hAnsi="Book Antiqua" w:cs="Tahoma"/>
          <w:color w:val="000000" w:themeColor="text1"/>
        </w:rPr>
        <w:t> 2015; </w:t>
      </w:r>
      <w:r w:rsidRPr="00B84710">
        <w:rPr>
          <w:rFonts w:ascii="Book Antiqua" w:hAnsi="Book Antiqua" w:cs="Tahoma" w:hint="eastAsia"/>
          <w:b/>
          <w:color w:val="000000" w:themeColor="text1"/>
        </w:rPr>
        <w:t>(10)</w:t>
      </w:r>
      <w:r w:rsidRPr="00B84710">
        <w:rPr>
          <w:rFonts w:ascii="Book Antiqua" w:hAnsi="Book Antiqua" w:cs="Tahoma"/>
          <w:b/>
          <w:color w:val="000000" w:themeColor="text1"/>
        </w:rPr>
        <w:t>:</w:t>
      </w:r>
      <w:r w:rsidRPr="00B84710">
        <w:rPr>
          <w:rFonts w:ascii="Book Antiqua" w:hAnsi="Book Antiqua" w:cs="Tahoma"/>
          <w:color w:val="000000" w:themeColor="text1"/>
        </w:rPr>
        <w:t xml:space="preserve"> CD000067 [PMID: 26517527 DOI: 10.1002/14651858.CD000067.pub3]</w:t>
      </w:r>
    </w:p>
    <w:p w14:paraId="60C70CF7"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27 </w:t>
      </w:r>
      <w:r w:rsidRPr="00B84710">
        <w:rPr>
          <w:rFonts w:ascii="Book Antiqua" w:hAnsi="Book Antiqua" w:cs="Tahoma"/>
          <w:b/>
          <w:bCs/>
          <w:color w:val="000000" w:themeColor="text1"/>
        </w:rPr>
        <w:t>Benmassaoud A</w:t>
      </w:r>
      <w:r w:rsidRPr="00B84710">
        <w:rPr>
          <w:rFonts w:ascii="Book Antiqua" w:hAnsi="Book Antiqua" w:cs="Tahoma"/>
          <w:color w:val="000000" w:themeColor="text1"/>
        </w:rPr>
        <w:t>, Xie X, AlYafi M, Theoret Y, Bitton A, Afif W, Bessissow T. Thiopurines in the Management of Crohn's Disease: Safety and Efficacy Profile in Patients with Normal TPMT Activity-A Retrospective Study. </w:t>
      </w:r>
      <w:r w:rsidRPr="00B84710">
        <w:rPr>
          <w:rFonts w:ascii="Book Antiqua" w:hAnsi="Book Antiqua" w:cs="Tahoma"/>
          <w:i/>
          <w:iCs/>
          <w:color w:val="000000" w:themeColor="text1"/>
        </w:rPr>
        <w:t>Can J Gastroenterol Hepatol</w:t>
      </w:r>
      <w:r w:rsidRPr="00B84710">
        <w:rPr>
          <w:rFonts w:ascii="Book Antiqua" w:hAnsi="Book Antiqua" w:cs="Tahoma"/>
          <w:color w:val="000000" w:themeColor="text1"/>
        </w:rPr>
        <w:t> 2016; </w:t>
      </w:r>
      <w:r w:rsidRPr="00B84710">
        <w:rPr>
          <w:rFonts w:ascii="Book Antiqua" w:hAnsi="Book Antiqua" w:cs="Tahoma"/>
          <w:b/>
          <w:bCs/>
          <w:color w:val="000000" w:themeColor="text1"/>
        </w:rPr>
        <w:t>2016</w:t>
      </w:r>
      <w:r w:rsidRPr="00B84710">
        <w:rPr>
          <w:rFonts w:ascii="Book Antiqua" w:hAnsi="Book Antiqua" w:cs="Tahoma"/>
          <w:color w:val="000000" w:themeColor="text1"/>
        </w:rPr>
        <w:t>: 1034834 [PMID: 27446822 DOI: 10.1155/2016/1034834]</w:t>
      </w:r>
    </w:p>
    <w:p w14:paraId="4F495598"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28 </w:t>
      </w:r>
      <w:r w:rsidRPr="00B84710">
        <w:rPr>
          <w:rFonts w:ascii="Book Antiqua" w:hAnsi="Book Antiqua" w:cs="Tahoma"/>
          <w:b/>
          <w:bCs/>
          <w:color w:val="000000" w:themeColor="text1"/>
        </w:rPr>
        <w:t>McDonald JW</w:t>
      </w:r>
      <w:r w:rsidRPr="00B84710">
        <w:rPr>
          <w:rFonts w:ascii="Book Antiqua" w:hAnsi="Book Antiqua" w:cs="Tahoma"/>
          <w:color w:val="000000" w:themeColor="text1"/>
        </w:rPr>
        <w:t>, Wang Y, Tsoulis DJ, MacDonald JK, Feagan BG. Methotrexate for induction of remission in refractory Crohn's disease. </w:t>
      </w:r>
      <w:r w:rsidRPr="00B84710">
        <w:rPr>
          <w:rFonts w:ascii="Book Antiqua" w:hAnsi="Book Antiqua" w:cs="Tahoma"/>
          <w:i/>
          <w:iCs/>
          <w:color w:val="000000" w:themeColor="text1"/>
        </w:rPr>
        <w:t>Cochrane Database Syst Rev</w:t>
      </w:r>
      <w:r w:rsidRPr="00B84710">
        <w:rPr>
          <w:rFonts w:ascii="Book Antiqua" w:hAnsi="Book Antiqua" w:cs="Tahoma"/>
          <w:color w:val="000000" w:themeColor="text1"/>
        </w:rPr>
        <w:t> 2014; </w:t>
      </w:r>
      <w:r w:rsidRPr="00B84710">
        <w:rPr>
          <w:rFonts w:ascii="Book Antiqua" w:hAnsi="Book Antiqua" w:cs="Tahoma" w:hint="eastAsia"/>
          <w:b/>
          <w:color w:val="000000" w:themeColor="text1"/>
        </w:rPr>
        <w:t>(8)</w:t>
      </w:r>
      <w:r w:rsidRPr="00B84710">
        <w:rPr>
          <w:rFonts w:ascii="Book Antiqua" w:hAnsi="Book Antiqua" w:cs="Tahoma"/>
          <w:b/>
          <w:color w:val="000000" w:themeColor="text1"/>
        </w:rPr>
        <w:t xml:space="preserve">: </w:t>
      </w:r>
      <w:r w:rsidRPr="00B84710">
        <w:rPr>
          <w:rFonts w:ascii="Book Antiqua" w:hAnsi="Book Antiqua" w:cs="Tahoma"/>
          <w:color w:val="000000" w:themeColor="text1"/>
        </w:rPr>
        <w:t>CD003459 [PMID: 25099640 DOI: 10.1002/14651858.CD003459.pub4]</w:t>
      </w:r>
    </w:p>
    <w:p w14:paraId="4B657758"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29 </w:t>
      </w:r>
      <w:r w:rsidRPr="00B84710">
        <w:rPr>
          <w:rFonts w:ascii="Book Antiqua" w:hAnsi="Book Antiqua" w:cs="Tahoma"/>
          <w:b/>
          <w:bCs/>
          <w:color w:val="000000" w:themeColor="text1"/>
        </w:rPr>
        <w:t>Patel V</w:t>
      </w:r>
      <w:r w:rsidRPr="00B84710">
        <w:rPr>
          <w:rFonts w:ascii="Book Antiqua" w:hAnsi="Book Antiqua" w:cs="Tahoma"/>
          <w:color w:val="000000" w:themeColor="text1"/>
        </w:rPr>
        <w:t>, Wang Y, MacDonald JK, McDonald JW, Chande N. Methotrexate for maintenance of remission in Crohn's disease. </w:t>
      </w:r>
      <w:r w:rsidRPr="00B84710">
        <w:rPr>
          <w:rFonts w:ascii="Book Antiqua" w:hAnsi="Book Antiqua" w:cs="Tahoma"/>
          <w:i/>
          <w:iCs/>
          <w:color w:val="000000" w:themeColor="text1"/>
        </w:rPr>
        <w:t>Cochrane Database Syst Rev</w:t>
      </w:r>
      <w:r w:rsidRPr="00B84710">
        <w:rPr>
          <w:rFonts w:ascii="Book Antiqua" w:hAnsi="Book Antiqua" w:cs="Tahoma"/>
          <w:color w:val="000000" w:themeColor="text1"/>
        </w:rPr>
        <w:t> 2014;</w:t>
      </w:r>
      <w:r w:rsidRPr="00B84710">
        <w:rPr>
          <w:rFonts w:ascii="Book Antiqua" w:hAnsi="Book Antiqua" w:cs="Tahoma"/>
          <w:b/>
          <w:color w:val="000000" w:themeColor="text1"/>
        </w:rPr>
        <w:t> </w:t>
      </w:r>
      <w:r w:rsidRPr="00B84710">
        <w:rPr>
          <w:rFonts w:ascii="Book Antiqua" w:hAnsi="Book Antiqua" w:cs="Tahoma" w:hint="eastAsia"/>
          <w:b/>
          <w:color w:val="000000" w:themeColor="text1"/>
        </w:rPr>
        <w:t>(8)</w:t>
      </w:r>
      <w:r w:rsidRPr="00B84710">
        <w:rPr>
          <w:rFonts w:ascii="Book Antiqua" w:hAnsi="Book Antiqua" w:cs="Tahoma"/>
          <w:b/>
          <w:color w:val="000000" w:themeColor="text1"/>
        </w:rPr>
        <w:t>:</w:t>
      </w:r>
      <w:r w:rsidRPr="00B84710">
        <w:rPr>
          <w:rFonts w:ascii="Book Antiqua" w:hAnsi="Book Antiqua" w:cs="Tahoma"/>
          <w:color w:val="000000" w:themeColor="text1"/>
        </w:rPr>
        <w:t xml:space="preserve"> CD006884 [PMID: 25157445 DOI: 10.1002/14651858.CD006884.pub3]</w:t>
      </w:r>
    </w:p>
    <w:p w14:paraId="0EA03D9E"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30</w:t>
      </w:r>
      <w:r w:rsidRPr="00B84710">
        <w:rPr>
          <w:rFonts w:ascii="Book Antiqua" w:hAnsi="Book Antiqua" w:cs="Tahoma"/>
          <w:b/>
          <w:color w:val="000000" w:themeColor="text1"/>
        </w:rPr>
        <w:t xml:space="preserve"> Feagan B.</w:t>
      </w:r>
      <w:r w:rsidRPr="00B84710">
        <w:rPr>
          <w:rFonts w:ascii="Book Antiqua" w:hAnsi="Book Antiqua" w:cs="Tahoma"/>
          <w:color w:val="000000" w:themeColor="text1"/>
        </w:rPr>
        <w:t xml:space="preserve"> A multicentre trial of methotrexate (MTX) for chronically active Crohn's disease (CD). </w:t>
      </w:r>
      <w:r w:rsidRPr="00B84710">
        <w:rPr>
          <w:rFonts w:ascii="Book Antiqua" w:hAnsi="Book Antiqua" w:cs="Tahoma"/>
          <w:i/>
          <w:color w:val="000000" w:themeColor="text1"/>
        </w:rPr>
        <w:t>Gut</w:t>
      </w:r>
      <w:r w:rsidRPr="00B84710">
        <w:rPr>
          <w:rFonts w:ascii="Book Antiqua" w:hAnsi="Book Antiqua" w:cs="Tahoma"/>
          <w:color w:val="000000" w:themeColor="text1"/>
        </w:rPr>
        <w:t xml:space="preserve"> 1994; </w:t>
      </w:r>
      <w:r w:rsidRPr="00B84710">
        <w:rPr>
          <w:rFonts w:ascii="Book Antiqua" w:hAnsi="Book Antiqua" w:cs="Tahoma"/>
          <w:b/>
          <w:color w:val="000000" w:themeColor="text1"/>
        </w:rPr>
        <w:t>35</w:t>
      </w:r>
      <w:r>
        <w:rPr>
          <w:rFonts w:ascii="Book Antiqua" w:hAnsi="Book Antiqua" w:cs="Tahoma"/>
          <w:color w:val="000000" w:themeColor="text1"/>
        </w:rPr>
        <w:t xml:space="preserve"> Suppl 4: A121</w:t>
      </w:r>
    </w:p>
    <w:p w14:paraId="3468974A"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31 </w:t>
      </w:r>
      <w:r w:rsidRPr="00B84710">
        <w:rPr>
          <w:rFonts w:ascii="Book Antiqua" w:hAnsi="Book Antiqua" w:cs="Tahoma"/>
          <w:b/>
          <w:bCs/>
          <w:color w:val="000000" w:themeColor="text1"/>
        </w:rPr>
        <w:t>Oren R</w:t>
      </w:r>
      <w:r w:rsidRPr="00B84710">
        <w:rPr>
          <w:rFonts w:ascii="Book Antiqua" w:hAnsi="Book Antiqua" w:cs="Tahoma"/>
          <w:color w:val="000000" w:themeColor="text1"/>
        </w:rPr>
        <w:t>, Moshkowitz M, Odes S, Becker S, Keter D, Pomeranz I, Shirin H, Reisfeld I, Broide E, Lavy A, Fich A, Eliakim R, Patz J, Villa Y, Arber N, Gilat T. Methotrexate in chronic active Crohn's disease: a double-blind, randomized, Israeli multicenter trial. </w:t>
      </w:r>
      <w:r w:rsidRPr="00B84710">
        <w:rPr>
          <w:rFonts w:ascii="Book Antiqua" w:hAnsi="Book Antiqua" w:cs="Tahoma"/>
          <w:i/>
          <w:iCs/>
          <w:color w:val="000000" w:themeColor="text1"/>
        </w:rPr>
        <w:t>Am J Gastroenterol</w:t>
      </w:r>
      <w:r w:rsidRPr="00B84710">
        <w:rPr>
          <w:rFonts w:ascii="Book Antiqua" w:hAnsi="Book Antiqua" w:cs="Tahoma"/>
          <w:color w:val="000000" w:themeColor="text1"/>
        </w:rPr>
        <w:t> 1997; </w:t>
      </w:r>
      <w:r w:rsidRPr="00B84710">
        <w:rPr>
          <w:rFonts w:ascii="Book Antiqua" w:hAnsi="Book Antiqua" w:cs="Tahoma"/>
          <w:b/>
          <w:bCs/>
          <w:color w:val="000000" w:themeColor="text1"/>
        </w:rPr>
        <w:t>92</w:t>
      </w:r>
      <w:r w:rsidRPr="00B84710">
        <w:rPr>
          <w:rFonts w:ascii="Book Antiqua" w:hAnsi="Book Antiqua" w:cs="Tahoma"/>
          <w:color w:val="000000" w:themeColor="text1"/>
        </w:rPr>
        <w:t>: 2203-2209 [PMID: 9399753]</w:t>
      </w:r>
    </w:p>
    <w:p w14:paraId="2B80B0E6"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32 </w:t>
      </w:r>
      <w:r w:rsidRPr="00B84710">
        <w:rPr>
          <w:rFonts w:ascii="Book Antiqua" w:hAnsi="Book Antiqua" w:cs="Tahoma"/>
          <w:b/>
          <w:bCs/>
          <w:color w:val="000000" w:themeColor="text1"/>
        </w:rPr>
        <w:t>Arora S</w:t>
      </w:r>
      <w:r w:rsidRPr="00B84710">
        <w:rPr>
          <w:rFonts w:ascii="Book Antiqua" w:hAnsi="Book Antiqua" w:cs="Tahoma"/>
          <w:color w:val="000000" w:themeColor="text1"/>
        </w:rPr>
        <w:t>, Katkov W, Cooley J, Kemp JA, Johnston DE, Schapiro RH, Podolsky D. Methotrexate in Crohn's disease: results of a randomized, double-blind, placebo-controlled trial. </w:t>
      </w:r>
      <w:r w:rsidRPr="00B84710">
        <w:rPr>
          <w:rFonts w:ascii="Book Antiqua" w:hAnsi="Book Antiqua" w:cs="Tahoma"/>
          <w:i/>
          <w:iCs/>
          <w:color w:val="000000" w:themeColor="text1"/>
        </w:rPr>
        <w:t>Hepatogastroenterology</w:t>
      </w:r>
      <w:r w:rsidRPr="00B84710">
        <w:rPr>
          <w:rFonts w:ascii="Book Antiqua" w:hAnsi="Book Antiqua" w:cs="Tahoma"/>
          <w:color w:val="000000" w:themeColor="text1"/>
        </w:rPr>
        <w:t> 1999; </w:t>
      </w:r>
      <w:r w:rsidRPr="00B84710">
        <w:rPr>
          <w:rFonts w:ascii="Book Antiqua" w:hAnsi="Book Antiqua" w:cs="Tahoma"/>
          <w:b/>
          <w:bCs/>
          <w:color w:val="000000" w:themeColor="text1"/>
        </w:rPr>
        <w:t>46</w:t>
      </w:r>
      <w:r w:rsidRPr="00B84710">
        <w:rPr>
          <w:rFonts w:ascii="Book Antiqua" w:hAnsi="Book Antiqua" w:cs="Tahoma"/>
          <w:color w:val="000000" w:themeColor="text1"/>
        </w:rPr>
        <w:t>: 1724-1729 [PMID: 10430331]</w:t>
      </w:r>
    </w:p>
    <w:p w14:paraId="030F382E"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33 </w:t>
      </w:r>
      <w:r w:rsidRPr="00B84710">
        <w:rPr>
          <w:rFonts w:ascii="Book Antiqua" w:hAnsi="Book Antiqua" w:cs="Tahoma"/>
          <w:b/>
          <w:bCs/>
          <w:color w:val="000000" w:themeColor="text1"/>
        </w:rPr>
        <w:t>Fumery M</w:t>
      </w:r>
      <w:r w:rsidRPr="00B84710">
        <w:rPr>
          <w:rFonts w:ascii="Book Antiqua" w:hAnsi="Book Antiqua" w:cs="Tahoma"/>
          <w:color w:val="000000" w:themeColor="text1"/>
        </w:rPr>
        <w:t xml:space="preserve">, Jacob A, Sarter H, Michaud L, Spyckerelle C, Mouterde O, Savoye G, Colombel JF, Peyrin-Biroulet L, Gower-Rousseau C, Turck D; EPIMAD Group. Efficacy and safety of adalimumab after infliximab failure in pediatric Crohn </w:t>
      </w:r>
      <w:r w:rsidRPr="00B84710">
        <w:rPr>
          <w:rFonts w:ascii="Book Antiqua" w:hAnsi="Book Antiqua" w:cs="Tahoma"/>
          <w:color w:val="000000" w:themeColor="text1"/>
        </w:rPr>
        <w:lastRenderedPageBreak/>
        <w:t>disease. </w:t>
      </w:r>
      <w:r w:rsidRPr="00B84710">
        <w:rPr>
          <w:rFonts w:ascii="Book Antiqua" w:hAnsi="Book Antiqua" w:cs="Tahoma"/>
          <w:i/>
          <w:iCs/>
          <w:color w:val="000000" w:themeColor="text1"/>
        </w:rPr>
        <w:t>J Pediatr Gastroenterol Nutr</w:t>
      </w:r>
      <w:r w:rsidRPr="00B84710">
        <w:rPr>
          <w:rFonts w:ascii="Book Antiqua" w:hAnsi="Book Antiqua" w:cs="Tahoma"/>
          <w:color w:val="000000" w:themeColor="text1"/>
        </w:rPr>
        <w:t> 2015; </w:t>
      </w:r>
      <w:r w:rsidRPr="00B84710">
        <w:rPr>
          <w:rFonts w:ascii="Book Antiqua" w:hAnsi="Book Antiqua" w:cs="Tahoma"/>
          <w:b/>
          <w:bCs/>
          <w:color w:val="000000" w:themeColor="text1"/>
        </w:rPr>
        <w:t>60</w:t>
      </w:r>
      <w:r w:rsidRPr="00B84710">
        <w:rPr>
          <w:rFonts w:ascii="Book Antiqua" w:hAnsi="Book Antiqua" w:cs="Tahoma"/>
          <w:color w:val="000000" w:themeColor="text1"/>
        </w:rPr>
        <w:t>: 744-748 [PMID: 26000887 DOI: 10.1097/MPG.0000000000000713]</w:t>
      </w:r>
    </w:p>
    <w:p w14:paraId="79EB0144"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34 </w:t>
      </w:r>
      <w:r w:rsidRPr="00B84710">
        <w:rPr>
          <w:rFonts w:ascii="Book Antiqua" w:hAnsi="Book Antiqua" w:cs="Tahoma"/>
          <w:b/>
          <w:bCs/>
          <w:color w:val="000000" w:themeColor="text1"/>
        </w:rPr>
        <w:t>Dziechciarz P</w:t>
      </w:r>
      <w:r w:rsidRPr="00B84710">
        <w:rPr>
          <w:rFonts w:ascii="Book Antiqua" w:hAnsi="Book Antiqua" w:cs="Tahoma"/>
          <w:color w:val="000000" w:themeColor="text1"/>
        </w:rPr>
        <w:t>, Horvath A, Kierkuś J. Efficacy and Safety of Adalimumab for Paediatric Crohn's Disease: A Systematic Review. </w:t>
      </w:r>
      <w:r w:rsidRPr="00B84710">
        <w:rPr>
          <w:rFonts w:ascii="Book Antiqua" w:hAnsi="Book Antiqua" w:cs="Tahoma"/>
          <w:i/>
          <w:iCs/>
          <w:color w:val="000000" w:themeColor="text1"/>
        </w:rPr>
        <w:t>J Crohns Colitis</w:t>
      </w:r>
      <w:r w:rsidRPr="00B84710">
        <w:rPr>
          <w:rFonts w:ascii="Book Antiqua" w:hAnsi="Book Antiqua" w:cs="Tahoma"/>
          <w:color w:val="000000" w:themeColor="text1"/>
        </w:rPr>
        <w:t> 2016; </w:t>
      </w:r>
      <w:r w:rsidRPr="00B84710">
        <w:rPr>
          <w:rFonts w:ascii="Book Antiqua" w:hAnsi="Book Antiqua" w:cs="Tahoma"/>
          <w:b/>
          <w:bCs/>
          <w:color w:val="000000" w:themeColor="text1"/>
        </w:rPr>
        <w:t>10</w:t>
      </w:r>
      <w:r w:rsidRPr="00B84710">
        <w:rPr>
          <w:rFonts w:ascii="Book Antiqua" w:hAnsi="Book Antiqua" w:cs="Tahoma"/>
          <w:color w:val="000000" w:themeColor="text1"/>
        </w:rPr>
        <w:t>: 1237-1244 [PMID: 26995184 DOI: 10.1093/ecco-jcc/jjw077]</w:t>
      </w:r>
    </w:p>
    <w:p w14:paraId="479C95A0"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35 </w:t>
      </w:r>
      <w:r w:rsidRPr="00B84710">
        <w:rPr>
          <w:rFonts w:ascii="Book Antiqua" w:hAnsi="Book Antiqua" w:cs="Tahoma"/>
          <w:b/>
          <w:bCs/>
          <w:color w:val="000000" w:themeColor="text1"/>
        </w:rPr>
        <w:t>Hyams J</w:t>
      </w:r>
      <w:r w:rsidRPr="00B84710">
        <w:rPr>
          <w:rFonts w:ascii="Book Antiqua" w:hAnsi="Book Antiqua" w:cs="Tahoma"/>
          <w:color w:val="000000" w:themeColor="text1"/>
        </w:rPr>
        <w:t>, Crandall W, Kugathasan S, Griffiths A, Olson A, Johanns J, Liu G, Travers S, Heuschkel R, Markowitz J, Cohen S, Winter H, Veereman-Wauters G, Ferry G, Baldassano R; REACH Study Group. Induction and maintenance infliximab therapy for the treatment of moderate-to-severe Crohn's disease in children. </w:t>
      </w:r>
      <w:r w:rsidRPr="00B84710">
        <w:rPr>
          <w:rFonts w:ascii="Book Antiqua" w:hAnsi="Book Antiqua" w:cs="Tahoma"/>
          <w:i/>
          <w:iCs/>
          <w:color w:val="000000" w:themeColor="text1"/>
        </w:rPr>
        <w:t>Gastroenterology</w:t>
      </w:r>
      <w:r w:rsidRPr="00B84710">
        <w:rPr>
          <w:rFonts w:ascii="Book Antiqua" w:hAnsi="Book Antiqua" w:cs="Tahoma"/>
          <w:color w:val="000000" w:themeColor="text1"/>
        </w:rPr>
        <w:t> 2007; </w:t>
      </w:r>
      <w:r w:rsidRPr="00B84710">
        <w:rPr>
          <w:rFonts w:ascii="Book Antiqua" w:hAnsi="Book Antiqua" w:cs="Tahoma"/>
          <w:b/>
          <w:bCs/>
          <w:color w:val="000000" w:themeColor="text1"/>
        </w:rPr>
        <w:t>132</w:t>
      </w:r>
      <w:r w:rsidRPr="00B84710">
        <w:rPr>
          <w:rFonts w:ascii="Book Antiqua" w:hAnsi="Book Antiqua" w:cs="Tahoma"/>
          <w:color w:val="000000" w:themeColor="text1"/>
        </w:rPr>
        <w:t>: 863-73; quiz 1165-6 [PMID: 17324398 DOI: 10.1053/j.gastro.2006.12.003]</w:t>
      </w:r>
    </w:p>
    <w:p w14:paraId="5D24F88F"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36 </w:t>
      </w:r>
      <w:r w:rsidRPr="00B84710">
        <w:rPr>
          <w:rFonts w:ascii="Book Antiqua" w:hAnsi="Book Antiqua" w:cs="Tahoma"/>
          <w:b/>
          <w:bCs/>
          <w:color w:val="000000" w:themeColor="text1"/>
        </w:rPr>
        <w:t>Ruemmele FM</w:t>
      </w:r>
      <w:r w:rsidRPr="00B84710">
        <w:rPr>
          <w:rFonts w:ascii="Book Antiqua" w:hAnsi="Book Antiqua" w:cs="Tahoma"/>
          <w:color w:val="000000" w:themeColor="text1"/>
        </w:rPr>
        <w:t>, Lachaux A, Cézard JP, Morali A, Maurage C, Giniès JL, Viola S, Goulet O, Lamireau T, Scaillon M, Breton A, Sarles J; Groupe Francophone d'Hépatologie, Gastroentérologie et Nutrition Pédiatrique. Efficacy of infliximab in pediatric Crohn's disease: a randomized multicenter open-label trial comparing scheduled to on demand maintenance therapy. </w:t>
      </w:r>
      <w:r w:rsidRPr="00B84710">
        <w:rPr>
          <w:rFonts w:ascii="Book Antiqua" w:hAnsi="Book Antiqua" w:cs="Tahoma"/>
          <w:i/>
          <w:iCs/>
          <w:color w:val="000000" w:themeColor="text1"/>
        </w:rPr>
        <w:t>Inflamm Bowel Dis</w:t>
      </w:r>
      <w:r w:rsidRPr="00B84710">
        <w:rPr>
          <w:rFonts w:ascii="Book Antiqua" w:hAnsi="Book Antiqua" w:cs="Tahoma"/>
          <w:color w:val="000000" w:themeColor="text1"/>
        </w:rPr>
        <w:t> 2009; </w:t>
      </w:r>
      <w:r w:rsidRPr="00B84710">
        <w:rPr>
          <w:rFonts w:ascii="Book Antiqua" w:hAnsi="Book Antiqua" w:cs="Tahoma"/>
          <w:b/>
          <w:bCs/>
          <w:color w:val="000000" w:themeColor="text1"/>
        </w:rPr>
        <w:t>15</w:t>
      </w:r>
      <w:r w:rsidRPr="00B84710">
        <w:rPr>
          <w:rFonts w:ascii="Book Antiqua" w:hAnsi="Book Antiqua" w:cs="Tahoma"/>
          <w:color w:val="000000" w:themeColor="text1"/>
        </w:rPr>
        <w:t>: 388-394 [PMID: 19023899 DOI: 10.1002/ibd.20788]</w:t>
      </w:r>
    </w:p>
    <w:p w14:paraId="6E607331"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37 </w:t>
      </w:r>
      <w:r w:rsidRPr="00B84710">
        <w:rPr>
          <w:rFonts w:ascii="Book Antiqua" w:hAnsi="Book Antiqua" w:cs="Tahoma"/>
          <w:b/>
          <w:bCs/>
          <w:color w:val="000000" w:themeColor="text1"/>
        </w:rPr>
        <w:t>Papamichael K</w:t>
      </w:r>
      <w:r w:rsidRPr="00B84710">
        <w:rPr>
          <w:rFonts w:ascii="Book Antiqua" w:hAnsi="Book Antiqua" w:cs="Tahoma"/>
          <w:color w:val="000000" w:themeColor="text1"/>
        </w:rPr>
        <w:t>, Van Stappen T, Jairath V, Gecse K, Khanna R, D'Haens G, Vermeire S, Gils A, Feagan BG, Levesque BG, Vande Casteele N. Review article: pharmacological aspects of anti-TNF biosimilars in inflammatory bowel diseases.</w:t>
      </w:r>
      <w:r w:rsidRPr="00B84710">
        <w:rPr>
          <w:rFonts w:ascii="Book Antiqua" w:hAnsi="Book Antiqua" w:cs="Tahoma"/>
          <w:i/>
          <w:iCs/>
          <w:color w:val="000000" w:themeColor="text1"/>
        </w:rPr>
        <w:t>Aliment Pharmacol Ther</w:t>
      </w:r>
      <w:r w:rsidRPr="00B84710">
        <w:rPr>
          <w:rFonts w:ascii="Book Antiqua" w:hAnsi="Book Antiqua" w:cs="Tahoma"/>
          <w:color w:val="000000" w:themeColor="text1"/>
        </w:rPr>
        <w:t> 2015; </w:t>
      </w:r>
      <w:r w:rsidRPr="00B84710">
        <w:rPr>
          <w:rFonts w:ascii="Book Antiqua" w:hAnsi="Book Antiqua" w:cs="Tahoma"/>
          <w:b/>
          <w:bCs/>
          <w:color w:val="000000" w:themeColor="text1"/>
        </w:rPr>
        <w:t>42</w:t>
      </w:r>
      <w:r w:rsidRPr="00B84710">
        <w:rPr>
          <w:rFonts w:ascii="Book Antiqua" w:hAnsi="Book Antiqua" w:cs="Tahoma"/>
          <w:color w:val="000000" w:themeColor="text1"/>
        </w:rPr>
        <w:t>: 1158-1169 [PMID: 26365281 DOI: 10.1111/apt.13402]</w:t>
      </w:r>
    </w:p>
    <w:p w14:paraId="05301890"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38 </w:t>
      </w:r>
      <w:r w:rsidRPr="00B84710">
        <w:rPr>
          <w:rFonts w:ascii="Book Antiqua" w:hAnsi="Book Antiqua" w:cs="Tahoma"/>
          <w:b/>
          <w:bCs/>
          <w:color w:val="000000" w:themeColor="text1"/>
        </w:rPr>
        <w:t>Frymoyer A</w:t>
      </w:r>
      <w:r w:rsidRPr="00B84710">
        <w:rPr>
          <w:rFonts w:ascii="Book Antiqua" w:hAnsi="Book Antiqua" w:cs="Tahoma"/>
          <w:color w:val="000000" w:themeColor="text1"/>
        </w:rPr>
        <w:t>, Piester TL, Park KT. Infliximab Dosing Strategies and Predicted Trough Exposure in Children With Crohn Disease. </w:t>
      </w:r>
      <w:r w:rsidRPr="00B84710">
        <w:rPr>
          <w:rFonts w:ascii="Book Antiqua" w:hAnsi="Book Antiqua" w:cs="Tahoma"/>
          <w:i/>
          <w:iCs/>
          <w:color w:val="000000" w:themeColor="text1"/>
        </w:rPr>
        <w:t>J Pediatr Gastroenterol Nutr</w:t>
      </w:r>
      <w:r w:rsidRPr="00B84710">
        <w:rPr>
          <w:rFonts w:ascii="Book Antiqua" w:hAnsi="Book Antiqua" w:cs="Tahoma"/>
          <w:color w:val="000000" w:themeColor="text1"/>
        </w:rPr>
        <w:t> 2016; </w:t>
      </w:r>
      <w:r w:rsidRPr="00B84710">
        <w:rPr>
          <w:rFonts w:ascii="Book Antiqua" w:hAnsi="Book Antiqua" w:cs="Tahoma"/>
          <w:b/>
          <w:bCs/>
          <w:color w:val="000000" w:themeColor="text1"/>
        </w:rPr>
        <w:t>62</w:t>
      </w:r>
      <w:r w:rsidRPr="00B84710">
        <w:rPr>
          <w:rFonts w:ascii="Book Antiqua" w:hAnsi="Book Antiqua" w:cs="Tahoma"/>
          <w:color w:val="000000" w:themeColor="text1"/>
        </w:rPr>
        <w:t>: 723-727 [PMID: 26890885 DOI: 10.1097/MPG.0000000000001123]</w:t>
      </w:r>
    </w:p>
    <w:p w14:paraId="212B063C"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39 </w:t>
      </w:r>
      <w:r w:rsidRPr="00B84710">
        <w:rPr>
          <w:rFonts w:ascii="Book Antiqua" w:hAnsi="Book Antiqua" w:cs="Tahoma"/>
          <w:b/>
          <w:bCs/>
          <w:color w:val="000000" w:themeColor="text1"/>
        </w:rPr>
        <w:t>Conrad MA</w:t>
      </w:r>
      <w:r w:rsidRPr="00B84710">
        <w:rPr>
          <w:rFonts w:ascii="Book Antiqua" w:hAnsi="Book Antiqua" w:cs="Tahoma"/>
          <w:color w:val="000000" w:themeColor="text1"/>
        </w:rPr>
        <w:t>, Stein RE, Maxwell EC, Albenberg L, Baldassano RN, Dawany N, Grossman AB, Mamula P, Piccoli DA, Kelsen JR. Vedolizumab Therapy in Severe Pediatric Inflammatory Bowel Disease. </w:t>
      </w:r>
      <w:r w:rsidRPr="00B84710">
        <w:rPr>
          <w:rFonts w:ascii="Book Antiqua" w:hAnsi="Book Antiqua" w:cs="Tahoma"/>
          <w:i/>
          <w:iCs/>
          <w:color w:val="000000" w:themeColor="text1"/>
        </w:rPr>
        <w:t>Inflamm Bowel Dis</w:t>
      </w:r>
      <w:r w:rsidRPr="00B84710">
        <w:rPr>
          <w:rFonts w:ascii="Book Antiqua" w:hAnsi="Book Antiqua" w:cs="Tahoma"/>
          <w:color w:val="000000" w:themeColor="text1"/>
        </w:rPr>
        <w:t> 2016; </w:t>
      </w:r>
      <w:r w:rsidRPr="00B84710">
        <w:rPr>
          <w:rFonts w:ascii="Book Antiqua" w:hAnsi="Book Antiqua" w:cs="Tahoma"/>
          <w:b/>
          <w:bCs/>
          <w:color w:val="000000" w:themeColor="text1"/>
        </w:rPr>
        <w:t>22</w:t>
      </w:r>
      <w:r w:rsidRPr="00B84710">
        <w:rPr>
          <w:rFonts w:ascii="Book Antiqua" w:hAnsi="Book Antiqua" w:cs="Tahoma"/>
          <w:color w:val="000000" w:themeColor="text1"/>
        </w:rPr>
        <w:t>: 2425-2431 [PMID: 27598742 DOI: 10.1097/MIB.0000000000000918]</w:t>
      </w:r>
    </w:p>
    <w:p w14:paraId="0A9AEEF0"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40 </w:t>
      </w:r>
      <w:r w:rsidRPr="00B84710">
        <w:rPr>
          <w:rFonts w:ascii="Book Antiqua" w:hAnsi="Book Antiqua" w:cs="Tahoma"/>
          <w:b/>
          <w:bCs/>
          <w:color w:val="000000" w:themeColor="text1"/>
        </w:rPr>
        <w:t>Cozijnsen MA,</w:t>
      </w:r>
      <w:r w:rsidRPr="00B84710">
        <w:rPr>
          <w:rFonts w:ascii="Book Antiqua" w:hAnsi="Book Antiqua" w:cs="Tahoma"/>
          <w:color w:val="000000" w:themeColor="text1"/>
        </w:rPr>
        <w:t xml:space="preserve"> Escher JC, Griffiths A, Turner D, de Ridder L. Benefits and Risks of Combining Anti-tumor Necrosis Factor with Immunomodulator Therapy in </w:t>
      </w:r>
      <w:r w:rsidRPr="00B84710">
        <w:rPr>
          <w:rFonts w:ascii="Book Antiqua" w:hAnsi="Book Antiqua" w:cs="Tahoma"/>
          <w:color w:val="000000" w:themeColor="text1"/>
        </w:rPr>
        <w:lastRenderedPageBreak/>
        <w:t>Pediatric Inflammatory Bowel Disease. Inflamm Bowel Dis 2015; 21(4): 951-61.PMID.0000000000000245 DOI 10.1097</w:t>
      </w:r>
    </w:p>
    <w:p w14:paraId="74CD1712" w14:textId="0F262CD4" w:rsidR="009427A9" w:rsidRPr="00B84710" w:rsidRDefault="009427A9" w:rsidP="006A3266">
      <w:pPr>
        <w:shd w:val="clear" w:color="auto" w:fill="F9F9F9"/>
        <w:spacing w:line="360" w:lineRule="auto"/>
        <w:jc w:val="both"/>
        <w:textAlignment w:val="top"/>
        <w:rPr>
          <w:rFonts w:ascii="Book Antiqua" w:hAnsi="Book Antiqua" w:cs="Tahoma"/>
          <w:color w:val="000000" w:themeColor="text1"/>
          <w:lang w:eastAsia="zh-CN"/>
        </w:rPr>
      </w:pPr>
      <w:r w:rsidRPr="00B84710">
        <w:rPr>
          <w:rFonts w:ascii="Book Antiqua" w:hAnsi="Book Antiqua" w:cs="Tahoma"/>
          <w:color w:val="000000" w:themeColor="text1"/>
        </w:rPr>
        <w:t>41 </w:t>
      </w:r>
      <w:r w:rsidRPr="00B84710">
        <w:rPr>
          <w:rFonts w:ascii="Book Antiqua" w:hAnsi="Book Antiqua" w:cs="Tahoma"/>
          <w:b/>
          <w:bCs/>
          <w:color w:val="000000" w:themeColor="text1"/>
        </w:rPr>
        <w:t>de Ridder L,</w:t>
      </w:r>
      <w:r w:rsidRPr="00B84710">
        <w:rPr>
          <w:rFonts w:ascii="Book Antiqua" w:hAnsi="Book Antiqua" w:cs="Tahoma"/>
          <w:color w:val="000000" w:themeColor="text1"/>
        </w:rPr>
        <w:t xml:space="preserve"> Turner D, Wilson DC, Koletzko S, Martin-de-Carpi J, Fagerberg UL, Spray C, Sladek M, Shaoul R, Roma-Giannikou E, Bronsky J, Serban DE, Cucchiara S, Veres G, Ruemmele FM, Hojsak I, Kolho KL, Davies IH, Aloi M, Lionetti P, Veereman-Wauters G, Braegger CP, Trindade E, Wewer AV, Hauer A, Levine A; Porto IBD Working Group of ESPGHAN. Malignancy and Mortality in Pediatric Patients with Inflammatory Bowel Disease: A Multinational Study from the Porto Pediatric IBD Group. </w:t>
      </w:r>
      <w:r w:rsidRPr="00020B09">
        <w:rPr>
          <w:rFonts w:ascii="Book Antiqua" w:hAnsi="Book Antiqua" w:cs="Tahoma"/>
          <w:i/>
          <w:color w:val="000000" w:themeColor="text1"/>
        </w:rPr>
        <w:t xml:space="preserve">Inflamm Bowel Dis </w:t>
      </w:r>
      <w:r w:rsidRPr="00B84710">
        <w:rPr>
          <w:rFonts w:ascii="Book Antiqua" w:hAnsi="Book Antiqua" w:cs="Tahoma"/>
          <w:color w:val="000000" w:themeColor="text1"/>
        </w:rPr>
        <w:t xml:space="preserve">2014; </w:t>
      </w:r>
      <w:r w:rsidRPr="00020B09">
        <w:rPr>
          <w:rFonts w:ascii="Book Antiqua" w:hAnsi="Book Antiqua" w:cs="Tahoma"/>
          <w:b/>
          <w:color w:val="000000" w:themeColor="text1"/>
        </w:rPr>
        <w:t>20</w:t>
      </w:r>
      <w:r w:rsidRPr="00B84710">
        <w:rPr>
          <w:rFonts w:ascii="Book Antiqua" w:hAnsi="Book Antiqua" w:cs="Tahoma"/>
          <w:color w:val="000000" w:themeColor="text1"/>
        </w:rPr>
        <w:t>: 291-300</w:t>
      </w:r>
      <w:r w:rsidR="00020B09">
        <w:rPr>
          <w:rFonts w:ascii="Book Antiqua" w:hAnsi="Book Antiqua" w:cs="Tahoma" w:hint="eastAsia"/>
          <w:color w:val="000000" w:themeColor="text1"/>
          <w:lang w:eastAsia="zh-CN"/>
        </w:rPr>
        <w:t xml:space="preserve"> [</w:t>
      </w:r>
      <w:r w:rsidRPr="00B84710">
        <w:rPr>
          <w:rFonts w:ascii="Book Antiqua" w:hAnsi="Book Antiqua" w:cs="Tahoma"/>
          <w:color w:val="000000" w:themeColor="text1"/>
        </w:rPr>
        <w:t>DOI</w:t>
      </w:r>
      <w:r w:rsidR="00020B09">
        <w:rPr>
          <w:rFonts w:ascii="Book Antiqua" w:hAnsi="Book Antiqua" w:cs="Tahoma" w:hint="eastAsia"/>
          <w:color w:val="000000" w:themeColor="text1"/>
          <w:lang w:eastAsia="zh-CN"/>
        </w:rPr>
        <w:t>:</w:t>
      </w:r>
      <w:r w:rsidRPr="00B84710">
        <w:rPr>
          <w:rFonts w:ascii="Book Antiqua" w:hAnsi="Book Antiqua" w:cs="Tahoma"/>
          <w:color w:val="000000" w:themeColor="text1"/>
        </w:rPr>
        <w:t xml:space="preserve"> 10.1097</w:t>
      </w:r>
      <w:r w:rsidR="00020B09">
        <w:rPr>
          <w:rFonts w:ascii="Book Antiqua" w:hAnsi="Book Antiqua" w:cs="Tahoma" w:hint="eastAsia"/>
          <w:color w:val="000000" w:themeColor="text1"/>
          <w:lang w:eastAsia="zh-CN"/>
        </w:rPr>
        <w:t>/</w:t>
      </w:r>
      <w:r w:rsidR="00020B09">
        <w:rPr>
          <w:rFonts w:ascii="Book Antiqua" w:hAnsi="Book Antiqua" w:cs="Tahoma"/>
          <w:color w:val="000000" w:themeColor="text1"/>
        </w:rPr>
        <w:t>01.</w:t>
      </w:r>
      <w:r w:rsidRPr="00B84710">
        <w:rPr>
          <w:rFonts w:ascii="Book Antiqua" w:hAnsi="Book Antiqua" w:cs="Tahoma"/>
          <w:color w:val="000000" w:themeColor="text1"/>
        </w:rPr>
        <w:t>MIB.0000439066.69340.3c</w:t>
      </w:r>
      <w:r w:rsidR="00020B09">
        <w:rPr>
          <w:rFonts w:ascii="Book Antiqua" w:hAnsi="Book Antiqua" w:cs="Tahoma" w:hint="eastAsia"/>
          <w:color w:val="000000" w:themeColor="text1"/>
          <w:lang w:eastAsia="zh-CN"/>
        </w:rPr>
        <w:t>]</w:t>
      </w:r>
    </w:p>
    <w:p w14:paraId="7AFAFBFB"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42 </w:t>
      </w:r>
      <w:r w:rsidRPr="00B84710">
        <w:rPr>
          <w:rFonts w:ascii="Book Antiqua" w:hAnsi="Book Antiqua" w:cs="Tahoma"/>
          <w:b/>
          <w:bCs/>
          <w:color w:val="000000" w:themeColor="text1"/>
        </w:rPr>
        <w:t>Hyams JS</w:t>
      </w:r>
      <w:r w:rsidRPr="00B84710">
        <w:rPr>
          <w:rFonts w:ascii="Book Antiqua" w:hAnsi="Book Antiqua" w:cs="Tahoma"/>
          <w:color w:val="000000" w:themeColor="text1"/>
        </w:rPr>
        <w:t>, Griffiths A, Markowitz J, Baldassano RN, Faubion WA Jr, Colletti RB, Dubinsky M, Kierkus J, Rosh J, Wang Y, Huang B, Bittle B, Marshall M, Lazar A. Safety and efficacy of adalimumab for moderate to severe Crohn's disease in children. </w:t>
      </w:r>
      <w:r w:rsidRPr="00B84710">
        <w:rPr>
          <w:rFonts w:ascii="Book Antiqua" w:hAnsi="Book Antiqua" w:cs="Tahoma"/>
          <w:i/>
          <w:iCs/>
          <w:color w:val="000000" w:themeColor="text1"/>
        </w:rPr>
        <w:t>Gastroenterology</w:t>
      </w:r>
      <w:r w:rsidRPr="00B84710">
        <w:rPr>
          <w:rFonts w:ascii="Book Antiqua" w:hAnsi="Book Antiqua" w:cs="Tahoma"/>
          <w:color w:val="000000" w:themeColor="text1"/>
        </w:rPr>
        <w:t> 2012; </w:t>
      </w:r>
      <w:r w:rsidRPr="00B84710">
        <w:rPr>
          <w:rFonts w:ascii="Book Antiqua" w:hAnsi="Book Antiqua" w:cs="Tahoma"/>
          <w:b/>
          <w:bCs/>
          <w:color w:val="000000" w:themeColor="text1"/>
        </w:rPr>
        <w:t>143</w:t>
      </w:r>
      <w:r w:rsidRPr="00B84710">
        <w:rPr>
          <w:rFonts w:ascii="Book Antiqua" w:hAnsi="Book Antiqua" w:cs="Tahoma"/>
          <w:color w:val="000000" w:themeColor="text1"/>
        </w:rPr>
        <w:t>: 365-74.e2 [PMID: 22562021 DOI: 10.1053/j.gastro.2012.04.046]</w:t>
      </w:r>
    </w:p>
    <w:p w14:paraId="1E8E2E2A" w14:textId="6E96FBFF" w:rsidR="00426982" w:rsidRPr="00426982" w:rsidRDefault="009427A9" w:rsidP="006A3266">
      <w:pPr>
        <w:shd w:val="clear" w:color="auto" w:fill="F9F9F9"/>
        <w:spacing w:line="360" w:lineRule="auto"/>
        <w:jc w:val="both"/>
        <w:textAlignment w:val="top"/>
        <w:rPr>
          <w:rFonts w:ascii="Book Antiqua" w:hAnsi="Book Antiqua" w:cs="Tahoma"/>
          <w:color w:val="000000" w:themeColor="text1"/>
          <w:lang w:eastAsia="zh-CN"/>
        </w:rPr>
      </w:pPr>
      <w:r w:rsidRPr="00B84710">
        <w:rPr>
          <w:rFonts w:ascii="Book Antiqua" w:hAnsi="Book Antiqua" w:cs="Tahoma"/>
          <w:color w:val="000000" w:themeColor="text1"/>
        </w:rPr>
        <w:t>43 </w:t>
      </w:r>
      <w:r w:rsidRPr="00B84710">
        <w:rPr>
          <w:rFonts w:ascii="Book Antiqua" w:hAnsi="Book Antiqua" w:cs="Tahoma"/>
          <w:b/>
          <w:bCs/>
          <w:color w:val="000000" w:themeColor="text1"/>
        </w:rPr>
        <w:t>Patel AS</w:t>
      </w:r>
      <w:r w:rsidRPr="00B84710">
        <w:rPr>
          <w:rFonts w:ascii="Book Antiqua" w:hAnsi="Book Antiqua" w:cs="Tahoma"/>
          <w:color w:val="000000" w:themeColor="text1"/>
        </w:rPr>
        <w:t>, Suarez LD, Rosh JR. Adalimumab in pediatric Crohn's disease. </w:t>
      </w:r>
      <w:r w:rsidRPr="00B84710">
        <w:rPr>
          <w:rFonts w:ascii="Book Antiqua" w:hAnsi="Book Antiqua" w:cs="Tahoma"/>
          <w:i/>
          <w:iCs/>
          <w:color w:val="000000" w:themeColor="text1"/>
        </w:rPr>
        <w:t>Immunotherapy</w:t>
      </w:r>
      <w:r w:rsidRPr="00B84710">
        <w:rPr>
          <w:rFonts w:ascii="Book Antiqua" w:hAnsi="Book Antiqua" w:cs="Tahoma"/>
          <w:color w:val="000000" w:themeColor="text1"/>
        </w:rPr>
        <w:t> 2016; </w:t>
      </w:r>
      <w:r w:rsidRPr="00B84710">
        <w:rPr>
          <w:rFonts w:ascii="Book Antiqua" w:hAnsi="Book Antiqua" w:cs="Tahoma"/>
          <w:b/>
          <w:bCs/>
          <w:color w:val="000000" w:themeColor="text1"/>
        </w:rPr>
        <w:t>8</w:t>
      </w:r>
      <w:r w:rsidRPr="00B84710">
        <w:rPr>
          <w:rFonts w:ascii="Book Antiqua" w:hAnsi="Book Antiqua" w:cs="Tahoma"/>
          <w:color w:val="000000" w:themeColor="text1"/>
        </w:rPr>
        <w:t>: 127-133 [PMID: 26787222 DOI: 10.2217/imt.15.114]</w:t>
      </w:r>
    </w:p>
    <w:p w14:paraId="1DA9950B"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44 </w:t>
      </w:r>
      <w:r w:rsidRPr="00B84710">
        <w:rPr>
          <w:rFonts w:ascii="Book Antiqua" w:hAnsi="Book Antiqua" w:cs="Tahoma"/>
          <w:b/>
          <w:bCs/>
          <w:color w:val="000000" w:themeColor="text1"/>
        </w:rPr>
        <w:t>Singh N</w:t>
      </w:r>
      <w:r w:rsidRPr="00B84710">
        <w:rPr>
          <w:rFonts w:ascii="Book Antiqua" w:hAnsi="Book Antiqua" w:cs="Tahoma"/>
          <w:color w:val="000000" w:themeColor="text1"/>
        </w:rPr>
        <w:t>, Rabizadeh S, Jossen J, Pittman N, Check M, Hashemi G, Phan BL, Hyams JS, Dubinsky MC. Multi-Center Experience of Vedolizumab Effectiveness in Pediatric Inflammatory Bowel Disease. </w:t>
      </w:r>
      <w:r w:rsidRPr="00B84710">
        <w:rPr>
          <w:rFonts w:ascii="Book Antiqua" w:hAnsi="Book Antiqua" w:cs="Tahoma"/>
          <w:i/>
          <w:iCs/>
          <w:color w:val="000000" w:themeColor="text1"/>
        </w:rPr>
        <w:t>Inflamm Bowel Dis</w:t>
      </w:r>
      <w:r w:rsidRPr="00B84710">
        <w:rPr>
          <w:rFonts w:ascii="Book Antiqua" w:hAnsi="Book Antiqua" w:cs="Tahoma"/>
          <w:color w:val="000000" w:themeColor="text1"/>
        </w:rPr>
        <w:t> 2016; </w:t>
      </w:r>
      <w:r w:rsidRPr="00B84710">
        <w:rPr>
          <w:rFonts w:ascii="Book Antiqua" w:hAnsi="Book Antiqua" w:cs="Tahoma"/>
          <w:b/>
          <w:bCs/>
          <w:color w:val="000000" w:themeColor="text1"/>
        </w:rPr>
        <w:t>22</w:t>
      </w:r>
      <w:r w:rsidRPr="00B84710">
        <w:rPr>
          <w:rFonts w:ascii="Book Antiqua" w:hAnsi="Book Antiqua" w:cs="Tahoma"/>
          <w:color w:val="000000" w:themeColor="text1"/>
        </w:rPr>
        <w:t>: 2121-2126 [PMID: 27542130 DOI: 10.1097/MIB.0000000000000865]</w:t>
      </w:r>
    </w:p>
    <w:p w14:paraId="0DC79021" w14:textId="69774840" w:rsidR="009427A9" w:rsidRPr="00B84710" w:rsidRDefault="009427A9" w:rsidP="006A3266">
      <w:pPr>
        <w:shd w:val="clear" w:color="auto" w:fill="F9F9F9"/>
        <w:spacing w:line="360" w:lineRule="auto"/>
        <w:jc w:val="both"/>
        <w:textAlignment w:val="top"/>
        <w:rPr>
          <w:rFonts w:ascii="Book Antiqua" w:hAnsi="Book Antiqua" w:cs="Tahoma"/>
          <w:color w:val="000000" w:themeColor="text1"/>
          <w:lang w:eastAsia="zh-CN"/>
        </w:rPr>
      </w:pPr>
      <w:r w:rsidRPr="00B84710">
        <w:rPr>
          <w:rFonts w:ascii="Book Antiqua" w:hAnsi="Book Antiqua" w:cs="Tahoma"/>
          <w:color w:val="000000" w:themeColor="text1"/>
        </w:rPr>
        <w:t>45 </w:t>
      </w:r>
      <w:r w:rsidRPr="00B84710">
        <w:rPr>
          <w:rFonts w:ascii="Book Antiqua" w:hAnsi="Book Antiqua" w:cs="Tahoma"/>
          <w:b/>
          <w:bCs/>
          <w:color w:val="000000" w:themeColor="text1"/>
        </w:rPr>
        <w:t>Sands B,</w:t>
      </w:r>
      <w:r w:rsidR="007D71B5">
        <w:rPr>
          <w:rFonts w:ascii="Book Antiqua" w:hAnsi="Book Antiqua" w:cs="Tahoma"/>
          <w:color w:val="000000" w:themeColor="text1"/>
        </w:rPr>
        <w:t> Dubinsky MC, Vermeire S</w:t>
      </w:r>
      <w:r w:rsidR="007D71B5">
        <w:rPr>
          <w:rFonts w:ascii="Book Antiqua" w:hAnsi="Book Antiqua" w:cs="Tahoma" w:hint="eastAsia"/>
          <w:color w:val="000000" w:themeColor="text1"/>
          <w:lang w:eastAsia="zh-CN"/>
        </w:rPr>
        <w:t>.</w:t>
      </w:r>
      <w:r w:rsidRPr="00B84710">
        <w:rPr>
          <w:rFonts w:ascii="Book Antiqua" w:hAnsi="Book Antiqua" w:cs="Tahoma"/>
          <w:color w:val="000000" w:themeColor="text1"/>
        </w:rPr>
        <w:t xml:space="preserve"> Effects of increased vedolizumab dosing frequency on disease activity in ulcerative colitis.</w:t>
      </w:r>
      <w:r w:rsidRPr="00020B09">
        <w:rPr>
          <w:rFonts w:ascii="Book Antiqua" w:hAnsi="Book Antiqua" w:cs="Tahoma"/>
          <w:i/>
          <w:color w:val="000000" w:themeColor="text1"/>
        </w:rPr>
        <w:t xml:space="preserve"> United Eur Gastrol J</w:t>
      </w:r>
      <w:r w:rsidRPr="00B84710">
        <w:rPr>
          <w:rFonts w:ascii="Book Antiqua" w:hAnsi="Book Antiqua" w:cs="Tahoma"/>
          <w:color w:val="000000" w:themeColor="text1"/>
        </w:rPr>
        <w:t xml:space="preserve"> 2014; </w:t>
      </w:r>
      <w:r w:rsidRPr="00020B09">
        <w:rPr>
          <w:rFonts w:ascii="Book Antiqua" w:hAnsi="Book Antiqua" w:cs="Tahoma"/>
          <w:b/>
          <w:color w:val="000000" w:themeColor="text1"/>
        </w:rPr>
        <w:t xml:space="preserve">2 </w:t>
      </w:r>
      <w:r w:rsidR="00020B09">
        <w:rPr>
          <w:rFonts w:ascii="Book Antiqua" w:hAnsi="Book Antiqua" w:cs="Tahoma"/>
          <w:color w:val="000000" w:themeColor="text1"/>
        </w:rPr>
        <w:t>(suppl 1): A1–A131</w:t>
      </w:r>
    </w:p>
    <w:p w14:paraId="3BF10041"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46 </w:t>
      </w:r>
      <w:r w:rsidRPr="00B84710">
        <w:rPr>
          <w:rFonts w:ascii="Book Antiqua" w:hAnsi="Book Antiqua" w:cs="Tahoma"/>
          <w:b/>
          <w:bCs/>
          <w:color w:val="000000" w:themeColor="text1"/>
        </w:rPr>
        <w:t>Sieczkowska J</w:t>
      </w:r>
      <w:r w:rsidRPr="00B84710">
        <w:rPr>
          <w:rFonts w:ascii="Book Antiqua" w:hAnsi="Book Antiqua" w:cs="Tahoma"/>
          <w:color w:val="000000" w:themeColor="text1"/>
        </w:rPr>
        <w:t>, Jarzębicka D, Banaszkiewicz A, Plocek A, Gawronska A, Toporowska-Kowalska E, Oracz G, Meglicka M, Kierkus J. Switching Between Infliximab Originator and Biosimilar in Paediatric Patients with Inflammatory Bowel Disease. Preliminary Observations. </w:t>
      </w:r>
      <w:r w:rsidRPr="00B84710">
        <w:rPr>
          <w:rFonts w:ascii="Book Antiqua" w:hAnsi="Book Antiqua" w:cs="Tahoma"/>
          <w:i/>
          <w:iCs/>
          <w:color w:val="000000" w:themeColor="text1"/>
        </w:rPr>
        <w:t>J Crohns Colitis</w:t>
      </w:r>
      <w:r w:rsidRPr="00B84710">
        <w:rPr>
          <w:rFonts w:ascii="Book Antiqua" w:hAnsi="Book Antiqua" w:cs="Tahoma"/>
          <w:color w:val="000000" w:themeColor="text1"/>
        </w:rPr>
        <w:t> 2016; </w:t>
      </w:r>
      <w:r w:rsidRPr="00B84710">
        <w:rPr>
          <w:rFonts w:ascii="Book Antiqua" w:hAnsi="Book Antiqua" w:cs="Tahoma"/>
          <w:b/>
          <w:bCs/>
          <w:color w:val="000000" w:themeColor="text1"/>
        </w:rPr>
        <w:t>10</w:t>
      </w:r>
      <w:r w:rsidRPr="00B84710">
        <w:rPr>
          <w:rFonts w:ascii="Book Antiqua" w:hAnsi="Book Antiqua" w:cs="Tahoma"/>
          <w:color w:val="000000" w:themeColor="text1"/>
        </w:rPr>
        <w:t>: 127-132 [PMID: 26721942 DOI: 10.1093/ecco-jcc/jjv233]</w:t>
      </w:r>
    </w:p>
    <w:p w14:paraId="27A39548"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lastRenderedPageBreak/>
        <w:t>47 </w:t>
      </w:r>
      <w:r w:rsidRPr="00B84710">
        <w:rPr>
          <w:rFonts w:ascii="Book Antiqua" w:hAnsi="Book Antiqua" w:cs="Tahoma"/>
          <w:b/>
          <w:bCs/>
          <w:color w:val="000000" w:themeColor="text1"/>
        </w:rPr>
        <w:t>Bramuzzo M</w:t>
      </w:r>
      <w:r w:rsidRPr="00B84710">
        <w:rPr>
          <w:rFonts w:ascii="Book Antiqua" w:hAnsi="Book Antiqua" w:cs="Tahoma"/>
          <w:color w:val="000000" w:themeColor="text1"/>
        </w:rPr>
        <w:t>, Ventura A, Martelossi S, Lazzerini M. Thalidomide for inflammatory bowel disease: Systematic review. </w:t>
      </w:r>
      <w:r w:rsidRPr="00B84710">
        <w:rPr>
          <w:rFonts w:ascii="Book Antiqua" w:hAnsi="Book Antiqua" w:cs="Tahoma"/>
          <w:i/>
          <w:iCs/>
          <w:color w:val="000000" w:themeColor="text1"/>
        </w:rPr>
        <w:t>Medicine</w:t>
      </w:r>
      <w:r w:rsidRPr="007D71B5">
        <w:rPr>
          <w:rFonts w:ascii="Book Antiqua" w:hAnsi="Book Antiqua" w:cs="Tahoma"/>
          <w:iCs/>
          <w:color w:val="000000" w:themeColor="text1"/>
        </w:rPr>
        <w:t xml:space="preserve"> (Baltimore)</w:t>
      </w:r>
      <w:r w:rsidRPr="007D71B5">
        <w:rPr>
          <w:rFonts w:ascii="Book Antiqua" w:hAnsi="Book Antiqua" w:cs="Tahoma"/>
          <w:color w:val="000000" w:themeColor="text1"/>
        </w:rPr>
        <w:t> </w:t>
      </w:r>
      <w:r w:rsidRPr="00B84710">
        <w:rPr>
          <w:rFonts w:ascii="Book Antiqua" w:hAnsi="Book Antiqua" w:cs="Tahoma"/>
          <w:color w:val="000000" w:themeColor="text1"/>
        </w:rPr>
        <w:t>2016; </w:t>
      </w:r>
      <w:r w:rsidRPr="00B84710">
        <w:rPr>
          <w:rFonts w:ascii="Book Antiqua" w:hAnsi="Book Antiqua" w:cs="Tahoma"/>
          <w:b/>
          <w:bCs/>
          <w:color w:val="000000" w:themeColor="text1"/>
        </w:rPr>
        <w:t>95</w:t>
      </w:r>
      <w:r w:rsidRPr="00B84710">
        <w:rPr>
          <w:rFonts w:ascii="Book Antiqua" w:hAnsi="Book Antiqua" w:cs="Tahoma"/>
          <w:color w:val="000000" w:themeColor="text1"/>
        </w:rPr>
        <w:t>: e4239 [PMID: 27472695 DOI: 10.1097/MD.0000000000004239]</w:t>
      </w:r>
    </w:p>
    <w:p w14:paraId="49A2B290"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48 </w:t>
      </w:r>
      <w:r w:rsidRPr="00B84710">
        <w:rPr>
          <w:rFonts w:ascii="Book Antiqua" w:hAnsi="Book Antiqua" w:cs="Tahoma"/>
          <w:b/>
          <w:bCs/>
          <w:color w:val="000000" w:themeColor="text1"/>
        </w:rPr>
        <w:t>Liew WK</w:t>
      </w:r>
      <w:r w:rsidRPr="00B84710">
        <w:rPr>
          <w:rFonts w:ascii="Book Antiqua" w:hAnsi="Book Antiqua" w:cs="Tahoma"/>
          <w:color w:val="000000" w:themeColor="text1"/>
        </w:rPr>
        <w:t>, Pacak CA, Visyak N, Darras BT, Bousvaros A, Kang PB. Longitudinal Patterns of Thalidomide Neuropathy in Children and Adolescents. </w:t>
      </w:r>
      <w:r w:rsidRPr="00B84710">
        <w:rPr>
          <w:rFonts w:ascii="Book Antiqua" w:hAnsi="Book Antiqua" w:cs="Tahoma"/>
          <w:i/>
          <w:iCs/>
          <w:color w:val="000000" w:themeColor="text1"/>
        </w:rPr>
        <w:t>J Pediatr</w:t>
      </w:r>
      <w:r w:rsidRPr="00B84710">
        <w:rPr>
          <w:rFonts w:ascii="Book Antiqua" w:hAnsi="Book Antiqua" w:cs="Tahoma"/>
          <w:color w:val="000000" w:themeColor="text1"/>
        </w:rPr>
        <w:t> 2016; </w:t>
      </w:r>
      <w:r w:rsidRPr="00B84710">
        <w:rPr>
          <w:rFonts w:ascii="Book Antiqua" w:hAnsi="Book Antiqua" w:cs="Tahoma"/>
          <w:b/>
          <w:bCs/>
          <w:color w:val="000000" w:themeColor="text1"/>
        </w:rPr>
        <w:t>178</w:t>
      </w:r>
      <w:r w:rsidRPr="00B84710">
        <w:rPr>
          <w:rFonts w:ascii="Book Antiqua" w:hAnsi="Book Antiqua" w:cs="Tahoma"/>
          <w:color w:val="000000" w:themeColor="text1"/>
        </w:rPr>
        <w:t>: 227-232 [PMID: 27567409 DOI: 10.1016/j.jpeds.2016.07.040]</w:t>
      </w:r>
    </w:p>
    <w:p w14:paraId="01A91C20"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49 </w:t>
      </w:r>
      <w:r w:rsidRPr="00B84710">
        <w:rPr>
          <w:rFonts w:ascii="Book Antiqua" w:hAnsi="Book Antiqua" w:cs="Tahoma"/>
          <w:b/>
          <w:bCs/>
          <w:color w:val="000000" w:themeColor="text1"/>
        </w:rPr>
        <w:t>Lazzerini M</w:t>
      </w:r>
      <w:r w:rsidRPr="00B84710">
        <w:rPr>
          <w:rFonts w:ascii="Book Antiqua" w:hAnsi="Book Antiqua" w:cs="Tahoma"/>
          <w:color w:val="000000" w:themeColor="text1"/>
        </w:rPr>
        <w:t>, Martelossi S, Magazzù G, Pellegrino S, Lucanto MC, Barabino A, Calvi A, Arrigo S, Lionetti P, Lorusso M, Mangiantini F, Fontana M, Zuin G, Palla G, Maggiore G, Bramuzzo M, Pellegrin MC, Maschio M, Villanacci V, Manenti S, Decorti G, De Iudicibus S, Paparazzo R, Montico M, Ventura A. Effect of thalidomide on clinical remission in children and adolescents with refractory Crohn disease: a randomized clinical trial. </w:t>
      </w:r>
      <w:r w:rsidRPr="00B84710">
        <w:rPr>
          <w:rFonts w:ascii="Book Antiqua" w:hAnsi="Book Antiqua" w:cs="Tahoma"/>
          <w:i/>
          <w:iCs/>
          <w:color w:val="000000" w:themeColor="text1"/>
        </w:rPr>
        <w:t>JAMA</w:t>
      </w:r>
      <w:r w:rsidRPr="00B84710">
        <w:rPr>
          <w:rFonts w:ascii="Book Antiqua" w:hAnsi="Book Antiqua" w:cs="Tahoma"/>
          <w:color w:val="000000" w:themeColor="text1"/>
        </w:rPr>
        <w:t> 2013; </w:t>
      </w:r>
      <w:r w:rsidRPr="00B84710">
        <w:rPr>
          <w:rFonts w:ascii="Book Antiqua" w:hAnsi="Book Antiqua" w:cs="Tahoma"/>
          <w:b/>
          <w:bCs/>
          <w:color w:val="000000" w:themeColor="text1"/>
        </w:rPr>
        <w:t>310</w:t>
      </w:r>
      <w:r w:rsidRPr="00B84710">
        <w:rPr>
          <w:rFonts w:ascii="Book Antiqua" w:hAnsi="Book Antiqua" w:cs="Tahoma"/>
          <w:color w:val="000000" w:themeColor="text1"/>
        </w:rPr>
        <w:t>: 2164-2173 [PMID: 24281461 DOI: 10.1001/jama.2013.280777]</w:t>
      </w:r>
    </w:p>
    <w:p w14:paraId="4FA8BAFC"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50 </w:t>
      </w:r>
      <w:r w:rsidRPr="00B84710">
        <w:rPr>
          <w:rFonts w:ascii="Book Antiqua" w:hAnsi="Book Antiqua" w:cs="Tahoma"/>
          <w:b/>
          <w:bCs/>
          <w:color w:val="000000" w:themeColor="text1"/>
        </w:rPr>
        <w:t>Lazzerini M</w:t>
      </w:r>
      <w:r w:rsidRPr="00B84710">
        <w:rPr>
          <w:rFonts w:ascii="Book Antiqua" w:hAnsi="Book Antiqua" w:cs="Tahoma"/>
          <w:color w:val="000000" w:themeColor="text1"/>
        </w:rPr>
        <w:t>, Martelossi S, Magazzù G, Pellegrino S, Lucanto MC, Barabino A, Calvi A, Arrigo S, Lionetti P, Lorusso M, Mangiantini F, Fontana M, Zuin G, Palla G, Maggiore G, Bramuzzo M, Pellegrin MC, Maschio M, Villanacci V, Manenti S, Decorti G, De Iudicibus S, Paparazzo R, Montico M, Ventura A. Effect of Thalidomide on Clinical Remission in Children and Adolescents with Ulcerative Colitis Refractory to Other Immunosuppressives: Pilot Randomized Clinical Trial. </w:t>
      </w:r>
      <w:r w:rsidRPr="00B84710">
        <w:rPr>
          <w:rFonts w:ascii="Book Antiqua" w:hAnsi="Book Antiqua" w:cs="Tahoma"/>
          <w:i/>
          <w:iCs/>
          <w:color w:val="000000" w:themeColor="text1"/>
        </w:rPr>
        <w:t>Inflamm Bowel Dis</w:t>
      </w:r>
      <w:r w:rsidRPr="00B84710">
        <w:rPr>
          <w:rFonts w:ascii="Book Antiqua" w:hAnsi="Book Antiqua" w:cs="Tahoma"/>
          <w:color w:val="000000" w:themeColor="text1"/>
        </w:rPr>
        <w:t> 2015; </w:t>
      </w:r>
      <w:r w:rsidRPr="00B84710">
        <w:rPr>
          <w:rFonts w:ascii="Book Antiqua" w:hAnsi="Book Antiqua" w:cs="Tahoma"/>
          <w:b/>
          <w:bCs/>
          <w:color w:val="000000" w:themeColor="text1"/>
        </w:rPr>
        <w:t>21</w:t>
      </w:r>
      <w:r w:rsidRPr="00B84710">
        <w:rPr>
          <w:rFonts w:ascii="Book Antiqua" w:hAnsi="Book Antiqua" w:cs="Tahoma"/>
          <w:color w:val="000000" w:themeColor="text1"/>
        </w:rPr>
        <w:t>: 1739-1749 [PMID: 26185909 DOI: 10.1097/MIB.0000000000000437]</w:t>
      </w:r>
    </w:p>
    <w:p w14:paraId="171A3AB4"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51 </w:t>
      </w:r>
      <w:r w:rsidRPr="00B84710">
        <w:rPr>
          <w:rFonts w:ascii="Book Antiqua" w:hAnsi="Book Antiqua" w:cs="Tahoma"/>
          <w:b/>
          <w:bCs/>
          <w:color w:val="000000" w:themeColor="text1"/>
        </w:rPr>
        <w:t>Sandborn WJ</w:t>
      </w:r>
      <w:r w:rsidRPr="00B84710">
        <w:rPr>
          <w:rFonts w:ascii="Book Antiqua" w:hAnsi="Book Antiqua" w:cs="Tahoma"/>
          <w:color w:val="000000" w:themeColor="text1"/>
        </w:rPr>
        <w:t>, Feagan BG, Wolf DC, D'Haens G, Vermeire S, Hanauer SB, Ghosh S, Smith H, Cravets M, Frohna PA, Aranda R, Gujrathi S, Olson A; TOUCHSTONE Study Group. Ozanimod Induction and Maintenance Treatment for Ulcerative Colitis. </w:t>
      </w:r>
      <w:r w:rsidRPr="00B84710">
        <w:rPr>
          <w:rFonts w:ascii="Book Antiqua" w:hAnsi="Book Antiqua" w:cs="Tahoma"/>
          <w:i/>
          <w:iCs/>
          <w:color w:val="000000" w:themeColor="text1"/>
        </w:rPr>
        <w:t>N Engl J Med</w:t>
      </w:r>
      <w:r w:rsidRPr="00B84710">
        <w:rPr>
          <w:rFonts w:ascii="Book Antiqua" w:hAnsi="Book Antiqua" w:cs="Tahoma"/>
          <w:color w:val="000000" w:themeColor="text1"/>
        </w:rPr>
        <w:t> 2016; </w:t>
      </w:r>
      <w:r w:rsidRPr="00B84710">
        <w:rPr>
          <w:rFonts w:ascii="Book Antiqua" w:hAnsi="Book Antiqua" w:cs="Tahoma"/>
          <w:b/>
          <w:bCs/>
          <w:color w:val="000000" w:themeColor="text1"/>
        </w:rPr>
        <w:t>374</w:t>
      </w:r>
      <w:r w:rsidRPr="00B84710">
        <w:rPr>
          <w:rFonts w:ascii="Book Antiqua" w:hAnsi="Book Antiqua" w:cs="Tahoma"/>
          <w:color w:val="000000" w:themeColor="text1"/>
        </w:rPr>
        <w:t>: 1754-1762 [PMID: 27144850 DOI: 10.1056/NEJMoa1513248]</w:t>
      </w:r>
    </w:p>
    <w:p w14:paraId="644AD292" w14:textId="77777777" w:rsidR="009427A9" w:rsidRPr="00B84710" w:rsidRDefault="009427A9" w:rsidP="006A3266">
      <w:pPr>
        <w:shd w:val="clear" w:color="auto" w:fill="F9F9F9"/>
        <w:spacing w:line="360" w:lineRule="auto"/>
        <w:jc w:val="both"/>
        <w:textAlignment w:val="top"/>
        <w:rPr>
          <w:rFonts w:ascii="Book Antiqua" w:hAnsi="Book Antiqua" w:cs="Tahoma"/>
          <w:color w:val="000000" w:themeColor="text1"/>
        </w:rPr>
      </w:pPr>
      <w:r w:rsidRPr="00B84710">
        <w:rPr>
          <w:rFonts w:ascii="Book Antiqua" w:hAnsi="Book Antiqua" w:cs="Tahoma"/>
          <w:color w:val="000000" w:themeColor="text1"/>
        </w:rPr>
        <w:t>52 </w:t>
      </w:r>
      <w:r w:rsidRPr="00B84710">
        <w:rPr>
          <w:rFonts w:ascii="Book Antiqua" w:hAnsi="Book Antiqua" w:cs="Tahoma"/>
          <w:b/>
          <w:bCs/>
          <w:color w:val="000000" w:themeColor="text1"/>
        </w:rPr>
        <w:t>Allez M</w:t>
      </w:r>
      <w:r w:rsidRPr="00B84710">
        <w:rPr>
          <w:rFonts w:ascii="Book Antiqua" w:hAnsi="Book Antiqua" w:cs="Tahoma"/>
          <w:color w:val="000000" w:themeColor="text1"/>
        </w:rPr>
        <w:t>, Skolnick BE, Wisniewska-Jarosinska M, Petryka R, Overgaard RV. Anti-NKG2D monoclonal antibody (NNC0142-0002) in active Crohn's disease: a randomised controlled trial. </w:t>
      </w:r>
      <w:r w:rsidRPr="00B84710">
        <w:rPr>
          <w:rFonts w:ascii="Book Antiqua" w:hAnsi="Book Antiqua" w:cs="Tahoma"/>
          <w:i/>
          <w:iCs/>
          <w:color w:val="000000" w:themeColor="text1"/>
        </w:rPr>
        <w:t>Gut</w:t>
      </w:r>
      <w:r w:rsidRPr="00B84710">
        <w:rPr>
          <w:rFonts w:ascii="Book Antiqua" w:hAnsi="Book Antiqua" w:cs="Tahoma"/>
          <w:color w:val="000000" w:themeColor="text1"/>
        </w:rPr>
        <w:t> 2016;</w:t>
      </w:r>
      <w:r w:rsidRPr="00B84710">
        <w:t xml:space="preserve"> </w:t>
      </w:r>
      <w:r w:rsidRPr="00B84710">
        <w:rPr>
          <w:rFonts w:ascii="Book Antiqua" w:hAnsi="Book Antiqua" w:cs="Tahoma"/>
          <w:color w:val="000000" w:themeColor="text1"/>
        </w:rPr>
        <w:t>Epub ahead of print [PMID: 27489241 DOI: 10.1136/gutjnl-2016-311824]</w:t>
      </w:r>
    </w:p>
    <w:p w14:paraId="257D1A4F" w14:textId="77777777" w:rsidR="009427A9" w:rsidRPr="00B84710" w:rsidRDefault="009427A9" w:rsidP="006A3266">
      <w:pPr>
        <w:spacing w:line="360" w:lineRule="auto"/>
        <w:jc w:val="both"/>
        <w:rPr>
          <w:rFonts w:ascii="Book Antiqua" w:hAnsi="Book Antiqua"/>
          <w:color w:val="000000" w:themeColor="text1"/>
        </w:rPr>
      </w:pPr>
      <w:r w:rsidRPr="00B84710">
        <w:rPr>
          <w:rFonts w:ascii="Book Antiqua" w:hAnsi="Book Antiqua" w:cs="Tahoma"/>
          <w:color w:val="000000" w:themeColor="text1"/>
        </w:rPr>
        <w:lastRenderedPageBreak/>
        <w:t>53 </w:t>
      </w:r>
      <w:r w:rsidRPr="00B84710">
        <w:rPr>
          <w:rFonts w:ascii="Book Antiqua" w:hAnsi="Book Antiqua" w:cs="Tahoma"/>
          <w:b/>
          <w:bCs/>
          <w:color w:val="000000" w:themeColor="text1"/>
        </w:rPr>
        <w:t>Siegel CA</w:t>
      </w:r>
      <w:r w:rsidRPr="00B84710">
        <w:rPr>
          <w:rFonts w:ascii="Book Antiqua" w:hAnsi="Book Antiqua" w:cs="Tahoma"/>
          <w:color w:val="000000" w:themeColor="text1"/>
        </w:rPr>
        <w:t>, Horton H, Siegel LS, Thompson KD, Mackenzie T, Stewart SK, Rice PW, Stempak JM, Dezfoli S, Haritunians T, Levy A, Baek M, Milgrom R, Dulai PS, Targan SR, Silverberg MS, Dubinsky MC, McGovern DP. A validated web-based tool to display individualised Crohn's disease predicted outcomes based on clinical, serologic and genetic variables. </w:t>
      </w:r>
      <w:r w:rsidRPr="00B84710">
        <w:rPr>
          <w:rFonts w:ascii="Book Antiqua" w:hAnsi="Book Antiqua" w:cs="Tahoma"/>
          <w:i/>
          <w:iCs/>
          <w:color w:val="000000" w:themeColor="text1"/>
        </w:rPr>
        <w:t>Aliment Pharmacol Ther</w:t>
      </w:r>
      <w:r w:rsidRPr="00B84710">
        <w:rPr>
          <w:rFonts w:ascii="Book Antiqua" w:hAnsi="Book Antiqua" w:cs="Tahoma"/>
          <w:color w:val="000000" w:themeColor="text1"/>
        </w:rPr>
        <w:t> 2016; </w:t>
      </w:r>
      <w:r w:rsidRPr="00B84710">
        <w:rPr>
          <w:rFonts w:ascii="Book Antiqua" w:hAnsi="Book Antiqua" w:cs="Tahoma"/>
          <w:b/>
          <w:bCs/>
          <w:color w:val="000000" w:themeColor="text1"/>
        </w:rPr>
        <w:t>43</w:t>
      </w:r>
      <w:r w:rsidRPr="00B84710">
        <w:rPr>
          <w:rFonts w:ascii="Book Antiqua" w:hAnsi="Book Antiqua" w:cs="Tahoma"/>
          <w:color w:val="000000" w:themeColor="text1"/>
        </w:rPr>
        <w:t>: 262-271 [PMID: 26567467 DOI: 10.1111/apt.13460]</w:t>
      </w:r>
    </w:p>
    <w:p w14:paraId="35E52C6F" w14:textId="77777777" w:rsidR="009427A9" w:rsidRDefault="009427A9" w:rsidP="006A3266">
      <w:pPr>
        <w:pStyle w:val="ListParagraph"/>
        <w:spacing w:line="360" w:lineRule="auto"/>
        <w:ind w:left="0"/>
        <w:jc w:val="both"/>
        <w:rPr>
          <w:rFonts w:ascii="Book Antiqua" w:hAnsi="Book Antiqua"/>
          <w:lang w:val="en-GB" w:eastAsia="zh-CN"/>
        </w:rPr>
      </w:pPr>
    </w:p>
    <w:p w14:paraId="38E790C9" w14:textId="57F3CBFE" w:rsidR="009427A9" w:rsidRPr="009427A9" w:rsidRDefault="009427A9" w:rsidP="006A3266">
      <w:pPr>
        <w:spacing w:line="360" w:lineRule="auto"/>
        <w:jc w:val="both"/>
        <w:rPr>
          <w:rFonts w:ascii="Book Antiqua" w:hAnsi="Book Antiqua"/>
          <w:b/>
          <w:bCs/>
          <w:color w:val="000000"/>
          <w:lang w:eastAsia="zh-CN"/>
        </w:rPr>
      </w:pPr>
      <w:r w:rsidRPr="009427A9">
        <w:rPr>
          <w:rStyle w:val="Strong"/>
          <w:rFonts w:ascii="Book Antiqua" w:hAnsi="Book Antiqua" w:cs="Arial"/>
          <w:bCs w:val="0"/>
          <w:noProof/>
          <w:color w:val="000000"/>
        </w:rPr>
        <w:t>P-Reviewer</w:t>
      </w:r>
      <w:r w:rsidRPr="009427A9">
        <w:rPr>
          <w:rStyle w:val="Strong"/>
          <w:rFonts w:ascii="Book Antiqua" w:hAnsi="Book Antiqua" w:cs="Arial"/>
          <w:bCs w:val="0"/>
          <w:noProof/>
          <w:color w:val="000000"/>
          <w:lang w:eastAsia="zh-CN"/>
        </w:rPr>
        <w:t>:</w:t>
      </w:r>
      <w:r w:rsidRPr="009427A9">
        <w:rPr>
          <w:rFonts w:ascii="Book Antiqua" w:hAnsi="Book Antiqua"/>
          <w:bCs/>
          <w:color w:val="000000"/>
        </w:rPr>
        <w:t xml:space="preserve"> Matowicka-Karna</w:t>
      </w:r>
      <w:r>
        <w:rPr>
          <w:rFonts w:ascii="Book Antiqua" w:hAnsi="Book Antiqua" w:hint="eastAsia"/>
          <w:bCs/>
          <w:color w:val="000000"/>
          <w:lang w:eastAsia="zh-CN"/>
        </w:rPr>
        <w:t xml:space="preserve"> </w:t>
      </w:r>
      <w:r w:rsidRPr="009427A9">
        <w:rPr>
          <w:rFonts w:ascii="Book Antiqua" w:hAnsi="Book Antiqua"/>
          <w:bCs/>
          <w:color w:val="000000"/>
        </w:rPr>
        <w:t>J</w:t>
      </w:r>
      <w:r>
        <w:rPr>
          <w:rFonts w:ascii="Book Antiqua" w:hAnsi="Book Antiqua" w:hint="eastAsia"/>
          <w:bCs/>
          <w:color w:val="000000"/>
          <w:lang w:eastAsia="zh-CN"/>
        </w:rPr>
        <w:t>,</w:t>
      </w:r>
      <w:r w:rsidRPr="009427A9">
        <w:rPr>
          <w:rFonts w:ascii="Book Antiqua" w:hAnsi="Book Antiqua"/>
          <w:bCs/>
          <w:color w:val="000000"/>
        </w:rPr>
        <w:t xml:space="preserve"> Tambuwala</w:t>
      </w:r>
      <w:r>
        <w:rPr>
          <w:rFonts w:ascii="Book Antiqua" w:hAnsi="Book Antiqua" w:hint="eastAsia"/>
          <w:bCs/>
          <w:color w:val="000000"/>
          <w:lang w:eastAsia="zh-CN"/>
        </w:rPr>
        <w:t xml:space="preserve"> M,</w:t>
      </w:r>
      <w:r w:rsidRPr="009427A9">
        <w:rPr>
          <w:rFonts w:ascii="Book Antiqua" w:hAnsi="Book Antiqua"/>
          <w:bCs/>
          <w:color w:val="000000"/>
        </w:rPr>
        <w:t xml:space="preserve"> Zhang</w:t>
      </w:r>
      <w:r>
        <w:rPr>
          <w:rFonts w:ascii="Book Antiqua" w:hAnsi="Book Antiqua" w:hint="eastAsia"/>
          <w:bCs/>
          <w:color w:val="000000"/>
          <w:lang w:eastAsia="zh-CN"/>
        </w:rPr>
        <w:t xml:space="preserve"> </w:t>
      </w:r>
      <w:r w:rsidRPr="009427A9">
        <w:rPr>
          <w:rFonts w:ascii="Book Antiqua" w:hAnsi="Book Antiqua"/>
          <w:bCs/>
          <w:color w:val="000000"/>
        </w:rPr>
        <w:t xml:space="preserve">MZ </w:t>
      </w:r>
      <w:r w:rsidRPr="009427A9">
        <w:rPr>
          <w:rFonts w:ascii="Book Antiqua" w:hAnsi="Book Antiqua"/>
          <w:b/>
          <w:bCs/>
          <w:color w:val="000000"/>
        </w:rPr>
        <w:t>S-Editor</w:t>
      </w:r>
      <w:r w:rsidRPr="009427A9">
        <w:rPr>
          <w:rFonts w:ascii="Book Antiqua" w:hAnsi="Book Antiqua"/>
          <w:b/>
          <w:bCs/>
          <w:color w:val="000000"/>
          <w:lang w:eastAsia="zh-CN"/>
        </w:rPr>
        <w:t>:</w:t>
      </w:r>
      <w:r w:rsidRPr="009427A9">
        <w:rPr>
          <w:rFonts w:ascii="Book Antiqua" w:hAnsi="Book Antiqua"/>
          <w:bCs/>
          <w:color w:val="000000"/>
        </w:rPr>
        <w:t xml:space="preserve"> </w:t>
      </w:r>
      <w:r w:rsidRPr="009427A9">
        <w:rPr>
          <w:rFonts w:ascii="Book Antiqua" w:hAnsi="Book Antiqua"/>
          <w:bCs/>
          <w:color w:val="000000"/>
          <w:lang w:eastAsia="zh-CN"/>
        </w:rPr>
        <w:t>Qi Y</w:t>
      </w:r>
      <w:r w:rsidRPr="009427A9">
        <w:rPr>
          <w:rFonts w:ascii="Book Antiqua" w:hAnsi="Book Antiqua"/>
          <w:b/>
          <w:bCs/>
          <w:color w:val="000000"/>
        </w:rPr>
        <w:t xml:space="preserve">   L-Editor</w:t>
      </w:r>
      <w:r w:rsidRPr="009427A9">
        <w:rPr>
          <w:rFonts w:ascii="Book Antiqua" w:hAnsi="Book Antiqua"/>
          <w:b/>
          <w:bCs/>
          <w:color w:val="000000"/>
          <w:lang w:eastAsia="zh-CN"/>
        </w:rPr>
        <w:t>:</w:t>
      </w:r>
      <w:r w:rsidRPr="009427A9">
        <w:rPr>
          <w:rFonts w:ascii="Book Antiqua" w:hAnsi="Book Antiqua"/>
          <w:b/>
          <w:bCs/>
          <w:color w:val="000000"/>
        </w:rPr>
        <w:t xml:space="preserve">   E-Editor</w:t>
      </w:r>
      <w:r w:rsidRPr="009427A9">
        <w:rPr>
          <w:rFonts w:ascii="Book Antiqua" w:hAnsi="Book Antiqua"/>
          <w:b/>
          <w:bCs/>
          <w:color w:val="000000"/>
          <w:lang w:eastAsia="zh-CN"/>
        </w:rPr>
        <w:t>:</w:t>
      </w:r>
    </w:p>
    <w:p w14:paraId="26AA43C4" w14:textId="77777777" w:rsidR="009427A9" w:rsidRPr="008F0DB6" w:rsidRDefault="009427A9" w:rsidP="006A3266">
      <w:pPr>
        <w:shd w:val="clear" w:color="auto" w:fill="FFFFFF"/>
        <w:snapToGrid w:val="0"/>
        <w:spacing w:line="360" w:lineRule="auto"/>
        <w:jc w:val="both"/>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14:paraId="6CF67A63" w14:textId="029361AB" w:rsidR="009427A9" w:rsidRPr="008F0DB6" w:rsidRDefault="009427A9" w:rsidP="006A3266">
      <w:pPr>
        <w:shd w:val="clear" w:color="auto" w:fill="FFFFFF"/>
        <w:snapToGrid w:val="0"/>
        <w:spacing w:line="360" w:lineRule="auto"/>
        <w:jc w:val="both"/>
        <w:rPr>
          <w:rFonts w:ascii="Book Antiqua" w:hAnsi="Book Antiqua" w:cs="Helvetica"/>
          <w:b/>
        </w:rPr>
      </w:pPr>
      <w:r w:rsidRPr="008F0DB6">
        <w:rPr>
          <w:rFonts w:ascii="Book Antiqua" w:hAnsi="Book Antiqua" w:cs="Helvetica"/>
          <w:b/>
        </w:rPr>
        <w:t xml:space="preserve">Country of origin: </w:t>
      </w:r>
      <w:r w:rsidRPr="00091001">
        <w:rPr>
          <w:rFonts w:ascii="Book Antiqua" w:hAnsi="Book Antiqua" w:cs="≠ò[ˇ"/>
        </w:rPr>
        <w:t>Italy</w:t>
      </w:r>
    </w:p>
    <w:p w14:paraId="46C20D0B" w14:textId="77777777" w:rsidR="009427A9" w:rsidRPr="008F0DB6" w:rsidRDefault="009427A9" w:rsidP="006A3266">
      <w:pPr>
        <w:shd w:val="clear" w:color="auto" w:fill="FFFFFF"/>
        <w:snapToGrid w:val="0"/>
        <w:spacing w:line="360" w:lineRule="auto"/>
        <w:jc w:val="both"/>
        <w:rPr>
          <w:rFonts w:ascii="Book Antiqua" w:hAnsi="Book Antiqua" w:cs="Helvetica"/>
          <w:b/>
        </w:rPr>
      </w:pPr>
      <w:r w:rsidRPr="008F0DB6">
        <w:rPr>
          <w:rFonts w:ascii="Book Antiqua" w:hAnsi="Book Antiqua" w:cs="Helvetica"/>
          <w:b/>
        </w:rPr>
        <w:t>Peer-review report classification</w:t>
      </w:r>
    </w:p>
    <w:p w14:paraId="1D7B3A30" w14:textId="1B679E00" w:rsidR="009427A9" w:rsidRPr="008F0DB6" w:rsidRDefault="009427A9" w:rsidP="006A3266">
      <w:pPr>
        <w:shd w:val="clear" w:color="auto" w:fill="FFFFFF"/>
        <w:snapToGrid w:val="0"/>
        <w:spacing w:line="360" w:lineRule="auto"/>
        <w:jc w:val="both"/>
        <w:rPr>
          <w:rFonts w:ascii="Book Antiqua" w:hAnsi="Book Antiqua" w:cs="Helvetica"/>
          <w:lang w:eastAsia="zh-CN"/>
        </w:rPr>
      </w:pPr>
      <w:r w:rsidRPr="008F0DB6">
        <w:rPr>
          <w:rFonts w:ascii="Book Antiqua" w:hAnsi="Book Antiqua" w:cs="Helvetica"/>
        </w:rPr>
        <w:t xml:space="preserve">Grade A (Excellent): </w:t>
      </w:r>
      <w:r>
        <w:rPr>
          <w:rFonts w:ascii="Book Antiqua" w:hAnsi="Book Antiqua" w:cs="Helvetica" w:hint="eastAsia"/>
          <w:lang w:eastAsia="zh-CN"/>
        </w:rPr>
        <w:t>A, A</w:t>
      </w:r>
    </w:p>
    <w:p w14:paraId="1B73F917" w14:textId="71252ED4" w:rsidR="009427A9" w:rsidRPr="008F0DB6" w:rsidRDefault="009427A9" w:rsidP="006A3266">
      <w:pPr>
        <w:shd w:val="clear" w:color="auto" w:fill="FFFFFF"/>
        <w:snapToGrid w:val="0"/>
        <w:spacing w:line="360" w:lineRule="auto"/>
        <w:jc w:val="both"/>
        <w:rPr>
          <w:rFonts w:ascii="Book Antiqua" w:hAnsi="Book Antiqua" w:cs="Helvetica"/>
          <w:lang w:eastAsia="zh-CN"/>
        </w:rPr>
      </w:pPr>
      <w:r w:rsidRPr="008F0DB6">
        <w:rPr>
          <w:rFonts w:ascii="Book Antiqua" w:hAnsi="Book Antiqua" w:cs="Helvetica"/>
        </w:rPr>
        <w:t xml:space="preserve">Grade B (Very good): </w:t>
      </w:r>
      <w:r>
        <w:rPr>
          <w:rFonts w:ascii="Book Antiqua" w:hAnsi="Book Antiqua" w:cs="Helvetica" w:hint="eastAsia"/>
          <w:lang w:eastAsia="zh-CN"/>
        </w:rPr>
        <w:t>B</w:t>
      </w:r>
    </w:p>
    <w:p w14:paraId="4B279CEE" w14:textId="77777777" w:rsidR="009427A9" w:rsidRPr="008F0DB6" w:rsidRDefault="009427A9" w:rsidP="006A3266">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C (Good): </w:t>
      </w:r>
      <w:r w:rsidRPr="008F0DB6">
        <w:rPr>
          <w:rFonts w:ascii="Book Antiqua" w:hAnsi="Book Antiqua" w:cs="Helvetica" w:hint="eastAsia"/>
        </w:rPr>
        <w:t>0</w:t>
      </w:r>
    </w:p>
    <w:p w14:paraId="49BC2B6E" w14:textId="77777777" w:rsidR="009427A9" w:rsidRPr="008F0DB6" w:rsidRDefault="009427A9" w:rsidP="006A3266">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14:paraId="52DAF40D" w14:textId="77777777" w:rsidR="009427A9" w:rsidRPr="008F0DB6" w:rsidRDefault="009427A9" w:rsidP="006A3266">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14:paraId="48A39436" w14:textId="77777777" w:rsidR="00C50AB0" w:rsidRDefault="00C50AB0" w:rsidP="006A3266">
      <w:pPr>
        <w:widowControl w:val="0"/>
        <w:autoSpaceDE w:val="0"/>
        <w:autoSpaceDN w:val="0"/>
        <w:adjustRightInd w:val="0"/>
        <w:spacing w:line="360" w:lineRule="auto"/>
        <w:jc w:val="both"/>
        <w:rPr>
          <w:rFonts w:ascii="Book Antiqua" w:hAnsi="Book Antiqua"/>
          <w:lang w:val="en-GB"/>
        </w:rPr>
      </w:pPr>
    </w:p>
    <w:p w14:paraId="4679C678" w14:textId="77777777" w:rsidR="00C50AB0" w:rsidRDefault="00C50AB0" w:rsidP="006A3266">
      <w:pPr>
        <w:widowControl w:val="0"/>
        <w:autoSpaceDE w:val="0"/>
        <w:autoSpaceDN w:val="0"/>
        <w:adjustRightInd w:val="0"/>
        <w:spacing w:line="360" w:lineRule="auto"/>
        <w:jc w:val="both"/>
        <w:rPr>
          <w:rFonts w:ascii="Book Antiqua" w:hAnsi="Book Antiqua"/>
          <w:lang w:val="en-GB"/>
        </w:rPr>
      </w:pPr>
    </w:p>
    <w:p w14:paraId="48BFB4D2" w14:textId="77777777" w:rsidR="00C50AB0" w:rsidRDefault="00C50AB0" w:rsidP="006A3266">
      <w:pPr>
        <w:widowControl w:val="0"/>
        <w:autoSpaceDE w:val="0"/>
        <w:autoSpaceDN w:val="0"/>
        <w:adjustRightInd w:val="0"/>
        <w:spacing w:line="360" w:lineRule="auto"/>
        <w:jc w:val="both"/>
        <w:rPr>
          <w:rFonts w:ascii="Book Antiqua" w:hAnsi="Book Antiqua"/>
          <w:lang w:val="en-GB"/>
        </w:rPr>
      </w:pPr>
    </w:p>
    <w:p w14:paraId="7D88C436" w14:textId="77777777" w:rsidR="00C50AB0" w:rsidRDefault="00C50AB0" w:rsidP="006A3266">
      <w:pPr>
        <w:widowControl w:val="0"/>
        <w:autoSpaceDE w:val="0"/>
        <w:autoSpaceDN w:val="0"/>
        <w:adjustRightInd w:val="0"/>
        <w:spacing w:line="360" w:lineRule="auto"/>
        <w:jc w:val="both"/>
        <w:rPr>
          <w:rFonts w:ascii="Book Antiqua" w:hAnsi="Book Antiqua"/>
          <w:lang w:val="en-GB"/>
        </w:rPr>
      </w:pPr>
    </w:p>
    <w:p w14:paraId="02DC495A" w14:textId="77777777" w:rsidR="00C50AB0" w:rsidRDefault="00C50AB0" w:rsidP="006A3266">
      <w:pPr>
        <w:widowControl w:val="0"/>
        <w:autoSpaceDE w:val="0"/>
        <w:autoSpaceDN w:val="0"/>
        <w:adjustRightInd w:val="0"/>
        <w:spacing w:line="360" w:lineRule="auto"/>
        <w:jc w:val="both"/>
        <w:rPr>
          <w:rFonts w:ascii="Book Antiqua" w:hAnsi="Book Antiqua"/>
          <w:lang w:val="en-GB"/>
        </w:rPr>
      </w:pPr>
    </w:p>
    <w:p w14:paraId="57F6AD61" w14:textId="77777777" w:rsidR="00C50AB0" w:rsidRDefault="00C50AB0" w:rsidP="006A3266">
      <w:pPr>
        <w:widowControl w:val="0"/>
        <w:autoSpaceDE w:val="0"/>
        <w:autoSpaceDN w:val="0"/>
        <w:adjustRightInd w:val="0"/>
        <w:spacing w:line="360" w:lineRule="auto"/>
        <w:jc w:val="both"/>
        <w:rPr>
          <w:rFonts w:ascii="Book Antiqua" w:hAnsi="Book Antiqua"/>
          <w:lang w:val="en-GB"/>
        </w:rPr>
      </w:pPr>
    </w:p>
    <w:p w14:paraId="2D66381C" w14:textId="77777777" w:rsidR="00C50AB0" w:rsidRDefault="00C50AB0" w:rsidP="006A3266">
      <w:pPr>
        <w:widowControl w:val="0"/>
        <w:autoSpaceDE w:val="0"/>
        <w:autoSpaceDN w:val="0"/>
        <w:adjustRightInd w:val="0"/>
        <w:spacing w:line="360" w:lineRule="auto"/>
        <w:jc w:val="both"/>
        <w:rPr>
          <w:rFonts w:ascii="Book Antiqua" w:hAnsi="Book Antiqua"/>
          <w:lang w:val="en-GB"/>
        </w:rPr>
      </w:pPr>
    </w:p>
    <w:p w14:paraId="45835ACB" w14:textId="77777777" w:rsidR="00C50AB0" w:rsidRDefault="00C50AB0" w:rsidP="006A3266">
      <w:pPr>
        <w:widowControl w:val="0"/>
        <w:autoSpaceDE w:val="0"/>
        <w:autoSpaceDN w:val="0"/>
        <w:adjustRightInd w:val="0"/>
        <w:spacing w:line="360" w:lineRule="auto"/>
        <w:jc w:val="both"/>
        <w:rPr>
          <w:rFonts w:ascii="Book Antiqua" w:hAnsi="Book Antiqua"/>
          <w:lang w:val="en-GB"/>
        </w:rPr>
      </w:pPr>
    </w:p>
    <w:p w14:paraId="0454C412" w14:textId="77777777" w:rsidR="009427A9" w:rsidRDefault="009427A9" w:rsidP="006A3266">
      <w:pPr>
        <w:spacing w:line="360" w:lineRule="auto"/>
        <w:jc w:val="both"/>
        <w:rPr>
          <w:rFonts w:ascii="Book Antiqua" w:hAnsi="Book Antiqua"/>
          <w:b/>
          <w:lang w:val="en-GB"/>
        </w:rPr>
      </w:pPr>
      <w:r>
        <w:rPr>
          <w:rFonts w:ascii="Book Antiqua" w:hAnsi="Book Antiqua"/>
          <w:b/>
          <w:lang w:val="en-GB"/>
        </w:rPr>
        <w:br w:type="page"/>
      </w:r>
    </w:p>
    <w:p w14:paraId="1B6E170A" w14:textId="437AEF90" w:rsidR="00C50AB0" w:rsidRPr="00C50AB0" w:rsidRDefault="00C50AB0" w:rsidP="006A3266">
      <w:pPr>
        <w:widowControl w:val="0"/>
        <w:autoSpaceDE w:val="0"/>
        <w:autoSpaceDN w:val="0"/>
        <w:adjustRightInd w:val="0"/>
        <w:spacing w:line="360" w:lineRule="auto"/>
        <w:jc w:val="both"/>
        <w:rPr>
          <w:rFonts w:ascii="Book Antiqua" w:hAnsi="Book Antiqua"/>
          <w:b/>
          <w:lang w:val="en-GB" w:eastAsia="zh-CN"/>
        </w:rPr>
      </w:pPr>
      <w:r w:rsidRPr="00C50AB0">
        <w:rPr>
          <w:rFonts w:ascii="Book Antiqua" w:hAnsi="Book Antiqua"/>
          <w:b/>
          <w:lang w:val="en-GB"/>
        </w:rPr>
        <w:lastRenderedPageBreak/>
        <w:t>Table 1</w:t>
      </w:r>
      <w:r w:rsidR="009427A9">
        <w:rPr>
          <w:rFonts w:ascii="Book Antiqua" w:hAnsi="Book Antiqua" w:hint="eastAsia"/>
          <w:b/>
          <w:lang w:val="en-GB" w:eastAsia="zh-CN"/>
        </w:rPr>
        <w:t xml:space="preserve"> </w:t>
      </w:r>
      <w:r w:rsidRPr="00C50AB0">
        <w:rPr>
          <w:rFonts w:ascii="Book Antiqua" w:hAnsi="Book Antiqua"/>
          <w:b/>
          <w:lang w:val="en-GB"/>
        </w:rPr>
        <w:t>Summary of the cohort studies mentioned in the review including reference, study design and popula</w:t>
      </w:r>
      <w:r w:rsidR="009427A9">
        <w:rPr>
          <w:rFonts w:ascii="Book Antiqua" w:hAnsi="Book Antiqua"/>
          <w:b/>
          <w:lang w:val="en-GB"/>
        </w:rPr>
        <w:t>tion, main results, conclusions</w:t>
      </w:r>
    </w:p>
    <w:p w14:paraId="61709389" w14:textId="77777777" w:rsidR="00C50AB0" w:rsidRPr="009427A9" w:rsidRDefault="00C50AB0" w:rsidP="006A3266">
      <w:pPr>
        <w:widowControl w:val="0"/>
        <w:autoSpaceDE w:val="0"/>
        <w:autoSpaceDN w:val="0"/>
        <w:adjustRightInd w:val="0"/>
        <w:spacing w:line="360" w:lineRule="auto"/>
        <w:jc w:val="both"/>
        <w:rPr>
          <w:rFonts w:ascii="Book Antiqua" w:hAnsi="Book Antiqua"/>
          <w:b/>
          <w:lang w:val="en-GB"/>
        </w:rPr>
      </w:pPr>
    </w:p>
    <w:tbl>
      <w:tblPr>
        <w:tblW w:w="5000" w:type="pct"/>
        <w:tblBorders>
          <w:top w:val="single" w:sz="4" w:space="0" w:color="auto"/>
          <w:bottom w:val="single" w:sz="4" w:space="0" w:color="auto"/>
        </w:tblBorders>
        <w:tblLook w:val="04A0" w:firstRow="1" w:lastRow="0" w:firstColumn="1" w:lastColumn="0" w:noHBand="0" w:noVBand="1"/>
      </w:tblPr>
      <w:tblGrid>
        <w:gridCol w:w="1689"/>
        <w:gridCol w:w="1790"/>
        <w:gridCol w:w="1490"/>
        <w:gridCol w:w="2107"/>
        <w:gridCol w:w="2160"/>
      </w:tblGrid>
      <w:tr w:rsidR="00C50AB0" w:rsidRPr="009427A9" w14:paraId="57A91C94" w14:textId="77777777" w:rsidTr="009427A9">
        <w:trPr>
          <w:trHeight w:val="389"/>
        </w:trPr>
        <w:tc>
          <w:tcPr>
            <w:tcW w:w="890" w:type="pct"/>
            <w:tcBorders>
              <w:top w:val="single" w:sz="4" w:space="0" w:color="auto"/>
              <w:bottom w:val="single" w:sz="4" w:space="0" w:color="auto"/>
            </w:tcBorders>
          </w:tcPr>
          <w:p w14:paraId="0686BF35" w14:textId="3ACEC0CF" w:rsidR="00C50AB0" w:rsidRPr="009427A9" w:rsidRDefault="00C50AB0" w:rsidP="006A3266">
            <w:pPr>
              <w:spacing w:line="360" w:lineRule="auto"/>
              <w:jc w:val="both"/>
              <w:rPr>
                <w:rFonts w:ascii="Book Antiqua" w:hAnsi="Book Antiqua"/>
                <w:b/>
                <w:sz w:val="22"/>
                <w:szCs w:val="22"/>
                <w:lang w:eastAsia="zh-CN"/>
              </w:rPr>
            </w:pPr>
            <w:r w:rsidRPr="009427A9">
              <w:rPr>
                <w:rFonts w:ascii="Book Antiqua" w:hAnsi="Book Antiqua"/>
                <w:b/>
                <w:sz w:val="22"/>
                <w:szCs w:val="22"/>
              </w:rPr>
              <w:t>Ref</w:t>
            </w:r>
            <w:r w:rsidR="009427A9">
              <w:rPr>
                <w:rFonts w:ascii="Book Antiqua" w:hAnsi="Book Antiqua" w:hint="eastAsia"/>
                <w:b/>
                <w:sz w:val="22"/>
                <w:szCs w:val="22"/>
                <w:lang w:eastAsia="zh-CN"/>
              </w:rPr>
              <w:t>.</w:t>
            </w:r>
          </w:p>
        </w:tc>
        <w:tc>
          <w:tcPr>
            <w:tcW w:w="874" w:type="pct"/>
            <w:tcBorders>
              <w:top w:val="single" w:sz="4" w:space="0" w:color="auto"/>
              <w:bottom w:val="single" w:sz="4" w:space="0" w:color="auto"/>
            </w:tcBorders>
          </w:tcPr>
          <w:p w14:paraId="7A620255" w14:textId="77777777" w:rsidR="00C50AB0" w:rsidRPr="009427A9" w:rsidRDefault="00C50AB0" w:rsidP="006A3266">
            <w:pPr>
              <w:spacing w:line="360" w:lineRule="auto"/>
              <w:jc w:val="both"/>
              <w:rPr>
                <w:rFonts w:ascii="Book Antiqua" w:hAnsi="Book Antiqua"/>
                <w:b/>
                <w:sz w:val="22"/>
                <w:szCs w:val="22"/>
              </w:rPr>
            </w:pPr>
            <w:r w:rsidRPr="009427A9">
              <w:rPr>
                <w:rFonts w:ascii="Book Antiqua" w:hAnsi="Book Antiqua"/>
                <w:b/>
                <w:sz w:val="22"/>
                <w:szCs w:val="22"/>
              </w:rPr>
              <w:t>Study design</w:t>
            </w:r>
          </w:p>
        </w:tc>
        <w:tc>
          <w:tcPr>
            <w:tcW w:w="725" w:type="pct"/>
            <w:tcBorders>
              <w:top w:val="single" w:sz="4" w:space="0" w:color="auto"/>
              <w:bottom w:val="single" w:sz="4" w:space="0" w:color="auto"/>
            </w:tcBorders>
          </w:tcPr>
          <w:p w14:paraId="1D006BEB" w14:textId="77777777" w:rsidR="00C50AB0" w:rsidRPr="009427A9" w:rsidRDefault="00C50AB0" w:rsidP="006A3266">
            <w:pPr>
              <w:spacing w:line="360" w:lineRule="auto"/>
              <w:jc w:val="both"/>
              <w:rPr>
                <w:rFonts w:ascii="Book Antiqua" w:hAnsi="Book Antiqua"/>
                <w:b/>
                <w:sz w:val="22"/>
                <w:szCs w:val="22"/>
              </w:rPr>
            </w:pPr>
            <w:r w:rsidRPr="009427A9">
              <w:rPr>
                <w:rFonts w:ascii="Book Antiqua" w:hAnsi="Book Antiqua"/>
                <w:b/>
                <w:sz w:val="22"/>
                <w:szCs w:val="22"/>
              </w:rPr>
              <w:t>Population</w:t>
            </w:r>
          </w:p>
        </w:tc>
        <w:tc>
          <w:tcPr>
            <w:tcW w:w="1466" w:type="pct"/>
            <w:tcBorders>
              <w:top w:val="single" w:sz="4" w:space="0" w:color="auto"/>
              <w:bottom w:val="single" w:sz="4" w:space="0" w:color="auto"/>
            </w:tcBorders>
          </w:tcPr>
          <w:p w14:paraId="3438E5B9" w14:textId="77777777" w:rsidR="00C50AB0" w:rsidRPr="009427A9" w:rsidRDefault="00C50AB0" w:rsidP="006A3266">
            <w:pPr>
              <w:spacing w:line="360" w:lineRule="auto"/>
              <w:jc w:val="both"/>
              <w:rPr>
                <w:rFonts w:ascii="Book Antiqua" w:hAnsi="Book Antiqua"/>
                <w:b/>
                <w:sz w:val="22"/>
                <w:szCs w:val="22"/>
              </w:rPr>
            </w:pPr>
            <w:r w:rsidRPr="009427A9">
              <w:rPr>
                <w:rFonts w:ascii="Book Antiqua" w:hAnsi="Book Antiqua"/>
                <w:b/>
                <w:sz w:val="22"/>
                <w:szCs w:val="22"/>
              </w:rPr>
              <w:t>Main Results</w:t>
            </w:r>
          </w:p>
        </w:tc>
        <w:tc>
          <w:tcPr>
            <w:tcW w:w="1045" w:type="pct"/>
            <w:tcBorders>
              <w:top w:val="single" w:sz="4" w:space="0" w:color="auto"/>
              <w:bottom w:val="single" w:sz="4" w:space="0" w:color="auto"/>
            </w:tcBorders>
          </w:tcPr>
          <w:p w14:paraId="05D1AB66" w14:textId="77777777" w:rsidR="00C50AB0" w:rsidRPr="009427A9" w:rsidRDefault="00C50AB0" w:rsidP="006A3266">
            <w:pPr>
              <w:spacing w:line="360" w:lineRule="auto"/>
              <w:jc w:val="both"/>
              <w:rPr>
                <w:rFonts w:ascii="Book Antiqua" w:hAnsi="Book Antiqua"/>
                <w:b/>
                <w:sz w:val="22"/>
                <w:szCs w:val="22"/>
              </w:rPr>
            </w:pPr>
            <w:r w:rsidRPr="009427A9">
              <w:rPr>
                <w:rFonts w:ascii="Book Antiqua" w:hAnsi="Book Antiqua"/>
                <w:b/>
                <w:sz w:val="22"/>
                <w:szCs w:val="22"/>
              </w:rPr>
              <w:t>Conclusion</w:t>
            </w:r>
          </w:p>
        </w:tc>
      </w:tr>
      <w:tr w:rsidR="00C50AB0" w:rsidRPr="00C50AB0" w14:paraId="3D405D20" w14:textId="77777777" w:rsidTr="009427A9">
        <w:trPr>
          <w:trHeight w:val="389"/>
        </w:trPr>
        <w:tc>
          <w:tcPr>
            <w:tcW w:w="5000" w:type="pct"/>
            <w:gridSpan w:val="5"/>
            <w:tcBorders>
              <w:top w:val="single" w:sz="4" w:space="0" w:color="auto"/>
            </w:tcBorders>
          </w:tcPr>
          <w:p w14:paraId="0DBA4045"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b/>
                <w:sz w:val="22"/>
                <w:szCs w:val="22"/>
              </w:rPr>
              <w:t>NUTRITION</w:t>
            </w:r>
          </w:p>
        </w:tc>
      </w:tr>
      <w:tr w:rsidR="00C50AB0" w:rsidRPr="00C50AB0" w14:paraId="432D0D22" w14:textId="77777777" w:rsidTr="009427A9">
        <w:trPr>
          <w:trHeight w:val="908"/>
        </w:trPr>
        <w:tc>
          <w:tcPr>
            <w:tcW w:w="890" w:type="pct"/>
          </w:tcPr>
          <w:p w14:paraId="69416818" w14:textId="23159EE4" w:rsidR="00C50AB0" w:rsidRPr="00C50AB0" w:rsidRDefault="00C50AB0" w:rsidP="006A3266">
            <w:pPr>
              <w:spacing w:line="360" w:lineRule="auto"/>
              <w:jc w:val="both"/>
              <w:rPr>
                <w:rFonts w:ascii="Book Antiqua" w:hAnsi="Book Antiqua"/>
                <w:i/>
                <w:sz w:val="22"/>
                <w:szCs w:val="22"/>
              </w:rPr>
            </w:pPr>
            <w:r w:rsidRPr="009427A9">
              <w:rPr>
                <w:rFonts w:ascii="Book Antiqua" w:hAnsi="Book Antiqua"/>
                <w:sz w:val="22"/>
                <w:szCs w:val="22"/>
              </w:rPr>
              <w:t xml:space="preserve">Sigall-Boneh </w:t>
            </w:r>
            <w:r w:rsidR="009427A9" w:rsidRPr="009427A9">
              <w:rPr>
                <w:rFonts w:ascii="Book Antiqua" w:hAnsi="Book Antiqua"/>
                <w:i/>
                <w:sz w:val="22"/>
                <w:szCs w:val="22"/>
              </w:rPr>
              <w:t>et al</w:t>
            </w:r>
            <w:r w:rsidR="008714A7" w:rsidRPr="008714A7">
              <w:rPr>
                <w:rFonts w:ascii="Book Antiqua" w:hAnsi="Book Antiqua"/>
                <w:sz w:val="22"/>
                <w:szCs w:val="22"/>
                <w:vertAlign w:val="superscript"/>
              </w:rPr>
              <w:t>[</w:t>
            </w:r>
            <w:r w:rsidRPr="00C50AB0">
              <w:rPr>
                <w:rFonts w:ascii="Book Antiqua" w:hAnsi="Book Antiqua"/>
                <w:sz w:val="22"/>
                <w:szCs w:val="22"/>
                <w:vertAlign w:val="superscript"/>
              </w:rPr>
              <w:t>15]</w:t>
            </w:r>
            <w:r w:rsidRPr="00C50AB0">
              <w:rPr>
                <w:rFonts w:ascii="Book Antiqua" w:hAnsi="Book Antiqua"/>
                <w:sz w:val="22"/>
                <w:szCs w:val="22"/>
              </w:rPr>
              <w:t xml:space="preserve"> </w:t>
            </w:r>
            <w:r w:rsidRPr="00C50AB0">
              <w:rPr>
                <w:rFonts w:ascii="Book Antiqua" w:hAnsi="Book Antiqua"/>
                <w:i/>
                <w:sz w:val="22"/>
                <w:szCs w:val="22"/>
              </w:rPr>
              <w:t>Inflamm Bowel Dis</w:t>
            </w:r>
            <w:r w:rsidRPr="00C50AB0">
              <w:rPr>
                <w:rFonts w:ascii="Book Antiqua" w:hAnsi="Book Antiqua"/>
                <w:sz w:val="22"/>
                <w:szCs w:val="22"/>
              </w:rPr>
              <w:t xml:space="preserve"> 2014</w:t>
            </w:r>
          </w:p>
        </w:tc>
        <w:tc>
          <w:tcPr>
            <w:tcW w:w="874" w:type="pct"/>
          </w:tcPr>
          <w:p w14:paraId="0D4347E6"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Prospective cohort study</w:t>
            </w:r>
          </w:p>
        </w:tc>
        <w:tc>
          <w:tcPr>
            <w:tcW w:w="725" w:type="pct"/>
          </w:tcPr>
          <w:p w14:paraId="6929FA99"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47 patients = 34 children + 13 young adults</w:t>
            </w:r>
          </w:p>
          <w:p w14:paraId="0A7FBAB1" w14:textId="77777777" w:rsidR="00C50AB0" w:rsidRPr="00C50AB0" w:rsidRDefault="00C50AB0" w:rsidP="006A3266">
            <w:pPr>
              <w:spacing w:line="360" w:lineRule="auto"/>
              <w:jc w:val="both"/>
              <w:rPr>
                <w:rFonts w:ascii="Book Antiqua" w:hAnsi="Book Antiqua"/>
                <w:sz w:val="22"/>
                <w:szCs w:val="22"/>
              </w:rPr>
            </w:pPr>
          </w:p>
          <w:p w14:paraId="6129DC7C"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Mean age 16.1</w:t>
            </w:r>
            <w:r w:rsidRPr="00C50AB0">
              <w:rPr>
                <w:rFonts w:ascii="Book Antiqua" w:hAnsi="Book Antiqua"/>
                <w:sz w:val="22"/>
                <w:szCs w:val="22"/>
              </w:rPr>
              <w:sym w:font="Symbol" w:char="F0B1"/>
            </w:r>
            <w:r w:rsidRPr="00C50AB0">
              <w:rPr>
                <w:rFonts w:ascii="Book Antiqua" w:hAnsi="Book Antiqua"/>
                <w:sz w:val="22"/>
                <w:szCs w:val="22"/>
              </w:rPr>
              <w:t>5.6 years</w:t>
            </w:r>
          </w:p>
          <w:p w14:paraId="1DFC6621" w14:textId="77777777" w:rsidR="00C50AB0" w:rsidRPr="00C50AB0" w:rsidRDefault="00C50AB0" w:rsidP="006A3266">
            <w:pPr>
              <w:spacing w:line="360" w:lineRule="auto"/>
              <w:jc w:val="both"/>
              <w:rPr>
                <w:rFonts w:ascii="Book Antiqua" w:hAnsi="Book Antiqua"/>
                <w:sz w:val="22"/>
                <w:szCs w:val="22"/>
              </w:rPr>
            </w:pPr>
          </w:p>
          <w:p w14:paraId="76E6B4BC"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 xml:space="preserve">Active CD (PCDAI &gt; 7.5 or Harvey-Bradshaw Index </w:t>
            </w:r>
            <w:r w:rsidRPr="00C50AB0">
              <w:rPr>
                <w:rFonts w:ascii="Book Antiqua" w:hAnsi="Book Antiqua"/>
                <w:sz w:val="22"/>
                <w:szCs w:val="22"/>
              </w:rPr>
              <w:sym w:font="Symbol" w:char="F0B3"/>
            </w:r>
            <w:r w:rsidRPr="00C50AB0">
              <w:rPr>
                <w:rFonts w:ascii="Book Antiqua" w:hAnsi="Book Antiqua"/>
                <w:sz w:val="22"/>
                <w:szCs w:val="22"/>
              </w:rPr>
              <w:t xml:space="preserve"> 4)</w:t>
            </w:r>
          </w:p>
        </w:tc>
        <w:tc>
          <w:tcPr>
            <w:tcW w:w="1466" w:type="pct"/>
          </w:tcPr>
          <w:p w14:paraId="0BB08BB5"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Post treatment with 6-week exclusion diet: access to specific foods + 50% of calories from polymeric formula</w:t>
            </w:r>
          </w:p>
          <w:p w14:paraId="0EEC5887" w14:textId="77777777" w:rsidR="00C50AB0" w:rsidRPr="00C50AB0" w:rsidRDefault="00C50AB0" w:rsidP="006A3266">
            <w:pPr>
              <w:spacing w:line="360" w:lineRule="auto"/>
              <w:jc w:val="both"/>
              <w:rPr>
                <w:rFonts w:ascii="Book Antiqua" w:hAnsi="Book Antiqua"/>
                <w:sz w:val="22"/>
                <w:szCs w:val="22"/>
              </w:rPr>
            </w:pPr>
          </w:p>
          <w:p w14:paraId="1C0CE83F"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Response in 37 (78.7%)</w:t>
            </w:r>
          </w:p>
          <w:p w14:paraId="36366B04"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Remission in 33 (70.2%)</w:t>
            </w:r>
          </w:p>
          <w:p w14:paraId="60B43FC8"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Decrease in CRP and ESR</w:t>
            </w:r>
          </w:p>
          <w:p w14:paraId="7DFFD8DC"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Normalisation of CRP in 70% of patients entering remission</w:t>
            </w:r>
          </w:p>
        </w:tc>
        <w:tc>
          <w:tcPr>
            <w:tcW w:w="1045" w:type="pct"/>
          </w:tcPr>
          <w:p w14:paraId="5B2F5DC4"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Dietary therapy involving PEN with an exclusion diet seems to lead to high remission rates in early mild-to-moderate luminal CD in children and young adults</w:t>
            </w:r>
          </w:p>
        </w:tc>
      </w:tr>
      <w:tr w:rsidR="00C50AB0" w:rsidRPr="00C50AB0" w14:paraId="5B66F526" w14:textId="77777777" w:rsidTr="009427A9">
        <w:trPr>
          <w:trHeight w:val="908"/>
        </w:trPr>
        <w:tc>
          <w:tcPr>
            <w:tcW w:w="890" w:type="pct"/>
          </w:tcPr>
          <w:p w14:paraId="325D9E87" w14:textId="775B14DA" w:rsidR="00C50AB0" w:rsidRPr="00C50AB0" w:rsidRDefault="00C50AB0" w:rsidP="006A3266">
            <w:pPr>
              <w:spacing w:line="360" w:lineRule="auto"/>
              <w:jc w:val="both"/>
              <w:rPr>
                <w:rFonts w:ascii="Book Antiqua" w:hAnsi="Book Antiqua"/>
                <w:sz w:val="22"/>
                <w:szCs w:val="22"/>
              </w:rPr>
            </w:pPr>
            <w:r w:rsidRPr="00C50AB0">
              <w:rPr>
                <w:rFonts w:ascii="Book Antiqua" w:hAnsi="Book Antiqua"/>
                <w:i/>
                <w:sz w:val="22"/>
                <w:szCs w:val="22"/>
              </w:rPr>
              <w:t xml:space="preserve">Grover </w:t>
            </w:r>
            <w:r w:rsidR="009427A9" w:rsidRPr="009427A9">
              <w:rPr>
                <w:rFonts w:ascii="Book Antiqua" w:hAnsi="Book Antiqua"/>
                <w:i/>
                <w:sz w:val="22"/>
                <w:szCs w:val="22"/>
              </w:rPr>
              <w:t>et al</w:t>
            </w:r>
            <w:r w:rsidR="009427A9" w:rsidRPr="008714A7">
              <w:rPr>
                <w:rFonts w:ascii="Book Antiqua" w:hAnsi="Book Antiqua"/>
                <w:sz w:val="22"/>
                <w:szCs w:val="22"/>
                <w:vertAlign w:val="superscript"/>
              </w:rPr>
              <w:t>[</w:t>
            </w:r>
            <w:r w:rsidR="009427A9">
              <w:rPr>
                <w:rFonts w:ascii="Book Antiqua" w:hAnsi="Book Antiqua" w:hint="eastAsia"/>
                <w:sz w:val="22"/>
                <w:szCs w:val="22"/>
                <w:vertAlign w:val="superscript"/>
                <w:lang w:eastAsia="zh-CN"/>
              </w:rPr>
              <w:t>16</w:t>
            </w:r>
            <w:r w:rsidR="009427A9" w:rsidRPr="00C50AB0">
              <w:rPr>
                <w:rFonts w:ascii="Book Antiqua" w:hAnsi="Book Antiqua"/>
                <w:sz w:val="22"/>
                <w:szCs w:val="22"/>
                <w:vertAlign w:val="superscript"/>
              </w:rPr>
              <w:t>]</w:t>
            </w:r>
            <w:r w:rsidRPr="00C50AB0">
              <w:rPr>
                <w:rFonts w:ascii="Book Antiqua" w:hAnsi="Book Antiqua"/>
                <w:i/>
                <w:sz w:val="22"/>
                <w:szCs w:val="22"/>
              </w:rPr>
              <w:t xml:space="preserve"> J Crohns Colitis</w:t>
            </w:r>
            <w:r w:rsidRPr="00C50AB0">
              <w:rPr>
                <w:rFonts w:ascii="Book Antiqua" w:hAnsi="Book Antiqua"/>
                <w:sz w:val="22"/>
                <w:szCs w:val="22"/>
              </w:rPr>
              <w:t xml:space="preserve"> 2016</w:t>
            </w:r>
          </w:p>
        </w:tc>
        <w:tc>
          <w:tcPr>
            <w:tcW w:w="874" w:type="pct"/>
          </w:tcPr>
          <w:p w14:paraId="4C977E54"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Prospective cohort study</w:t>
            </w:r>
          </w:p>
        </w:tc>
        <w:tc>
          <w:tcPr>
            <w:tcW w:w="725" w:type="pct"/>
          </w:tcPr>
          <w:p w14:paraId="6AD63BD2"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54 children with CD</w:t>
            </w:r>
          </w:p>
          <w:p w14:paraId="37C1E94A" w14:textId="77777777" w:rsidR="00C50AB0" w:rsidRPr="00C50AB0" w:rsidRDefault="00C50AB0" w:rsidP="006A3266">
            <w:pPr>
              <w:spacing w:line="360" w:lineRule="auto"/>
              <w:jc w:val="both"/>
              <w:rPr>
                <w:rFonts w:ascii="Book Antiqua" w:hAnsi="Book Antiqua"/>
                <w:sz w:val="22"/>
                <w:szCs w:val="22"/>
              </w:rPr>
            </w:pPr>
          </w:p>
          <w:p w14:paraId="251F9B6B"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Age &lt; 16</w:t>
            </w:r>
          </w:p>
          <w:p w14:paraId="489A220D" w14:textId="77777777" w:rsidR="00C50AB0" w:rsidRPr="00C50AB0" w:rsidRDefault="00C50AB0" w:rsidP="006A3266">
            <w:pPr>
              <w:spacing w:line="360" w:lineRule="auto"/>
              <w:jc w:val="both"/>
              <w:rPr>
                <w:rFonts w:ascii="Book Antiqua" w:hAnsi="Book Antiqua"/>
                <w:sz w:val="22"/>
                <w:szCs w:val="22"/>
              </w:rPr>
            </w:pPr>
          </w:p>
          <w:p w14:paraId="5C191FD1"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At least 6 weeks EEN</w:t>
            </w:r>
          </w:p>
        </w:tc>
        <w:tc>
          <w:tcPr>
            <w:tcW w:w="1466" w:type="pct"/>
          </w:tcPr>
          <w:p w14:paraId="4AE67FA0"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Post EEN:</w:t>
            </w:r>
          </w:p>
          <w:p w14:paraId="07BAE9C8" w14:textId="77777777" w:rsidR="00C50AB0" w:rsidRPr="00C50AB0" w:rsidRDefault="00C50AB0" w:rsidP="006A3266">
            <w:pPr>
              <w:spacing w:line="360" w:lineRule="auto"/>
              <w:jc w:val="both"/>
              <w:rPr>
                <w:rFonts w:ascii="Book Antiqua" w:hAnsi="Book Antiqua"/>
                <w:sz w:val="22"/>
                <w:szCs w:val="22"/>
              </w:rPr>
            </w:pPr>
          </w:p>
          <w:p w14:paraId="28A74A2A"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Clinical remission (PCDAI &lt; 10) in 45/54 (83%)</w:t>
            </w:r>
          </w:p>
          <w:p w14:paraId="34D5030D" w14:textId="77777777" w:rsidR="00C50AB0" w:rsidRPr="00C50AB0" w:rsidRDefault="00C50AB0" w:rsidP="006A3266">
            <w:pPr>
              <w:spacing w:line="360" w:lineRule="auto"/>
              <w:jc w:val="both"/>
              <w:rPr>
                <w:rFonts w:ascii="Book Antiqua" w:hAnsi="Book Antiqua"/>
                <w:sz w:val="22"/>
                <w:szCs w:val="22"/>
              </w:rPr>
            </w:pPr>
          </w:p>
          <w:p w14:paraId="6AE2E2BC"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Biochemical remission (PCDAI &lt; 10, CRP &lt; 5) in 39/54 (72%)</w:t>
            </w:r>
          </w:p>
          <w:p w14:paraId="1D213E69" w14:textId="77777777" w:rsidR="00C50AB0" w:rsidRPr="00C50AB0" w:rsidRDefault="00C50AB0" w:rsidP="006A3266">
            <w:pPr>
              <w:spacing w:line="360" w:lineRule="auto"/>
              <w:jc w:val="both"/>
              <w:rPr>
                <w:rFonts w:ascii="Book Antiqua" w:hAnsi="Book Antiqua"/>
                <w:sz w:val="22"/>
                <w:szCs w:val="22"/>
              </w:rPr>
            </w:pPr>
          </w:p>
          <w:p w14:paraId="1F63FC37"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Complete MH in 18/54 (33%)</w:t>
            </w:r>
          </w:p>
          <w:p w14:paraId="59CF9B0D" w14:textId="77777777" w:rsidR="00C50AB0" w:rsidRPr="00C50AB0" w:rsidRDefault="00C50AB0" w:rsidP="006A3266">
            <w:pPr>
              <w:spacing w:line="360" w:lineRule="auto"/>
              <w:jc w:val="both"/>
              <w:rPr>
                <w:rFonts w:ascii="Book Antiqua" w:hAnsi="Book Antiqua"/>
                <w:sz w:val="22"/>
                <w:szCs w:val="22"/>
              </w:rPr>
            </w:pPr>
          </w:p>
          <w:p w14:paraId="0C7C3018"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Nearly complete MH in 10/54 (19%)</w:t>
            </w:r>
          </w:p>
          <w:p w14:paraId="134DD18D" w14:textId="77777777" w:rsidR="00C50AB0" w:rsidRPr="00C50AB0" w:rsidRDefault="00C50AB0" w:rsidP="006A3266">
            <w:pPr>
              <w:spacing w:line="360" w:lineRule="auto"/>
              <w:jc w:val="both"/>
              <w:rPr>
                <w:rFonts w:ascii="Book Antiqua" w:hAnsi="Book Antiqua"/>
                <w:sz w:val="22"/>
                <w:szCs w:val="22"/>
              </w:rPr>
            </w:pPr>
          </w:p>
          <w:p w14:paraId="2B6CD6FB"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SR superior in children with MH vs active endoscopic disease:</w:t>
            </w:r>
          </w:p>
          <w:p w14:paraId="09801CF9" w14:textId="31B909FA" w:rsidR="00C50AB0" w:rsidRPr="00C50AB0" w:rsidRDefault="00C50AB0" w:rsidP="006A3266">
            <w:pPr>
              <w:spacing w:line="360" w:lineRule="auto"/>
              <w:jc w:val="both"/>
              <w:rPr>
                <w:rFonts w:ascii="Book Antiqua" w:hAnsi="Book Antiqua"/>
                <w:sz w:val="22"/>
                <w:szCs w:val="22"/>
                <w:lang w:eastAsia="zh-CN"/>
              </w:rPr>
            </w:pPr>
            <w:r w:rsidRPr="00C50AB0">
              <w:rPr>
                <w:rFonts w:ascii="Book Antiqua" w:hAnsi="Book Antiqua"/>
                <w:sz w:val="22"/>
                <w:szCs w:val="22"/>
              </w:rPr>
              <w:t xml:space="preserve">P 0.003 at 1 </w:t>
            </w:r>
            <w:r w:rsidR="009427A9">
              <w:rPr>
                <w:rFonts w:ascii="Book Antiqua" w:hAnsi="Book Antiqua" w:hint="eastAsia"/>
                <w:sz w:val="22"/>
                <w:szCs w:val="22"/>
                <w:lang w:eastAsia="zh-CN"/>
              </w:rPr>
              <w:t>yr</w:t>
            </w:r>
          </w:p>
          <w:p w14:paraId="12E4425E" w14:textId="7C90B3EF"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 xml:space="preserve">P 0.008 at 2 </w:t>
            </w:r>
            <w:r w:rsidR="009427A9">
              <w:rPr>
                <w:rFonts w:ascii="Book Antiqua" w:hAnsi="Book Antiqua" w:hint="eastAsia"/>
                <w:sz w:val="22"/>
                <w:szCs w:val="22"/>
                <w:lang w:eastAsia="zh-CN"/>
              </w:rPr>
              <w:t>yr</w:t>
            </w:r>
          </w:p>
          <w:p w14:paraId="59D2D5AE" w14:textId="69DB32FB"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 xml:space="preserve">P 0.005 at 3 </w:t>
            </w:r>
            <w:r w:rsidR="009427A9">
              <w:rPr>
                <w:rFonts w:ascii="Book Antiqua" w:hAnsi="Book Antiqua" w:hint="eastAsia"/>
                <w:sz w:val="22"/>
                <w:szCs w:val="22"/>
                <w:lang w:eastAsia="zh-CN"/>
              </w:rPr>
              <w:t>yr</w:t>
            </w:r>
          </w:p>
        </w:tc>
        <w:tc>
          <w:tcPr>
            <w:tcW w:w="1045" w:type="pct"/>
          </w:tcPr>
          <w:p w14:paraId="085C63A2"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lastRenderedPageBreak/>
              <w:t>Only complete MH post EEN induction predicts more favourable SR for up to 3 years</w:t>
            </w:r>
          </w:p>
        </w:tc>
      </w:tr>
      <w:tr w:rsidR="00C50AB0" w:rsidRPr="00C50AB0" w14:paraId="43862440" w14:textId="77777777" w:rsidTr="009427A9">
        <w:trPr>
          <w:trHeight w:val="364"/>
        </w:trPr>
        <w:tc>
          <w:tcPr>
            <w:tcW w:w="5000" w:type="pct"/>
            <w:gridSpan w:val="5"/>
          </w:tcPr>
          <w:p w14:paraId="17D78E98"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b/>
                <w:sz w:val="22"/>
                <w:szCs w:val="22"/>
              </w:rPr>
              <w:t>THIOPURINES</w:t>
            </w:r>
          </w:p>
        </w:tc>
      </w:tr>
      <w:tr w:rsidR="00C50AB0" w:rsidRPr="00C50AB0" w14:paraId="6F82D872" w14:textId="77777777" w:rsidTr="009427A9">
        <w:trPr>
          <w:trHeight w:val="5615"/>
        </w:trPr>
        <w:tc>
          <w:tcPr>
            <w:tcW w:w="890" w:type="pct"/>
          </w:tcPr>
          <w:p w14:paraId="0C298C96" w14:textId="3CE18BBB" w:rsidR="00C50AB0" w:rsidRPr="00C50AB0" w:rsidRDefault="00C50AB0" w:rsidP="006A3266">
            <w:pPr>
              <w:spacing w:line="360" w:lineRule="auto"/>
              <w:jc w:val="both"/>
              <w:rPr>
                <w:rFonts w:ascii="Book Antiqua" w:hAnsi="Book Antiqua"/>
                <w:sz w:val="22"/>
                <w:szCs w:val="22"/>
              </w:rPr>
            </w:pPr>
            <w:r w:rsidRPr="00C50AB0">
              <w:rPr>
                <w:rFonts w:ascii="Book Antiqua" w:hAnsi="Book Antiqua"/>
                <w:i/>
                <w:sz w:val="22"/>
                <w:szCs w:val="22"/>
              </w:rPr>
              <w:t>Stocco</w:t>
            </w:r>
            <w:r w:rsidR="009427A9" w:rsidRPr="009427A9">
              <w:rPr>
                <w:rFonts w:ascii="Book Antiqua" w:hAnsi="Book Antiqua"/>
                <w:i/>
                <w:sz w:val="22"/>
                <w:szCs w:val="22"/>
              </w:rPr>
              <w:t xml:space="preserve"> et al</w:t>
            </w:r>
            <w:r w:rsidR="009427A9" w:rsidRPr="008714A7">
              <w:rPr>
                <w:rFonts w:ascii="Book Antiqua" w:hAnsi="Book Antiqua"/>
                <w:sz w:val="22"/>
                <w:szCs w:val="22"/>
                <w:vertAlign w:val="superscript"/>
              </w:rPr>
              <w:t>[</w:t>
            </w:r>
            <w:r w:rsidR="009427A9">
              <w:rPr>
                <w:rFonts w:ascii="Book Antiqua" w:hAnsi="Book Antiqua" w:hint="eastAsia"/>
                <w:sz w:val="22"/>
                <w:szCs w:val="22"/>
                <w:vertAlign w:val="superscript"/>
                <w:lang w:eastAsia="zh-CN"/>
              </w:rPr>
              <w:t>23</w:t>
            </w:r>
            <w:r w:rsidR="009427A9" w:rsidRPr="00C50AB0">
              <w:rPr>
                <w:rFonts w:ascii="Book Antiqua" w:hAnsi="Book Antiqua"/>
                <w:sz w:val="22"/>
                <w:szCs w:val="22"/>
                <w:vertAlign w:val="superscript"/>
              </w:rPr>
              <w:t>]</w:t>
            </w:r>
            <w:r w:rsidRPr="00C50AB0">
              <w:rPr>
                <w:rFonts w:ascii="Book Antiqua" w:hAnsi="Book Antiqua"/>
                <w:sz w:val="22"/>
                <w:szCs w:val="22"/>
              </w:rPr>
              <w:t xml:space="preserve"> </w:t>
            </w:r>
            <w:r w:rsidRPr="00C50AB0">
              <w:rPr>
                <w:rFonts w:ascii="Book Antiqua" w:hAnsi="Book Antiqua"/>
                <w:i/>
                <w:sz w:val="22"/>
                <w:szCs w:val="22"/>
              </w:rPr>
              <w:t>World J Gastroenterol</w:t>
            </w:r>
            <w:r w:rsidRPr="00C50AB0">
              <w:rPr>
                <w:rFonts w:ascii="Book Antiqua" w:hAnsi="Book Antiqua"/>
                <w:sz w:val="22"/>
                <w:szCs w:val="22"/>
              </w:rPr>
              <w:t xml:space="preserve"> 2015</w:t>
            </w:r>
          </w:p>
        </w:tc>
        <w:tc>
          <w:tcPr>
            <w:tcW w:w="874" w:type="pct"/>
          </w:tcPr>
          <w:p w14:paraId="31030819"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Retrospective cohort study</w:t>
            </w:r>
          </w:p>
        </w:tc>
        <w:tc>
          <w:tcPr>
            <w:tcW w:w="725" w:type="pct"/>
          </w:tcPr>
          <w:p w14:paraId="5C5A63FF"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12 paediatric patients = 6 CD + 6 UC</w:t>
            </w:r>
          </w:p>
        </w:tc>
        <w:tc>
          <w:tcPr>
            <w:tcW w:w="1466" w:type="pct"/>
          </w:tcPr>
          <w:p w14:paraId="12BB2154"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NAT1 genotypes (fast enzymatic activity) were associated with reduced TGN concentration</w:t>
            </w:r>
          </w:p>
          <w:p w14:paraId="2FFA5860" w14:textId="77777777" w:rsidR="00C50AB0" w:rsidRPr="00C50AB0" w:rsidRDefault="00C50AB0" w:rsidP="006A3266">
            <w:pPr>
              <w:spacing w:line="360" w:lineRule="auto"/>
              <w:jc w:val="both"/>
              <w:rPr>
                <w:rFonts w:ascii="Book Antiqua" w:hAnsi="Book Antiqua"/>
                <w:sz w:val="22"/>
                <w:szCs w:val="22"/>
              </w:rPr>
            </w:pPr>
          </w:p>
          <w:p w14:paraId="321D31F1"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The effect of NAT1 on TGN persists even 1 month after the interruption of the aminosalycilate</w:t>
            </w:r>
          </w:p>
          <w:p w14:paraId="2511C6F0" w14:textId="77777777" w:rsidR="00C50AB0" w:rsidRPr="00C50AB0" w:rsidRDefault="00C50AB0" w:rsidP="006A3266">
            <w:pPr>
              <w:spacing w:line="360" w:lineRule="auto"/>
              <w:jc w:val="both"/>
              <w:rPr>
                <w:rFonts w:ascii="Book Antiqua" w:hAnsi="Book Antiqua"/>
                <w:sz w:val="22"/>
                <w:szCs w:val="22"/>
              </w:rPr>
            </w:pPr>
          </w:p>
          <w:p w14:paraId="3609BD9B"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No effect of the NAT2 polymorphism was observed</w:t>
            </w:r>
          </w:p>
        </w:tc>
        <w:tc>
          <w:tcPr>
            <w:tcW w:w="1045" w:type="pct"/>
          </w:tcPr>
          <w:p w14:paraId="2EBBA3AC"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NAT1 genotype affects TGN levels in patients treated with thiopurines and aminosalicylates and could therefore influence the toxicity and efficacy of these drug</w:t>
            </w:r>
          </w:p>
        </w:tc>
      </w:tr>
      <w:tr w:rsidR="00C50AB0" w:rsidRPr="00C50AB0" w14:paraId="3895187A" w14:textId="77777777" w:rsidTr="009427A9">
        <w:trPr>
          <w:trHeight w:val="364"/>
        </w:trPr>
        <w:tc>
          <w:tcPr>
            <w:tcW w:w="5000" w:type="pct"/>
            <w:gridSpan w:val="5"/>
          </w:tcPr>
          <w:p w14:paraId="09B67AE3"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b/>
                <w:sz w:val="22"/>
                <w:szCs w:val="22"/>
              </w:rPr>
              <w:t>BIOLOGICS AND BIOSIMILARS</w:t>
            </w:r>
          </w:p>
        </w:tc>
      </w:tr>
      <w:tr w:rsidR="00C50AB0" w:rsidRPr="00C50AB0" w14:paraId="319E5393" w14:textId="77777777" w:rsidTr="009427A9">
        <w:trPr>
          <w:trHeight w:val="364"/>
        </w:trPr>
        <w:tc>
          <w:tcPr>
            <w:tcW w:w="890" w:type="pct"/>
          </w:tcPr>
          <w:p w14:paraId="4AD8DB22" w14:textId="352FDA77" w:rsidR="00C50AB0" w:rsidRPr="00C50AB0" w:rsidRDefault="00C50AB0" w:rsidP="006A3266">
            <w:pPr>
              <w:spacing w:line="360" w:lineRule="auto"/>
              <w:jc w:val="both"/>
              <w:rPr>
                <w:rFonts w:ascii="Book Antiqua" w:hAnsi="Book Antiqua"/>
                <w:i/>
                <w:sz w:val="22"/>
                <w:szCs w:val="22"/>
              </w:rPr>
            </w:pPr>
            <w:r w:rsidRPr="00C50AB0">
              <w:rPr>
                <w:rFonts w:ascii="Book Antiqua" w:hAnsi="Book Antiqua"/>
                <w:i/>
                <w:sz w:val="22"/>
                <w:szCs w:val="22"/>
              </w:rPr>
              <w:lastRenderedPageBreak/>
              <w:t>Sharma</w:t>
            </w:r>
            <w:r w:rsidR="009427A9" w:rsidRPr="009427A9">
              <w:rPr>
                <w:rFonts w:ascii="Book Antiqua" w:hAnsi="Book Antiqua"/>
                <w:i/>
                <w:sz w:val="22"/>
                <w:szCs w:val="22"/>
              </w:rPr>
              <w:t xml:space="preserve"> et al</w:t>
            </w:r>
            <w:r w:rsidR="009427A9" w:rsidRPr="008714A7">
              <w:rPr>
                <w:rFonts w:ascii="Book Antiqua" w:hAnsi="Book Antiqua"/>
                <w:sz w:val="22"/>
                <w:szCs w:val="22"/>
                <w:vertAlign w:val="superscript"/>
              </w:rPr>
              <w:t>[</w:t>
            </w:r>
            <w:r w:rsidR="009427A9">
              <w:rPr>
                <w:rFonts w:ascii="Book Antiqua" w:hAnsi="Book Antiqua" w:hint="eastAsia"/>
                <w:sz w:val="22"/>
                <w:szCs w:val="22"/>
                <w:vertAlign w:val="superscript"/>
                <w:lang w:eastAsia="zh-CN"/>
              </w:rPr>
              <w:t>7</w:t>
            </w:r>
            <w:r w:rsidR="009427A9" w:rsidRPr="00C50AB0">
              <w:rPr>
                <w:rFonts w:ascii="Book Antiqua" w:hAnsi="Book Antiqua"/>
                <w:sz w:val="22"/>
                <w:szCs w:val="22"/>
                <w:vertAlign w:val="superscript"/>
              </w:rPr>
              <w:t>]</w:t>
            </w:r>
            <w:r w:rsidRPr="00C50AB0">
              <w:rPr>
                <w:rFonts w:ascii="Book Antiqua" w:hAnsi="Book Antiqua"/>
                <w:sz w:val="22"/>
                <w:szCs w:val="22"/>
              </w:rPr>
              <w:t xml:space="preserve"> Inflamm Bowel Dis 2015</w:t>
            </w:r>
          </w:p>
        </w:tc>
        <w:tc>
          <w:tcPr>
            <w:tcW w:w="874" w:type="pct"/>
          </w:tcPr>
          <w:p w14:paraId="7C5B86E2"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IMAgINE-1 study</w:t>
            </w:r>
          </w:p>
          <w:p w14:paraId="5E527CA4" w14:textId="77777777" w:rsidR="00C50AB0" w:rsidRPr="00C50AB0" w:rsidRDefault="00C50AB0" w:rsidP="006A3266">
            <w:pPr>
              <w:spacing w:line="360" w:lineRule="auto"/>
              <w:jc w:val="both"/>
              <w:rPr>
                <w:rFonts w:ascii="Book Antiqua" w:hAnsi="Book Antiqua"/>
                <w:sz w:val="22"/>
                <w:szCs w:val="22"/>
              </w:rPr>
            </w:pPr>
          </w:p>
          <w:p w14:paraId="1D849930"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 xml:space="preserve">Phase-3, randomized, </w:t>
            </w:r>
          </w:p>
          <w:p w14:paraId="02F598B6"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Multicentre, double-blind</w:t>
            </w:r>
          </w:p>
        </w:tc>
        <w:tc>
          <w:tcPr>
            <w:tcW w:w="725" w:type="pct"/>
          </w:tcPr>
          <w:p w14:paraId="22F04287"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Paediatric CD population = 192</w:t>
            </w:r>
          </w:p>
        </w:tc>
        <w:tc>
          <w:tcPr>
            <w:tcW w:w="1466" w:type="pct"/>
          </w:tcPr>
          <w:p w14:paraId="763508AA"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Strong positive association between serum ADA concentration and disease remission / response to treatment</w:t>
            </w:r>
          </w:p>
          <w:p w14:paraId="6B9A4782" w14:textId="77777777" w:rsidR="00C50AB0" w:rsidRPr="00C50AB0" w:rsidRDefault="00C50AB0" w:rsidP="006A3266">
            <w:pPr>
              <w:spacing w:line="360" w:lineRule="auto"/>
              <w:jc w:val="both"/>
              <w:rPr>
                <w:rFonts w:ascii="Book Antiqua" w:hAnsi="Book Antiqua"/>
                <w:sz w:val="22"/>
                <w:szCs w:val="22"/>
              </w:rPr>
            </w:pPr>
          </w:p>
          <w:p w14:paraId="18B639D8"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Higher body weight, baseline CRP, lower albumin, previous treatment with anti-TNF and presence of anti-IFX antibody were associated with increased ADA clearance</w:t>
            </w:r>
          </w:p>
        </w:tc>
        <w:tc>
          <w:tcPr>
            <w:tcW w:w="1045" w:type="pct"/>
          </w:tcPr>
          <w:p w14:paraId="21D5D170"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Positive association between serum ADA concentration and remission/</w:t>
            </w:r>
          </w:p>
          <w:p w14:paraId="22D0717B"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response in paediatric patients with moderate/severe CD</w:t>
            </w:r>
          </w:p>
        </w:tc>
      </w:tr>
      <w:tr w:rsidR="00C50AB0" w:rsidRPr="00C50AB0" w14:paraId="25A80D47" w14:textId="77777777" w:rsidTr="009427A9">
        <w:trPr>
          <w:trHeight w:val="364"/>
        </w:trPr>
        <w:tc>
          <w:tcPr>
            <w:tcW w:w="890" w:type="pct"/>
          </w:tcPr>
          <w:p w14:paraId="21F90AB7" w14:textId="6A49BDD0" w:rsidR="00C50AB0" w:rsidRPr="00C50AB0" w:rsidRDefault="00C50AB0" w:rsidP="006A3266">
            <w:pPr>
              <w:spacing w:line="360" w:lineRule="auto"/>
              <w:jc w:val="both"/>
              <w:rPr>
                <w:rFonts w:ascii="Book Antiqua" w:hAnsi="Book Antiqua"/>
                <w:i/>
                <w:sz w:val="22"/>
                <w:szCs w:val="22"/>
              </w:rPr>
            </w:pPr>
            <w:r w:rsidRPr="00C50AB0">
              <w:rPr>
                <w:rFonts w:ascii="Book Antiqua" w:hAnsi="Book Antiqua"/>
                <w:i/>
                <w:sz w:val="22"/>
                <w:szCs w:val="22"/>
              </w:rPr>
              <w:t xml:space="preserve">Nuti </w:t>
            </w:r>
            <w:r w:rsidR="009427A9" w:rsidRPr="009427A9">
              <w:rPr>
                <w:rFonts w:ascii="Book Antiqua" w:hAnsi="Book Antiqua"/>
                <w:i/>
                <w:sz w:val="22"/>
                <w:szCs w:val="22"/>
              </w:rPr>
              <w:t>et al</w:t>
            </w:r>
            <w:r w:rsidR="009427A9" w:rsidRPr="008714A7">
              <w:rPr>
                <w:rFonts w:ascii="Book Antiqua" w:hAnsi="Book Antiqua"/>
                <w:sz w:val="22"/>
                <w:szCs w:val="22"/>
                <w:vertAlign w:val="superscript"/>
              </w:rPr>
              <w:t>[</w:t>
            </w:r>
            <w:r w:rsidR="009427A9">
              <w:rPr>
                <w:rFonts w:ascii="Book Antiqua" w:hAnsi="Book Antiqua" w:hint="eastAsia"/>
                <w:sz w:val="22"/>
                <w:szCs w:val="22"/>
                <w:vertAlign w:val="superscript"/>
                <w:lang w:eastAsia="zh-CN"/>
              </w:rPr>
              <w:t>18</w:t>
            </w:r>
            <w:r w:rsidR="009427A9" w:rsidRPr="00C50AB0">
              <w:rPr>
                <w:rFonts w:ascii="Book Antiqua" w:hAnsi="Book Antiqua"/>
                <w:sz w:val="22"/>
                <w:szCs w:val="22"/>
                <w:vertAlign w:val="superscript"/>
              </w:rPr>
              <w:t>]</w:t>
            </w:r>
            <w:r w:rsidRPr="00C50AB0">
              <w:rPr>
                <w:rFonts w:ascii="Book Antiqua" w:hAnsi="Book Antiqua"/>
                <w:sz w:val="22"/>
                <w:szCs w:val="22"/>
              </w:rPr>
              <w:t xml:space="preserve"> </w:t>
            </w:r>
            <w:r w:rsidRPr="00C50AB0">
              <w:rPr>
                <w:rFonts w:ascii="Book Antiqua" w:hAnsi="Book Antiqua"/>
                <w:i/>
                <w:sz w:val="22"/>
                <w:szCs w:val="22"/>
              </w:rPr>
              <w:t>J Crohns Colitis</w:t>
            </w:r>
            <w:r w:rsidRPr="00C50AB0">
              <w:rPr>
                <w:rFonts w:ascii="Book Antiqua" w:hAnsi="Book Antiqua"/>
                <w:sz w:val="22"/>
                <w:szCs w:val="22"/>
              </w:rPr>
              <w:t xml:space="preserve"> 2016</w:t>
            </w:r>
          </w:p>
        </w:tc>
        <w:tc>
          <w:tcPr>
            <w:tcW w:w="874" w:type="pct"/>
          </w:tcPr>
          <w:p w14:paraId="6A1CDFED"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Prospective cohort study</w:t>
            </w:r>
          </w:p>
        </w:tc>
        <w:tc>
          <w:tcPr>
            <w:tcW w:w="725" w:type="pct"/>
          </w:tcPr>
          <w:p w14:paraId="70C771F1"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37 biologic-naïve paediatric patients with CD</w:t>
            </w:r>
          </w:p>
          <w:p w14:paraId="2E6B2B81" w14:textId="77777777" w:rsidR="00C50AB0" w:rsidRPr="00C50AB0" w:rsidRDefault="00C50AB0" w:rsidP="006A3266">
            <w:pPr>
              <w:spacing w:line="360" w:lineRule="auto"/>
              <w:jc w:val="both"/>
              <w:rPr>
                <w:rFonts w:ascii="Book Antiqua" w:hAnsi="Book Antiqua"/>
                <w:sz w:val="22"/>
                <w:szCs w:val="22"/>
              </w:rPr>
            </w:pPr>
          </w:p>
          <w:p w14:paraId="6070BE91" w14:textId="77777777" w:rsidR="00C50AB0" w:rsidRPr="00C50AB0" w:rsidRDefault="00C50AB0" w:rsidP="006A3266">
            <w:pPr>
              <w:spacing w:line="360" w:lineRule="auto"/>
              <w:jc w:val="both"/>
              <w:rPr>
                <w:rFonts w:ascii="Book Antiqua" w:hAnsi="Book Antiqua"/>
                <w:sz w:val="22"/>
                <w:szCs w:val="22"/>
              </w:rPr>
            </w:pPr>
          </w:p>
        </w:tc>
        <w:tc>
          <w:tcPr>
            <w:tcW w:w="1466" w:type="pct"/>
          </w:tcPr>
          <w:p w14:paraId="604B9E2F"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Biological therapy with IFX+AZA was effective in achieving MH (based on change in PCDAI and SES-CD)</w:t>
            </w:r>
          </w:p>
          <w:p w14:paraId="5000654A" w14:textId="77777777" w:rsidR="00C50AB0" w:rsidRPr="00C50AB0" w:rsidRDefault="00C50AB0" w:rsidP="006A3266">
            <w:pPr>
              <w:spacing w:line="360" w:lineRule="auto"/>
              <w:jc w:val="both"/>
              <w:rPr>
                <w:rFonts w:ascii="Book Antiqua" w:hAnsi="Book Antiqua"/>
                <w:sz w:val="22"/>
                <w:szCs w:val="22"/>
              </w:rPr>
            </w:pPr>
          </w:p>
          <w:p w14:paraId="3A3A9728" w14:textId="70742FA2"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Combination of biologics</w:t>
            </w:r>
            <w:r w:rsidR="009427A9">
              <w:rPr>
                <w:rFonts w:ascii="Book Antiqua" w:hAnsi="Book Antiqua" w:hint="eastAsia"/>
                <w:sz w:val="22"/>
                <w:szCs w:val="22"/>
                <w:lang w:eastAsia="zh-CN"/>
              </w:rPr>
              <w:t xml:space="preserve"> </w:t>
            </w:r>
            <w:r w:rsidRPr="00C50AB0">
              <w:rPr>
                <w:rFonts w:ascii="Book Antiqua" w:hAnsi="Book Antiqua"/>
                <w:sz w:val="22"/>
                <w:szCs w:val="22"/>
              </w:rPr>
              <w:t>+</w:t>
            </w:r>
            <w:r w:rsidR="009427A9">
              <w:rPr>
                <w:rFonts w:ascii="Book Antiqua" w:hAnsi="Book Antiqua" w:hint="eastAsia"/>
                <w:sz w:val="22"/>
                <w:szCs w:val="22"/>
                <w:lang w:eastAsia="zh-CN"/>
              </w:rPr>
              <w:t xml:space="preserve"> </w:t>
            </w:r>
            <w:r w:rsidRPr="00C50AB0">
              <w:rPr>
                <w:rFonts w:ascii="Book Antiqua" w:hAnsi="Book Antiqua"/>
                <w:sz w:val="22"/>
                <w:szCs w:val="22"/>
              </w:rPr>
              <w:t xml:space="preserve">immunomodulators was more effective than </w:t>
            </w:r>
            <w:r w:rsidRPr="00C50AB0">
              <w:rPr>
                <w:rFonts w:ascii="Book Antiqua" w:hAnsi="Book Antiqua"/>
                <w:sz w:val="22"/>
                <w:szCs w:val="22"/>
              </w:rPr>
              <w:lastRenderedPageBreak/>
              <w:t>biological monotherapy</w:t>
            </w:r>
          </w:p>
          <w:p w14:paraId="74C5BA1C" w14:textId="77777777" w:rsidR="00C50AB0" w:rsidRPr="00C50AB0" w:rsidRDefault="00C50AB0" w:rsidP="006A3266">
            <w:pPr>
              <w:spacing w:line="360" w:lineRule="auto"/>
              <w:jc w:val="both"/>
              <w:rPr>
                <w:rFonts w:ascii="Book Antiqua" w:hAnsi="Book Antiqua"/>
                <w:sz w:val="22"/>
                <w:szCs w:val="22"/>
              </w:rPr>
            </w:pPr>
          </w:p>
          <w:p w14:paraId="6081C98B" w14:textId="0DBF37E4"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 xml:space="preserve">Improvement of mucosal lesions at 2 </w:t>
            </w:r>
            <w:r w:rsidR="009427A9">
              <w:rPr>
                <w:rFonts w:ascii="Book Antiqua" w:hAnsi="Book Antiqua" w:hint="eastAsia"/>
                <w:sz w:val="22"/>
                <w:szCs w:val="22"/>
                <w:lang w:eastAsia="zh-CN"/>
              </w:rPr>
              <w:t>yr</w:t>
            </w:r>
            <w:r w:rsidRPr="00C50AB0">
              <w:rPr>
                <w:rFonts w:ascii="Book Antiqua" w:hAnsi="Book Antiqua"/>
                <w:sz w:val="22"/>
                <w:szCs w:val="22"/>
              </w:rPr>
              <w:t xml:space="preserve"> follow-up was predictive of favourable outcomes</w:t>
            </w:r>
          </w:p>
        </w:tc>
        <w:tc>
          <w:tcPr>
            <w:tcW w:w="1045" w:type="pct"/>
          </w:tcPr>
          <w:p w14:paraId="6E1DBF9F"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lastRenderedPageBreak/>
              <w:t xml:space="preserve">Biologics improve mucosal lesions, more effectively if given in combination with immunomodulators. </w:t>
            </w:r>
          </w:p>
          <w:p w14:paraId="064D26B5" w14:textId="77777777" w:rsidR="00C50AB0" w:rsidRPr="00C50AB0" w:rsidRDefault="00C50AB0" w:rsidP="006A3266">
            <w:pPr>
              <w:spacing w:line="360" w:lineRule="auto"/>
              <w:jc w:val="both"/>
              <w:rPr>
                <w:rFonts w:ascii="Book Antiqua" w:hAnsi="Book Antiqua"/>
                <w:sz w:val="22"/>
                <w:szCs w:val="22"/>
              </w:rPr>
            </w:pPr>
          </w:p>
          <w:p w14:paraId="58D2AF9D"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MH predicts a better disease course</w:t>
            </w:r>
          </w:p>
        </w:tc>
      </w:tr>
      <w:tr w:rsidR="00C50AB0" w:rsidRPr="00C50AB0" w14:paraId="7307A2AE" w14:textId="77777777" w:rsidTr="009427A9">
        <w:trPr>
          <w:trHeight w:val="364"/>
        </w:trPr>
        <w:tc>
          <w:tcPr>
            <w:tcW w:w="890" w:type="pct"/>
          </w:tcPr>
          <w:p w14:paraId="3B121E35" w14:textId="3F95778E" w:rsidR="00C50AB0" w:rsidRPr="00C50AB0" w:rsidRDefault="00C50AB0" w:rsidP="006A3266">
            <w:pPr>
              <w:spacing w:line="360" w:lineRule="auto"/>
              <w:jc w:val="both"/>
              <w:rPr>
                <w:rFonts w:ascii="Book Antiqua" w:hAnsi="Book Antiqua"/>
                <w:i/>
                <w:sz w:val="22"/>
                <w:szCs w:val="22"/>
              </w:rPr>
            </w:pPr>
            <w:r w:rsidRPr="00C50AB0">
              <w:rPr>
                <w:rFonts w:ascii="Book Antiqua" w:hAnsi="Book Antiqua"/>
                <w:i/>
                <w:sz w:val="22"/>
                <w:szCs w:val="22"/>
              </w:rPr>
              <w:t xml:space="preserve">Fumery </w:t>
            </w:r>
            <w:r w:rsidR="009427A9" w:rsidRPr="009427A9">
              <w:rPr>
                <w:rFonts w:ascii="Book Antiqua" w:hAnsi="Book Antiqua"/>
                <w:i/>
                <w:sz w:val="22"/>
                <w:szCs w:val="22"/>
              </w:rPr>
              <w:t>et al</w:t>
            </w:r>
            <w:r w:rsidR="009427A9" w:rsidRPr="008714A7">
              <w:rPr>
                <w:rFonts w:ascii="Book Antiqua" w:hAnsi="Book Antiqua"/>
                <w:sz w:val="22"/>
                <w:szCs w:val="22"/>
                <w:vertAlign w:val="superscript"/>
              </w:rPr>
              <w:t>[</w:t>
            </w:r>
            <w:r w:rsidR="009427A9">
              <w:rPr>
                <w:rFonts w:ascii="Book Antiqua" w:hAnsi="Book Antiqua" w:hint="eastAsia"/>
                <w:sz w:val="22"/>
                <w:szCs w:val="22"/>
                <w:vertAlign w:val="superscript"/>
                <w:lang w:eastAsia="zh-CN"/>
              </w:rPr>
              <w:t>33</w:t>
            </w:r>
            <w:r w:rsidR="009427A9" w:rsidRPr="00C50AB0">
              <w:rPr>
                <w:rFonts w:ascii="Book Antiqua" w:hAnsi="Book Antiqua"/>
                <w:sz w:val="22"/>
                <w:szCs w:val="22"/>
                <w:vertAlign w:val="superscript"/>
              </w:rPr>
              <w:t>]</w:t>
            </w:r>
            <w:r w:rsidR="009427A9">
              <w:rPr>
                <w:rFonts w:ascii="Book Antiqua" w:hAnsi="Book Antiqua" w:hint="eastAsia"/>
                <w:sz w:val="22"/>
                <w:szCs w:val="22"/>
                <w:vertAlign w:val="superscript"/>
                <w:lang w:eastAsia="zh-CN"/>
              </w:rPr>
              <w:t xml:space="preserve"> </w:t>
            </w:r>
            <w:r w:rsidRPr="00C50AB0">
              <w:rPr>
                <w:rFonts w:ascii="Book Antiqua" w:hAnsi="Book Antiqua"/>
                <w:i/>
                <w:sz w:val="22"/>
                <w:szCs w:val="22"/>
              </w:rPr>
              <w:t>JPGN</w:t>
            </w:r>
            <w:r w:rsidRPr="00C50AB0">
              <w:rPr>
                <w:rFonts w:ascii="Book Antiqua" w:hAnsi="Book Antiqua"/>
                <w:sz w:val="22"/>
                <w:szCs w:val="22"/>
              </w:rPr>
              <w:t xml:space="preserve"> 2015</w:t>
            </w:r>
          </w:p>
        </w:tc>
        <w:tc>
          <w:tcPr>
            <w:tcW w:w="874" w:type="pct"/>
          </w:tcPr>
          <w:p w14:paraId="411DA0AF"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Retrospective population based study (EPIMAD registry)</w:t>
            </w:r>
          </w:p>
          <w:p w14:paraId="28AA33B7" w14:textId="77777777" w:rsidR="00C50AB0" w:rsidRPr="00C50AB0" w:rsidRDefault="00C50AB0" w:rsidP="006A3266">
            <w:pPr>
              <w:spacing w:line="360" w:lineRule="auto"/>
              <w:jc w:val="both"/>
              <w:rPr>
                <w:rFonts w:ascii="Book Antiqua" w:hAnsi="Book Antiqua"/>
                <w:sz w:val="22"/>
                <w:szCs w:val="22"/>
              </w:rPr>
            </w:pPr>
          </w:p>
          <w:p w14:paraId="248EBAAA" w14:textId="77777777" w:rsidR="00C50AB0" w:rsidRPr="00C50AB0" w:rsidRDefault="00C50AB0" w:rsidP="006A3266">
            <w:pPr>
              <w:spacing w:line="360" w:lineRule="auto"/>
              <w:jc w:val="both"/>
              <w:rPr>
                <w:rFonts w:ascii="Book Antiqua" w:hAnsi="Book Antiqua"/>
                <w:sz w:val="22"/>
                <w:szCs w:val="22"/>
              </w:rPr>
            </w:pPr>
          </w:p>
        </w:tc>
        <w:tc>
          <w:tcPr>
            <w:tcW w:w="725" w:type="pct"/>
          </w:tcPr>
          <w:p w14:paraId="129BD4AB"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27 paediatric patients with CD experiencing IFX failure</w:t>
            </w:r>
          </w:p>
        </w:tc>
        <w:tc>
          <w:tcPr>
            <w:tcW w:w="1466" w:type="pct"/>
          </w:tcPr>
          <w:p w14:paraId="7F3A4D7A"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Effectiveness and safety of ADA:</w:t>
            </w:r>
          </w:p>
          <w:p w14:paraId="7ABB4BB6" w14:textId="77777777" w:rsidR="00C50AB0" w:rsidRPr="00C50AB0" w:rsidRDefault="00C50AB0" w:rsidP="006A3266">
            <w:pPr>
              <w:spacing w:line="360" w:lineRule="auto"/>
              <w:jc w:val="both"/>
              <w:rPr>
                <w:rFonts w:ascii="Book Antiqua" w:hAnsi="Book Antiqua"/>
                <w:sz w:val="22"/>
                <w:szCs w:val="22"/>
              </w:rPr>
            </w:pPr>
          </w:p>
          <w:p w14:paraId="7E5471D6"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Clinical benefit: 19 (70%) measured by the physical global assessment score</w:t>
            </w:r>
          </w:p>
          <w:p w14:paraId="08A00E2A" w14:textId="77777777" w:rsidR="00C50AB0" w:rsidRPr="00C50AB0" w:rsidRDefault="00C50AB0" w:rsidP="006A3266">
            <w:pPr>
              <w:spacing w:line="360" w:lineRule="auto"/>
              <w:jc w:val="both"/>
              <w:rPr>
                <w:rFonts w:ascii="Book Antiqua" w:hAnsi="Book Antiqua"/>
                <w:sz w:val="22"/>
                <w:szCs w:val="22"/>
              </w:rPr>
            </w:pPr>
          </w:p>
          <w:p w14:paraId="7F4C18A0"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 xml:space="preserve">Significant decrease in CRP in children responding to ADA (9 </w:t>
            </w:r>
            <w:r w:rsidRPr="007D71B5">
              <w:rPr>
                <w:rFonts w:ascii="Book Antiqua" w:hAnsi="Book Antiqua"/>
                <w:i/>
                <w:sz w:val="22"/>
                <w:szCs w:val="22"/>
              </w:rPr>
              <w:t>vs</w:t>
            </w:r>
            <w:r w:rsidRPr="00C50AB0">
              <w:rPr>
                <w:rFonts w:ascii="Book Antiqua" w:hAnsi="Book Antiqua"/>
                <w:sz w:val="22"/>
                <w:szCs w:val="22"/>
              </w:rPr>
              <w:t xml:space="preserve"> 15 mg/L)</w:t>
            </w:r>
          </w:p>
          <w:p w14:paraId="2559BB3F" w14:textId="77777777" w:rsidR="00C50AB0" w:rsidRPr="00C50AB0" w:rsidRDefault="00C50AB0" w:rsidP="006A3266">
            <w:pPr>
              <w:spacing w:line="360" w:lineRule="auto"/>
              <w:jc w:val="both"/>
              <w:rPr>
                <w:rFonts w:ascii="Book Antiqua" w:hAnsi="Book Antiqua"/>
                <w:sz w:val="22"/>
                <w:szCs w:val="22"/>
              </w:rPr>
            </w:pPr>
          </w:p>
          <w:p w14:paraId="7E7122F2"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Cumulative probability of failure to ADA treatment:</w:t>
            </w:r>
          </w:p>
          <w:p w14:paraId="55568D8E" w14:textId="77777777" w:rsidR="00C50AB0" w:rsidRPr="00C50AB0" w:rsidRDefault="00C50AB0" w:rsidP="006A3266">
            <w:pPr>
              <w:spacing w:line="360" w:lineRule="auto"/>
              <w:jc w:val="both"/>
              <w:rPr>
                <w:rFonts w:ascii="Book Antiqua" w:hAnsi="Book Antiqua"/>
                <w:sz w:val="22"/>
                <w:szCs w:val="22"/>
              </w:rPr>
            </w:pPr>
          </w:p>
          <w:p w14:paraId="7481734C" w14:textId="6931748A"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38% at 6 mo, 55% at 1 year</w:t>
            </w:r>
          </w:p>
          <w:p w14:paraId="25312E56" w14:textId="77777777" w:rsidR="00C50AB0" w:rsidRPr="00C50AB0" w:rsidRDefault="00C50AB0" w:rsidP="006A3266">
            <w:pPr>
              <w:spacing w:line="360" w:lineRule="auto"/>
              <w:jc w:val="both"/>
              <w:rPr>
                <w:rFonts w:ascii="Book Antiqua" w:hAnsi="Book Antiqua"/>
                <w:sz w:val="22"/>
                <w:szCs w:val="22"/>
              </w:rPr>
            </w:pPr>
          </w:p>
          <w:p w14:paraId="6ACB594E"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 xml:space="preserve">Primary failure: </w:t>
            </w:r>
            <w:r w:rsidRPr="00C50AB0">
              <w:rPr>
                <w:rFonts w:ascii="Book Antiqua" w:hAnsi="Book Antiqua"/>
                <w:sz w:val="22"/>
                <w:szCs w:val="22"/>
              </w:rPr>
              <w:lastRenderedPageBreak/>
              <w:t>8(30%)</w:t>
            </w:r>
          </w:p>
          <w:p w14:paraId="162DEACB" w14:textId="77777777" w:rsidR="00C50AB0" w:rsidRPr="00C50AB0" w:rsidRDefault="00C50AB0" w:rsidP="006A3266">
            <w:pPr>
              <w:spacing w:line="360" w:lineRule="auto"/>
              <w:jc w:val="both"/>
              <w:rPr>
                <w:rFonts w:ascii="Book Antiqua" w:hAnsi="Book Antiqua"/>
                <w:sz w:val="22"/>
                <w:szCs w:val="22"/>
              </w:rPr>
            </w:pPr>
          </w:p>
          <w:p w14:paraId="7A951F1F"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Secondary failure: 5(26%)</w:t>
            </w:r>
          </w:p>
          <w:p w14:paraId="45D7DD00" w14:textId="77777777" w:rsidR="00C50AB0" w:rsidRPr="00C50AB0" w:rsidRDefault="00C50AB0" w:rsidP="006A3266">
            <w:pPr>
              <w:spacing w:line="360" w:lineRule="auto"/>
              <w:jc w:val="both"/>
              <w:rPr>
                <w:rFonts w:ascii="Book Antiqua" w:hAnsi="Book Antiqua"/>
                <w:sz w:val="22"/>
                <w:szCs w:val="22"/>
              </w:rPr>
            </w:pPr>
          </w:p>
          <w:p w14:paraId="054622D8"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Adverse effects: 11(40%)</w:t>
            </w:r>
          </w:p>
        </w:tc>
        <w:tc>
          <w:tcPr>
            <w:tcW w:w="1045" w:type="pct"/>
          </w:tcPr>
          <w:p w14:paraId="6EB363C6"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lastRenderedPageBreak/>
              <w:t>Treatment with ADA was safe and effective in two-thirds of patients with pediatric-onset CD and IFX failure</w:t>
            </w:r>
          </w:p>
        </w:tc>
      </w:tr>
      <w:tr w:rsidR="00C50AB0" w:rsidRPr="00C50AB0" w14:paraId="4392674D" w14:textId="77777777" w:rsidTr="009427A9">
        <w:trPr>
          <w:trHeight w:val="364"/>
        </w:trPr>
        <w:tc>
          <w:tcPr>
            <w:tcW w:w="890" w:type="pct"/>
          </w:tcPr>
          <w:p w14:paraId="06F8E1E1" w14:textId="3ACC05DE" w:rsidR="00C50AB0" w:rsidRPr="00C50AB0" w:rsidRDefault="00C50AB0" w:rsidP="006A3266">
            <w:pPr>
              <w:spacing w:line="360" w:lineRule="auto"/>
              <w:jc w:val="both"/>
              <w:rPr>
                <w:rFonts w:ascii="Book Antiqua" w:hAnsi="Book Antiqua"/>
                <w:sz w:val="22"/>
                <w:szCs w:val="22"/>
              </w:rPr>
            </w:pPr>
            <w:r w:rsidRPr="00C50AB0">
              <w:rPr>
                <w:rFonts w:ascii="Book Antiqua" w:hAnsi="Book Antiqua"/>
                <w:i/>
                <w:sz w:val="22"/>
                <w:szCs w:val="22"/>
              </w:rPr>
              <w:t>Frymoyer</w:t>
            </w:r>
            <w:r w:rsidR="009427A9" w:rsidRPr="009427A9">
              <w:rPr>
                <w:rFonts w:ascii="Book Antiqua" w:hAnsi="Book Antiqua"/>
                <w:i/>
                <w:sz w:val="22"/>
                <w:szCs w:val="22"/>
              </w:rPr>
              <w:t xml:space="preserve"> et al</w:t>
            </w:r>
            <w:r w:rsidR="009427A9" w:rsidRPr="008714A7">
              <w:rPr>
                <w:rFonts w:ascii="Book Antiqua" w:hAnsi="Book Antiqua"/>
                <w:sz w:val="22"/>
                <w:szCs w:val="22"/>
                <w:vertAlign w:val="superscript"/>
              </w:rPr>
              <w:t>[</w:t>
            </w:r>
            <w:r w:rsidR="009427A9">
              <w:rPr>
                <w:rFonts w:ascii="Book Antiqua" w:hAnsi="Book Antiqua" w:hint="eastAsia"/>
                <w:sz w:val="22"/>
                <w:szCs w:val="22"/>
                <w:vertAlign w:val="superscript"/>
                <w:lang w:eastAsia="zh-CN"/>
              </w:rPr>
              <w:t>38</w:t>
            </w:r>
            <w:r w:rsidR="009427A9" w:rsidRPr="00C50AB0">
              <w:rPr>
                <w:rFonts w:ascii="Book Antiqua" w:hAnsi="Book Antiqua"/>
                <w:sz w:val="22"/>
                <w:szCs w:val="22"/>
                <w:vertAlign w:val="superscript"/>
              </w:rPr>
              <w:t>]</w:t>
            </w:r>
            <w:r w:rsidRPr="00C50AB0">
              <w:rPr>
                <w:rFonts w:ascii="Book Antiqua" w:hAnsi="Book Antiqua"/>
                <w:sz w:val="22"/>
                <w:szCs w:val="22"/>
              </w:rPr>
              <w:t xml:space="preserve"> </w:t>
            </w:r>
            <w:r w:rsidRPr="00C50AB0">
              <w:rPr>
                <w:rFonts w:ascii="Book Antiqua" w:hAnsi="Book Antiqua"/>
                <w:i/>
                <w:sz w:val="22"/>
                <w:szCs w:val="22"/>
              </w:rPr>
              <w:t>JPGN</w:t>
            </w:r>
            <w:r w:rsidRPr="00C50AB0">
              <w:rPr>
                <w:rFonts w:ascii="Book Antiqua" w:hAnsi="Book Antiqua"/>
                <w:sz w:val="22"/>
                <w:szCs w:val="22"/>
              </w:rPr>
              <w:t xml:space="preserve"> 2016</w:t>
            </w:r>
          </w:p>
        </w:tc>
        <w:tc>
          <w:tcPr>
            <w:tcW w:w="874" w:type="pct"/>
          </w:tcPr>
          <w:p w14:paraId="14FE212C"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Monte Carlo simulation analysis constructed using a published population pharmacokinetic model based on data from 112 children in the REACH trial</w:t>
            </w:r>
          </w:p>
        </w:tc>
        <w:tc>
          <w:tcPr>
            <w:tcW w:w="725" w:type="pct"/>
          </w:tcPr>
          <w:p w14:paraId="744B63CE"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1000 simulated children</w:t>
            </w:r>
          </w:p>
          <w:p w14:paraId="0B40D957" w14:textId="77777777" w:rsidR="00C50AB0" w:rsidRPr="00C50AB0" w:rsidRDefault="00C50AB0" w:rsidP="006A3266">
            <w:pPr>
              <w:spacing w:line="360" w:lineRule="auto"/>
              <w:jc w:val="both"/>
              <w:rPr>
                <w:rFonts w:ascii="Book Antiqua" w:hAnsi="Book Antiqua"/>
                <w:sz w:val="22"/>
                <w:szCs w:val="22"/>
              </w:rPr>
            </w:pPr>
          </w:p>
          <w:p w14:paraId="51DE89B0" w14:textId="77777777" w:rsidR="00C50AB0" w:rsidRPr="00C50AB0" w:rsidRDefault="00C50AB0" w:rsidP="006A3266">
            <w:pPr>
              <w:spacing w:line="360" w:lineRule="auto"/>
              <w:jc w:val="both"/>
              <w:rPr>
                <w:rFonts w:ascii="Book Antiqua" w:hAnsi="Book Antiqua"/>
                <w:sz w:val="22"/>
                <w:szCs w:val="22"/>
              </w:rPr>
            </w:pPr>
          </w:p>
        </w:tc>
        <w:tc>
          <w:tcPr>
            <w:tcW w:w="1466" w:type="pct"/>
          </w:tcPr>
          <w:p w14:paraId="61550FC9" w14:textId="02E6BEC6"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Trough IFX concentration &gt; 3 mg/m</w:t>
            </w:r>
            <w:r w:rsidR="009427A9" w:rsidRPr="00C50AB0">
              <w:rPr>
                <w:rFonts w:ascii="Book Antiqua" w:hAnsi="Book Antiqua"/>
                <w:sz w:val="22"/>
                <w:szCs w:val="22"/>
              </w:rPr>
              <w:t>L</w:t>
            </w:r>
            <w:r w:rsidRPr="00C50AB0">
              <w:rPr>
                <w:rFonts w:ascii="Book Antiqua" w:hAnsi="Book Antiqua"/>
                <w:sz w:val="22"/>
                <w:szCs w:val="22"/>
              </w:rPr>
              <w:t xml:space="preserve"> was achieved at week 14 in 21% for albumin level of 3 g/dL </w:t>
            </w:r>
            <w:r w:rsidRPr="009427A9">
              <w:rPr>
                <w:rFonts w:ascii="Book Antiqua" w:hAnsi="Book Antiqua"/>
                <w:i/>
                <w:sz w:val="22"/>
                <w:szCs w:val="22"/>
              </w:rPr>
              <w:t>vs</w:t>
            </w:r>
            <w:r w:rsidRPr="00C50AB0">
              <w:rPr>
                <w:rFonts w:ascii="Book Antiqua" w:hAnsi="Book Antiqua"/>
                <w:sz w:val="22"/>
                <w:szCs w:val="22"/>
              </w:rPr>
              <w:t xml:space="preserve"> 41% for albumin of 4 g/dL</w:t>
            </w:r>
          </w:p>
        </w:tc>
        <w:tc>
          <w:tcPr>
            <w:tcW w:w="1045" w:type="pct"/>
          </w:tcPr>
          <w:p w14:paraId="174B6C9C"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Standard IFX maintenance dosing in children with CD is predicted to frequently result in inadequate exposure, especially when albumin levels are low.</w:t>
            </w:r>
          </w:p>
        </w:tc>
      </w:tr>
      <w:tr w:rsidR="00C50AB0" w:rsidRPr="00C50AB0" w14:paraId="63C014D3" w14:textId="77777777" w:rsidTr="009427A9">
        <w:trPr>
          <w:trHeight w:val="389"/>
        </w:trPr>
        <w:tc>
          <w:tcPr>
            <w:tcW w:w="890" w:type="pct"/>
          </w:tcPr>
          <w:p w14:paraId="6291CB83" w14:textId="5ABB7A57" w:rsidR="00C50AB0" w:rsidRPr="00C50AB0" w:rsidRDefault="00C50AB0" w:rsidP="006A3266">
            <w:pPr>
              <w:spacing w:line="360" w:lineRule="auto"/>
              <w:jc w:val="both"/>
              <w:rPr>
                <w:rFonts w:ascii="Book Antiqua" w:hAnsi="Book Antiqua"/>
                <w:sz w:val="22"/>
                <w:szCs w:val="22"/>
              </w:rPr>
            </w:pPr>
            <w:r w:rsidRPr="00C50AB0">
              <w:rPr>
                <w:rFonts w:ascii="Book Antiqua" w:hAnsi="Book Antiqua"/>
                <w:i/>
                <w:sz w:val="22"/>
                <w:szCs w:val="22"/>
              </w:rPr>
              <w:t>Dziechciarz</w:t>
            </w:r>
            <w:r w:rsidR="009427A9" w:rsidRPr="009427A9">
              <w:rPr>
                <w:rFonts w:ascii="Book Antiqua" w:hAnsi="Book Antiqua"/>
                <w:i/>
                <w:sz w:val="22"/>
                <w:szCs w:val="22"/>
              </w:rPr>
              <w:t xml:space="preserve"> et al</w:t>
            </w:r>
            <w:r w:rsidR="009427A9" w:rsidRPr="008714A7">
              <w:rPr>
                <w:rFonts w:ascii="Book Antiqua" w:hAnsi="Book Antiqua"/>
                <w:sz w:val="22"/>
                <w:szCs w:val="22"/>
                <w:vertAlign w:val="superscript"/>
              </w:rPr>
              <w:t>[</w:t>
            </w:r>
            <w:r w:rsidR="009427A9">
              <w:rPr>
                <w:rFonts w:ascii="Book Antiqua" w:hAnsi="Book Antiqua" w:hint="eastAsia"/>
                <w:sz w:val="22"/>
                <w:szCs w:val="22"/>
                <w:vertAlign w:val="superscript"/>
                <w:lang w:eastAsia="zh-CN"/>
              </w:rPr>
              <w:t>34</w:t>
            </w:r>
            <w:r w:rsidR="009427A9" w:rsidRPr="00C50AB0">
              <w:rPr>
                <w:rFonts w:ascii="Book Antiqua" w:hAnsi="Book Antiqua"/>
                <w:sz w:val="22"/>
                <w:szCs w:val="22"/>
                <w:vertAlign w:val="superscript"/>
              </w:rPr>
              <w:t>]</w:t>
            </w:r>
            <w:r w:rsidRPr="00C50AB0">
              <w:rPr>
                <w:rFonts w:ascii="Book Antiqua" w:hAnsi="Book Antiqua"/>
                <w:sz w:val="22"/>
                <w:szCs w:val="22"/>
                <w:vertAlign w:val="superscript"/>
              </w:rPr>
              <w:t xml:space="preserve"> </w:t>
            </w:r>
            <w:r w:rsidRPr="00C50AB0">
              <w:rPr>
                <w:rFonts w:ascii="Book Antiqua" w:hAnsi="Book Antiqua"/>
                <w:i/>
                <w:sz w:val="22"/>
                <w:szCs w:val="22"/>
              </w:rPr>
              <w:t xml:space="preserve">J Crohns Colitis </w:t>
            </w:r>
            <w:r w:rsidRPr="00C50AB0">
              <w:rPr>
                <w:rFonts w:ascii="Book Antiqua" w:hAnsi="Book Antiqua"/>
                <w:sz w:val="22"/>
                <w:szCs w:val="22"/>
              </w:rPr>
              <w:t>2016</w:t>
            </w:r>
          </w:p>
        </w:tc>
        <w:tc>
          <w:tcPr>
            <w:tcW w:w="874" w:type="pct"/>
          </w:tcPr>
          <w:p w14:paraId="0E3958EE"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Systematic review of 14 studies</w:t>
            </w:r>
          </w:p>
        </w:tc>
        <w:tc>
          <w:tcPr>
            <w:tcW w:w="725" w:type="pct"/>
          </w:tcPr>
          <w:p w14:paraId="49154AFF"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Efficacy and safety of ADA I paediatric patients with CD</w:t>
            </w:r>
          </w:p>
        </w:tc>
        <w:tc>
          <w:tcPr>
            <w:tcW w:w="1466" w:type="pct"/>
          </w:tcPr>
          <w:p w14:paraId="50EAFCBD"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Pooled remission rates:</w:t>
            </w:r>
          </w:p>
          <w:p w14:paraId="61EED246" w14:textId="77777777" w:rsidR="00C50AB0" w:rsidRPr="00C50AB0" w:rsidRDefault="00C50AB0" w:rsidP="006A3266">
            <w:pPr>
              <w:spacing w:line="360" w:lineRule="auto"/>
              <w:jc w:val="both"/>
              <w:rPr>
                <w:rFonts w:ascii="Book Antiqua" w:hAnsi="Book Antiqua"/>
                <w:sz w:val="22"/>
                <w:szCs w:val="22"/>
              </w:rPr>
            </w:pPr>
          </w:p>
          <w:p w14:paraId="2205ABB0" w14:textId="2AAEF720"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 xml:space="preserve">At 4 </w:t>
            </w:r>
            <w:r w:rsidR="009427A9">
              <w:rPr>
                <w:rFonts w:ascii="Book Antiqua" w:hAnsi="Book Antiqua" w:hint="eastAsia"/>
                <w:sz w:val="22"/>
                <w:szCs w:val="22"/>
                <w:lang w:eastAsia="zh-CN"/>
              </w:rPr>
              <w:t>wk</w:t>
            </w:r>
            <w:r w:rsidRPr="00C50AB0">
              <w:rPr>
                <w:rFonts w:ascii="Book Antiqua" w:hAnsi="Book Antiqua"/>
                <w:sz w:val="22"/>
                <w:szCs w:val="22"/>
              </w:rPr>
              <w:t>: 30% (</w:t>
            </w:r>
            <w:r w:rsidR="009427A9" w:rsidRPr="009427A9">
              <w:rPr>
                <w:rFonts w:ascii="Book Antiqua" w:hAnsi="Book Antiqua"/>
                <w:i/>
                <w:sz w:val="22"/>
                <w:szCs w:val="22"/>
              </w:rPr>
              <w:t>n</w:t>
            </w:r>
            <w:r w:rsidR="009427A9" w:rsidRPr="00C50AB0">
              <w:rPr>
                <w:rFonts w:ascii="Book Antiqua" w:hAnsi="Book Antiqua"/>
                <w:sz w:val="22"/>
                <w:szCs w:val="22"/>
              </w:rPr>
              <w:t xml:space="preserve"> </w:t>
            </w:r>
            <w:r w:rsidRPr="00C50AB0">
              <w:rPr>
                <w:rFonts w:ascii="Book Antiqua" w:hAnsi="Book Antiqua"/>
                <w:sz w:val="22"/>
                <w:szCs w:val="22"/>
              </w:rPr>
              <w:t>=</w:t>
            </w:r>
            <w:r w:rsidR="009427A9">
              <w:rPr>
                <w:rFonts w:ascii="Book Antiqua" w:hAnsi="Book Antiqua" w:hint="eastAsia"/>
                <w:sz w:val="22"/>
                <w:szCs w:val="22"/>
                <w:lang w:eastAsia="zh-CN"/>
              </w:rPr>
              <w:t xml:space="preserve"> </w:t>
            </w:r>
            <w:r w:rsidRPr="00C50AB0">
              <w:rPr>
                <w:rFonts w:ascii="Book Antiqua" w:hAnsi="Book Antiqua"/>
                <w:sz w:val="22"/>
                <w:szCs w:val="22"/>
              </w:rPr>
              <w:t>93/309)</w:t>
            </w:r>
          </w:p>
          <w:p w14:paraId="4E9833C3" w14:textId="77777777" w:rsidR="00C50AB0" w:rsidRPr="00C50AB0" w:rsidRDefault="00C50AB0" w:rsidP="006A3266">
            <w:pPr>
              <w:spacing w:line="360" w:lineRule="auto"/>
              <w:jc w:val="both"/>
              <w:rPr>
                <w:rFonts w:ascii="Book Antiqua" w:hAnsi="Book Antiqua"/>
                <w:sz w:val="22"/>
                <w:szCs w:val="22"/>
              </w:rPr>
            </w:pPr>
          </w:p>
          <w:p w14:paraId="40069BDA" w14:textId="47EAF4CB"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At 3 mo</w:t>
            </w:r>
            <w:r w:rsidR="009427A9">
              <w:rPr>
                <w:rFonts w:ascii="Book Antiqua" w:hAnsi="Book Antiqua" w:hint="eastAsia"/>
                <w:sz w:val="22"/>
                <w:szCs w:val="22"/>
                <w:lang w:eastAsia="zh-CN"/>
              </w:rPr>
              <w:t>:</w:t>
            </w:r>
            <w:r w:rsidRPr="00C50AB0">
              <w:rPr>
                <w:rFonts w:ascii="Book Antiqua" w:hAnsi="Book Antiqua"/>
                <w:sz w:val="22"/>
                <w:szCs w:val="22"/>
              </w:rPr>
              <w:t xml:space="preserve"> 54% (</w:t>
            </w:r>
            <w:r w:rsidRPr="009427A9">
              <w:rPr>
                <w:rFonts w:ascii="Book Antiqua" w:hAnsi="Book Antiqua"/>
                <w:i/>
                <w:sz w:val="22"/>
                <w:szCs w:val="22"/>
              </w:rPr>
              <w:t>n</w:t>
            </w:r>
            <w:r w:rsidR="009427A9" w:rsidRPr="009427A9">
              <w:rPr>
                <w:rFonts w:ascii="Book Antiqua" w:hAnsi="Book Antiqua" w:hint="eastAsia"/>
                <w:i/>
                <w:sz w:val="22"/>
                <w:szCs w:val="22"/>
                <w:lang w:eastAsia="zh-CN"/>
              </w:rPr>
              <w:t xml:space="preserve"> </w:t>
            </w:r>
            <w:r w:rsidRPr="00C50AB0">
              <w:rPr>
                <w:rFonts w:ascii="Book Antiqua" w:hAnsi="Book Antiqua"/>
                <w:sz w:val="22"/>
                <w:szCs w:val="22"/>
              </w:rPr>
              <w:t>=</w:t>
            </w:r>
            <w:r w:rsidR="009427A9">
              <w:rPr>
                <w:rFonts w:ascii="Book Antiqua" w:hAnsi="Book Antiqua" w:hint="eastAsia"/>
                <w:sz w:val="22"/>
                <w:szCs w:val="22"/>
                <w:lang w:eastAsia="zh-CN"/>
              </w:rPr>
              <w:t xml:space="preserve"> </w:t>
            </w:r>
            <w:r w:rsidRPr="00C50AB0">
              <w:rPr>
                <w:rFonts w:ascii="Book Antiqua" w:hAnsi="Book Antiqua"/>
                <w:sz w:val="22"/>
                <w:szCs w:val="22"/>
              </w:rPr>
              <w:t>79/145)</w:t>
            </w:r>
          </w:p>
          <w:p w14:paraId="5895D622" w14:textId="77777777" w:rsidR="00C50AB0" w:rsidRPr="00C50AB0" w:rsidRDefault="00C50AB0" w:rsidP="006A3266">
            <w:pPr>
              <w:spacing w:line="360" w:lineRule="auto"/>
              <w:jc w:val="both"/>
              <w:rPr>
                <w:rFonts w:ascii="Book Antiqua" w:hAnsi="Book Antiqua"/>
                <w:sz w:val="22"/>
                <w:szCs w:val="22"/>
              </w:rPr>
            </w:pPr>
          </w:p>
          <w:p w14:paraId="0744AB53" w14:textId="0198E098"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At 4 mo:</w:t>
            </w:r>
          </w:p>
          <w:p w14:paraId="706D41E0" w14:textId="5ABC370D"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45% (</w:t>
            </w:r>
            <w:r w:rsidR="009427A9" w:rsidRPr="009427A9">
              <w:rPr>
                <w:rFonts w:ascii="Book Antiqua" w:hAnsi="Book Antiqua"/>
                <w:i/>
                <w:sz w:val="22"/>
                <w:szCs w:val="22"/>
              </w:rPr>
              <w:t>n</w:t>
            </w:r>
            <w:r w:rsidR="009427A9" w:rsidRPr="00C50AB0">
              <w:rPr>
                <w:rFonts w:ascii="Book Antiqua" w:hAnsi="Book Antiqua"/>
                <w:sz w:val="22"/>
                <w:szCs w:val="22"/>
              </w:rPr>
              <w:t xml:space="preserve"> </w:t>
            </w:r>
            <w:r w:rsidRPr="00C50AB0">
              <w:rPr>
                <w:rFonts w:ascii="Book Antiqua" w:hAnsi="Book Antiqua"/>
                <w:sz w:val="22"/>
                <w:szCs w:val="22"/>
              </w:rPr>
              <w:t>=</w:t>
            </w:r>
            <w:r w:rsidR="009427A9">
              <w:rPr>
                <w:rFonts w:ascii="Book Antiqua" w:hAnsi="Book Antiqua" w:hint="eastAsia"/>
                <w:sz w:val="22"/>
                <w:szCs w:val="22"/>
                <w:lang w:eastAsia="zh-CN"/>
              </w:rPr>
              <w:t xml:space="preserve"> </w:t>
            </w:r>
            <w:r w:rsidRPr="00C50AB0">
              <w:rPr>
                <w:rFonts w:ascii="Book Antiqua" w:hAnsi="Book Antiqua"/>
                <w:sz w:val="22"/>
                <w:szCs w:val="22"/>
              </w:rPr>
              <w:t>18/40)</w:t>
            </w:r>
          </w:p>
          <w:p w14:paraId="2A852D74" w14:textId="77777777" w:rsidR="00C50AB0" w:rsidRPr="00C50AB0" w:rsidRDefault="00C50AB0" w:rsidP="006A3266">
            <w:pPr>
              <w:spacing w:line="360" w:lineRule="auto"/>
              <w:jc w:val="both"/>
              <w:rPr>
                <w:rFonts w:ascii="Book Antiqua" w:hAnsi="Book Antiqua"/>
                <w:sz w:val="22"/>
                <w:szCs w:val="22"/>
              </w:rPr>
            </w:pPr>
          </w:p>
          <w:p w14:paraId="522D9760" w14:textId="14EB6339"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At 6 mo:</w:t>
            </w:r>
          </w:p>
          <w:p w14:paraId="3A152EB8" w14:textId="005D434C"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lastRenderedPageBreak/>
              <w:t>42% (</w:t>
            </w:r>
            <w:r w:rsidRPr="009427A9">
              <w:rPr>
                <w:rFonts w:ascii="Book Antiqua" w:hAnsi="Book Antiqua"/>
                <w:i/>
                <w:sz w:val="22"/>
                <w:szCs w:val="22"/>
              </w:rPr>
              <w:t>n</w:t>
            </w:r>
            <w:r w:rsidR="009427A9">
              <w:rPr>
                <w:rFonts w:ascii="Book Antiqua" w:hAnsi="Book Antiqua" w:hint="eastAsia"/>
                <w:sz w:val="22"/>
                <w:szCs w:val="22"/>
                <w:lang w:eastAsia="zh-CN"/>
              </w:rPr>
              <w:t xml:space="preserve"> </w:t>
            </w:r>
            <w:r w:rsidRPr="00C50AB0">
              <w:rPr>
                <w:rFonts w:ascii="Book Antiqua" w:hAnsi="Book Antiqua"/>
                <w:sz w:val="22"/>
                <w:szCs w:val="22"/>
              </w:rPr>
              <w:t>=</w:t>
            </w:r>
            <w:r w:rsidR="009427A9">
              <w:rPr>
                <w:rFonts w:ascii="Book Antiqua" w:hAnsi="Book Antiqua" w:hint="eastAsia"/>
                <w:sz w:val="22"/>
                <w:szCs w:val="22"/>
                <w:lang w:eastAsia="zh-CN"/>
              </w:rPr>
              <w:t xml:space="preserve"> </w:t>
            </w:r>
            <w:r w:rsidRPr="00C50AB0">
              <w:rPr>
                <w:rFonts w:ascii="Book Antiqua" w:hAnsi="Book Antiqua"/>
                <w:sz w:val="22"/>
                <w:szCs w:val="22"/>
              </w:rPr>
              <w:t>146/345)</w:t>
            </w:r>
          </w:p>
          <w:p w14:paraId="59AE1173" w14:textId="77777777" w:rsidR="00C50AB0" w:rsidRPr="00C50AB0" w:rsidRDefault="00C50AB0" w:rsidP="006A3266">
            <w:pPr>
              <w:spacing w:line="360" w:lineRule="auto"/>
              <w:jc w:val="both"/>
              <w:rPr>
                <w:rFonts w:ascii="Book Antiqua" w:hAnsi="Book Antiqua"/>
                <w:sz w:val="22"/>
                <w:szCs w:val="22"/>
              </w:rPr>
            </w:pPr>
          </w:p>
          <w:p w14:paraId="05E042FF" w14:textId="20F72B70"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At 8 mo:</w:t>
            </w:r>
          </w:p>
          <w:p w14:paraId="0776D86D" w14:textId="4A8A6331"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57% (</w:t>
            </w:r>
            <w:r w:rsidRPr="009427A9">
              <w:rPr>
                <w:rFonts w:ascii="Book Antiqua" w:hAnsi="Book Antiqua"/>
                <w:i/>
                <w:sz w:val="22"/>
                <w:szCs w:val="22"/>
              </w:rPr>
              <w:t>n</w:t>
            </w:r>
            <w:r w:rsidR="009427A9">
              <w:rPr>
                <w:rFonts w:ascii="Book Antiqua" w:hAnsi="Book Antiqua" w:hint="eastAsia"/>
                <w:sz w:val="22"/>
                <w:szCs w:val="22"/>
                <w:lang w:eastAsia="zh-CN"/>
              </w:rPr>
              <w:t xml:space="preserve"> </w:t>
            </w:r>
            <w:r w:rsidRPr="00C50AB0">
              <w:rPr>
                <w:rFonts w:ascii="Book Antiqua" w:hAnsi="Book Antiqua"/>
                <w:sz w:val="22"/>
                <w:szCs w:val="22"/>
              </w:rPr>
              <w:t>=</w:t>
            </w:r>
            <w:r w:rsidR="009427A9">
              <w:rPr>
                <w:rFonts w:ascii="Book Antiqua" w:hAnsi="Book Antiqua" w:hint="eastAsia"/>
                <w:sz w:val="22"/>
                <w:szCs w:val="22"/>
                <w:lang w:eastAsia="zh-CN"/>
              </w:rPr>
              <w:t xml:space="preserve"> </w:t>
            </w:r>
            <w:r w:rsidRPr="00C50AB0">
              <w:rPr>
                <w:rFonts w:ascii="Book Antiqua" w:hAnsi="Book Antiqua"/>
                <w:sz w:val="22"/>
                <w:szCs w:val="22"/>
              </w:rPr>
              <w:t>20/35)</w:t>
            </w:r>
          </w:p>
          <w:p w14:paraId="75599261" w14:textId="77777777" w:rsidR="00C50AB0" w:rsidRPr="00C50AB0" w:rsidRDefault="00C50AB0" w:rsidP="006A3266">
            <w:pPr>
              <w:spacing w:line="360" w:lineRule="auto"/>
              <w:jc w:val="both"/>
              <w:rPr>
                <w:rFonts w:ascii="Book Antiqua" w:hAnsi="Book Antiqua"/>
                <w:sz w:val="22"/>
                <w:szCs w:val="22"/>
              </w:rPr>
            </w:pPr>
          </w:p>
          <w:p w14:paraId="085189B4" w14:textId="2DBF5A4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At 12 mo:</w:t>
            </w:r>
          </w:p>
          <w:p w14:paraId="3B1C789C" w14:textId="77D47CA9"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44% (</w:t>
            </w:r>
            <w:r w:rsidRPr="009427A9">
              <w:rPr>
                <w:rFonts w:ascii="Book Antiqua" w:hAnsi="Book Antiqua"/>
                <w:i/>
                <w:sz w:val="22"/>
                <w:szCs w:val="22"/>
              </w:rPr>
              <w:t>n</w:t>
            </w:r>
            <w:r w:rsidR="009427A9">
              <w:rPr>
                <w:rFonts w:ascii="Book Antiqua" w:hAnsi="Book Antiqua" w:hint="eastAsia"/>
                <w:sz w:val="22"/>
                <w:szCs w:val="22"/>
                <w:lang w:eastAsia="zh-CN"/>
              </w:rPr>
              <w:t xml:space="preserve"> </w:t>
            </w:r>
            <w:r w:rsidRPr="00C50AB0">
              <w:rPr>
                <w:rFonts w:ascii="Book Antiqua" w:hAnsi="Book Antiqua"/>
                <w:sz w:val="22"/>
                <w:szCs w:val="22"/>
              </w:rPr>
              <w:t>=</w:t>
            </w:r>
            <w:r w:rsidR="009427A9">
              <w:rPr>
                <w:rFonts w:ascii="Book Antiqua" w:hAnsi="Book Antiqua" w:hint="eastAsia"/>
                <w:sz w:val="22"/>
                <w:szCs w:val="22"/>
                <w:lang w:eastAsia="zh-CN"/>
              </w:rPr>
              <w:t xml:space="preserve"> </w:t>
            </w:r>
            <w:r w:rsidRPr="00C50AB0">
              <w:rPr>
                <w:rFonts w:ascii="Book Antiqua" w:hAnsi="Book Antiqua"/>
                <w:sz w:val="22"/>
                <w:szCs w:val="22"/>
              </w:rPr>
              <w:t>169/383)</w:t>
            </w:r>
          </w:p>
          <w:p w14:paraId="4E4BD7AE" w14:textId="77777777" w:rsidR="00C50AB0" w:rsidRPr="00C50AB0" w:rsidRDefault="00C50AB0" w:rsidP="006A3266">
            <w:pPr>
              <w:spacing w:line="360" w:lineRule="auto"/>
              <w:jc w:val="both"/>
              <w:rPr>
                <w:rFonts w:ascii="Book Antiqua" w:hAnsi="Book Antiqua"/>
                <w:sz w:val="22"/>
                <w:szCs w:val="22"/>
              </w:rPr>
            </w:pPr>
          </w:p>
          <w:p w14:paraId="4E9E1456"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Primary non-responders: 6% (13/207)</w:t>
            </w:r>
          </w:p>
          <w:p w14:paraId="217F1730" w14:textId="77777777" w:rsidR="00C50AB0" w:rsidRPr="00C50AB0" w:rsidRDefault="00C50AB0" w:rsidP="006A3266">
            <w:pPr>
              <w:spacing w:line="360" w:lineRule="auto"/>
              <w:jc w:val="both"/>
              <w:rPr>
                <w:rFonts w:ascii="Book Antiqua" w:hAnsi="Book Antiqua"/>
                <w:sz w:val="22"/>
                <w:szCs w:val="22"/>
              </w:rPr>
            </w:pPr>
          </w:p>
          <w:p w14:paraId="23A94E27"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Severe adverse events: 12% (69/599)</w:t>
            </w:r>
          </w:p>
        </w:tc>
        <w:tc>
          <w:tcPr>
            <w:tcW w:w="1045" w:type="pct"/>
          </w:tcPr>
          <w:p w14:paraId="3127ED1C"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lastRenderedPageBreak/>
              <w:t>According to low-quality evidence based mainly on case series, approximately half of children with CD on ADA therapy achieve remission during the first year of the therapy with reasonable safety profile</w:t>
            </w:r>
          </w:p>
        </w:tc>
      </w:tr>
      <w:tr w:rsidR="00C50AB0" w:rsidRPr="00C50AB0" w14:paraId="0C060779" w14:textId="77777777" w:rsidTr="009427A9">
        <w:trPr>
          <w:trHeight w:val="364"/>
        </w:trPr>
        <w:tc>
          <w:tcPr>
            <w:tcW w:w="890" w:type="pct"/>
          </w:tcPr>
          <w:p w14:paraId="5AEBD1B2" w14:textId="1B85C3CA" w:rsidR="00C50AB0" w:rsidRPr="00C50AB0" w:rsidRDefault="00C50AB0" w:rsidP="006A3266">
            <w:pPr>
              <w:spacing w:line="360" w:lineRule="auto"/>
              <w:jc w:val="both"/>
              <w:rPr>
                <w:rFonts w:ascii="Book Antiqua" w:hAnsi="Book Antiqua"/>
                <w:i/>
                <w:sz w:val="22"/>
                <w:szCs w:val="22"/>
              </w:rPr>
            </w:pPr>
            <w:r w:rsidRPr="00C50AB0">
              <w:rPr>
                <w:rFonts w:ascii="Book Antiqua" w:hAnsi="Book Antiqua"/>
                <w:i/>
                <w:sz w:val="22"/>
                <w:szCs w:val="22"/>
              </w:rPr>
              <w:t xml:space="preserve">Conrad </w:t>
            </w:r>
            <w:r w:rsidR="009427A9" w:rsidRPr="009427A9">
              <w:rPr>
                <w:rFonts w:ascii="Book Antiqua" w:hAnsi="Book Antiqua"/>
                <w:i/>
                <w:sz w:val="22"/>
                <w:szCs w:val="22"/>
              </w:rPr>
              <w:t>et al</w:t>
            </w:r>
            <w:r w:rsidR="009427A9" w:rsidRPr="008714A7">
              <w:rPr>
                <w:rFonts w:ascii="Book Antiqua" w:hAnsi="Book Antiqua"/>
                <w:sz w:val="22"/>
                <w:szCs w:val="22"/>
                <w:vertAlign w:val="superscript"/>
              </w:rPr>
              <w:t>[</w:t>
            </w:r>
            <w:r w:rsidR="009427A9">
              <w:rPr>
                <w:rFonts w:ascii="Book Antiqua" w:hAnsi="Book Antiqua" w:hint="eastAsia"/>
                <w:sz w:val="22"/>
                <w:szCs w:val="22"/>
                <w:vertAlign w:val="superscript"/>
                <w:lang w:eastAsia="zh-CN"/>
              </w:rPr>
              <w:t>39</w:t>
            </w:r>
            <w:r w:rsidR="009427A9" w:rsidRPr="00C50AB0">
              <w:rPr>
                <w:rFonts w:ascii="Book Antiqua" w:hAnsi="Book Antiqua"/>
                <w:sz w:val="22"/>
                <w:szCs w:val="22"/>
                <w:vertAlign w:val="superscript"/>
              </w:rPr>
              <w:t>]</w:t>
            </w:r>
            <w:r w:rsidRPr="00C50AB0">
              <w:rPr>
                <w:rFonts w:ascii="Book Antiqua" w:hAnsi="Book Antiqua"/>
                <w:sz w:val="22"/>
                <w:szCs w:val="22"/>
              </w:rPr>
              <w:t xml:space="preserve"> </w:t>
            </w:r>
            <w:r w:rsidRPr="00C50AB0">
              <w:rPr>
                <w:rFonts w:ascii="Book Antiqua" w:hAnsi="Book Antiqua"/>
                <w:i/>
                <w:sz w:val="22"/>
                <w:szCs w:val="22"/>
              </w:rPr>
              <w:t>Inflamm Bowel Dis</w:t>
            </w:r>
            <w:r w:rsidRPr="00C50AB0">
              <w:rPr>
                <w:rFonts w:ascii="Book Antiqua" w:hAnsi="Book Antiqua"/>
                <w:sz w:val="22"/>
                <w:szCs w:val="22"/>
              </w:rPr>
              <w:t xml:space="preserve"> 2016</w:t>
            </w:r>
          </w:p>
        </w:tc>
        <w:tc>
          <w:tcPr>
            <w:tcW w:w="874" w:type="pct"/>
          </w:tcPr>
          <w:p w14:paraId="23D87AD9"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Observational, single-centre, prospective cohort study</w:t>
            </w:r>
          </w:p>
        </w:tc>
        <w:tc>
          <w:tcPr>
            <w:tcW w:w="725" w:type="pct"/>
          </w:tcPr>
          <w:p w14:paraId="42EDA0DD"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21 paediatric patients (16 CD, 5 UC) with refractory IBD who had previously failed anti-TNF</w:t>
            </w:r>
            <w:r w:rsidRPr="00C50AB0">
              <w:rPr>
                <w:rFonts w:ascii="Book Antiqua" w:hAnsi="Book Antiqua"/>
                <w:sz w:val="22"/>
                <w:szCs w:val="22"/>
              </w:rPr>
              <w:sym w:font="Symbol" w:char="F061"/>
            </w:r>
            <w:r w:rsidRPr="00C50AB0">
              <w:rPr>
                <w:rFonts w:ascii="Book Antiqua" w:hAnsi="Book Antiqua"/>
                <w:sz w:val="22"/>
                <w:szCs w:val="22"/>
              </w:rPr>
              <w:t xml:space="preserve"> therapy</w:t>
            </w:r>
          </w:p>
          <w:p w14:paraId="31410372" w14:textId="77777777" w:rsidR="00C50AB0" w:rsidRPr="00C50AB0" w:rsidRDefault="00C50AB0" w:rsidP="006A3266">
            <w:pPr>
              <w:spacing w:line="360" w:lineRule="auto"/>
              <w:jc w:val="both"/>
              <w:rPr>
                <w:rFonts w:ascii="Book Antiqua" w:hAnsi="Book Antiqua"/>
                <w:sz w:val="22"/>
                <w:szCs w:val="22"/>
              </w:rPr>
            </w:pPr>
          </w:p>
          <w:p w14:paraId="262DF8FE" w14:textId="77777777" w:rsidR="00C50AB0" w:rsidRPr="00C50AB0" w:rsidRDefault="00C50AB0" w:rsidP="006A3266">
            <w:pPr>
              <w:spacing w:line="360" w:lineRule="auto"/>
              <w:jc w:val="both"/>
              <w:rPr>
                <w:rFonts w:ascii="Book Antiqua" w:hAnsi="Book Antiqua"/>
                <w:sz w:val="22"/>
                <w:szCs w:val="22"/>
              </w:rPr>
            </w:pPr>
          </w:p>
        </w:tc>
        <w:tc>
          <w:tcPr>
            <w:tcW w:w="1466" w:type="pct"/>
          </w:tcPr>
          <w:p w14:paraId="4CB5F42D"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 xml:space="preserve">Clinical response post treatment with vedolizumab: </w:t>
            </w:r>
          </w:p>
          <w:p w14:paraId="7B653C42" w14:textId="77777777" w:rsidR="00C50AB0" w:rsidRPr="00C50AB0" w:rsidRDefault="00C50AB0" w:rsidP="006A3266">
            <w:pPr>
              <w:spacing w:line="360" w:lineRule="auto"/>
              <w:jc w:val="both"/>
              <w:rPr>
                <w:rFonts w:ascii="Book Antiqua" w:hAnsi="Book Antiqua"/>
                <w:sz w:val="22"/>
                <w:szCs w:val="22"/>
              </w:rPr>
            </w:pPr>
          </w:p>
          <w:p w14:paraId="75C5AEFA"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6/19 (31.6%) at week 6</w:t>
            </w:r>
          </w:p>
          <w:p w14:paraId="3BD6A887"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11/19 (57.9%) at week 22</w:t>
            </w:r>
          </w:p>
          <w:p w14:paraId="350C18B0" w14:textId="77777777" w:rsidR="00C50AB0" w:rsidRPr="00C50AB0" w:rsidRDefault="00C50AB0" w:rsidP="006A3266">
            <w:pPr>
              <w:spacing w:line="360" w:lineRule="auto"/>
              <w:jc w:val="both"/>
              <w:rPr>
                <w:rFonts w:ascii="Book Antiqua" w:hAnsi="Book Antiqua"/>
                <w:sz w:val="22"/>
                <w:szCs w:val="22"/>
              </w:rPr>
            </w:pPr>
          </w:p>
          <w:p w14:paraId="2C1BE304"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Steroid-free remission in 1/20 (5%) at week 6, 3/20 (15%) at week 14 and 4/20 (20%) at week 22.</w:t>
            </w:r>
          </w:p>
          <w:p w14:paraId="44E0EA71" w14:textId="77777777" w:rsidR="00C50AB0" w:rsidRPr="00C50AB0" w:rsidRDefault="00C50AB0" w:rsidP="006A3266">
            <w:pPr>
              <w:spacing w:line="360" w:lineRule="auto"/>
              <w:jc w:val="both"/>
              <w:rPr>
                <w:rFonts w:ascii="Book Antiqua" w:hAnsi="Book Antiqua"/>
                <w:sz w:val="22"/>
                <w:szCs w:val="22"/>
              </w:rPr>
            </w:pPr>
          </w:p>
          <w:p w14:paraId="038ED0AA" w14:textId="77777777" w:rsidR="00C50AB0" w:rsidRPr="00C50AB0" w:rsidRDefault="00C50AB0" w:rsidP="006A3266">
            <w:pPr>
              <w:spacing w:line="360" w:lineRule="auto"/>
              <w:jc w:val="both"/>
              <w:rPr>
                <w:rFonts w:ascii="Book Antiqua" w:hAnsi="Book Antiqua"/>
                <w:sz w:val="22"/>
                <w:szCs w:val="22"/>
              </w:rPr>
            </w:pPr>
          </w:p>
        </w:tc>
        <w:tc>
          <w:tcPr>
            <w:tcW w:w="1045" w:type="pct"/>
          </w:tcPr>
          <w:p w14:paraId="18E7B48B" w14:textId="77777777" w:rsidR="00C50AB0" w:rsidRPr="00C50AB0" w:rsidRDefault="00C50AB0" w:rsidP="006A3266">
            <w:pPr>
              <w:spacing w:line="360" w:lineRule="auto"/>
              <w:jc w:val="both"/>
              <w:rPr>
                <w:rFonts w:ascii="Book Antiqua" w:hAnsi="Book Antiqua"/>
                <w:sz w:val="22"/>
                <w:szCs w:val="22"/>
              </w:rPr>
            </w:pPr>
          </w:p>
        </w:tc>
      </w:tr>
      <w:tr w:rsidR="00C50AB0" w:rsidRPr="00C50AB0" w14:paraId="37830838" w14:textId="77777777" w:rsidTr="009427A9">
        <w:trPr>
          <w:trHeight w:val="364"/>
        </w:trPr>
        <w:tc>
          <w:tcPr>
            <w:tcW w:w="890" w:type="pct"/>
          </w:tcPr>
          <w:p w14:paraId="5E5971AA" w14:textId="0B57DB92" w:rsidR="00C50AB0" w:rsidRPr="00C50AB0" w:rsidRDefault="00C50AB0" w:rsidP="006A3266">
            <w:pPr>
              <w:spacing w:line="360" w:lineRule="auto"/>
              <w:jc w:val="both"/>
              <w:rPr>
                <w:rFonts w:ascii="Book Antiqua" w:hAnsi="Book Antiqua"/>
                <w:i/>
                <w:sz w:val="22"/>
                <w:szCs w:val="22"/>
              </w:rPr>
            </w:pPr>
            <w:r w:rsidRPr="00C50AB0">
              <w:rPr>
                <w:rFonts w:ascii="Book Antiqua" w:hAnsi="Book Antiqua"/>
                <w:i/>
                <w:sz w:val="22"/>
                <w:szCs w:val="22"/>
              </w:rPr>
              <w:t xml:space="preserve">Singh </w:t>
            </w:r>
            <w:r w:rsidR="009427A9" w:rsidRPr="009427A9">
              <w:rPr>
                <w:rFonts w:ascii="Book Antiqua" w:hAnsi="Book Antiqua"/>
                <w:i/>
                <w:sz w:val="22"/>
                <w:szCs w:val="22"/>
              </w:rPr>
              <w:t>et al</w:t>
            </w:r>
            <w:r w:rsidR="009427A9" w:rsidRPr="008714A7">
              <w:rPr>
                <w:rFonts w:ascii="Book Antiqua" w:hAnsi="Book Antiqua"/>
                <w:sz w:val="22"/>
                <w:szCs w:val="22"/>
                <w:vertAlign w:val="superscript"/>
              </w:rPr>
              <w:t>[</w:t>
            </w:r>
            <w:r w:rsidR="009427A9">
              <w:rPr>
                <w:rFonts w:ascii="Book Antiqua" w:hAnsi="Book Antiqua" w:hint="eastAsia"/>
                <w:sz w:val="22"/>
                <w:szCs w:val="22"/>
                <w:vertAlign w:val="superscript"/>
                <w:lang w:eastAsia="zh-CN"/>
              </w:rPr>
              <w:t>44</w:t>
            </w:r>
            <w:r w:rsidR="009427A9" w:rsidRPr="00C50AB0">
              <w:rPr>
                <w:rFonts w:ascii="Book Antiqua" w:hAnsi="Book Antiqua"/>
                <w:sz w:val="22"/>
                <w:szCs w:val="22"/>
                <w:vertAlign w:val="superscript"/>
              </w:rPr>
              <w:t>]</w:t>
            </w:r>
            <w:r w:rsidR="009427A9">
              <w:rPr>
                <w:rFonts w:ascii="Book Antiqua" w:hAnsi="Book Antiqua" w:hint="eastAsia"/>
                <w:sz w:val="22"/>
                <w:szCs w:val="22"/>
                <w:vertAlign w:val="superscript"/>
                <w:lang w:eastAsia="zh-CN"/>
              </w:rPr>
              <w:t xml:space="preserve"> </w:t>
            </w:r>
            <w:r w:rsidRPr="00C50AB0">
              <w:rPr>
                <w:rFonts w:ascii="Book Antiqua" w:hAnsi="Book Antiqua"/>
                <w:i/>
                <w:sz w:val="22"/>
                <w:szCs w:val="22"/>
              </w:rPr>
              <w:t xml:space="preserve">Inflamm Bowel </w:t>
            </w:r>
            <w:r w:rsidRPr="00C50AB0">
              <w:rPr>
                <w:rFonts w:ascii="Book Antiqua" w:hAnsi="Book Antiqua"/>
                <w:i/>
                <w:sz w:val="22"/>
                <w:szCs w:val="22"/>
              </w:rPr>
              <w:lastRenderedPageBreak/>
              <w:t xml:space="preserve">Dis </w:t>
            </w:r>
            <w:r w:rsidRPr="00C50AB0">
              <w:rPr>
                <w:rFonts w:ascii="Book Antiqua" w:hAnsi="Book Antiqua"/>
                <w:sz w:val="22"/>
                <w:szCs w:val="22"/>
              </w:rPr>
              <w:t>2016</w:t>
            </w:r>
          </w:p>
        </w:tc>
        <w:tc>
          <w:tcPr>
            <w:tcW w:w="874" w:type="pct"/>
          </w:tcPr>
          <w:p w14:paraId="286A7641"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lastRenderedPageBreak/>
              <w:t xml:space="preserve">Retrospective </w:t>
            </w:r>
            <w:r w:rsidRPr="00C50AB0">
              <w:rPr>
                <w:rFonts w:ascii="Book Antiqua" w:hAnsi="Book Antiqua"/>
                <w:sz w:val="22"/>
                <w:szCs w:val="22"/>
              </w:rPr>
              <w:lastRenderedPageBreak/>
              <w:t>review on the experience with vedolizumab</w:t>
            </w:r>
          </w:p>
        </w:tc>
        <w:tc>
          <w:tcPr>
            <w:tcW w:w="725" w:type="pct"/>
          </w:tcPr>
          <w:p w14:paraId="174759E2" w14:textId="6434F945"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lastRenderedPageBreak/>
              <w:t xml:space="preserve">52 paediatric </w:t>
            </w:r>
            <w:r w:rsidRPr="00C50AB0">
              <w:rPr>
                <w:rFonts w:ascii="Book Antiqua" w:hAnsi="Book Antiqua"/>
                <w:sz w:val="22"/>
                <w:szCs w:val="22"/>
              </w:rPr>
              <w:lastRenderedPageBreak/>
              <w:t xml:space="preserve">patients with IBD, 90% of whom had failed </w:t>
            </w:r>
            <w:r w:rsidRPr="00C50AB0">
              <w:rPr>
                <w:rFonts w:ascii="Book Antiqua" w:hAnsi="Book Antiqua"/>
                <w:sz w:val="22"/>
                <w:szCs w:val="22"/>
              </w:rPr>
              <w:sym w:font="Symbol" w:char="F0B3"/>
            </w:r>
            <w:r w:rsidR="009427A9">
              <w:rPr>
                <w:rFonts w:ascii="Book Antiqua" w:hAnsi="Book Antiqua" w:hint="eastAsia"/>
                <w:sz w:val="22"/>
                <w:szCs w:val="22"/>
                <w:lang w:eastAsia="zh-CN"/>
              </w:rPr>
              <w:t xml:space="preserve"> </w:t>
            </w:r>
            <w:r w:rsidRPr="00C50AB0">
              <w:rPr>
                <w:rFonts w:ascii="Book Antiqua" w:hAnsi="Book Antiqua"/>
                <w:sz w:val="22"/>
                <w:szCs w:val="22"/>
              </w:rPr>
              <w:t>1 anti-TNF agent</w:t>
            </w:r>
          </w:p>
        </w:tc>
        <w:tc>
          <w:tcPr>
            <w:tcW w:w="1466" w:type="pct"/>
          </w:tcPr>
          <w:p w14:paraId="274FE468"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lastRenderedPageBreak/>
              <w:t xml:space="preserve">Week 14 remission </w:t>
            </w:r>
            <w:r w:rsidRPr="00C50AB0">
              <w:rPr>
                <w:rFonts w:ascii="Book Antiqua" w:hAnsi="Book Antiqua"/>
                <w:sz w:val="22"/>
                <w:szCs w:val="22"/>
              </w:rPr>
              <w:lastRenderedPageBreak/>
              <w:t>rates: 76% for UC, 42% for CD,</w:t>
            </w:r>
          </w:p>
          <w:p w14:paraId="3EFA3130"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80% of anti-TNF naïve IBD</w:t>
            </w:r>
          </w:p>
          <w:p w14:paraId="1F3DDC40" w14:textId="77777777" w:rsidR="00C50AB0" w:rsidRPr="00C50AB0" w:rsidRDefault="00C50AB0" w:rsidP="006A3266">
            <w:pPr>
              <w:spacing w:line="360" w:lineRule="auto"/>
              <w:jc w:val="both"/>
              <w:rPr>
                <w:rFonts w:ascii="Book Antiqua" w:hAnsi="Book Antiqua"/>
                <w:sz w:val="22"/>
                <w:szCs w:val="22"/>
              </w:rPr>
            </w:pPr>
          </w:p>
          <w:p w14:paraId="2337469D"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Week 22 remission rates:</w:t>
            </w:r>
          </w:p>
          <w:p w14:paraId="1A9CB3D4"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 xml:space="preserve">100% anti-TNF naïve </w:t>
            </w:r>
            <w:r w:rsidRPr="009427A9">
              <w:rPr>
                <w:rFonts w:ascii="Book Antiqua" w:hAnsi="Book Antiqua"/>
                <w:i/>
                <w:sz w:val="22"/>
                <w:szCs w:val="22"/>
              </w:rPr>
              <w:t>vs</w:t>
            </w:r>
            <w:r w:rsidRPr="00C50AB0">
              <w:rPr>
                <w:rFonts w:ascii="Book Antiqua" w:hAnsi="Book Antiqua"/>
                <w:sz w:val="22"/>
                <w:szCs w:val="22"/>
              </w:rPr>
              <w:t xml:space="preserve"> 45% anti-TNF exposed</w:t>
            </w:r>
          </w:p>
        </w:tc>
        <w:tc>
          <w:tcPr>
            <w:tcW w:w="1045" w:type="pct"/>
          </w:tcPr>
          <w:p w14:paraId="08AB87BD"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lastRenderedPageBreak/>
              <w:t xml:space="preserve">Clinical response to </w:t>
            </w:r>
            <w:r w:rsidRPr="00C50AB0">
              <w:rPr>
                <w:rFonts w:ascii="Book Antiqua" w:hAnsi="Book Antiqua"/>
                <w:sz w:val="22"/>
                <w:szCs w:val="22"/>
              </w:rPr>
              <w:lastRenderedPageBreak/>
              <w:t xml:space="preserve">vedolizumab in children with moderate/severe CD increases from week 14 to week 22 </w:t>
            </w:r>
          </w:p>
        </w:tc>
      </w:tr>
      <w:tr w:rsidR="00C50AB0" w:rsidRPr="00C50AB0" w14:paraId="0805D911" w14:textId="77777777" w:rsidTr="009427A9">
        <w:trPr>
          <w:trHeight w:val="364"/>
        </w:trPr>
        <w:tc>
          <w:tcPr>
            <w:tcW w:w="890" w:type="pct"/>
          </w:tcPr>
          <w:p w14:paraId="38DF2CC7" w14:textId="14D47772" w:rsidR="00C50AB0" w:rsidRPr="00C50AB0" w:rsidRDefault="00C50AB0" w:rsidP="006A3266">
            <w:pPr>
              <w:spacing w:line="360" w:lineRule="auto"/>
              <w:jc w:val="both"/>
              <w:rPr>
                <w:rFonts w:ascii="Book Antiqua" w:hAnsi="Book Antiqua"/>
                <w:i/>
                <w:sz w:val="22"/>
                <w:szCs w:val="22"/>
              </w:rPr>
            </w:pPr>
            <w:r w:rsidRPr="00C50AB0">
              <w:rPr>
                <w:rFonts w:ascii="Book Antiqua" w:hAnsi="Book Antiqua"/>
                <w:i/>
                <w:sz w:val="22"/>
                <w:szCs w:val="22"/>
              </w:rPr>
              <w:lastRenderedPageBreak/>
              <w:t xml:space="preserve">Sieczkowska </w:t>
            </w:r>
            <w:r w:rsidR="009427A9" w:rsidRPr="009427A9">
              <w:rPr>
                <w:rFonts w:ascii="Book Antiqua" w:hAnsi="Book Antiqua"/>
                <w:i/>
                <w:sz w:val="22"/>
                <w:szCs w:val="22"/>
              </w:rPr>
              <w:t>et al</w:t>
            </w:r>
            <w:r w:rsidR="009427A9" w:rsidRPr="008714A7">
              <w:rPr>
                <w:rFonts w:ascii="Book Antiqua" w:hAnsi="Book Antiqua"/>
                <w:sz w:val="22"/>
                <w:szCs w:val="22"/>
                <w:vertAlign w:val="superscript"/>
              </w:rPr>
              <w:t>[</w:t>
            </w:r>
            <w:r w:rsidR="009427A9">
              <w:rPr>
                <w:rFonts w:ascii="Book Antiqua" w:hAnsi="Book Antiqua" w:hint="eastAsia"/>
                <w:sz w:val="22"/>
                <w:szCs w:val="22"/>
                <w:vertAlign w:val="superscript"/>
                <w:lang w:eastAsia="zh-CN"/>
              </w:rPr>
              <w:t>46</w:t>
            </w:r>
            <w:r w:rsidR="009427A9" w:rsidRPr="00C50AB0">
              <w:rPr>
                <w:rFonts w:ascii="Book Antiqua" w:hAnsi="Book Antiqua"/>
                <w:sz w:val="22"/>
                <w:szCs w:val="22"/>
                <w:vertAlign w:val="superscript"/>
              </w:rPr>
              <w:t>]</w:t>
            </w:r>
            <w:r w:rsidR="009427A9">
              <w:rPr>
                <w:rFonts w:ascii="Book Antiqua" w:hAnsi="Book Antiqua" w:hint="eastAsia"/>
                <w:sz w:val="22"/>
                <w:szCs w:val="22"/>
                <w:vertAlign w:val="superscript"/>
                <w:lang w:eastAsia="zh-CN"/>
              </w:rPr>
              <w:t xml:space="preserve"> </w:t>
            </w:r>
            <w:r w:rsidRPr="00C50AB0">
              <w:rPr>
                <w:rFonts w:ascii="Book Antiqua" w:hAnsi="Book Antiqua"/>
                <w:i/>
                <w:sz w:val="22"/>
                <w:szCs w:val="22"/>
              </w:rPr>
              <w:t>J</w:t>
            </w:r>
            <w:r w:rsidRPr="00C50AB0">
              <w:rPr>
                <w:rFonts w:ascii="Book Antiqua" w:hAnsi="Book Antiqua"/>
                <w:sz w:val="22"/>
                <w:szCs w:val="22"/>
              </w:rPr>
              <w:t xml:space="preserve"> </w:t>
            </w:r>
            <w:r w:rsidRPr="00C50AB0">
              <w:rPr>
                <w:rFonts w:ascii="Book Antiqua" w:hAnsi="Book Antiqua"/>
                <w:i/>
                <w:sz w:val="22"/>
                <w:szCs w:val="22"/>
              </w:rPr>
              <w:t xml:space="preserve">Crohns Colitis </w:t>
            </w:r>
            <w:r w:rsidRPr="00C50AB0">
              <w:rPr>
                <w:rFonts w:ascii="Book Antiqua" w:hAnsi="Book Antiqua"/>
                <w:sz w:val="22"/>
                <w:szCs w:val="22"/>
              </w:rPr>
              <w:t>2016</w:t>
            </w:r>
          </w:p>
        </w:tc>
        <w:tc>
          <w:tcPr>
            <w:tcW w:w="874" w:type="pct"/>
          </w:tcPr>
          <w:p w14:paraId="64C59F5D"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Prospective cohort study</w:t>
            </w:r>
          </w:p>
        </w:tc>
        <w:tc>
          <w:tcPr>
            <w:tcW w:w="725" w:type="pct"/>
          </w:tcPr>
          <w:p w14:paraId="0C7FA128"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39 paediatric patients: 32 with CD, 7 with UC</w:t>
            </w:r>
          </w:p>
          <w:p w14:paraId="1756445D" w14:textId="77777777" w:rsidR="00C50AB0" w:rsidRPr="00C50AB0" w:rsidRDefault="00C50AB0" w:rsidP="006A3266">
            <w:pPr>
              <w:spacing w:line="360" w:lineRule="auto"/>
              <w:jc w:val="both"/>
              <w:rPr>
                <w:rFonts w:ascii="Book Antiqua" w:hAnsi="Book Antiqua"/>
                <w:sz w:val="22"/>
                <w:szCs w:val="22"/>
              </w:rPr>
            </w:pPr>
          </w:p>
          <w:p w14:paraId="63896C8A"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Children were switched from IFX originator to its biosimilar</w:t>
            </w:r>
          </w:p>
          <w:p w14:paraId="2A15D249" w14:textId="77777777" w:rsidR="00C50AB0" w:rsidRPr="00C50AB0" w:rsidRDefault="00C50AB0" w:rsidP="006A3266">
            <w:pPr>
              <w:spacing w:line="360" w:lineRule="auto"/>
              <w:jc w:val="both"/>
              <w:rPr>
                <w:rFonts w:ascii="Book Antiqua" w:hAnsi="Book Antiqua"/>
                <w:sz w:val="22"/>
                <w:szCs w:val="22"/>
              </w:rPr>
            </w:pPr>
          </w:p>
          <w:p w14:paraId="2231006E"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 xml:space="preserve">All patients had PCDAI </w:t>
            </w:r>
            <w:r w:rsidRPr="00C50AB0">
              <w:rPr>
                <w:rFonts w:ascii="Book Antiqua" w:hAnsi="Book Antiqua"/>
                <w:sz w:val="22"/>
                <w:szCs w:val="22"/>
              </w:rPr>
              <w:sym w:font="Symbol" w:char="F0B3"/>
            </w:r>
            <w:r w:rsidRPr="00C50AB0">
              <w:rPr>
                <w:rFonts w:ascii="Book Antiqua" w:hAnsi="Book Antiqua"/>
                <w:sz w:val="22"/>
                <w:szCs w:val="22"/>
              </w:rPr>
              <w:t xml:space="preserve"> 25 at the time of switching</w:t>
            </w:r>
          </w:p>
        </w:tc>
        <w:tc>
          <w:tcPr>
            <w:tcW w:w="1466" w:type="pct"/>
          </w:tcPr>
          <w:p w14:paraId="4CEA417E"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Clinical remission:</w:t>
            </w:r>
          </w:p>
          <w:p w14:paraId="51DF6E31"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88% for CD</w:t>
            </w:r>
          </w:p>
          <w:p w14:paraId="03932B77"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57% for UC</w:t>
            </w:r>
          </w:p>
        </w:tc>
        <w:tc>
          <w:tcPr>
            <w:tcW w:w="1045" w:type="pct"/>
          </w:tcPr>
          <w:p w14:paraId="3FF729A8"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No differences in treatment efficacy, after switching from IFX originator to its biosimilar</w:t>
            </w:r>
          </w:p>
        </w:tc>
      </w:tr>
      <w:tr w:rsidR="00C50AB0" w:rsidRPr="00C50AB0" w14:paraId="38F58F68" w14:textId="77777777" w:rsidTr="009427A9">
        <w:trPr>
          <w:trHeight w:val="364"/>
        </w:trPr>
        <w:tc>
          <w:tcPr>
            <w:tcW w:w="5000" w:type="pct"/>
            <w:gridSpan w:val="5"/>
          </w:tcPr>
          <w:p w14:paraId="63651C24"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b/>
                <w:sz w:val="22"/>
                <w:szCs w:val="22"/>
              </w:rPr>
              <w:t>THALIDOMIDE</w:t>
            </w:r>
          </w:p>
        </w:tc>
      </w:tr>
      <w:tr w:rsidR="00C50AB0" w:rsidRPr="00C50AB0" w14:paraId="15E5E3AB" w14:textId="77777777" w:rsidTr="009427A9">
        <w:trPr>
          <w:trHeight w:val="364"/>
        </w:trPr>
        <w:tc>
          <w:tcPr>
            <w:tcW w:w="890" w:type="pct"/>
          </w:tcPr>
          <w:p w14:paraId="3F8B6C10" w14:textId="065E7C35" w:rsidR="00C50AB0" w:rsidRPr="00C50AB0" w:rsidRDefault="00C50AB0" w:rsidP="006A3266">
            <w:pPr>
              <w:spacing w:line="360" w:lineRule="auto"/>
              <w:jc w:val="both"/>
              <w:rPr>
                <w:rFonts w:ascii="Book Antiqua" w:hAnsi="Book Antiqua"/>
                <w:i/>
                <w:sz w:val="22"/>
                <w:szCs w:val="22"/>
              </w:rPr>
            </w:pPr>
            <w:r w:rsidRPr="00C50AB0">
              <w:rPr>
                <w:rFonts w:ascii="Book Antiqua" w:hAnsi="Book Antiqua"/>
                <w:i/>
                <w:sz w:val="22"/>
                <w:szCs w:val="22"/>
              </w:rPr>
              <w:t>Lazzerini</w:t>
            </w:r>
            <w:r w:rsidR="009427A9" w:rsidRPr="009427A9">
              <w:rPr>
                <w:rFonts w:ascii="Book Antiqua" w:hAnsi="Book Antiqua"/>
                <w:i/>
                <w:sz w:val="22"/>
                <w:szCs w:val="22"/>
              </w:rPr>
              <w:t xml:space="preserve"> et al</w:t>
            </w:r>
            <w:r w:rsidR="009427A9" w:rsidRPr="008714A7">
              <w:rPr>
                <w:rFonts w:ascii="Book Antiqua" w:hAnsi="Book Antiqua"/>
                <w:sz w:val="22"/>
                <w:szCs w:val="22"/>
                <w:vertAlign w:val="superscript"/>
              </w:rPr>
              <w:t>[</w:t>
            </w:r>
            <w:r w:rsidR="009427A9">
              <w:rPr>
                <w:rFonts w:ascii="Book Antiqua" w:hAnsi="Book Antiqua" w:hint="eastAsia"/>
                <w:sz w:val="22"/>
                <w:szCs w:val="22"/>
                <w:vertAlign w:val="superscript"/>
                <w:lang w:eastAsia="zh-CN"/>
              </w:rPr>
              <w:t>49</w:t>
            </w:r>
            <w:r w:rsidR="009427A9" w:rsidRPr="00C50AB0">
              <w:rPr>
                <w:rFonts w:ascii="Book Antiqua" w:hAnsi="Book Antiqua"/>
                <w:sz w:val="22"/>
                <w:szCs w:val="22"/>
                <w:vertAlign w:val="superscript"/>
              </w:rPr>
              <w:t>]</w:t>
            </w:r>
            <w:r w:rsidR="009427A9">
              <w:rPr>
                <w:rFonts w:ascii="Book Antiqua" w:hAnsi="Book Antiqua" w:hint="eastAsia"/>
                <w:sz w:val="22"/>
                <w:szCs w:val="22"/>
                <w:vertAlign w:val="superscript"/>
                <w:lang w:eastAsia="zh-CN"/>
              </w:rPr>
              <w:t xml:space="preserve"> </w:t>
            </w:r>
            <w:r w:rsidRPr="00C50AB0">
              <w:rPr>
                <w:rFonts w:ascii="Book Antiqua" w:hAnsi="Book Antiqua"/>
                <w:i/>
                <w:sz w:val="22"/>
                <w:szCs w:val="22"/>
              </w:rPr>
              <w:t xml:space="preserve">JAMA </w:t>
            </w:r>
            <w:r w:rsidRPr="00C50AB0">
              <w:rPr>
                <w:rFonts w:ascii="Book Antiqua" w:hAnsi="Book Antiqua"/>
                <w:sz w:val="22"/>
                <w:szCs w:val="22"/>
              </w:rPr>
              <w:t>2013</w:t>
            </w:r>
          </w:p>
        </w:tc>
        <w:tc>
          <w:tcPr>
            <w:tcW w:w="874" w:type="pct"/>
          </w:tcPr>
          <w:p w14:paraId="62BD6F23"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Double-blind, placebo-controlled, randomized clinical trial</w:t>
            </w:r>
          </w:p>
        </w:tc>
        <w:tc>
          <w:tcPr>
            <w:tcW w:w="725" w:type="pct"/>
          </w:tcPr>
          <w:p w14:paraId="185D7CF1"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 xml:space="preserve">56 padiatric patients with active CD, randomised </w:t>
            </w:r>
            <w:r w:rsidRPr="00C50AB0">
              <w:rPr>
                <w:rFonts w:ascii="Book Antiqua" w:hAnsi="Book Antiqua"/>
                <w:sz w:val="22"/>
                <w:szCs w:val="22"/>
              </w:rPr>
              <w:lastRenderedPageBreak/>
              <w:t>to receive either thalidomide or placebo</w:t>
            </w:r>
          </w:p>
          <w:p w14:paraId="558EDA41" w14:textId="77777777" w:rsidR="00C50AB0" w:rsidRPr="00C50AB0" w:rsidRDefault="00C50AB0" w:rsidP="006A3266">
            <w:pPr>
              <w:spacing w:line="360" w:lineRule="auto"/>
              <w:jc w:val="both"/>
              <w:rPr>
                <w:rFonts w:ascii="Book Antiqua" w:hAnsi="Book Antiqua"/>
                <w:sz w:val="22"/>
                <w:szCs w:val="22"/>
              </w:rPr>
            </w:pPr>
          </w:p>
          <w:p w14:paraId="6457CBFF"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Almost all had not responded to thiopurines and 35% had not responded to biologics</w:t>
            </w:r>
          </w:p>
        </w:tc>
        <w:tc>
          <w:tcPr>
            <w:tcW w:w="1466" w:type="pct"/>
          </w:tcPr>
          <w:p w14:paraId="1739F46B"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lastRenderedPageBreak/>
              <w:t xml:space="preserve">Clinical remission achieved by 13/28 (46.4%) of the children treated with thalidomide </w:t>
            </w:r>
            <w:r w:rsidRPr="009427A9">
              <w:rPr>
                <w:rFonts w:ascii="Book Antiqua" w:hAnsi="Book Antiqua"/>
                <w:i/>
                <w:sz w:val="22"/>
                <w:szCs w:val="22"/>
              </w:rPr>
              <w:lastRenderedPageBreak/>
              <w:t>vs</w:t>
            </w:r>
            <w:r w:rsidRPr="00C50AB0">
              <w:rPr>
                <w:rFonts w:ascii="Book Antiqua" w:hAnsi="Book Antiqua"/>
                <w:sz w:val="22"/>
                <w:szCs w:val="22"/>
              </w:rPr>
              <w:t xml:space="preserve"> 3/26 (11.5%) of those who received placebo (</w:t>
            </w:r>
            <w:r w:rsidRPr="00C50AB0">
              <w:rPr>
                <w:rFonts w:ascii="Book Antiqua" w:hAnsi="Book Antiqua"/>
                <w:i/>
                <w:sz w:val="22"/>
                <w:szCs w:val="22"/>
              </w:rPr>
              <w:t>P</w:t>
            </w:r>
            <w:r w:rsidRPr="00C50AB0">
              <w:rPr>
                <w:rFonts w:ascii="Calibri" w:eastAsia="Calibri" w:hAnsi="Calibri" w:cs="Calibri"/>
                <w:sz w:val="22"/>
                <w:szCs w:val="22"/>
              </w:rPr>
              <w:t> </w:t>
            </w:r>
            <w:r w:rsidRPr="00C50AB0">
              <w:rPr>
                <w:rFonts w:ascii="Book Antiqua" w:hAnsi="Book Antiqua"/>
                <w:sz w:val="22"/>
                <w:szCs w:val="22"/>
              </w:rPr>
              <w:t>=</w:t>
            </w:r>
            <w:r w:rsidRPr="00C50AB0">
              <w:rPr>
                <w:rFonts w:ascii="Calibri" w:eastAsia="Calibri" w:hAnsi="Calibri" w:cs="Calibri"/>
                <w:sz w:val="22"/>
                <w:szCs w:val="22"/>
              </w:rPr>
              <w:t> </w:t>
            </w:r>
            <w:r w:rsidRPr="00C50AB0">
              <w:rPr>
                <w:rFonts w:ascii="Book Antiqua" w:hAnsi="Book Antiqua"/>
                <w:sz w:val="22"/>
                <w:szCs w:val="22"/>
              </w:rPr>
              <w:t>0.01)</w:t>
            </w:r>
          </w:p>
          <w:p w14:paraId="25626D3D" w14:textId="77777777" w:rsidR="00C50AB0" w:rsidRPr="00C50AB0" w:rsidRDefault="00C50AB0" w:rsidP="006A3266">
            <w:pPr>
              <w:spacing w:line="360" w:lineRule="auto"/>
              <w:jc w:val="both"/>
              <w:rPr>
                <w:rFonts w:ascii="Book Antiqua" w:hAnsi="Book Antiqua"/>
                <w:sz w:val="22"/>
                <w:szCs w:val="22"/>
              </w:rPr>
            </w:pPr>
          </w:p>
          <w:p w14:paraId="4C0571C2" w14:textId="53A46148"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 xml:space="preserve">Responses were not different at 4 </w:t>
            </w:r>
            <w:r w:rsidR="009427A9">
              <w:rPr>
                <w:rFonts w:ascii="Book Antiqua" w:hAnsi="Book Antiqua" w:hint="eastAsia"/>
                <w:sz w:val="22"/>
                <w:szCs w:val="22"/>
                <w:lang w:eastAsia="zh-CN"/>
              </w:rPr>
              <w:t>wk</w:t>
            </w:r>
            <w:r w:rsidRPr="00C50AB0">
              <w:rPr>
                <w:rFonts w:ascii="Book Antiqua" w:hAnsi="Book Antiqua"/>
                <w:sz w:val="22"/>
                <w:szCs w:val="22"/>
              </w:rPr>
              <w:t xml:space="preserve">, but greater improvement was observed at 8 </w:t>
            </w:r>
            <w:r w:rsidR="009427A9">
              <w:rPr>
                <w:rFonts w:ascii="Book Antiqua" w:hAnsi="Book Antiqua" w:hint="eastAsia"/>
                <w:sz w:val="22"/>
                <w:szCs w:val="22"/>
                <w:lang w:eastAsia="zh-CN"/>
              </w:rPr>
              <w:t>wk</w:t>
            </w:r>
            <w:r w:rsidRPr="00C50AB0">
              <w:rPr>
                <w:rFonts w:ascii="Book Antiqua" w:hAnsi="Book Antiqua"/>
                <w:sz w:val="22"/>
                <w:szCs w:val="22"/>
              </w:rPr>
              <w:t xml:space="preserve"> in the thalidomide group </w:t>
            </w:r>
            <w:r w:rsidR="009427A9">
              <w:rPr>
                <w:rFonts w:ascii="Book Antiqua" w:hAnsi="Book Antiqua" w:hint="eastAsia"/>
                <w:sz w:val="22"/>
                <w:szCs w:val="22"/>
                <w:lang w:eastAsia="zh-CN"/>
              </w:rPr>
              <w:t>[</w:t>
            </w:r>
            <w:r w:rsidRPr="00C50AB0">
              <w:rPr>
                <w:rFonts w:ascii="Book Antiqua" w:hAnsi="Book Antiqua"/>
                <w:sz w:val="22"/>
                <w:szCs w:val="22"/>
              </w:rPr>
              <w:t>75% response in 13/28 (46.4%)</w:t>
            </w:r>
            <w:r w:rsidR="009427A9">
              <w:rPr>
                <w:rFonts w:ascii="Book Antiqua" w:hAnsi="Book Antiqua" w:hint="eastAsia"/>
                <w:sz w:val="22"/>
                <w:szCs w:val="22"/>
                <w:lang w:eastAsia="zh-CN"/>
              </w:rPr>
              <w:t>]</w:t>
            </w:r>
            <w:r w:rsidRPr="00C50AB0">
              <w:rPr>
                <w:rFonts w:ascii="Book Antiqua" w:hAnsi="Book Antiqua"/>
                <w:sz w:val="22"/>
                <w:szCs w:val="22"/>
              </w:rPr>
              <w:t xml:space="preserve"> </w:t>
            </w:r>
            <w:r w:rsidRPr="009427A9">
              <w:rPr>
                <w:rFonts w:ascii="Book Antiqua" w:hAnsi="Book Antiqua"/>
                <w:i/>
                <w:sz w:val="22"/>
                <w:szCs w:val="22"/>
              </w:rPr>
              <w:t>vs</w:t>
            </w:r>
            <w:r w:rsidRPr="00C50AB0">
              <w:rPr>
                <w:rFonts w:ascii="Book Antiqua" w:hAnsi="Book Antiqua"/>
                <w:sz w:val="22"/>
                <w:szCs w:val="22"/>
              </w:rPr>
              <w:t xml:space="preserve"> 3/26 (11.5%)(</w:t>
            </w:r>
            <w:r w:rsidRPr="00C50AB0">
              <w:rPr>
                <w:rFonts w:ascii="Book Antiqua" w:hAnsi="Book Antiqua"/>
                <w:i/>
                <w:sz w:val="22"/>
                <w:szCs w:val="22"/>
              </w:rPr>
              <w:t>P</w:t>
            </w:r>
            <w:r w:rsidRPr="00C50AB0">
              <w:rPr>
                <w:rFonts w:ascii="Book Antiqua" w:hAnsi="Book Antiqua"/>
                <w:sz w:val="22"/>
                <w:szCs w:val="22"/>
              </w:rPr>
              <w:t xml:space="preserve"> 0.01)</w:t>
            </w:r>
          </w:p>
          <w:p w14:paraId="07EA0CF3" w14:textId="77777777" w:rsidR="00C50AB0" w:rsidRPr="00C50AB0" w:rsidRDefault="00C50AB0" w:rsidP="006A3266">
            <w:pPr>
              <w:spacing w:line="360" w:lineRule="auto"/>
              <w:jc w:val="both"/>
              <w:rPr>
                <w:rFonts w:ascii="Book Antiqua" w:hAnsi="Book Antiqua"/>
                <w:sz w:val="22"/>
                <w:szCs w:val="22"/>
              </w:rPr>
            </w:pPr>
          </w:p>
          <w:p w14:paraId="38FF8837" w14:textId="201B9C03"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Of the non-responders to placebo who began receiving thalidomide, 11 of 21 (52.4%) subsequently reached remission at week 8 (</w:t>
            </w:r>
            <w:r w:rsidRPr="00C50AB0">
              <w:rPr>
                <w:rFonts w:ascii="Book Antiqua" w:hAnsi="Book Antiqua"/>
                <w:i/>
                <w:sz w:val="22"/>
                <w:szCs w:val="22"/>
              </w:rPr>
              <w:t>P</w:t>
            </w:r>
            <w:r w:rsidR="007D71B5">
              <w:rPr>
                <w:rFonts w:ascii="Book Antiqua" w:hAnsi="Book Antiqua" w:hint="eastAsia"/>
                <w:i/>
                <w:sz w:val="22"/>
                <w:szCs w:val="22"/>
                <w:lang w:eastAsia="zh-CN"/>
              </w:rPr>
              <w:t xml:space="preserve"> </w:t>
            </w:r>
            <w:r w:rsidRPr="00C50AB0">
              <w:rPr>
                <w:rFonts w:ascii="Calibri" w:eastAsia="Calibri" w:hAnsi="Calibri" w:cs="Calibri"/>
                <w:sz w:val="22"/>
                <w:szCs w:val="22"/>
              </w:rPr>
              <w:t> </w:t>
            </w:r>
            <w:r w:rsidRPr="00C50AB0">
              <w:rPr>
                <w:rFonts w:ascii="Book Antiqua" w:hAnsi="Book Antiqua"/>
                <w:sz w:val="22"/>
                <w:szCs w:val="22"/>
              </w:rPr>
              <w:t>=</w:t>
            </w:r>
            <w:r w:rsidRPr="00C50AB0">
              <w:rPr>
                <w:rFonts w:ascii="Calibri" w:eastAsia="Calibri" w:hAnsi="Calibri" w:cs="Calibri"/>
                <w:sz w:val="22"/>
                <w:szCs w:val="22"/>
              </w:rPr>
              <w:t> </w:t>
            </w:r>
            <w:r w:rsidRPr="00C50AB0">
              <w:rPr>
                <w:rFonts w:ascii="Book Antiqua" w:hAnsi="Book Antiqua"/>
                <w:sz w:val="22"/>
                <w:szCs w:val="22"/>
              </w:rPr>
              <w:t xml:space="preserve">0.01). </w:t>
            </w:r>
          </w:p>
          <w:p w14:paraId="3E1979D3" w14:textId="77777777" w:rsidR="00C50AB0" w:rsidRPr="00C50AB0" w:rsidRDefault="00C50AB0" w:rsidP="006A3266">
            <w:pPr>
              <w:spacing w:line="360" w:lineRule="auto"/>
              <w:jc w:val="both"/>
              <w:rPr>
                <w:rFonts w:ascii="Book Antiqua" w:hAnsi="Book Antiqua"/>
                <w:sz w:val="22"/>
                <w:szCs w:val="22"/>
              </w:rPr>
            </w:pPr>
          </w:p>
          <w:p w14:paraId="7263774E"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Overall, 31 of 49 children treated with thalidomide (63.3%) achieved clinical remission</w:t>
            </w:r>
          </w:p>
          <w:p w14:paraId="6CE4DB80" w14:textId="77777777" w:rsidR="00C50AB0" w:rsidRPr="00C50AB0" w:rsidRDefault="00C50AB0" w:rsidP="006A3266">
            <w:pPr>
              <w:spacing w:line="360" w:lineRule="auto"/>
              <w:jc w:val="both"/>
              <w:rPr>
                <w:rFonts w:ascii="Book Antiqua" w:hAnsi="Book Antiqua"/>
                <w:sz w:val="22"/>
                <w:szCs w:val="22"/>
              </w:rPr>
            </w:pPr>
          </w:p>
          <w:p w14:paraId="22C5BA8F" w14:textId="541B5F3B"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 xml:space="preserve">Mean duration of </w:t>
            </w:r>
            <w:r w:rsidRPr="00C50AB0">
              <w:rPr>
                <w:rFonts w:ascii="Book Antiqua" w:hAnsi="Book Antiqua"/>
                <w:sz w:val="22"/>
                <w:szCs w:val="22"/>
              </w:rPr>
              <w:lastRenderedPageBreak/>
              <w:t xml:space="preserve">clinical remission in the thalidomide group was 181.1 </w:t>
            </w:r>
            <w:r w:rsidR="009427A9">
              <w:rPr>
                <w:rFonts w:ascii="Book Antiqua" w:hAnsi="Book Antiqua" w:hint="eastAsia"/>
                <w:sz w:val="22"/>
                <w:szCs w:val="22"/>
                <w:lang w:eastAsia="zh-CN"/>
              </w:rPr>
              <w:t>wk</w:t>
            </w:r>
            <w:r w:rsidRPr="00C50AB0">
              <w:rPr>
                <w:rFonts w:ascii="Book Antiqua" w:hAnsi="Book Antiqua"/>
                <w:sz w:val="22"/>
                <w:szCs w:val="22"/>
              </w:rPr>
              <w:t xml:space="preserve"> </w:t>
            </w:r>
            <w:r w:rsidRPr="009427A9">
              <w:rPr>
                <w:rFonts w:ascii="Book Antiqua" w:hAnsi="Book Antiqua"/>
                <w:i/>
                <w:sz w:val="22"/>
                <w:szCs w:val="22"/>
              </w:rPr>
              <w:t>vs</w:t>
            </w:r>
            <w:r w:rsidRPr="00C50AB0">
              <w:rPr>
                <w:rFonts w:ascii="Book Antiqua" w:hAnsi="Book Antiqua"/>
                <w:sz w:val="22"/>
                <w:szCs w:val="22"/>
              </w:rPr>
              <w:t xml:space="preserve"> 6.3 </w:t>
            </w:r>
            <w:r w:rsidR="009427A9">
              <w:rPr>
                <w:rFonts w:ascii="Book Antiqua" w:hAnsi="Book Antiqua" w:hint="eastAsia"/>
                <w:sz w:val="22"/>
                <w:szCs w:val="22"/>
                <w:lang w:eastAsia="zh-CN"/>
              </w:rPr>
              <w:t>wk</w:t>
            </w:r>
            <w:r w:rsidRPr="00C50AB0">
              <w:rPr>
                <w:rFonts w:ascii="Book Antiqua" w:hAnsi="Book Antiqua"/>
                <w:sz w:val="22"/>
                <w:szCs w:val="22"/>
              </w:rPr>
              <w:t xml:space="preserve"> in the placebo group (</w:t>
            </w:r>
            <w:r w:rsidRPr="009427A9">
              <w:rPr>
                <w:rFonts w:ascii="Book Antiqua" w:hAnsi="Book Antiqua"/>
                <w:i/>
                <w:sz w:val="22"/>
                <w:szCs w:val="22"/>
              </w:rPr>
              <w:t>P</w:t>
            </w:r>
            <w:r w:rsidRPr="00C50AB0">
              <w:rPr>
                <w:rFonts w:ascii="Calibri" w:eastAsia="Calibri" w:hAnsi="Calibri" w:cs="Calibri"/>
                <w:sz w:val="22"/>
                <w:szCs w:val="22"/>
              </w:rPr>
              <w:t> </w:t>
            </w:r>
            <w:r w:rsidRPr="00C50AB0">
              <w:rPr>
                <w:rFonts w:ascii="Book Antiqua" w:hAnsi="Book Antiqua"/>
                <w:sz w:val="22"/>
                <w:szCs w:val="22"/>
              </w:rPr>
              <w:t>&lt;</w:t>
            </w:r>
            <w:r w:rsidRPr="00C50AB0">
              <w:rPr>
                <w:rFonts w:ascii="Calibri" w:eastAsia="Calibri" w:hAnsi="Calibri" w:cs="Calibri"/>
                <w:sz w:val="22"/>
                <w:szCs w:val="22"/>
              </w:rPr>
              <w:t> </w:t>
            </w:r>
            <w:r w:rsidRPr="00C50AB0">
              <w:rPr>
                <w:rFonts w:ascii="Book Antiqua" w:hAnsi="Book Antiqua"/>
                <w:sz w:val="22"/>
                <w:szCs w:val="22"/>
              </w:rPr>
              <w:t xml:space="preserve">0.001). </w:t>
            </w:r>
          </w:p>
        </w:tc>
        <w:tc>
          <w:tcPr>
            <w:tcW w:w="1045" w:type="pct"/>
          </w:tcPr>
          <w:p w14:paraId="1692B992"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lastRenderedPageBreak/>
              <w:t xml:space="preserve">Thalidomide compared with placebo resulted in improved clinical remission at 8 </w:t>
            </w:r>
            <w:r w:rsidRPr="00C50AB0">
              <w:rPr>
                <w:rFonts w:ascii="Book Antiqua" w:hAnsi="Book Antiqua"/>
                <w:sz w:val="22"/>
                <w:szCs w:val="22"/>
              </w:rPr>
              <w:lastRenderedPageBreak/>
              <w:t>weeks of treatment and longer-term maintenance of remission.</w:t>
            </w:r>
          </w:p>
        </w:tc>
      </w:tr>
      <w:tr w:rsidR="00C50AB0" w:rsidRPr="00C50AB0" w14:paraId="377E0574" w14:textId="77777777" w:rsidTr="009427A9">
        <w:trPr>
          <w:trHeight w:val="364"/>
        </w:trPr>
        <w:tc>
          <w:tcPr>
            <w:tcW w:w="890" w:type="pct"/>
          </w:tcPr>
          <w:p w14:paraId="2F5BD17E" w14:textId="0A8B71DF" w:rsidR="00C50AB0" w:rsidRPr="00C50AB0" w:rsidRDefault="00C50AB0" w:rsidP="006A3266">
            <w:pPr>
              <w:spacing w:line="360" w:lineRule="auto"/>
              <w:jc w:val="both"/>
              <w:rPr>
                <w:rFonts w:ascii="Book Antiqua" w:hAnsi="Book Antiqua"/>
                <w:i/>
                <w:sz w:val="22"/>
                <w:szCs w:val="22"/>
              </w:rPr>
            </w:pPr>
            <w:r w:rsidRPr="00C50AB0">
              <w:rPr>
                <w:rFonts w:ascii="Book Antiqua" w:hAnsi="Book Antiqua"/>
                <w:i/>
                <w:sz w:val="22"/>
                <w:szCs w:val="22"/>
              </w:rPr>
              <w:lastRenderedPageBreak/>
              <w:t xml:space="preserve">Lazzerini </w:t>
            </w:r>
            <w:r w:rsidR="009427A9" w:rsidRPr="009427A9">
              <w:rPr>
                <w:rFonts w:ascii="Book Antiqua" w:hAnsi="Book Antiqua"/>
                <w:i/>
                <w:sz w:val="22"/>
                <w:szCs w:val="22"/>
              </w:rPr>
              <w:t>et al</w:t>
            </w:r>
            <w:r w:rsidR="009427A9" w:rsidRPr="008714A7">
              <w:rPr>
                <w:rFonts w:ascii="Book Antiqua" w:hAnsi="Book Antiqua"/>
                <w:sz w:val="22"/>
                <w:szCs w:val="22"/>
                <w:vertAlign w:val="superscript"/>
              </w:rPr>
              <w:t>[</w:t>
            </w:r>
            <w:r w:rsidR="009427A9">
              <w:rPr>
                <w:rFonts w:ascii="Book Antiqua" w:hAnsi="Book Antiqua" w:hint="eastAsia"/>
                <w:sz w:val="22"/>
                <w:szCs w:val="22"/>
                <w:vertAlign w:val="superscript"/>
                <w:lang w:eastAsia="zh-CN"/>
              </w:rPr>
              <w:t>50</w:t>
            </w:r>
            <w:r w:rsidR="009427A9" w:rsidRPr="00C50AB0">
              <w:rPr>
                <w:rFonts w:ascii="Book Antiqua" w:hAnsi="Book Antiqua"/>
                <w:sz w:val="22"/>
                <w:szCs w:val="22"/>
                <w:vertAlign w:val="superscript"/>
              </w:rPr>
              <w:t>]</w:t>
            </w:r>
            <w:r w:rsidR="009427A9">
              <w:rPr>
                <w:rFonts w:ascii="Book Antiqua" w:hAnsi="Book Antiqua" w:hint="eastAsia"/>
                <w:sz w:val="22"/>
                <w:szCs w:val="22"/>
                <w:vertAlign w:val="superscript"/>
                <w:lang w:eastAsia="zh-CN"/>
              </w:rPr>
              <w:t xml:space="preserve"> </w:t>
            </w:r>
            <w:r w:rsidRPr="00C50AB0">
              <w:rPr>
                <w:rFonts w:ascii="Book Antiqua" w:hAnsi="Book Antiqua"/>
                <w:i/>
                <w:sz w:val="22"/>
                <w:szCs w:val="22"/>
              </w:rPr>
              <w:t>Inflamm Bowel Dis</w:t>
            </w:r>
            <w:r w:rsidRPr="00C50AB0">
              <w:rPr>
                <w:rFonts w:ascii="Book Antiqua" w:hAnsi="Book Antiqua"/>
                <w:sz w:val="22"/>
                <w:szCs w:val="22"/>
              </w:rPr>
              <w:t xml:space="preserve"> 2015</w:t>
            </w:r>
          </w:p>
        </w:tc>
        <w:tc>
          <w:tcPr>
            <w:tcW w:w="874" w:type="pct"/>
          </w:tcPr>
          <w:p w14:paraId="7080955A"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Multicenter, double-blind, placebo-controlled, randomized clinical trial</w:t>
            </w:r>
          </w:p>
        </w:tc>
        <w:tc>
          <w:tcPr>
            <w:tcW w:w="725" w:type="pct"/>
          </w:tcPr>
          <w:p w14:paraId="0FEEA1F2"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26 paediatric patients with active UC, randomised to receive thalidomide or placebo</w:t>
            </w:r>
          </w:p>
          <w:p w14:paraId="50C78B51" w14:textId="77777777" w:rsidR="00C50AB0" w:rsidRPr="00C50AB0" w:rsidRDefault="00C50AB0" w:rsidP="006A3266">
            <w:pPr>
              <w:spacing w:line="360" w:lineRule="auto"/>
              <w:jc w:val="both"/>
              <w:rPr>
                <w:rFonts w:ascii="Book Antiqua" w:hAnsi="Book Antiqua"/>
                <w:sz w:val="22"/>
                <w:szCs w:val="22"/>
              </w:rPr>
            </w:pPr>
          </w:p>
          <w:p w14:paraId="12388A6E"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All patients had had thiopurines and 35% had received prior IFX treatment</w:t>
            </w:r>
          </w:p>
        </w:tc>
        <w:tc>
          <w:tcPr>
            <w:tcW w:w="1466" w:type="pct"/>
          </w:tcPr>
          <w:p w14:paraId="1E2355EF"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Clinical remission at week in 10/12 (83.3%) of the children treated with thalidomide versus 2/11 (18.8%) of those who received placebo (</w:t>
            </w:r>
            <w:r w:rsidRPr="007D71B5">
              <w:rPr>
                <w:rFonts w:ascii="Book Antiqua" w:hAnsi="Book Antiqua"/>
                <w:i/>
                <w:sz w:val="22"/>
                <w:szCs w:val="22"/>
              </w:rPr>
              <w:t xml:space="preserve">P </w:t>
            </w:r>
            <w:r w:rsidRPr="00C50AB0">
              <w:rPr>
                <w:rFonts w:ascii="Book Antiqua" w:hAnsi="Book Antiqua"/>
                <w:sz w:val="22"/>
                <w:szCs w:val="22"/>
              </w:rPr>
              <w:t>= 0.005)</w:t>
            </w:r>
          </w:p>
          <w:p w14:paraId="4CA47F99" w14:textId="77777777" w:rsidR="00C50AB0" w:rsidRPr="00C50AB0" w:rsidRDefault="00C50AB0" w:rsidP="006A3266">
            <w:pPr>
              <w:spacing w:line="360" w:lineRule="auto"/>
              <w:jc w:val="both"/>
              <w:rPr>
                <w:rFonts w:ascii="Book Antiqua" w:hAnsi="Book Antiqua"/>
                <w:sz w:val="22"/>
                <w:szCs w:val="22"/>
              </w:rPr>
            </w:pPr>
          </w:p>
          <w:p w14:paraId="5DBFFF40" w14:textId="4A555ADE"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Of the non-responders to placebo who were switched to thalidomide, 8 of 11 (72.7%) subsequently reached remission at week 8 (</w:t>
            </w:r>
            <w:r w:rsidR="007D71B5" w:rsidRPr="007D71B5">
              <w:rPr>
                <w:rFonts w:ascii="Book Antiqua" w:hAnsi="Book Antiqua"/>
                <w:i/>
                <w:sz w:val="22"/>
                <w:szCs w:val="22"/>
              </w:rPr>
              <w:t xml:space="preserve">P </w:t>
            </w:r>
            <w:r w:rsidRPr="00C50AB0">
              <w:rPr>
                <w:rFonts w:ascii="Book Antiqua" w:hAnsi="Book Antiqua"/>
                <w:sz w:val="22"/>
                <w:szCs w:val="22"/>
              </w:rPr>
              <w:t>= 0.01)</w:t>
            </w:r>
          </w:p>
          <w:p w14:paraId="29B01EF5" w14:textId="77777777" w:rsidR="00C50AB0" w:rsidRPr="00C50AB0" w:rsidRDefault="00C50AB0" w:rsidP="006A3266">
            <w:pPr>
              <w:spacing w:line="360" w:lineRule="auto"/>
              <w:jc w:val="both"/>
              <w:rPr>
                <w:rFonts w:ascii="Book Antiqua" w:hAnsi="Book Antiqua"/>
                <w:sz w:val="22"/>
                <w:szCs w:val="22"/>
              </w:rPr>
            </w:pPr>
          </w:p>
          <w:p w14:paraId="64A05546" w14:textId="65C3CDE8"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 xml:space="preserve">Clinical remission in the thalidomide group was 135 </w:t>
            </w:r>
            <w:r w:rsidR="009427A9">
              <w:rPr>
                <w:rFonts w:ascii="Book Antiqua" w:hAnsi="Book Antiqua" w:hint="eastAsia"/>
                <w:sz w:val="22"/>
                <w:szCs w:val="22"/>
                <w:lang w:eastAsia="zh-CN"/>
              </w:rPr>
              <w:t>wk</w:t>
            </w:r>
            <w:r w:rsidRPr="00C50AB0">
              <w:rPr>
                <w:rFonts w:ascii="Book Antiqua" w:hAnsi="Book Antiqua"/>
                <w:sz w:val="22"/>
                <w:szCs w:val="22"/>
              </w:rPr>
              <w:t xml:space="preserve"> compared with 8 </w:t>
            </w:r>
            <w:r w:rsidR="009427A9">
              <w:rPr>
                <w:rFonts w:ascii="Book Antiqua" w:hAnsi="Book Antiqua" w:hint="eastAsia"/>
                <w:sz w:val="22"/>
                <w:szCs w:val="22"/>
                <w:lang w:eastAsia="zh-CN"/>
              </w:rPr>
              <w:t>wk</w:t>
            </w:r>
            <w:r w:rsidRPr="00C50AB0">
              <w:rPr>
                <w:rFonts w:ascii="Book Antiqua" w:hAnsi="Book Antiqua"/>
                <w:sz w:val="22"/>
                <w:szCs w:val="22"/>
              </w:rPr>
              <w:t xml:space="preserve"> in the placebo group (</w:t>
            </w:r>
            <w:r w:rsidR="009427A9" w:rsidRPr="009427A9">
              <w:rPr>
                <w:rFonts w:ascii="Book Antiqua" w:hAnsi="Book Antiqua"/>
                <w:i/>
                <w:sz w:val="22"/>
                <w:szCs w:val="22"/>
              </w:rPr>
              <w:t>P</w:t>
            </w:r>
            <w:r w:rsidRPr="00C50AB0">
              <w:rPr>
                <w:rFonts w:ascii="Book Antiqua" w:hAnsi="Book Antiqua"/>
                <w:sz w:val="22"/>
                <w:szCs w:val="22"/>
              </w:rPr>
              <w:t xml:space="preserve"> &lt; 0.0001). </w:t>
            </w:r>
          </w:p>
        </w:tc>
        <w:tc>
          <w:tcPr>
            <w:tcW w:w="1045" w:type="pct"/>
          </w:tcPr>
          <w:p w14:paraId="75F44813" w14:textId="45FFAAF4"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 xml:space="preserve">Thalidomide compared with placebo resulted in improved clinical remission at 8 </w:t>
            </w:r>
            <w:r w:rsidR="009427A9">
              <w:rPr>
                <w:rFonts w:ascii="Book Antiqua" w:hAnsi="Book Antiqua" w:hint="eastAsia"/>
                <w:sz w:val="22"/>
                <w:szCs w:val="22"/>
                <w:lang w:eastAsia="zh-CN"/>
              </w:rPr>
              <w:t>wk</w:t>
            </w:r>
            <w:r w:rsidRPr="00C50AB0">
              <w:rPr>
                <w:rFonts w:ascii="Book Antiqua" w:hAnsi="Book Antiqua"/>
                <w:sz w:val="22"/>
                <w:szCs w:val="22"/>
              </w:rPr>
              <w:t xml:space="preserve"> of treatment and in longer term maintenance of remission.</w:t>
            </w:r>
          </w:p>
        </w:tc>
      </w:tr>
      <w:tr w:rsidR="00C50AB0" w:rsidRPr="00C50AB0" w14:paraId="44B0379A" w14:textId="77777777" w:rsidTr="009427A9">
        <w:trPr>
          <w:trHeight w:val="364"/>
        </w:trPr>
        <w:tc>
          <w:tcPr>
            <w:tcW w:w="5000" w:type="pct"/>
            <w:gridSpan w:val="5"/>
          </w:tcPr>
          <w:p w14:paraId="78A3F30D"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b/>
                <w:sz w:val="22"/>
                <w:szCs w:val="22"/>
              </w:rPr>
              <w:t>NEW TREATMENTS</w:t>
            </w:r>
          </w:p>
        </w:tc>
      </w:tr>
      <w:tr w:rsidR="00C50AB0" w:rsidRPr="00C50AB0" w14:paraId="663AA167" w14:textId="77777777" w:rsidTr="009427A9">
        <w:trPr>
          <w:trHeight w:val="364"/>
        </w:trPr>
        <w:tc>
          <w:tcPr>
            <w:tcW w:w="890" w:type="pct"/>
          </w:tcPr>
          <w:p w14:paraId="3751EEC8" w14:textId="42F8DAB0" w:rsidR="00C50AB0" w:rsidRPr="00C50AB0" w:rsidRDefault="00C50AB0" w:rsidP="006A3266">
            <w:pPr>
              <w:spacing w:line="360" w:lineRule="auto"/>
              <w:jc w:val="both"/>
              <w:rPr>
                <w:rFonts w:ascii="Book Antiqua" w:hAnsi="Book Antiqua"/>
                <w:sz w:val="22"/>
                <w:szCs w:val="22"/>
              </w:rPr>
            </w:pPr>
            <w:r w:rsidRPr="00C50AB0">
              <w:rPr>
                <w:rFonts w:ascii="Book Antiqua" w:hAnsi="Book Antiqua"/>
                <w:i/>
                <w:sz w:val="22"/>
                <w:szCs w:val="22"/>
              </w:rPr>
              <w:t xml:space="preserve">Tew </w:t>
            </w:r>
            <w:r w:rsidR="009427A9" w:rsidRPr="009427A9">
              <w:rPr>
                <w:rFonts w:ascii="Book Antiqua" w:hAnsi="Book Antiqua"/>
                <w:i/>
                <w:sz w:val="22"/>
                <w:szCs w:val="22"/>
              </w:rPr>
              <w:t>et al</w:t>
            </w:r>
            <w:r w:rsidR="009427A9" w:rsidRPr="008714A7">
              <w:rPr>
                <w:rFonts w:ascii="Book Antiqua" w:hAnsi="Book Antiqua"/>
                <w:sz w:val="22"/>
                <w:szCs w:val="22"/>
                <w:vertAlign w:val="superscript"/>
              </w:rPr>
              <w:t>[</w:t>
            </w:r>
            <w:r w:rsidR="009427A9">
              <w:rPr>
                <w:rFonts w:ascii="Book Antiqua" w:hAnsi="Book Antiqua" w:hint="eastAsia"/>
                <w:sz w:val="22"/>
                <w:szCs w:val="22"/>
                <w:vertAlign w:val="superscript"/>
                <w:lang w:eastAsia="zh-CN"/>
              </w:rPr>
              <w:t>11</w:t>
            </w:r>
            <w:r w:rsidR="009427A9" w:rsidRPr="00C50AB0">
              <w:rPr>
                <w:rFonts w:ascii="Book Antiqua" w:hAnsi="Book Antiqua"/>
                <w:sz w:val="22"/>
                <w:szCs w:val="22"/>
                <w:vertAlign w:val="superscript"/>
              </w:rPr>
              <w:t>]</w:t>
            </w:r>
            <w:r w:rsidR="009427A9">
              <w:rPr>
                <w:rFonts w:ascii="Book Antiqua" w:hAnsi="Book Antiqua" w:hint="eastAsia"/>
                <w:sz w:val="22"/>
                <w:szCs w:val="22"/>
                <w:vertAlign w:val="superscript"/>
                <w:lang w:eastAsia="zh-CN"/>
              </w:rPr>
              <w:t xml:space="preserve"> </w:t>
            </w:r>
            <w:r w:rsidRPr="00C50AB0">
              <w:rPr>
                <w:rFonts w:ascii="Book Antiqua" w:hAnsi="Book Antiqua"/>
                <w:i/>
                <w:sz w:val="22"/>
                <w:szCs w:val="22"/>
              </w:rPr>
              <w:lastRenderedPageBreak/>
              <w:t>Gastroenterology</w:t>
            </w:r>
            <w:r w:rsidRPr="00C50AB0">
              <w:rPr>
                <w:rFonts w:ascii="Book Antiqua" w:hAnsi="Book Antiqua"/>
                <w:sz w:val="22"/>
                <w:szCs w:val="22"/>
              </w:rPr>
              <w:t xml:space="preserve"> 2016</w:t>
            </w:r>
          </w:p>
        </w:tc>
        <w:tc>
          <w:tcPr>
            <w:tcW w:w="874" w:type="pct"/>
          </w:tcPr>
          <w:p w14:paraId="5D422E58"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lastRenderedPageBreak/>
              <w:t xml:space="preserve">Retrospective </w:t>
            </w:r>
            <w:r w:rsidRPr="00C50AB0">
              <w:rPr>
                <w:rFonts w:ascii="Book Antiqua" w:hAnsi="Book Antiqua"/>
                <w:sz w:val="22"/>
                <w:szCs w:val="22"/>
              </w:rPr>
              <w:lastRenderedPageBreak/>
              <w:t>analysis of two cohorts: 1. phase 2 placebo-controlled trial;</w:t>
            </w:r>
          </w:p>
          <w:p w14:paraId="4EF8CEF1"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 xml:space="preserve">2. observational study at a separate site </w:t>
            </w:r>
          </w:p>
        </w:tc>
        <w:tc>
          <w:tcPr>
            <w:tcW w:w="725" w:type="pct"/>
          </w:tcPr>
          <w:p w14:paraId="3A27DFBF" w14:textId="77777777" w:rsidR="00C50AB0" w:rsidRPr="00C50AB0" w:rsidRDefault="00C50AB0" w:rsidP="006A3266">
            <w:pPr>
              <w:widowControl w:val="0"/>
              <w:autoSpaceDE w:val="0"/>
              <w:autoSpaceDN w:val="0"/>
              <w:adjustRightInd w:val="0"/>
              <w:spacing w:line="360" w:lineRule="auto"/>
              <w:jc w:val="both"/>
              <w:rPr>
                <w:rFonts w:ascii="Book Antiqua" w:hAnsi="Book Antiqua"/>
                <w:sz w:val="22"/>
                <w:szCs w:val="22"/>
              </w:rPr>
            </w:pPr>
            <w:r w:rsidRPr="00C50AB0">
              <w:rPr>
                <w:rFonts w:ascii="Book Antiqua" w:hAnsi="Book Antiqua"/>
                <w:sz w:val="22"/>
                <w:szCs w:val="22"/>
              </w:rPr>
              <w:lastRenderedPageBreak/>
              <w:t xml:space="preserve">110 patients </w:t>
            </w:r>
            <w:r w:rsidRPr="00C50AB0">
              <w:rPr>
                <w:rFonts w:ascii="Book Antiqua" w:hAnsi="Book Antiqua"/>
                <w:sz w:val="22"/>
                <w:szCs w:val="22"/>
              </w:rPr>
              <w:lastRenderedPageBreak/>
              <w:t xml:space="preserve">with UC (cohort 1) </w:t>
            </w:r>
          </w:p>
          <w:p w14:paraId="26BF8751" w14:textId="77777777" w:rsidR="00C50AB0" w:rsidRPr="00C50AB0" w:rsidRDefault="00C50AB0" w:rsidP="006A3266">
            <w:pPr>
              <w:widowControl w:val="0"/>
              <w:autoSpaceDE w:val="0"/>
              <w:autoSpaceDN w:val="0"/>
              <w:adjustRightInd w:val="0"/>
              <w:spacing w:line="360" w:lineRule="auto"/>
              <w:jc w:val="both"/>
              <w:rPr>
                <w:rFonts w:ascii="Book Antiqua" w:hAnsi="Book Antiqua"/>
                <w:sz w:val="22"/>
                <w:szCs w:val="22"/>
              </w:rPr>
            </w:pPr>
            <w:r w:rsidRPr="00C50AB0">
              <w:rPr>
                <w:rFonts w:ascii="Book Antiqua" w:hAnsi="Book Antiqua"/>
                <w:sz w:val="22"/>
                <w:szCs w:val="22"/>
              </w:rPr>
              <w:t>and</w:t>
            </w:r>
          </w:p>
          <w:p w14:paraId="1CB6FB9B" w14:textId="77777777" w:rsidR="00C50AB0" w:rsidRPr="00C50AB0" w:rsidRDefault="00C50AB0" w:rsidP="006A3266">
            <w:pPr>
              <w:widowControl w:val="0"/>
              <w:autoSpaceDE w:val="0"/>
              <w:autoSpaceDN w:val="0"/>
              <w:adjustRightInd w:val="0"/>
              <w:spacing w:line="360" w:lineRule="auto"/>
              <w:jc w:val="both"/>
              <w:rPr>
                <w:rFonts w:ascii="Book Antiqua" w:hAnsi="Book Antiqua"/>
                <w:sz w:val="22"/>
                <w:szCs w:val="22"/>
              </w:rPr>
            </w:pPr>
            <w:r w:rsidRPr="00C50AB0">
              <w:rPr>
                <w:rFonts w:ascii="Book Antiqua" w:hAnsi="Book Antiqua"/>
                <w:sz w:val="22"/>
                <w:szCs w:val="22"/>
              </w:rPr>
              <w:t>21 patients including UC and controls (cohort 2)</w:t>
            </w:r>
          </w:p>
          <w:p w14:paraId="32DF203B" w14:textId="77777777" w:rsidR="00C50AB0" w:rsidRPr="00C50AB0" w:rsidRDefault="00C50AB0" w:rsidP="006A3266">
            <w:pPr>
              <w:spacing w:line="360" w:lineRule="auto"/>
              <w:jc w:val="both"/>
              <w:rPr>
                <w:rFonts w:ascii="Book Antiqua" w:hAnsi="Book Antiqua"/>
                <w:sz w:val="22"/>
                <w:szCs w:val="22"/>
              </w:rPr>
            </w:pPr>
          </w:p>
        </w:tc>
        <w:tc>
          <w:tcPr>
            <w:tcW w:w="1466" w:type="pct"/>
          </w:tcPr>
          <w:p w14:paraId="34E456BE"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lastRenderedPageBreak/>
              <w:t xml:space="preserve">Increased </w:t>
            </w:r>
            <w:r w:rsidRPr="00C50AB0">
              <w:rPr>
                <w:rFonts w:ascii="Book Antiqua" w:hAnsi="Book Antiqua"/>
                <w:sz w:val="22"/>
                <w:szCs w:val="22"/>
              </w:rPr>
              <w:lastRenderedPageBreak/>
              <w:t>expression of T-cell associated genes in baseline biopsies of anti-TNF naïve patients who achieved clinical remission in response to etrolizumab</w:t>
            </w:r>
          </w:p>
          <w:p w14:paraId="36E092A9"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Patients with high colonic integrin aE expression showed greater benefit</w:t>
            </w:r>
          </w:p>
          <w:p w14:paraId="60673CDA" w14:textId="77777777" w:rsidR="00C50AB0" w:rsidRPr="00C50AB0" w:rsidRDefault="00C50AB0" w:rsidP="006A3266">
            <w:pPr>
              <w:spacing w:line="360" w:lineRule="auto"/>
              <w:jc w:val="both"/>
              <w:rPr>
                <w:rFonts w:ascii="Book Antiqua" w:hAnsi="Book Antiqua"/>
                <w:sz w:val="22"/>
                <w:szCs w:val="22"/>
              </w:rPr>
            </w:pPr>
          </w:p>
          <w:p w14:paraId="739660C4"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GZMA expression was different post-treatment</w:t>
            </w:r>
          </w:p>
        </w:tc>
        <w:tc>
          <w:tcPr>
            <w:tcW w:w="1045" w:type="pct"/>
          </w:tcPr>
          <w:p w14:paraId="6B0B3CC8"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lastRenderedPageBreak/>
              <w:t xml:space="preserve">Levels of GZMA </w:t>
            </w:r>
            <w:r w:rsidRPr="00C50AB0">
              <w:rPr>
                <w:rFonts w:ascii="Book Antiqua" w:hAnsi="Book Antiqua"/>
                <w:sz w:val="22"/>
                <w:szCs w:val="22"/>
              </w:rPr>
              <w:lastRenderedPageBreak/>
              <w:t>and ITGAE mRNAs in colon tissues can identify patients with UC who are most likely to benefit from etrolizumab</w:t>
            </w:r>
          </w:p>
          <w:p w14:paraId="2927AEFB" w14:textId="77777777" w:rsidR="00C50AB0" w:rsidRPr="00C50AB0" w:rsidRDefault="00C50AB0" w:rsidP="006A3266">
            <w:pPr>
              <w:spacing w:line="360" w:lineRule="auto"/>
              <w:jc w:val="both"/>
              <w:rPr>
                <w:rFonts w:ascii="Book Antiqua" w:hAnsi="Book Antiqua"/>
                <w:sz w:val="22"/>
                <w:szCs w:val="22"/>
              </w:rPr>
            </w:pPr>
          </w:p>
          <w:p w14:paraId="7270A36E"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GZMA is a promising biomarker for etrolizumab response</w:t>
            </w:r>
          </w:p>
        </w:tc>
      </w:tr>
      <w:tr w:rsidR="00C50AB0" w:rsidRPr="00C50AB0" w14:paraId="424332C0" w14:textId="77777777" w:rsidTr="009427A9">
        <w:trPr>
          <w:trHeight w:val="10941"/>
        </w:trPr>
        <w:tc>
          <w:tcPr>
            <w:tcW w:w="890" w:type="pct"/>
          </w:tcPr>
          <w:p w14:paraId="724EE2BA" w14:textId="68A73499" w:rsidR="00C50AB0" w:rsidRPr="00C50AB0" w:rsidRDefault="00C50AB0" w:rsidP="006A3266">
            <w:pPr>
              <w:spacing w:line="360" w:lineRule="auto"/>
              <w:jc w:val="both"/>
              <w:rPr>
                <w:rFonts w:ascii="Book Antiqua" w:hAnsi="Book Antiqua"/>
                <w:i/>
                <w:sz w:val="22"/>
                <w:szCs w:val="22"/>
              </w:rPr>
            </w:pPr>
            <w:r w:rsidRPr="00C50AB0">
              <w:rPr>
                <w:rFonts w:ascii="Book Antiqua" w:hAnsi="Book Antiqua"/>
                <w:i/>
                <w:sz w:val="22"/>
                <w:szCs w:val="22"/>
              </w:rPr>
              <w:lastRenderedPageBreak/>
              <w:t xml:space="preserve">Sandborn </w:t>
            </w:r>
            <w:r w:rsidR="009427A9" w:rsidRPr="009427A9">
              <w:rPr>
                <w:rFonts w:ascii="Book Antiqua" w:hAnsi="Book Antiqua"/>
                <w:i/>
                <w:sz w:val="22"/>
                <w:szCs w:val="22"/>
              </w:rPr>
              <w:t>et al</w:t>
            </w:r>
            <w:r w:rsidR="009427A9" w:rsidRPr="008714A7">
              <w:rPr>
                <w:rFonts w:ascii="Book Antiqua" w:hAnsi="Book Antiqua"/>
                <w:sz w:val="22"/>
                <w:szCs w:val="22"/>
                <w:vertAlign w:val="superscript"/>
              </w:rPr>
              <w:t>[</w:t>
            </w:r>
            <w:r w:rsidR="009427A9">
              <w:rPr>
                <w:rFonts w:ascii="Book Antiqua" w:hAnsi="Book Antiqua" w:hint="eastAsia"/>
                <w:sz w:val="22"/>
                <w:szCs w:val="22"/>
                <w:vertAlign w:val="superscript"/>
                <w:lang w:eastAsia="zh-CN"/>
              </w:rPr>
              <w:t>51</w:t>
            </w:r>
            <w:r w:rsidR="009427A9" w:rsidRPr="00C50AB0">
              <w:rPr>
                <w:rFonts w:ascii="Book Antiqua" w:hAnsi="Book Antiqua"/>
                <w:sz w:val="22"/>
                <w:szCs w:val="22"/>
                <w:vertAlign w:val="superscript"/>
              </w:rPr>
              <w:t>]</w:t>
            </w:r>
            <w:r w:rsidRPr="00C50AB0">
              <w:rPr>
                <w:rFonts w:ascii="Book Antiqua" w:hAnsi="Book Antiqua"/>
                <w:sz w:val="22"/>
                <w:szCs w:val="22"/>
              </w:rPr>
              <w:t xml:space="preserve"> </w:t>
            </w:r>
            <w:r w:rsidRPr="00C50AB0">
              <w:rPr>
                <w:rFonts w:ascii="Book Antiqua" w:hAnsi="Book Antiqua"/>
                <w:i/>
                <w:sz w:val="22"/>
                <w:szCs w:val="22"/>
              </w:rPr>
              <w:t xml:space="preserve">N Engl J Med </w:t>
            </w:r>
            <w:r w:rsidRPr="00C50AB0">
              <w:rPr>
                <w:rFonts w:ascii="Book Antiqua" w:hAnsi="Book Antiqua"/>
                <w:sz w:val="22"/>
                <w:szCs w:val="22"/>
              </w:rPr>
              <w:t>2016</w:t>
            </w:r>
          </w:p>
        </w:tc>
        <w:tc>
          <w:tcPr>
            <w:tcW w:w="874" w:type="pct"/>
          </w:tcPr>
          <w:p w14:paraId="575CF281"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 xml:space="preserve">Double-blind, placebo-controlled, phase-2 trial </w:t>
            </w:r>
          </w:p>
        </w:tc>
        <w:tc>
          <w:tcPr>
            <w:tcW w:w="725" w:type="pct"/>
          </w:tcPr>
          <w:p w14:paraId="23D01F4C"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197 adult patients with moderate-severe UC</w:t>
            </w:r>
          </w:p>
        </w:tc>
        <w:tc>
          <w:tcPr>
            <w:tcW w:w="1466" w:type="pct"/>
          </w:tcPr>
          <w:p w14:paraId="024D77B0" w14:textId="50C305ED"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 xml:space="preserve">Clinical remission at 8 </w:t>
            </w:r>
            <w:r w:rsidR="009427A9">
              <w:rPr>
                <w:rFonts w:ascii="Book Antiqua" w:hAnsi="Book Antiqua" w:hint="eastAsia"/>
                <w:sz w:val="22"/>
                <w:szCs w:val="22"/>
                <w:lang w:eastAsia="zh-CN"/>
              </w:rPr>
              <w:t>wk</w:t>
            </w:r>
            <w:r w:rsidRPr="00C50AB0">
              <w:rPr>
                <w:rFonts w:ascii="Book Antiqua" w:hAnsi="Book Antiqua"/>
                <w:sz w:val="22"/>
                <w:szCs w:val="22"/>
              </w:rPr>
              <w:t>:</w:t>
            </w:r>
          </w:p>
          <w:p w14:paraId="70F53C94" w14:textId="77777777" w:rsidR="00C50AB0" w:rsidRPr="00C50AB0" w:rsidRDefault="00C50AB0" w:rsidP="006A3266">
            <w:pPr>
              <w:spacing w:line="360" w:lineRule="auto"/>
              <w:jc w:val="both"/>
              <w:rPr>
                <w:rFonts w:ascii="Book Antiqua" w:hAnsi="Book Antiqua"/>
                <w:sz w:val="22"/>
                <w:szCs w:val="22"/>
              </w:rPr>
            </w:pPr>
          </w:p>
          <w:p w14:paraId="0B21E8F7"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 xml:space="preserve">16% of patients who received 1 mg of Ozanimod </w:t>
            </w:r>
            <w:r w:rsidRPr="009427A9">
              <w:rPr>
                <w:rFonts w:ascii="Book Antiqua" w:hAnsi="Book Antiqua"/>
                <w:i/>
                <w:sz w:val="22"/>
                <w:szCs w:val="22"/>
              </w:rPr>
              <w:t>vs</w:t>
            </w:r>
            <w:r w:rsidRPr="00C50AB0">
              <w:rPr>
                <w:rFonts w:ascii="Book Antiqua" w:hAnsi="Book Antiqua"/>
                <w:sz w:val="22"/>
                <w:szCs w:val="22"/>
              </w:rPr>
              <w:t xml:space="preserve"> 14% who received 0.5 mg </w:t>
            </w:r>
            <w:r w:rsidRPr="009427A9">
              <w:rPr>
                <w:rFonts w:ascii="Book Antiqua" w:hAnsi="Book Antiqua"/>
                <w:i/>
                <w:sz w:val="22"/>
                <w:szCs w:val="22"/>
              </w:rPr>
              <w:t>vs</w:t>
            </w:r>
            <w:r w:rsidRPr="00C50AB0">
              <w:rPr>
                <w:rFonts w:ascii="Book Antiqua" w:hAnsi="Book Antiqua"/>
                <w:sz w:val="22"/>
                <w:szCs w:val="22"/>
              </w:rPr>
              <w:t xml:space="preserve"> 6% of those who received placebo</w:t>
            </w:r>
          </w:p>
          <w:p w14:paraId="2EF30534" w14:textId="77777777" w:rsidR="00C50AB0" w:rsidRPr="00C50AB0" w:rsidRDefault="00C50AB0" w:rsidP="006A3266">
            <w:pPr>
              <w:spacing w:line="360" w:lineRule="auto"/>
              <w:jc w:val="both"/>
              <w:rPr>
                <w:rFonts w:ascii="Book Antiqua" w:hAnsi="Book Antiqua"/>
                <w:sz w:val="22"/>
                <w:szCs w:val="22"/>
              </w:rPr>
            </w:pPr>
          </w:p>
          <w:p w14:paraId="3C1B5B95"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Clinical remission t 32 weeks:</w:t>
            </w:r>
          </w:p>
          <w:p w14:paraId="009525BF"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 xml:space="preserve">21% </w:t>
            </w:r>
            <w:r w:rsidRPr="009427A9">
              <w:rPr>
                <w:rFonts w:ascii="Book Antiqua" w:hAnsi="Book Antiqua"/>
                <w:i/>
                <w:sz w:val="22"/>
                <w:szCs w:val="22"/>
              </w:rPr>
              <w:t>vs</w:t>
            </w:r>
            <w:r w:rsidRPr="00C50AB0">
              <w:rPr>
                <w:rFonts w:ascii="Book Antiqua" w:hAnsi="Book Antiqua"/>
                <w:sz w:val="22"/>
                <w:szCs w:val="22"/>
              </w:rPr>
              <w:t xml:space="preserve"> 26% </w:t>
            </w:r>
            <w:r w:rsidRPr="009427A9">
              <w:rPr>
                <w:rFonts w:ascii="Book Antiqua" w:hAnsi="Book Antiqua"/>
                <w:i/>
                <w:sz w:val="22"/>
                <w:szCs w:val="22"/>
              </w:rPr>
              <w:t>vs</w:t>
            </w:r>
            <w:r w:rsidRPr="00C50AB0">
              <w:rPr>
                <w:rFonts w:ascii="Book Antiqua" w:hAnsi="Book Antiqua"/>
                <w:sz w:val="22"/>
                <w:szCs w:val="22"/>
              </w:rPr>
              <w:t xml:space="preserve"> 6% respectively</w:t>
            </w:r>
          </w:p>
          <w:p w14:paraId="74D5AFDB" w14:textId="77777777" w:rsidR="00C50AB0" w:rsidRPr="00C50AB0" w:rsidRDefault="00C50AB0" w:rsidP="006A3266">
            <w:pPr>
              <w:spacing w:line="360" w:lineRule="auto"/>
              <w:jc w:val="both"/>
              <w:rPr>
                <w:rFonts w:ascii="Book Antiqua" w:hAnsi="Book Antiqua"/>
                <w:sz w:val="22"/>
                <w:szCs w:val="22"/>
              </w:rPr>
            </w:pPr>
          </w:p>
          <w:p w14:paraId="44C8497D"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Drop in absolute lymphocyte count at week 8:</w:t>
            </w:r>
          </w:p>
          <w:p w14:paraId="52B81933" w14:textId="77777777" w:rsidR="00C50AB0" w:rsidRPr="00C50AB0" w:rsidRDefault="00C50AB0" w:rsidP="006A3266">
            <w:pPr>
              <w:spacing w:line="360" w:lineRule="auto"/>
              <w:jc w:val="both"/>
              <w:rPr>
                <w:rFonts w:ascii="Book Antiqua" w:hAnsi="Book Antiqua"/>
                <w:sz w:val="22"/>
                <w:szCs w:val="22"/>
              </w:rPr>
            </w:pPr>
          </w:p>
          <w:p w14:paraId="7BAB9CBB"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49% from baseline in the group who received 1 mg of Ozanimod</w:t>
            </w:r>
          </w:p>
          <w:p w14:paraId="01A89EA9" w14:textId="77777777" w:rsidR="00C50AB0" w:rsidRPr="00C50AB0" w:rsidRDefault="00C50AB0" w:rsidP="006A3266">
            <w:pPr>
              <w:spacing w:line="360" w:lineRule="auto"/>
              <w:jc w:val="both"/>
              <w:rPr>
                <w:rFonts w:ascii="Book Antiqua" w:hAnsi="Book Antiqua"/>
                <w:sz w:val="22"/>
                <w:szCs w:val="22"/>
              </w:rPr>
            </w:pPr>
          </w:p>
          <w:p w14:paraId="3CDB5C16"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32% from baseline in the group who received 0.5 mg</w:t>
            </w:r>
          </w:p>
        </w:tc>
        <w:tc>
          <w:tcPr>
            <w:tcW w:w="1045" w:type="pct"/>
          </w:tcPr>
          <w:p w14:paraId="466895A7" w14:textId="77777777" w:rsidR="00C50AB0" w:rsidRPr="00C50AB0" w:rsidRDefault="00C50AB0" w:rsidP="006A3266">
            <w:pPr>
              <w:widowControl w:val="0"/>
              <w:autoSpaceDE w:val="0"/>
              <w:autoSpaceDN w:val="0"/>
              <w:adjustRightInd w:val="0"/>
              <w:spacing w:line="360" w:lineRule="auto"/>
              <w:jc w:val="both"/>
              <w:rPr>
                <w:rFonts w:ascii="Book Antiqua" w:hAnsi="Book Antiqua"/>
                <w:sz w:val="22"/>
                <w:szCs w:val="22"/>
              </w:rPr>
            </w:pPr>
            <w:r w:rsidRPr="00C50AB0">
              <w:rPr>
                <w:rFonts w:ascii="Book Antiqua" w:hAnsi="Book Antiqua"/>
                <w:sz w:val="22"/>
                <w:szCs w:val="22"/>
              </w:rPr>
              <w:t>Ozanimod at a daily dose of 1 mg resulted in a slightly higher</w:t>
            </w:r>
          </w:p>
          <w:p w14:paraId="35420EEC"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rate of clinical remission of UC than placebo</w:t>
            </w:r>
          </w:p>
        </w:tc>
      </w:tr>
      <w:tr w:rsidR="00C50AB0" w:rsidRPr="00C50AB0" w14:paraId="01AF9995" w14:textId="77777777" w:rsidTr="009427A9">
        <w:trPr>
          <w:trHeight w:val="364"/>
        </w:trPr>
        <w:tc>
          <w:tcPr>
            <w:tcW w:w="890" w:type="pct"/>
          </w:tcPr>
          <w:p w14:paraId="1626E770" w14:textId="1BB7413B" w:rsidR="00C50AB0" w:rsidRPr="00C50AB0" w:rsidRDefault="00C50AB0" w:rsidP="006A3266">
            <w:pPr>
              <w:spacing w:line="360" w:lineRule="auto"/>
              <w:jc w:val="both"/>
              <w:rPr>
                <w:rFonts w:ascii="Book Antiqua" w:hAnsi="Book Antiqua"/>
                <w:i/>
                <w:sz w:val="22"/>
                <w:szCs w:val="22"/>
              </w:rPr>
            </w:pPr>
            <w:r w:rsidRPr="00C50AB0">
              <w:rPr>
                <w:rFonts w:ascii="Book Antiqua" w:hAnsi="Book Antiqua"/>
                <w:i/>
                <w:sz w:val="22"/>
                <w:szCs w:val="22"/>
              </w:rPr>
              <w:t>Allez</w:t>
            </w:r>
            <w:r w:rsidR="009427A9" w:rsidRPr="009427A9">
              <w:rPr>
                <w:rFonts w:ascii="Book Antiqua" w:hAnsi="Book Antiqua"/>
                <w:i/>
                <w:sz w:val="22"/>
                <w:szCs w:val="22"/>
              </w:rPr>
              <w:t xml:space="preserve"> et al</w:t>
            </w:r>
            <w:r w:rsidR="009427A9" w:rsidRPr="008714A7">
              <w:rPr>
                <w:rFonts w:ascii="Book Antiqua" w:hAnsi="Book Antiqua"/>
                <w:sz w:val="22"/>
                <w:szCs w:val="22"/>
                <w:vertAlign w:val="superscript"/>
              </w:rPr>
              <w:t>[</w:t>
            </w:r>
            <w:r w:rsidR="009427A9">
              <w:rPr>
                <w:rFonts w:ascii="Book Antiqua" w:hAnsi="Book Antiqua" w:hint="eastAsia"/>
                <w:sz w:val="22"/>
                <w:szCs w:val="22"/>
                <w:vertAlign w:val="superscript"/>
                <w:lang w:eastAsia="zh-CN"/>
              </w:rPr>
              <w:t>52</w:t>
            </w:r>
            <w:r w:rsidR="009427A9" w:rsidRPr="00C50AB0">
              <w:rPr>
                <w:rFonts w:ascii="Book Antiqua" w:hAnsi="Book Antiqua"/>
                <w:sz w:val="22"/>
                <w:szCs w:val="22"/>
                <w:vertAlign w:val="superscript"/>
              </w:rPr>
              <w:t>]</w:t>
            </w:r>
            <w:r w:rsidR="009427A9">
              <w:rPr>
                <w:rFonts w:ascii="Book Antiqua" w:hAnsi="Book Antiqua" w:hint="eastAsia"/>
                <w:sz w:val="22"/>
                <w:szCs w:val="22"/>
                <w:vertAlign w:val="superscript"/>
                <w:lang w:eastAsia="zh-CN"/>
              </w:rPr>
              <w:t xml:space="preserve"> </w:t>
            </w:r>
            <w:r w:rsidRPr="00C50AB0">
              <w:rPr>
                <w:rFonts w:ascii="Book Antiqua" w:hAnsi="Book Antiqua"/>
                <w:i/>
                <w:sz w:val="22"/>
                <w:szCs w:val="22"/>
              </w:rPr>
              <w:t>Gut</w:t>
            </w:r>
            <w:r w:rsidRPr="00C50AB0">
              <w:rPr>
                <w:rFonts w:ascii="Book Antiqua" w:hAnsi="Book Antiqua"/>
                <w:sz w:val="22"/>
                <w:szCs w:val="22"/>
              </w:rPr>
              <w:t xml:space="preserve"> 2016</w:t>
            </w:r>
          </w:p>
        </w:tc>
        <w:tc>
          <w:tcPr>
            <w:tcW w:w="874" w:type="pct"/>
          </w:tcPr>
          <w:p w14:paraId="6D896EE1"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Randomised, double-blind, parallel group trial</w:t>
            </w:r>
          </w:p>
        </w:tc>
        <w:tc>
          <w:tcPr>
            <w:tcW w:w="725" w:type="pct"/>
          </w:tcPr>
          <w:p w14:paraId="4C6F9A9C"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78 adult patients with CD</w:t>
            </w:r>
          </w:p>
          <w:p w14:paraId="708B29A9" w14:textId="77777777" w:rsidR="00C50AB0" w:rsidRPr="00C50AB0" w:rsidRDefault="00C50AB0" w:rsidP="006A3266">
            <w:pPr>
              <w:spacing w:line="360" w:lineRule="auto"/>
              <w:jc w:val="both"/>
              <w:rPr>
                <w:rFonts w:ascii="Book Antiqua" w:hAnsi="Book Antiqua"/>
                <w:sz w:val="22"/>
                <w:szCs w:val="22"/>
              </w:rPr>
            </w:pPr>
          </w:p>
          <w:p w14:paraId="25CA342E"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Age 18-75</w:t>
            </w:r>
          </w:p>
          <w:p w14:paraId="59407EE2" w14:textId="77777777" w:rsidR="00C50AB0" w:rsidRPr="00C50AB0" w:rsidRDefault="00C50AB0" w:rsidP="006A3266">
            <w:pPr>
              <w:spacing w:line="360" w:lineRule="auto"/>
              <w:jc w:val="both"/>
              <w:rPr>
                <w:rFonts w:ascii="Book Antiqua" w:hAnsi="Book Antiqua"/>
                <w:sz w:val="22"/>
                <w:szCs w:val="22"/>
              </w:rPr>
            </w:pPr>
          </w:p>
          <w:p w14:paraId="1A508A75"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 xml:space="preserve">Disease duration </w:t>
            </w:r>
            <w:r w:rsidRPr="00C50AB0">
              <w:rPr>
                <w:rFonts w:ascii="Book Antiqua" w:hAnsi="Book Antiqua"/>
                <w:sz w:val="22"/>
                <w:szCs w:val="22"/>
              </w:rPr>
              <w:sym w:font="Symbol" w:char="F0B3"/>
            </w:r>
            <w:r w:rsidRPr="00C50AB0">
              <w:rPr>
                <w:rFonts w:ascii="Book Antiqua" w:hAnsi="Book Antiqua"/>
                <w:sz w:val="22"/>
                <w:szCs w:val="22"/>
              </w:rPr>
              <w:t xml:space="preserve"> 3 months</w:t>
            </w:r>
          </w:p>
          <w:p w14:paraId="1EDC62A1" w14:textId="77777777" w:rsidR="00C50AB0" w:rsidRPr="00C50AB0" w:rsidRDefault="00C50AB0" w:rsidP="006A3266">
            <w:pPr>
              <w:spacing w:line="360" w:lineRule="auto"/>
              <w:jc w:val="both"/>
              <w:rPr>
                <w:rFonts w:ascii="Book Antiqua" w:hAnsi="Book Antiqua"/>
                <w:sz w:val="22"/>
                <w:szCs w:val="22"/>
              </w:rPr>
            </w:pPr>
          </w:p>
          <w:p w14:paraId="07C06FD7"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CDAI 220-450</w:t>
            </w:r>
          </w:p>
          <w:p w14:paraId="7C8F4B2A" w14:textId="77777777" w:rsidR="00C50AB0" w:rsidRPr="00C50AB0" w:rsidRDefault="00C50AB0" w:rsidP="006A3266">
            <w:pPr>
              <w:spacing w:line="360" w:lineRule="auto"/>
              <w:jc w:val="both"/>
              <w:rPr>
                <w:rFonts w:ascii="Book Antiqua" w:hAnsi="Book Antiqua"/>
                <w:sz w:val="22"/>
                <w:szCs w:val="22"/>
              </w:rPr>
            </w:pPr>
          </w:p>
          <w:p w14:paraId="20439614"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 xml:space="preserve">CRP </w:t>
            </w:r>
            <w:r w:rsidRPr="00C50AB0">
              <w:rPr>
                <w:rFonts w:ascii="Book Antiqua" w:hAnsi="Book Antiqua"/>
                <w:sz w:val="22"/>
                <w:szCs w:val="22"/>
              </w:rPr>
              <w:sym w:font="Symbol" w:char="F0B3"/>
            </w:r>
            <w:r w:rsidRPr="00C50AB0">
              <w:rPr>
                <w:rFonts w:ascii="Book Antiqua" w:hAnsi="Book Antiqua"/>
                <w:sz w:val="22"/>
                <w:szCs w:val="22"/>
              </w:rPr>
              <w:t xml:space="preserve"> 10 mg/L</w:t>
            </w:r>
          </w:p>
          <w:p w14:paraId="5BE12EA4" w14:textId="77777777" w:rsidR="00C50AB0" w:rsidRPr="00C50AB0" w:rsidRDefault="00C50AB0" w:rsidP="006A3266">
            <w:pPr>
              <w:spacing w:line="360" w:lineRule="auto"/>
              <w:jc w:val="both"/>
              <w:rPr>
                <w:rFonts w:ascii="Book Antiqua" w:hAnsi="Book Antiqua"/>
                <w:sz w:val="22"/>
                <w:szCs w:val="22"/>
              </w:rPr>
            </w:pPr>
          </w:p>
          <w:p w14:paraId="68C73E50"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Endoscopic evidence of inflammation</w:t>
            </w:r>
          </w:p>
        </w:tc>
        <w:tc>
          <w:tcPr>
            <w:tcW w:w="1466" w:type="pct"/>
          </w:tcPr>
          <w:p w14:paraId="3EAE831E"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lastRenderedPageBreak/>
              <w:t xml:space="preserve">No significant difference in change in CDAI from baseline to week 4, between </w:t>
            </w:r>
            <w:r w:rsidRPr="00C50AB0">
              <w:rPr>
                <w:rFonts w:ascii="Book Antiqua" w:hAnsi="Book Antiqua"/>
                <w:sz w:val="22"/>
                <w:szCs w:val="22"/>
              </w:rPr>
              <w:lastRenderedPageBreak/>
              <w:t>NKG2D group and placebo group</w:t>
            </w:r>
          </w:p>
          <w:p w14:paraId="47E8D9A2" w14:textId="77777777" w:rsidR="00C50AB0" w:rsidRPr="00C50AB0" w:rsidRDefault="00C50AB0" w:rsidP="006A3266">
            <w:pPr>
              <w:spacing w:line="360" w:lineRule="auto"/>
              <w:jc w:val="both"/>
              <w:rPr>
                <w:rFonts w:ascii="Book Antiqua" w:hAnsi="Book Antiqua"/>
                <w:sz w:val="22"/>
                <w:szCs w:val="22"/>
              </w:rPr>
            </w:pPr>
          </w:p>
          <w:p w14:paraId="4AF1FD7C" w14:textId="2ADE9BD5"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 xml:space="preserve">Significant difference in change in CDAI at week 12 (delta CDAI -55, </w:t>
            </w:r>
            <w:r w:rsidR="009427A9" w:rsidRPr="009427A9">
              <w:rPr>
                <w:rFonts w:ascii="Book Antiqua" w:hAnsi="Book Antiqua"/>
                <w:i/>
                <w:sz w:val="22"/>
                <w:szCs w:val="22"/>
              </w:rPr>
              <w:t>P</w:t>
            </w:r>
            <w:r w:rsidRPr="00C50AB0">
              <w:rPr>
                <w:rFonts w:ascii="Book Antiqua" w:hAnsi="Book Antiqua"/>
                <w:sz w:val="22"/>
                <w:szCs w:val="22"/>
              </w:rPr>
              <w:t xml:space="preserve"> </w:t>
            </w:r>
            <w:r w:rsidRPr="00C50AB0">
              <w:rPr>
                <w:rFonts w:ascii="Book Antiqua" w:hAnsi="Book Antiqua"/>
                <w:sz w:val="22"/>
                <w:szCs w:val="22"/>
              </w:rPr>
              <w:sym w:font="Symbol" w:char="F0A3"/>
            </w:r>
            <w:r w:rsidRPr="00C50AB0">
              <w:rPr>
                <w:rFonts w:ascii="Book Antiqua" w:hAnsi="Book Antiqua"/>
                <w:sz w:val="22"/>
                <w:szCs w:val="22"/>
              </w:rPr>
              <w:t xml:space="preserve"> 0.1) between NKG2D group and placebo group</w:t>
            </w:r>
          </w:p>
          <w:p w14:paraId="40964B86" w14:textId="77777777" w:rsidR="00C50AB0" w:rsidRPr="00C50AB0" w:rsidRDefault="00C50AB0" w:rsidP="006A3266">
            <w:pPr>
              <w:spacing w:line="360" w:lineRule="auto"/>
              <w:jc w:val="both"/>
              <w:rPr>
                <w:rFonts w:ascii="Book Antiqua" w:hAnsi="Book Antiqua"/>
                <w:sz w:val="22"/>
                <w:szCs w:val="22"/>
              </w:rPr>
            </w:pPr>
          </w:p>
          <w:p w14:paraId="60DC2679" w14:textId="77777777"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t>Significant improvement noted in the non-failure to biologic subgroup treated with anti-NKG2D from week1</w:t>
            </w:r>
          </w:p>
        </w:tc>
        <w:tc>
          <w:tcPr>
            <w:tcW w:w="1045" w:type="pct"/>
          </w:tcPr>
          <w:p w14:paraId="78BCE524" w14:textId="3F082BA1" w:rsidR="00C50AB0" w:rsidRPr="00C50AB0" w:rsidRDefault="00C50AB0" w:rsidP="006A3266">
            <w:pPr>
              <w:spacing w:line="360" w:lineRule="auto"/>
              <w:jc w:val="both"/>
              <w:rPr>
                <w:rFonts w:ascii="Book Antiqua" w:hAnsi="Book Antiqua"/>
                <w:sz w:val="22"/>
                <w:szCs w:val="22"/>
              </w:rPr>
            </w:pPr>
            <w:r w:rsidRPr="00C50AB0">
              <w:rPr>
                <w:rFonts w:ascii="Book Antiqua" w:hAnsi="Book Antiqua"/>
                <w:sz w:val="22"/>
                <w:szCs w:val="22"/>
              </w:rPr>
              <w:lastRenderedPageBreak/>
              <w:t>A single s.c. dose of 2</w:t>
            </w:r>
            <w:r w:rsidRPr="00C50AB0">
              <w:rPr>
                <w:rFonts w:ascii="Calibri" w:eastAsia="Calibri" w:hAnsi="Calibri" w:cs="Calibri"/>
                <w:sz w:val="22"/>
                <w:szCs w:val="22"/>
              </w:rPr>
              <w:t> </w:t>
            </w:r>
            <w:r w:rsidRPr="00C50AB0">
              <w:rPr>
                <w:rFonts w:ascii="Book Antiqua" w:hAnsi="Book Antiqua"/>
                <w:sz w:val="22"/>
                <w:szCs w:val="22"/>
              </w:rPr>
              <w:t xml:space="preserve">mg/kg anti-NKG2D did not reduce disease activity at week 4 </w:t>
            </w:r>
            <w:r w:rsidR="009427A9" w:rsidRPr="009427A9">
              <w:rPr>
                <w:rFonts w:ascii="Book Antiqua" w:hAnsi="Book Antiqua"/>
                <w:i/>
                <w:sz w:val="22"/>
                <w:szCs w:val="22"/>
                <w:lang w:eastAsia="zh-CN"/>
              </w:rPr>
              <w:lastRenderedPageBreak/>
              <w:t>vs</w:t>
            </w:r>
            <w:r w:rsidRPr="00C50AB0">
              <w:rPr>
                <w:rFonts w:ascii="Book Antiqua" w:hAnsi="Book Antiqua"/>
                <w:sz w:val="22"/>
                <w:szCs w:val="22"/>
              </w:rPr>
              <w:t xml:space="preserve"> placebo, but the difference was significant at week 12</w:t>
            </w:r>
          </w:p>
        </w:tc>
      </w:tr>
    </w:tbl>
    <w:p w14:paraId="6D80E98A" w14:textId="478BC4A6" w:rsidR="00C50AB0" w:rsidRDefault="00C50AB0" w:rsidP="006A3266">
      <w:pPr>
        <w:spacing w:line="360" w:lineRule="auto"/>
        <w:jc w:val="both"/>
        <w:rPr>
          <w:rFonts w:ascii="Book Antiqua" w:hAnsi="Book Antiqua"/>
          <w:lang w:eastAsia="zh-CN"/>
        </w:rPr>
      </w:pPr>
      <w:r w:rsidRPr="00C50AB0">
        <w:rPr>
          <w:rFonts w:ascii="Book Antiqua" w:hAnsi="Book Antiqua"/>
        </w:rPr>
        <w:lastRenderedPageBreak/>
        <w:t xml:space="preserve">ADA: </w:t>
      </w:r>
      <w:r w:rsidR="009427A9" w:rsidRPr="00C50AB0">
        <w:rPr>
          <w:rFonts w:ascii="Book Antiqua" w:hAnsi="Book Antiqua"/>
        </w:rPr>
        <w:t>Adalimumab</w:t>
      </w:r>
      <w:r w:rsidR="009427A9">
        <w:rPr>
          <w:rFonts w:ascii="Book Antiqua" w:hAnsi="Book Antiqua" w:hint="eastAsia"/>
          <w:lang w:eastAsia="zh-CN"/>
        </w:rPr>
        <w:t>;</w:t>
      </w:r>
      <w:r w:rsidRPr="00C50AB0">
        <w:rPr>
          <w:rFonts w:ascii="Book Antiqua" w:hAnsi="Book Antiqua"/>
        </w:rPr>
        <w:t xml:space="preserve"> CD: Crohn’s disease</w:t>
      </w:r>
      <w:r w:rsidR="009427A9">
        <w:rPr>
          <w:rFonts w:ascii="Book Antiqua" w:hAnsi="Book Antiqua" w:hint="eastAsia"/>
          <w:lang w:eastAsia="zh-CN"/>
        </w:rPr>
        <w:t>;</w:t>
      </w:r>
      <w:r w:rsidR="009427A9" w:rsidRPr="00C50AB0">
        <w:rPr>
          <w:rFonts w:ascii="Book Antiqua" w:hAnsi="Book Antiqua"/>
        </w:rPr>
        <w:t xml:space="preserve"> </w:t>
      </w:r>
      <w:r w:rsidRPr="00C50AB0">
        <w:rPr>
          <w:rFonts w:ascii="Book Antiqua" w:hAnsi="Book Antiqua"/>
        </w:rPr>
        <w:t>CDAI: Crohn’s disease activity index</w:t>
      </w:r>
      <w:r w:rsidR="009427A9">
        <w:rPr>
          <w:rFonts w:ascii="Book Antiqua" w:hAnsi="Book Antiqua" w:hint="eastAsia"/>
          <w:lang w:eastAsia="zh-CN"/>
        </w:rPr>
        <w:t>;</w:t>
      </w:r>
      <w:r w:rsidR="009427A9" w:rsidRPr="00C50AB0">
        <w:rPr>
          <w:rFonts w:ascii="Book Antiqua" w:hAnsi="Book Antiqua"/>
        </w:rPr>
        <w:t xml:space="preserve"> </w:t>
      </w:r>
      <w:r w:rsidRPr="00C50AB0">
        <w:rPr>
          <w:rFonts w:ascii="Book Antiqua" w:hAnsi="Book Antiqua"/>
        </w:rPr>
        <w:t>CRP: C-reactive protein</w:t>
      </w:r>
      <w:r w:rsidR="009427A9">
        <w:rPr>
          <w:rFonts w:ascii="Book Antiqua" w:hAnsi="Book Antiqua" w:hint="eastAsia"/>
          <w:lang w:eastAsia="zh-CN"/>
        </w:rPr>
        <w:t>;</w:t>
      </w:r>
      <w:r w:rsidR="009427A9" w:rsidRPr="00C50AB0">
        <w:rPr>
          <w:rFonts w:ascii="Book Antiqua" w:hAnsi="Book Antiqua"/>
        </w:rPr>
        <w:t xml:space="preserve"> </w:t>
      </w:r>
      <w:r w:rsidRPr="00C50AB0">
        <w:rPr>
          <w:rFonts w:ascii="Book Antiqua" w:hAnsi="Book Antiqua"/>
        </w:rPr>
        <w:t xml:space="preserve">EEN: </w:t>
      </w:r>
      <w:r w:rsidR="009427A9" w:rsidRPr="00C50AB0">
        <w:rPr>
          <w:rFonts w:ascii="Book Antiqua" w:hAnsi="Book Antiqua"/>
        </w:rPr>
        <w:t xml:space="preserve">Exclusive </w:t>
      </w:r>
      <w:r w:rsidRPr="00C50AB0">
        <w:rPr>
          <w:rFonts w:ascii="Book Antiqua" w:hAnsi="Book Antiqua"/>
        </w:rPr>
        <w:t>enteral nutrition</w:t>
      </w:r>
      <w:r w:rsidR="009427A9">
        <w:rPr>
          <w:rFonts w:ascii="Book Antiqua" w:hAnsi="Book Antiqua" w:hint="eastAsia"/>
          <w:lang w:eastAsia="zh-CN"/>
        </w:rPr>
        <w:t>;</w:t>
      </w:r>
      <w:r w:rsidR="009427A9" w:rsidRPr="00C50AB0">
        <w:rPr>
          <w:rFonts w:ascii="Book Antiqua" w:hAnsi="Book Antiqua"/>
        </w:rPr>
        <w:t xml:space="preserve"> </w:t>
      </w:r>
      <w:r w:rsidRPr="00C50AB0">
        <w:rPr>
          <w:rFonts w:ascii="Book Antiqua" w:hAnsi="Book Antiqua"/>
        </w:rPr>
        <w:t xml:space="preserve">GZMA: </w:t>
      </w:r>
      <w:r w:rsidR="009427A9" w:rsidRPr="00C50AB0">
        <w:rPr>
          <w:rFonts w:ascii="Book Antiqua" w:hAnsi="Book Antiqua"/>
        </w:rPr>
        <w:t xml:space="preserve">Granzyme </w:t>
      </w:r>
      <w:r w:rsidRPr="00C50AB0">
        <w:rPr>
          <w:rFonts w:ascii="Book Antiqua" w:hAnsi="Book Antiqua"/>
        </w:rPr>
        <w:t>A</w:t>
      </w:r>
      <w:r w:rsidR="009427A9">
        <w:rPr>
          <w:rFonts w:ascii="Book Antiqua" w:hAnsi="Book Antiqua" w:hint="eastAsia"/>
          <w:lang w:eastAsia="zh-CN"/>
        </w:rPr>
        <w:t>;</w:t>
      </w:r>
      <w:r w:rsidR="009427A9" w:rsidRPr="00C50AB0">
        <w:rPr>
          <w:rFonts w:ascii="Book Antiqua" w:hAnsi="Book Antiqua"/>
        </w:rPr>
        <w:t xml:space="preserve"> </w:t>
      </w:r>
      <w:r w:rsidRPr="00C50AB0">
        <w:rPr>
          <w:rFonts w:ascii="Book Antiqua" w:hAnsi="Book Antiqua"/>
        </w:rPr>
        <w:t>IFX: Infliximab</w:t>
      </w:r>
      <w:r w:rsidR="009427A9">
        <w:rPr>
          <w:rFonts w:ascii="Book Antiqua" w:hAnsi="Book Antiqua" w:hint="eastAsia"/>
          <w:lang w:eastAsia="zh-CN"/>
        </w:rPr>
        <w:t>;</w:t>
      </w:r>
      <w:r w:rsidR="009427A9" w:rsidRPr="00C50AB0">
        <w:rPr>
          <w:rFonts w:ascii="Book Antiqua" w:hAnsi="Book Antiqua"/>
        </w:rPr>
        <w:t xml:space="preserve"> </w:t>
      </w:r>
      <w:r w:rsidRPr="00C50AB0">
        <w:rPr>
          <w:rFonts w:ascii="Book Antiqua" w:hAnsi="Book Antiqua"/>
        </w:rPr>
        <w:t xml:space="preserve">ITGaE: </w:t>
      </w:r>
      <w:r w:rsidR="009427A9" w:rsidRPr="00C50AB0">
        <w:rPr>
          <w:rFonts w:ascii="Book Antiqua" w:hAnsi="Book Antiqua"/>
        </w:rPr>
        <w:t xml:space="preserve">Integrin </w:t>
      </w:r>
      <w:r w:rsidRPr="00C50AB0">
        <w:rPr>
          <w:rFonts w:ascii="Book Antiqua" w:hAnsi="Book Antiqua"/>
        </w:rPr>
        <w:t>aE gene</w:t>
      </w:r>
      <w:r w:rsidR="009427A9">
        <w:rPr>
          <w:rFonts w:ascii="Book Antiqua" w:hAnsi="Book Antiqua" w:hint="eastAsia"/>
          <w:lang w:eastAsia="zh-CN"/>
        </w:rPr>
        <w:t>;</w:t>
      </w:r>
      <w:r w:rsidR="009427A9" w:rsidRPr="00C50AB0">
        <w:rPr>
          <w:rFonts w:ascii="Book Antiqua" w:hAnsi="Book Antiqua"/>
        </w:rPr>
        <w:t xml:space="preserve"> </w:t>
      </w:r>
      <w:r w:rsidRPr="00C50AB0">
        <w:rPr>
          <w:rFonts w:ascii="Book Antiqua" w:hAnsi="Book Antiqua"/>
        </w:rPr>
        <w:t xml:space="preserve">MH: </w:t>
      </w:r>
      <w:r w:rsidR="009427A9" w:rsidRPr="00C50AB0">
        <w:rPr>
          <w:rFonts w:ascii="Book Antiqua" w:hAnsi="Book Antiqua"/>
        </w:rPr>
        <w:t xml:space="preserve">Mucosal </w:t>
      </w:r>
      <w:r w:rsidRPr="00C50AB0">
        <w:rPr>
          <w:rFonts w:ascii="Book Antiqua" w:hAnsi="Book Antiqua"/>
        </w:rPr>
        <w:t>healing</w:t>
      </w:r>
      <w:r w:rsidR="009427A9">
        <w:rPr>
          <w:rFonts w:ascii="Book Antiqua" w:hAnsi="Book Antiqua" w:hint="eastAsia"/>
          <w:lang w:eastAsia="zh-CN"/>
        </w:rPr>
        <w:t>;</w:t>
      </w:r>
      <w:r w:rsidR="009427A9" w:rsidRPr="00C50AB0">
        <w:rPr>
          <w:rFonts w:ascii="Book Antiqua" w:hAnsi="Book Antiqua"/>
        </w:rPr>
        <w:t xml:space="preserve"> </w:t>
      </w:r>
      <w:r w:rsidRPr="00C50AB0">
        <w:rPr>
          <w:rFonts w:ascii="Book Antiqua" w:hAnsi="Book Antiqua"/>
        </w:rPr>
        <w:t>NAT: N-acetyl transferase</w:t>
      </w:r>
      <w:r w:rsidR="009427A9">
        <w:rPr>
          <w:rFonts w:ascii="Book Antiqua" w:hAnsi="Book Antiqua" w:hint="eastAsia"/>
          <w:lang w:eastAsia="zh-CN"/>
        </w:rPr>
        <w:t>;</w:t>
      </w:r>
      <w:r w:rsidR="009427A9" w:rsidRPr="00C50AB0">
        <w:rPr>
          <w:rFonts w:ascii="Book Antiqua" w:hAnsi="Book Antiqua"/>
        </w:rPr>
        <w:t xml:space="preserve"> </w:t>
      </w:r>
      <w:r w:rsidRPr="00C50AB0">
        <w:rPr>
          <w:rFonts w:ascii="Book Antiqua" w:hAnsi="Book Antiqua"/>
        </w:rPr>
        <w:t xml:space="preserve">PCDAI: </w:t>
      </w:r>
      <w:r w:rsidR="009427A9" w:rsidRPr="00C50AB0">
        <w:rPr>
          <w:rFonts w:ascii="Book Antiqua" w:hAnsi="Book Antiqua"/>
        </w:rPr>
        <w:t xml:space="preserve">Paediatric </w:t>
      </w:r>
      <w:r w:rsidRPr="00C50AB0">
        <w:rPr>
          <w:rFonts w:ascii="Book Antiqua" w:hAnsi="Book Antiqua"/>
        </w:rPr>
        <w:t>Crohn’s disease activity index</w:t>
      </w:r>
      <w:r w:rsidR="009427A9">
        <w:rPr>
          <w:rFonts w:ascii="Book Antiqua" w:hAnsi="Book Antiqua" w:hint="eastAsia"/>
          <w:lang w:eastAsia="zh-CN"/>
        </w:rPr>
        <w:t>;</w:t>
      </w:r>
      <w:r w:rsidR="009427A9" w:rsidRPr="00C50AB0">
        <w:rPr>
          <w:rFonts w:ascii="Book Antiqua" w:hAnsi="Book Antiqua"/>
        </w:rPr>
        <w:t xml:space="preserve"> </w:t>
      </w:r>
      <w:r w:rsidRPr="00C50AB0">
        <w:rPr>
          <w:rFonts w:ascii="Book Antiqua" w:hAnsi="Book Antiqua"/>
        </w:rPr>
        <w:t xml:space="preserve">PEN: </w:t>
      </w:r>
      <w:r w:rsidR="009427A9" w:rsidRPr="00C50AB0">
        <w:rPr>
          <w:rFonts w:ascii="Book Antiqua" w:hAnsi="Book Antiqua"/>
        </w:rPr>
        <w:t xml:space="preserve">Partial </w:t>
      </w:r>
      <w:r w:rsidRPr="00C50AB0">
        <w:rPr>
          <w:rFonts w:ascii="Book Antiqua" w:hAnsi="Book Antiqua"/>
        </w:rPr>
        <w:t>enteral nutrition</w:t>
      </w:r>
      <w:r w:rsidR="009427A9">
        <w:rPr>
          <w:rFonts w:ascii="Book Antiqua" w:hAnsi="Book Antiqua" w:hint="eastAsia"/>
          <w:lang w:eastAsia="zh-CN"/>
        </w:rPr>
        <w:t>;</w:t>
      </w:r>
      <w:r w:rsidR="009427A9" w:rsidRPr="00C50AB0">
        <w:rPr>
          <w:rFonts w:ascii="Book Antiqua" w:hAnsi="Book Antiqua"/>
        </w:rPr>
        <w:t xml:space="preserve"> </w:t>
      </w:r>
      <w:r w:rsidRPr="00C50AB0">
        <w:rPr>
          <w:rFonts w:ascii="Book Antiqua" w:hAnsi="Book Antiqua"/>
        </w:rPr>
        <w:t xml:space="preserve">s.c.: </w:t>
      </w:r>
      <w:r w:rsidR="009427A9" w:rsidRPr="00C50AB0">
        <w:rPr>
          <w:rFonts w:ascii="Book Antiqua" w:hAnsi="Book Antiqua"/>
        </w:rPr>
        <w:t>Subcutaneous</w:t>
      </w:r>
      <w:r w:rsidR="009427A9">
        <w:rPr>
          <w:rFonts w:ascii="Book Antiqua" w:hAnsi="Book Antiqua" w:hint="eastAsia"/>
          <w:lang w:eastAsia="zh-CN"/>
        </w:rPr>
        <w:t>;</w:t>
      </w:r>
      <w:r w:rsidR="009427A9" w:rsidRPr="00C50AB0">
        <w:rPr>
          <w:rFonts w:ascii="Book Antiqua" w:hAnsi="Book Antiqua"/>
        </w:rPr>
        <w:t xml:space="preserve"> </w:t>
      </w:r>
      <w:r w:rsidRPr="00C50AB0">
        <w:rPr>
          <w:rFonts w:ascii="Book Antiqua" w:hAnsi="Book Antiqua"/>
        </w:rPr>
        <w:t>SES-CD: Simple Endoscopic Score for Crohn's Disease</w:t>
      </w:r>
      <w:r w:rsidR="009427A9">
        <w:rPr>
          <w:rFonts w:ascii="Book Antiqua" w:hAnsi="Book Antiqua" w:hint="eastAsia"/>
          <w:lang w:eastAsia="zh-CN"/>
        </w:rPr>
        <w:t>;</w:t>
      </w:r>
      <w:r w:rsidR="009427A9" w:rsidRPr="00C50AB0">
        <w:rPr>
          <w:rFonts w:ascii="Book Antiqua" w:hAnsi="Book Antiqua"/>
        </w:rPr>
        <w:t xml:space="preserve"> </w:t>
      </w:r>
      <w:r w:rsidRPr="00C50AB0">
        <w:rPr>
          <w:rFonts w:ascii="Book Antiqua" w:hAnsi="Book Antiqua"/>
        </w:rPr>
        <w:t xml:space="preserve">SR: </w:t>
      </w:r>
      <w:r w:rsidR="009427A9" w:rsidRPr="00C50AB0">
        <w:rPr>
          <w:rFonts w:ascii="Book Antiqua" w:hAnsi="Book Antiqua"/>
        </w:rPr>
        <w:t xml:space="preserve">Sustained </w:t>
      </w:r>
      <w:r w:rsidRPr="00C50AB0">
        <w:rPr>
          <w:rFonts w:ascii="Book Antiqua" w:hAnsi="Book Antiqua"/>
        </w:rPr>
        <w:t>remission</w:t>
      </w:r>
      <w:r w:rsidR="009427A9">
        <w:rPr>
          <w:rFonts w:ascii="Book Antiqua" w:hAnsi="Book Antiqua" w:hint="eastAsia"/>
          <w:lang w:eastAsia="zh-CN"/>
        </w:rPr>
        <w:t>;</w:t>
      </w:r>
      <w:r w:rsidR="009427A9" w:rsidRPr="00C50AB0">
        <w:rPr>
          <w:rFonts w:ascii="Book Antiqua" w:hAnsi="Book Antiqua"/>
        </w:rPr>
        <w:t xml:space="preserve"> </w:t>
      </w:r>
      <w:r w:rsidRPr="00C50AB0">
        <w:rPr>
          <w:rFonts w:ascii="Book Antiqua" w:hAnsi="Book Antiqua"/>
        </w:rPr>
        <w:t xml:space="preserve">TGN: </w:t>
      </w:r>
      <w:r w:rsidR="009427A9" w:rsidRPr="00C50AB0">
        <w:rPr>
          <w:rFonts w:ascii="Book Antiqua" w:hAnsi="Book Antiqua"/>
        </w:rPr>
        <w:t xml:space="preserve">Thioguanine </w:t>
      </w:r>
      <w:r w:rsidRPr="00C50AB0">
        <w:rPr>
          <w:rFonts w:ascii="Book Antiqua" w:hAnsi="Book Antiqua"/>
        </w:rPr>
        <w:t>nucleotides</w:t>
      </w:r>
      <w:r w:rsidR="009427A9">
        <w:rPr>
          <w:rFonts w:ascii="Book Antiqua" w:hAnsi="Book Antiqua" w:hint="eastAsia"/>
          <w:lang w:eastAsia="zh-CN"/>
        </w:rPr>
        <w:t>;</w:t>
      </w:r>
      <w:r w:rsidR="009427A9" w:rsidRPr="00C50AB0">
        <w:rPr>
          <w:rFonts w:ascii="Book Antiqua" w:hAnsi="Book Antiqua"/>
        </w:rPr>
        <w:t xml:space="preserve"> </w:t>
      </w:r>
      <w:r w:rsidRPr="00C50AB0">
        <w:rPr>
          <w:rFonts w:ascii="Book Antiqua" w:hAnsi="Book Antiqua"/>
        </w:rPr>
        <w:t xml:space="preserve">UC: </w:t>
      </w:r>
      <w:r w:rsidR="009427A9" w:rsidRPr="00C50AB0">
        <w:rPr>
          <w:rFonts w:ascii="Book Antiqua" w:hAnsi="Book Antiqua"/>
        </w:rPr>
        <w:t xml:space="preserve">Ulcerative </w:t>
      </w:r>
      <w:r w:rsidRPr="00C50AB0">
        <w:rPr>
          <w:rFonts w:ascii="Book Antiqua" w:hAnsi="Book Antiqua"/>
        </w:rPr>
        <w:t>colitis.</w:t>
      </w:r>
    </w:p>
    <w:p w14:paraId="501C050A" w14:textId="77777777" w:rsidR="007E1E5A" w:rsidRDefault="007E1E5A" w:rsidP="006A3266">
      <w:pPr>
        <w:spacing w:line="360" w:lineRule="auto"/>
        <w:jc w:val="both"/>
        <w:rPr>
          <w:rFonts w:ascii="Book Antiqua" w:hAnsi="Book Antiqua"/>
        </w:rPr>
      </w:pPr>
    </w:p>
    <w:p w14:paraId="5DFA3137" w14:textId="77777777" w:rsidR="007E1E5A" w:rsidRDefault="007E1E5A" w:rsidP="006A3266">
      <w:pPr>
        <w:spacing w:line="360" w:lineRule="auto"/>
        <w:jc w:val="both"/>
        <w:rPr>
          <w:rFonts w:ascii="Book Antiqua" w:hAnsi="Book Antiqua"/>
        </w:rPr>
      </w:pPr>
    </w:p>
    <w:p w14:paraId="623EE9FD" w14:textId="77777777" w:rsidR="007E1E5A" w:rsidRDefault="007E1E5A" w:rsidP="006A3266">
      <w:pPr>
        <w:spacing w:line="360" w:lineRule="auto"/>
        <w:jc w:val="both"/>
        <w:rPr>
          <w:rFonts w:ascii="Book Antiqua" w:hAnsi="Book Antiqua"/>
        </w:rPr>
      </w:pPr>
    </w:p>
    <w:p w14:paraId="22A3750A" w14:textId="77777777" w:rsidR="007E1E5A" w:rsidRDefault="007E1E5A" w:rsidP="006A3266">
      <w:pPr>
        <w:spacing w:line="360" w:lineRule="auto"/>
        <w:jc w:val="both"/>
        <w:rPr>
          <w:rFonts w:ascii="Book Antiqua" w:hAnsi="Book Antiqua"/>
        </w:rPr>
      </w:pPr>
    </w:p>
    <w:p w14:paraId="73CDCA36" w14:textId="77777777" w:rsidR="007E1E5A" w:rsidRDefault="007E1E5A" w:rsidP="006A3266">
      <w:pPr>
        <w:spacing w:line="360" w:lineRule="auto"/>
        <w:jc w:val="both"/>
        <w:rPr>
          <w:rFonts w:ascii="Book Antiqua" w:hAnsi="Book Antiqua"/>
        </w:rPr>
      </w:pPr>
    </w:p>
    <w:p w14:paraId="38D361B1" w14:textId="77777777" w:rsidR="007E1E5A" w:rsidRDefault="007E1E5A" w:rsidP="006A3266">
      <w:pPr>
        <w:spacing w:line="360" w:lineRule="auto"/>
        <w:jc w:val="both"/>
        <w:rPr>
          <w:rFonts w:ascii="Book Antiqua" w:hAnsi="Book Antiqua"/>
        </w:rPr>
      </w:pPr>
    </w:p>
    <w:p w14:paraId="2057A8AE" w14:textId="77777777" w:rsidR="007E1E5A" w:rsidRDefault="007E1E5A" w:rsidP="006A3266">
      <w:pPr>
        <w:spacing w:line="360" w:lineRule="auto"/>
        <w:jc w:val="both"/>
        <w:rPr>
          <w:rFonts w:ascii="Book Antiqua" w:hAnsi="Book Antiqua"/>
        </w:rPr>
      </w:pPr>
    </w:p>
    <w:p w14:paraId="5DEEEBD5" w14:textId="77777777" w:rsidR="007E1E5A" w:rsidRDefault="007E1E5A" w:rsidP="006A3266">
      <w:pPr>
        <w:spacing w:line="360" w:lineRule="auto"/>
        <w:jc w:val="both"/>
        <w:rPr>
          <w:rFonts w:ascii="Book Antiqua" w:hAnsi="Book Antiqua"/>
        </w:rPr>
      </w:pPr>
    </w:p>
    <w:p w14:paraId="35A414F2" w14:textId="3E7F3E44" w:rsidR="006A3266" w:rsidRDefault="006A3266" w:rsidP="006A3266">
      <w:pPr>
        <w:spacing w:line="360" w:lineRule="auto"/>
        <w:rPr>
          <w:rFonts w:ascii="Book Antiqua" w:hAnsi="Book Antiqua"/>
          <w:b/>
          <w:lang w:eastAsia="zh-CN"/>
        </w:rPr>
      </w:pPr>
      <w:r>
        <w:rPr>
          <w:rFonts w:ascii="Book Antiqua" w:hAnsi="Book Antiqua"/>
          <w:b/>
        </w:rPr>
        <w:lastRenderedPageBreak/>
        <w:t>Table 2</w:t>
      </w:r>
      <w:r>
        <w:rPr>
          <w:rFonts w:ascii="Book Antiqua" w:hAnsi="Book Antiqua" w:hint="eastAsia"/>
          <w:b/>
          <w:lang w:eastAsia="zh-CN"/>
        </w:rPr>
        <w:t xml:space="preserve"> </w:t>
      </w:r>
      <w:r>
        <w:rPr>
          <w:rFonts w:ascii="Book Antiqua" w:hAnsi="Book Antiqua"/>
          <w:b/>
        </w:rPr>
        <w:t>Summary and take home messages</w:t>
      </w:r>
    </w:p>
    <w:p w14:paraId="72C45FCD" w14:textId="77777777" w:rsidR="006A3266" w:rsidRDefault="006A3266" w:rsidP="006A3266">
      <w:pPr>
        <w:spacing w:line="360" w:lineRule="auto"/>
        <w:rPr>
          <w:rFonts w:ascii="Book Antiqua" w:hAnsi="Book Antiqua"/>
          <w:b/>
        </w:rPr>
      </w:pPr>
    </w:p>
    <w:p w14:paraId="729C3E25" w14:textId="77777777" w:rsidR="006A3266" w:rsidRDefault="006A3266" w:rsidP="006A3266">
      <w:pPr>
        <w:numPr>
          <w:ilvl w:val="0"/>
          <w:numId w:val="12"/>
        </w:numPr>
        <w:spacing w:after="200" w:line="360" w:lineRule="auto"/>
        <w:contextualSpacing/>
        <w:jc w:val="both"/>
        <w:rPr>
          <w:rFonts w:ascii="Book Antiqua" w:hAnsi="Book Antiqua"/>
        </w:rPr>
        <w:sectPr w:rsidR="006A3266" w:rsidSect="004A5816">
          <w:pgSz w:w="11900" w:h="16840"/>
          <w:pgMar w:top="1440" w:right="1440" w:bottom="1440" w:left="1440" w:header="720" w:footer="720" w:gutter="0"/>
          <w:cols w:space="720"/>
          <w:docGrid w:linePitch="360"/>
        </w:sectPr>
      </w:pPr>
    </w:p>
    <w:tbl>
      <w:tblPr>
        <w:tblW w:w="9288" w:type="dxa"/>
        <w:tblBorders>
          <w:top w:val="single" w:sz="4" w:space="0" w:color="auto"/>
          <w:bottom w:val="single" w:sz="4" w:space="0" w:color="auto"/>
          <w:insideV w:val="single" w:sz="4" w:space="0" w:color="BFBFBF"/>
        </w:tblBorders>
        <w:tblLook w:val="04A0" w:firstRow="1" w:lastRow="0" w:firstColumn="1" w:lastColumn="0" w:noHBand="0" w:noVBand="1"/>
      </w:tblPr>
      <w:tblGrid>
        <w:gridCol w:w="9288"/>
      </w:tblGrid>
      <w:tr w:rsidR="006A3266" w:rsidRPr="00367BAA" w14:paraId="5A49C49D" w14:textId="77777777" w:rsidTr="006A3266">
        <w:tc>
          <w:tcPr>
            <w:tcW w:w="9288" w:type="dxa"/>
            <w:shd w:val="clear" w:color="auto" w:fill="auto"/>
          </w:tcPr>
          <w:p w14:paraId="6F090940" w14:textId="488B4F41" w:rsidR="006A3266" w:rsidRPr="006A3266" w:rsidRDefault="006A3266" w:rsidP="006A3266">
            <w:pPr>
              <w:numPr>
                <w:ilvl w:val="0"/>
                <w:numId w:val="12"/>
              </w:numPr>
              <w:spacing w:after="200" w:line="360" w:lineRule="auto"/>
              <w:contextualSpacing/>
              <w:jc w:val="both"/>
              <w:rPr>
                <w:rFonts w:ascii="Book Antiqua" w:eastAsia="Calibri" w:hAnsi="Book Antiqua"/>
              </w:rPr>
            </w:pPr>
            <w:r w:rsidRPr="006A3266">
              <w:rPr>
                <w:rFonts w:ascii="Book Antiqua" w:hAnsi="Book Antiqua"/>
              </w:rPr>
              <w:lastRenderedPageBreak/>
              <w:t>The pathogenesis of</w:t>
            </w:r>
            <w:r>
              <w:rPr>
                <w:rFonts w:ascii="Book Antiqua" w:hAnsi="Book Antiqua" w:hint="eastAsia"/>
                <w:lang w:eastAsia="zh-CN"/>
              </w:rPr>
              <w:t xml:space="preserve"> </w:t>
            </w:r>
            <w:r w:rsidRPr="006A3266">
              <w:rPr>
                <w:rFonts w:ascii="Book Antiqua" w:hAnsi="Book Antiqua"/>
              </w:rPr>
              <w:t>IBD</w:t>
            </w:r>
            <w:r>
              <w:rPr>
                <w:rFonts w:ascii="Book Antiqua" w:hAnsi="Book Antiqua" w:hint="eastAsia"/>
                <w:lang w:eastAsia="zh-CN"/>
              </w:rPr>
              <w:t xml:space="preserve"> </w:t>
            </w:r>
            <w:r w:rsidRPr="006A3266">
              <w:rPr>
                <w:rFonts w:ascii="Book Antiqua" w:hAnsi="Book Antiqua"/>
              </w:rPr>
              <w:t xml:space="preserve">is not completely understood yet, and all therapies currently available are aimed at downstream steps of the complex inflammatory process. Specific targets when treating children with IBD are </w:t>
            </w:r>
            <w:r w:rsidRPr="006A3266">
              <w:rPr>
                <w:rFonts w:ascii="Book Antiqua" w:hAnsi="Book Antiqua" w:cs="Arial"/>
              </w:rPr>
              <w:t>achieving satisfactory growth and nutritional status.</w:t>
            </w:r>
          </w:p>
          <w:p w14:paraId="48B4C72C" w14:textId="77777777" w:rsidR="006A3266" w:rsidRPr="006A3266" w:rsidRDefault="006A3266" w:rsidP="006A3266">
            <w:pPr>
              <w:spacing w:line="360" w:lineRule="auto"/>
              <w:rPr>
                <w:rFonts w:ascii="Book Antiqua" w:hAnsi="Book Antiqua"/>
              </w:rPr>
            </w:pPr>
          </w:p>
        </w:tc>
      </w:tr>
      <w:tr w:rsidR="006A3266" w:rsidRPr="00367BAA" w14:paraId="120C58D0" w14:textId="77777777" w:rsidTr="006A3266">
        <w:tc>
          <w:tcPr>
            <w:tcW w:w="9288" w:type="dxa"/>
            <w:shd w:val="clear" w:color="auto" w:fill="auto"/>
          </w:tcPr>
          <w:p w14:paraId="5B08AEDF" w14:textId="77777777" w:rsidR="006A3266" w:rsidRPr="006A3266" w:rsidRDefault="006A3266" w:rsidP="006A3266">
            <w:pPr>
              <w:numPr>
                <w:ilvl w:val="0"/>
                <w:numId w:val="12"/>
              </w:numPr>
              <w:spacing w:after="200" w:line="360" w:lineRule="auto"/>
              <w:contextualSpacing/>
              <w:jc w:val="both"/>
              <w:rPr>
                <w:rFonts w:ascii="Book Antiqua" w:hAnsi="Book Antiqua"/>
              </w:rPr>
            </w:pPr>
            <w:r w:rsidRPr="006A3266">
              <w:rPr>
                <w:rFonts w:ascii="Book Antiqua" w:hAnsi="Book Antiqua"/>
              </w:rPr>
              <w:t>Paediatric pharmacometric approaches are increasingly applied to drugs already in use but that remain unlicensed and off-label in children due to missing information on age appropriate dosing, efficacy and safety.</w:t>
            </w:r>
          </w:p>
          <w:p w14:paraId="77299A2B" w14:textId="77777777" w:rsidR="006A3266" w:rsidRPr="006A3266" w:rsidRDefault="006A3266" w:rsidP="006A3266">
            <w:pPr>
              <w:spacing w:line="360" w:lineRule="auto"/>
              <w:rPr>
                <w:rFonts w:ascii="Book Antiqua" w:hAnsi="Book Antiqua"/>
              </w:rPr>
            </w:pPr>
          </w:p>
        </w:tc>
      </w:tr>
      <w:tr w:rsidR="006A3266" w:rsidRPr="00367BAA" w14:paraId="247EF8EB" w14:textId="77777777" w:rsidTr="006A3266">
        <w:tc>
          <w:tcPr>
            <w:tcW w:w="9288" w:type="dxa"/>
            <w:shd w:val="clear" w:color="auto" w:fill="auto"/>
          </w:tcPr>
          <w:p w14:paraId="7EB7DA55" w14:textId="77777777" w:rsidR="006A3266" w:rsidRPr="006A3266" w:rsidRDefault="006A3266" w:rsidP="006A3266">
            <w:pPr>
              <w:numPr>
                <w:ilvl w:val="0"/>
                <w:numId w:val="12"/>
              </w:numPr>
              <w:spacing w:after="200" w:line="360" w:lineRule="auto"/>
              <w:contextualSpacing/>
              <w:jc w:val="both"/>
              <w:rPr>
                <w:rFonts w:ascii="Book Antiqua" w:hAnsi="Book Antiqua"/>
              </w:rPr>
            </w:pPr>
            <w:r w:rsidRPr="006A3266">
              <w:rPr>
                <w:rFonts w:ascii="Book Antiqua" w:hAnsi="Book Antiqua"/>
              </w:rPr>
              <w:t>Corticosteroids can be used to induce remission in CD (when exclusive enteral nutrition is not possible) and are first-line therapy for induction of remission in UC, particularly in case of non-response to 5-ASA or with severe presentation.</w:t>
            </w:r>
          </w:p>
          <w:p w14:paraId="6E3FE69D" w14:textId="77777777" w:rsidR="006A3266" w:rsidRPr="006A3266" w:rsidRDefault="006A3266" w:rsidP="006A3266">
            <w:pPr>
              <w:spacing w:line="360" w:lineRule="auto"/>
              <w:rPr>
                <w:rFonts w:ascii="Book Antiqua" w:hAnsi="Book Antiqua"/>
              </w:rPr>
            </w:pPr>
          </w:p>
        </w:tc>
      </w:tr>
      <w:tr w:rsidR="006A3266" w:rsidRPr="00367BAA" w14:paraId="421F4B09" w14:textId="77777777" w:rsidTr="006A3266">
        <w:tc>
          <w:tcPr>
            <w:tcW w:w="9288" w:type="dxa"/>
            <w:shd w:val="clear" w:color="auto" w:fill="auto"/>
          </w:tcPr>
          <w:p w14:paraId="362007CB" w14:textId="77777777" w:rsidR="006A3266" w:rsidRPr="006A3266" w:rsidRDefault="006A3266" w:rsidP="006A3266">
            <w:pPr>
              <w:numPr>
                <w:ilvl w:val="0"/>
                <w:numId w:val="12"/>
              </w:numPr>
              <w:spacing w:after="200" w:line="360" w:lineRule="auto"/>
              <w:contextualSpacing/>
              <w:jc w:val="both"/>
              <w:rPr>
                <w:rFonts w:ascii="Book Antiqua" w:hAnsi="Book Antiqua"/>
              </w:rPr>
            </w:pPr>
            <w:r w:rsidRPr="006A3266">
              <w:rPr>
                <w:rFonts w:ascii="Book Antiqua" w:hAnsi="Book Antiqua"/>
              </w:rPr>
              <w:t>One of the targets of current research is to customise therapy to a patient’s predictive biomarker profile in order to personalise treatments and to maximise response.</w:t>
            </w:r>
          </w:p>
          <w:p w14:paraId="05D7C7F9" w14:textId="77777777" w:rsidR="006A3266" w:rsidRPr="006A3266" w:rsidRDefault="006A3266" w:rsidP="006A3266">
            <w:pPr>
              <w:spacing w:line="360" w:lineRule="auto"/>
              <w:rPr>
                <w:rFonts w:ascii="Book Antiqua" w:hAnsi="Book Antiqua"/>
              </w:rPr>
            </w:pPr>
          </w:p>
        </w:tc>
      </w:tr>
      <w:tr w:rsidR="006A3266" w:rsidRPr="00367BAA" w14:paraId="2DF133BA" w14:textId="77777777" w:rsidTr="006A3266">
        <w:tc>
          <w:tcPr>
            <w:tcW w:w="9288" w:type="dxa"/>
            <w:shd w:val="clear" w:color="auto" w:fill="auto"/>
          </w:tcPr>
          <w:p w14:paraId="458E7F39" w14:textId="0F81D283" w:rsidR="006A3266" w:rsidRPr="006A3266" w:rsidRDefault="006A3266" w:rsidP="006A3266">
            <w:pPr>
              <w:numPr>
                <w:ilvl w:val="0"/>
                <w:numId w:val="12"/>
              </w:numPr>
              <w:spacing w:after="200" w:line="360" w:lineRule="auto"/>
              <w:contextualSpacing/>
              <w:jc w:val="both"/>
              <w:rPr>
                <w:rFonts w:ascii="Book Antiqua" w:hAnsi="Book Antiqua"/>
              </w:rPr>
            </w:pPr>
            <w:r w:rsidRPr="006A3266">
              <w:rPr>
                <w:rFonts w:ascii="Book Antiqua" w:hAnsi="Book Antiqua"/>
              </w:rPr>
              <w:t>5-ASA are used in induction and maintenance of remission in</w:t>
            </w:r>
            <w:r w:rsidRPr="006A3266">
              <w:rPr>
                <w:rFonts w:ascii="Book Antiqua" w:hAnsi="Book Antiqua" w:hint="eastAsia"/>
                <w:lang w:eastAsia="zh-CN"/>
              </w:rPr>
              <w:t xml:space="preserve"> </w:t>
            </w:r>
            <w:r w:rsidRPr="006A3266">
              <w:rPr>
                <w:rFonts w:ascii="Book Antiqua" w:hAnsi="Book Antiqua"/>
              </w:rPr>
              <w:t>UC. They are not recommended in</w:t>
            </w:r>
            <w:r>
              <w:rPr>
                <w:rFonts w:ascii="Book Antiqua" w:hAnsi="Book Antiqua" w:hint="eastAsia"/>
                <w:lang w:eastAsia="zh-CN"/>
              </w:rPr>
              <w:t xml:space="preserve"> </w:t>
            </w:r>
            <w:r w:rsidRPr="006A3266">
              <w:rPr>
                <w:rFonts w:ascii="Book Antiqua" w:hAnsi="Book Antiqua"/>
              </w:rPr>
              <w:t>CD</w:t>
            </w:r>
            <w:r w:rsidRPr="006A3266">
              <w:rPr>
                <w:rFonts w:ascii="Book Antiqua" w:hAnsi="Book Antiqua" w:hint="eastAsia"/>
                <w:lang w:eastAsia="zh-CN"/>
              </w:rPr>
              <w:t xml:space="preserve"> </w:t>
            </w:r>
            <w:r w:rsidRPr="006A3266">
              <w:rPr>
                <w:rFonts w:ascii="Book Antiqua" w:hAnsi="Book Antiqua"/>
              </w:rPr>
              <w:t>except from post-operative maintenance of remission.</w:t>
            </w:r>
          </w:p>
          <w:p w14:paraId="06B37737" w14:textId="77777777" w:rsidR="006A3266" w:rsidRPr="006A3266" w:rsidRDefault="006A3266" w:rsidP="006A3266">
            <w:pPr>
              <w:spacing w:line="360" w:lineRule="auto"/>
              <w:rPr>
                <w:rFonts w:ascii="Book Antiqua" w:hAnsi="Book Antiqua"/>
              </w:rPr>
            </w:pPr>
          </w:p>
        </w:tc>
      </w:tr>
      <w:tr w:rsidR="006A3266" w:rsidRPr="00367BAA" w14:paraId="06F7E58F" w14:textId="77777777" w:rsidTr="006A3266">
        <w:tc>
          <w:tcPr>
            <w:tcW w:w="9288" w:type="dxa"/>
            <w:shd w:val="clear" w:color="auto" w:fill="auto"/>
          </w:tcPr>
          <w:p w14:paraId="195A29A2" w14:textId="77777777" w:rsidR="006A3266" w:rsidRPr="006A3266" w:rsidRDefault="006A3266" w:rsidP="006A3266">
            <w:pPr>
              <w:numPr>
                <w:ilvl w:val="0"/>
                <w:numId w:val="12"/>
              </w:numPr>
              <w:spacing w:after="200" w:line="360" w:lineRule="auto"/>
              <w:contextualSpacing/>
              <w:jc w:val="both"/>
              <w:rPr>
                <w:rFonts w:ascii="Book Antiqua" w:hAnsi="Book Antiqua"/>
              </w:rPr>
            </w:pPr>
            <w:r w:rsidRPr="006A3266">
              <w:rPr>
                <w:rFonts w:ascii="Book Antiqua" w:hAnsi="Book Antiqua"/>
              </w:rPr>
              <w:t>Thiopurines include azathioprine (AZA) and 6-mercaptopurine (6-MP) and are steroid sparing agents. They are effective in maintaining disease remission in patients with CD and UC as well as post-surgical remission in CD. The use of thiopurine methyl transferase (TPMT) activity and 6-TGN level measurements helps avoiding nearly a quarter of episodes of myelosuppression as well as to monitor non-compliance, under-dosing, drug-resistance or refractory state.</w:t>
            </w:r>
          </w:p>
          <w:p w14:paraId="32FBF522" w14:textId="77777777" w:rsidR="006A3266" w:rsidRPr="006A3266" w:rsidRDefault="006A3266" w:rsidP="006A3266">
            <w:pPr>
              <w:spacing w:line="360" w:lineRule="auto"/>
              <w:rPr>
                <w:rFonts w:ascii="Book Antiqua" w:hAnsi="Book Antiqua"/>
              </w:rPr>
            </w:pPr>
          </w:p>
        </w:tc>
      </w:tr>
      <w:tr w:rsidR="006A3266" w:rsidRPr="00367BAA" w14:paraId="14253EBB" w14:textId="77777777" w:rsidTr="006A3266">
        <w:tc>
          <w:tcPr>
            <w:tcW w:w="9288" w:type="dxa"/>
            <w:shd w:val="clear" w:color="auto" w:fill="auto"/>
          </w:tcPr>
          <w:p w14:paraId="6F2E4802" w14:textId="77777777" w:rsidR="006A3266" w:rsidRPr="006A3266" w:rsidRDefault="006A3266" w:rsidP="006A3266">
            <w:pPr>
              <w:numPr>
                <w:ilvl w:val="0"/>
                <w:numId w:val="12"/>
              </w:numPr>
              <w:spacing w:after="200" w:line="360" w:lineRule="auto"/>
              <w:contextualSpacing/>
              <w:jc w:val="both"/>
              <w:rPr>
                <w:rFonts w:ascii="Book Antiqua" w:hAnsi="Book Antiqua"/>
              </w:rPr>
            </w:pPr>
            <w:r w:rsidRPr="006A3266">
              <w:rPr>
                <w:rFonts w:ascii="Book Antiqua" w:hAnsi="Book Antiqua"/>
              </w:rPr>
              <w:t xml:space="preserve">An increase in mean 6-TGN blood level has been reported in patients on 6-MP </w:t>
            </w:r>
            <w:r w:rsidRPr="006A3266">
              <w:rPr>
                <w:rFonts w:ascii="Book Antiqua" w:hAnsi="Book Antiqua"/>
              </w:rPr>
              <w:lastRenderedPageBreak/>
              <w:t>or AZA co-treated with 5-ASA, with a higher rate of myelotoxicity in respect to patients treated with the thiopurine alone.</w:t>
            </w:r>
          </w:p>
          <w:p w14:paraId="5D8D633F" w14:textId="77777777" w:rsidR="006A3266" w:rsidRPr="006A3266" w:rsidRDefault="006A3266" w:rsidP="006A3266">
            <w:pPr>
              <w:spacing w:line="360" w:lineRule="auto"/>
              <w:rPr>
                <w:rFonts w:ascii="Book Antiqua" w:hAnsi="Book Antiqua"/>
              </w:rPr>
            </w:pPr>
          </w:p>
        </w:tc>
      </w:tr>
      <w:tr w:rsidR="006A3266" w:rsidRPr="00367BAA" w14:paraId="36A24C33" w14:textId="77777777" w:rsidTr="006A3266">
        <w:tc>
          <w:tcPr>
            <w:tcW w:w="9288" w:type="dxa"/>
            <w:shd w:val="clear" w:color="auto" w:fill="auto"/>
          </w:tcPr>
          <w:p w14:paraId="73E4536A" w14:textId="732F82C7" w:rsidR="006A3266" w:rsidRPr="006A3266" w:rsidRDefault="006A3266" w:rsidP="006A3266">
            <w:pPr>
              <w:numPr>
                <w:ilvl w:val="0"/>
                <w:numId w:val="12"/>
              </w:numPr>
              <w:spacing w:after="200" w:line="360" w:lineRule="auto"/>
              <w:contextualSpacing/>
              <w:jc w:val="both"/>
              <w:rPr>
                <w:rFonts w:ascii="Book Antiqua" w:hAnsi="Book Antiqua"/>
              </w:rPr>
            </w:pPr>
            <w:r>
              <w:rPr>
                <w:rFonts w:ascii="Book Antiqua" w:hAnsi="Book Antiqua" w:hint="eastAsia"/>
                <w:lang w:eastAsia="zh-CN"/>
              </w:rPr>
              <w:lastRenderedPageBreak/>
              <w:t xml:space="preserve"> </w:t>
            </w:r>
            <w:r>
              <w:rPr>
                <w:rFonts w:ascii="Book Antiqua" w:hAnsi="Book Antiqua"/>
              </w:rPr>
              <w:t>MTX</w:t>
            </w:r>
            <w:r w:rsidRPr="006A3266">
              <w:rPr>
                <w:rFonts w:ascii="Book Antiqua" w:hAnsi="Book Antiqua"/>
              </w:rPr>
              <w:t xml:space="preserve"> is effective in 50-80% of the children who fail to respond or are intolerant to thiopurines. It is particularly suitable to patients who have coexistent inflammatory arthritis.</w:t>
            </w:r>
          </w:p>
          <w:p w14:paraId="1960EE4A" w14:textId="77777777" w:rsidR="006A3266" w:rsidRPr="006A3266" w:rsidRDefault="006A3266" w:rsidP="006A3266">
            <w:pPr>
              <w:spacing w:line="360" w:lineRule="auto"/>
              <w:rPr>
                <w:rFonts w:ascii="Book Antiqua" w:hAnsi="Book Antiqua"/>
              </w:rPr>
            </w:pPr>
          </w:p>
        </w:tc>
      </w:tr>
      <w:tr w:rsidR="006A3266" w:rsidRPr="00367BAA" w14:paraId="0E8DDD70" w14:textId="77777777" w:rsidTr="006A3266">
        <w:tc>
          <w:tcPr>
            <w:tcW w:w="9288" w:type="dxa"/>
            <w:shd w:val="clear" w:color="auto" w:fill="auto"/>
          </w:tcPr>
          <w:p w14:paraId="0B5206AA" w14:textId="6ED3E243" w:rsidR="006A3266" w:rsidRPr="006A3266" w:rsidRDefault="006A3266" w:rsidP="006A3266">
            <w:pPr>
              <w:numPr>
                <w:ilvl w:val="0"/>
                <w:numId w:val="12"/>
              </w:numPr>
              <w:spacing w:after="200" w:line="360" w:lineRule="auto"/>
              <w:contextualSpacing/>
              <w:jc w:val="both"/>
              <w:rPr>
                <w:rFonts w:ascii="Book Antiqua" w:hAnsi="Book Antiqua"/>
              </w:rPr>
            </w:pPr>
            <w:r w:rsidRPr="006A3266">
              <w:rPr>
                <w:rFonts w:ascii="Book Antiqua" w:hAnsi="Book Antiqua"/>
              </w:rPr>
              <w:t>In CD, anti-TNF agents are used to treat moderate to severe disease with inadequate response, or contraindication to, or intolerance to, conventional therapy including corticosteroids and immunomodulators. They are also indicated in children with active perianal fistulising disease. Therapeutic drug monitoring of</w:t>
            </w:r>
            <w:r>
              <w:rPr>
                <w:rFonts w:ascii="Book Antiqua" w:hAnsi="Book Antiqua" w:hint="eastAsia"/>
                <w:lang w:eastAsia="zh-CN"/>
              </w:rPr>
              <w:t xml:space="preserve"> </w:t>
            </w:r>
            <w:r w:rsidRPr="006A3266">
              <w:rPr>
                <w:rFonts w:ascii="Book Antiqua" w:hAnsi="Book Antiqua"/>
              </w:rPr>
              <w:t>IFX has improved response rates and is increasingly used in clinical practice as a tool for the management of secondary failure to IFX.</w:t>
            </w:r>
          </w:p>
          <w:p w14:paraId="64D65BD5" w14:textId="77777777" w:rsidR="006A3266" w:rsidRPr="006A3266" w:rsidRDefault="006A3266" w:rsidP="006A3266">
            <w:pPr>
              <w:spacing w:line="360" w:lineRule="auto"/>
              <w:rPr>
                <w:rFonts w:ascii="Book Antiqua" w:hAnsi="Book Antiqua"/>
              </w:rPr>
            </w:pPr>
          </w:p>
        </w:tc>
      </w:tr>
      <w:tr w:rsidR="006A3266" w:rsidRPr="00367BAA" w14:paraId="0C90A9A3" w14:textId="77777777" w:rsidTr="006A3266">
        <w:tc>
          <w:tcPr>
            <w:tcW w:w="9288" w:type="dxa"/>
            <w:shd w:val="clear" w:color="auto" w:fill="auto"/>
          </w:tcPr>
          <w:p w14:paraId="7374CA1B" w14:textId="6E94643B" w:rsidR="006A3266" w:rsidRPr="006A3266" w:rsidRDefault="006A3266" w:rsidP="006A3266">
            <w:pPr>
              <w:numPr>
                <w:ilvl w:val="0"/>
                <w:numId w:val="12"/>
              </w:numPr>
              <w:spacing w:after="200" w:line="360" w:lineRule="auto"/>
              <w:contextualSpacing/>
              <w:jc w:val="both"/>
              <w:rPr>
                <w:rFonts w:ascii="Book Antiqua" w:hAnsi="Book Antiqua"/>
              </w:rPr>
            </w:pPr>
            <w:r>
              <w:rPr>
                <w:rFonts w:ascii="Book Antiqua" w:hAnsi="Book Antiqua"/>
              </w:rPr>
              <w:t>ADA</w:t>
            </w:r>
            <w:r w:rsidRPr="006A3266">
              <w:rPr>
                <w:rFonts w:ascii="Book Antiqua" w:hAnsi="Book Antiqua"/>
              </w:rPr>
              <w:t xml:space="preserve"> is a fully human IgG1k monoclonal antibody, which represents a treatment option in patients who have lost response or are intolerant to IFX. ADA achieves remission rates of 45% at 1 year in anti-TNF naïve children and is effective in nearly 2/3 of patients with IFX failure.</w:t>
            </w:r>
          </w:p>
          <w:p w14:paraId="627A6564" w14:textId="77777777" w:rsidR="006A3266" w:rsidRPr="006A3266" w:rsidRDefault="006A3266" w:rsidP="006A3266">
            <w:pPr>
              <w:spacing w:line="360" w:lineRule="auto"/>
              <w:rPr>
                <w:rFonts w:ascii="Book Antiqua" w:hAnsi="Book Antiqua"/>
              </w:rPr>
            </w:pPr>
          </w:p>
        </w:tc>
      </w:tr>
      <w:tr w:rsidR="006A3266" w:rsidRPr="00367BAA" w14:paraId="3DB4B257" w14:textId="77777777" w:rsidTr="006A3266">
        <w:tc>
          <w:tcPr>
            <w:tcW w:w="9288" w:type="dxa"/>
            <w:shd w:val="clear" w:color="auto" w:fill="auto"/>
          </w:tcPr>
          <w:p w14:paraId="24C892CE" w14:textId="77777777" w:rsidR="006A3266" w:rsidRPr="006A3266" w:rsidRDefault="006A3266" w:rsidP="006A3266">
            <w:pPr>
              <w:numPr>
                <w:ilvl w:val="0"/>
                <w:numId w:val="12"/>
              </w:numPr>
              <w:spacing w:after="200" w:line="360" w:lineRule="auto"/>
              <w:jc w:val="both"/>
              <w:rPr>
                <w:rFonts w:ascii="Book Antiqua" w:hAnsi="Book Antiqua"/>
              </w:rPr>
            </w:pPr>
            <w:r w:rsidRPr="006A3266">
              <w:rPr>
                <w:rFonts w:ascii="Book Antiqua" w:hAnsi="Book Antiqua"/>
              </w:rPr>
              <w:t>Vedolizumab is an anti-integrin therapy which inhibits the migration of intestinal T lymphocytes. The mechanism of action of Vedolizumab is restricted to the GI tract, mitigating the risks of systemic immunosuppression such as infections and malignancies. The clinical response rate for induction with vedolizumab is 50% in UC patients. Vedolizumab is approved for treatment of CD and UC in adults and there is increasing off-label use in children.</w:t>
            </w:r>
          </w:p>
        </w:tc>
      </w:tr>
      <w:tr w:rsidR="006A3266" w:rsidRPr="00367BAA" w14:paraId="0466E4C8" w14:textId="77777777" w:rsidTr="006A3266">
        <w:tc>
          <w:tcPr>
            <w:tcW w:w="9288" w:type="dxa"/>
            <w:shd w:val="clear" w:color="auto" w:fill="auto"/>
          </w:tcPr>
          <w:p w14:paraId="582A94B6" w14:textId="77777777" w:rsidR="006A3266" w:rsidRPr="006A3266" w:rsidRDefault="006A3266" w:rsidP="006A3266">
            <w:pPr>
              <w:numPr>
                <w:ilvl w:val="0"/>
                <w:numId w:val="12"/>
              </w:numPr>
              <w:spacing w:after="200" w:line="360" w:lineRule="auto"/>
              <w:contextualSpacing/>
              <w:jc w:val="both"/>
              <w:rPr>
                <w:rFonts w:ascii="Book Antiqua" w:hAnsi="Book Antiqua"/>
              </w:rPr>
            </w:pPr>
            <w:r w:rsidRPr="006A3266">
              <w:rPr>
                <w:rFonts w:ascii="Book Antiqua" w:hAnsi="Book Antiqua"/>
              </w:rPr>
              <w:t>Thalidomide is an immunosuppressant drug used infrequently off-label in the treatment of refractory CD and UC. Induction of remission is achieved in aroud 50% cases and clinical response in 70%.</w:t>
            </w:r>
          </w:p>
          <w:p w14:paraId="7497F38A" w14:textId="77777777" w:rsidR="006A3266" w:rsidRPr="006A3266" w:rsidRDefault="006A3266" w:rsidP="006A3266">
            <w:pPr>
              <w:spacing w:line="360" w:lineRule="auto"/>
              <w:rPr>
                <w:rFonts w:ascii="Book Antiqua" w:hAnsi="Book Antiqua"/>
              </w:rPr>
            </w:pPr>
          </w:p>
        </w:tc>
      </w:tr>
      <w:tr w:rsidR="006A3266" w:rsidRPr="00367BAA" w14:paraId="542C418F" w14:textId="77777777" w:rsidTr="006A3266">
        <w:tc>
          <w:tcPr>
            <w:tcW w:w="9288" w:type="dxa"/>
            <w:shd w:val="clear" w:color="auto" w:fill="auto"/>
          </w:tcPr>
          <w:p w14:paraId="7A63727E" w14:textId="718D0078" w:rsidR="006A3266" w:rsidRPr="006A3266" w:rsidRDefault="006A3266" w:rsidP="006A3266">
            <w:pPr>
              <w:numPr>
                <w:ilvl w:val="0"/>
                <w:numId w:val="12"/>
              </w:numPr>
              <w:spacing w:after="200" w:line="360" w:lineRule="auto"/>
              <w:contextualSpacing/>
              <w:jc w:val="both"/>
              <w:rPr>
                <w:rFonts w:ascii="Book Antiqua" w:hAnsi="Book Antiqua"/>
              </w:rPr>
            </w:pPr>
            <w:r w:rsidRPr="006A3266">
              <w:rPr>
                <w:rFonts w:ascii="Book Antiqua" w:hAnsi="Book Antiqua"/>
              </w:rPr>
              <w:lastRenderedPageBreak/>
              <w:t>Drug therapies that interfere selectively with lymphocyte trafficking (</w:t>
            </w:r>
            <w:r w:rsidRPr="006A3266">
              <w:rPr>
                <w:rFonts w:ascii="Book Antiqua" w:hAnsi="Book Antiqua"/>
                <w:i/>
              </w:rPr>
              <w:t>e.g.</w:t>
            </w:r>
            <w:r w:rsidRPr="006A3266">
              <w:rPr>
                <w:rFonts w:ascii="Book Antiqua" w:hAnsi="Book Antiqua" w:hint="eastAsia"/>
                <w:i/>
                <w:lang w:eastAsia="zh-CN"/>
              </w:rPr>
              <w:t>,</w:t>
            </w:r>
            <w:r w:rsidRPr="006A3266">
              <w:rPr>
                <w:rFonts w:ascii="Book Antiqua" w:hAnsi="Book Antiqua"/>
              </w:rPr>
              <w:t xml:space="preserve"> etrolizumab, ozanimod) are emerging treatment options for UC.</w:t>
            </w:r>
          </w:p>
        </w:tc>
      </w:tr>
    </w:tbl>
    <w:p w14:paraId="40DBF978" w14:textId="24E6C618" w:rsidR="006A3266" w:rsidRPr="006A3266" w:rsidRDefault="006A3266" w:rsidP="006A3266">
      <w:pPr>
        <w:spacing w:line="360" w:lineRule="auto"/>
        <w:jc w:val="both"/>
        <w:rPr>
          <w:rFonts w:ascii="Book Antiqua" w:hAnsi="Book Antiqua"/>
          <w:lang w:eastAsia="zh-CN"/>
        </w:rPr>
      </w:pPr>
      <w:r w:rsidRPr="006A3266">
        <w:rPr>
          <w:rFonts w:ascii="Book Antiqua" w:hAnsi="Book Antiqua"/>
        </w:rPr>
        <w:t>UC</w:t>
      </w:r>
      <w:r>
        <w:rPr>
          <w:rFonts w:ascii="Book Antiqua" w:hAnsi="Book Antiqua" w:hint="eastAsia"/>
          <w:lang w:eastAsia="zh-CN"/>
        </w:rPr>
        <w:t xml:space="preserve">: </w:t>
      </w:r>
      <w:r w:rsidRPr="00367BAA">
        <w:rPr>
          <w:rFonts w:ascii="Book Antiqua" w:hAnsi="Book Antiqua"/>
        </w:rPr>
        <w:t>Ulcerative colitis</w:t>
      </w:r>
      <w:r>
        <w:rPr>
          <w:rFonts w:ascii="Book Antiqua" w:hAnsi="Book Antiqua" w:hint="eastAsia"/>
          <w:lang w:eastAsia="zh-CN"/>
        </w:rPr>
        <w:t xml:space="preserve">; </w:t>
      </w:r>
      <w:r w:rsidRPr="00367BAA">
        <w:rPr>
          <w:rFonts w:ascii="Book Antiqua" w:hAnsi="Book Antiqua"/>
        </w:rPr>
        <w:t>IBD</w:t>
      </w:r>
      <w:r>
        <w:rPr>
          <w:rFonts w:ascii="Book Antiqua" w:hAnsi="Book Antiqua" w:hint="eastAsia"/>
          <w:lang w:eastAsia="zh-CN"/>
        </w:rPr>
        <w:t>:</w:t>
      </w:r>
      <w:r w:rsidRPr="00367BAA">
        <w:rPr>
          <w:rFonts w:ascii="Book Antiqua" w:hAnsi="Book Antiqua"/>
        </w:rPr>
        <w:t xml:space="preserve"> Inflammatory bowel disease</w:t>
      </w:r>
      <w:r>
        <w:rPr>
          <w:rFonts w:ascii="Book Antiqua" w:hAnsi="Book Antiqua" w:hint="eastAsia"/>
          <w:lang w:eastAsia="zh-CN"/>
        </w:rPr>
        <w:t>;</w:t>
      </w:r>
      <w:r w:rsidRPr="006A3266">
        <w:rPr>
          <w:rFonts w:ascii="Book Antiqua" w:hAnsi="Book Antiqua"/>
        </w:rPr>
        <w:t xml:space="preserve"> </w:t>
      </w:r>
      <w:r w:rsidRPr="00367BAA">
        <w:rPr>
          <w:rFonts w:ascii="Book Antiqua" w:hAnsi="Book Antiqua"/>
        </w:rPr>
        <w:t>ADA</w:t>
      </w:r>
      <w:r>
        <w:rPr>
          <w:rFonts w:ascii="Book Antiqua" w:hAnsi="Book Antiqua" w:hint="eastAsia"/>
          <w:lang w:eastAsia="zh-CN"/>
        </w:rPr>
        <w:t>:</w:t>
      </w:r>
      <w:r w:rsidRPr="006A3266">
        <w:rPr>
          <w:rFonts w:ascii="Book Antiqua" w:hAnsi="Book Antiqua" w:hint="eastAsia"/>
          <w:lang w:eastAsia="zh-CN"/>
        </w:rPr>
        <w:t xml:space="preserve"> </w:t>
      </w:r>
      <w:r w:rsidRPr="006A3266">
        <w:rPr>
          <w:rFonts w:ascii="Book Antiqua" w:hAnsi="Book Antiqua"/>
        </w:rPr>
        <w:t>Adalimumab</w:t>
      </w:r>
      <w:r w:rsidRPr="006A3266">
        <w:rPr>
          <w:rFonts w:ascii="Book Antiqua" w:hAnsi="Book Antiqua" w:hint="eastAsia"/>
          <w:lang w:eastAsia="zh-CN"/>
        </w:rPr>
        <w:t>;</w:t>
      </w:r>
      <w:r w:rsidRPr="006A3266">
        <w:rPr>
          <w:rFonts w:ascii="Book Antiqua" w:hAnsi="Book Antiqua"/>
        </w:rPr>
        <w:t xml:space="preserve"> IFX</w:t>
      </w:r>
      <w:r w:rsidRPr="006A3266">
        <w:rPr>
          <w:rFonts w:ascii="Book Antiqua" w:hAnsi="Book Antiqua" w:hint="eastAsia"/>
          <w:lang w:eastAsia="zh-CN"/>
        </w:rPr>
        <w:t xml:space="preserve">: </w:t>
      </w:r>
      <w:r w:rsidRPr="006A3266">
        <w:rPr>
          <w:rFonts w:ascii="Book Antiqua" w:hAnsi="Book Antiqua"/>
        </w:rPr>
        <w:t>infliximab</w:t>
      </w:r>
      <w:r w:rsidRPr="006A3266">
        <w:rPr>
          <w:rFonts w:ascii="Book Antiqua" w:hAnsi="Book Antiqua" w:hint="eastAsia"/>
          <w:lang w:eastAsia="zh-CN"/>
        </w:rPr>
        <w:t>;</w:t>
      </w:r>
      <w:r w:rsidRPr="006A3266">
        <w:rPr>
          <w:rFonts w:ascii="Book Antiqua" w:hAnsi="Book Antiqua"/>
        </w:rPr>
        <w:t xml:space="preserve"> TPMT</w:t>
      </w:r>
      <w:r w:rsidRPr="006A3266">
        <w:rPr>
          <w:rFonts w:ascii="Book Antiqua" w:hAnsi="Book Antiqua" w:hint="eastAsia"/>
          <w:lang w:eastAsia="zh-CN"/>
        </w:rPr>
        <w:t xml:space="preserve">: </w:t>
      </w:r>
      <w:r w:rsidRPr="006A3266">
        <w:rPr>
          <w:rFonts w:ascii="Book Antiqua" w:hAnsi="Book Antiqua"/>
        </w:rPr>
        <w:t>thiopurine methyl transferase</w:t>
      </w:r>
      <w:r w:rsidRPr="006A3266">
        <w:rPr>
          <w:rFonts w:ascii="Book Antiqua" w:hAnsi="Book Antiqua" w:hint="eastAsia"/>
          <w:lang w:eastAsia="zh-CN"/>
        </w:rPr>
        <w:t xml:space="preserve">; </w:t>
      </w:r>
      <w:r w:rsidRPr="006A3266">
        <w:rPr>
          <w:rFonts w:ascii="Book Antiqua" w:hAnsi="Book Antiqua"/>
        </w:rPr>
        <w:t>5-ASA</w:t>
      </w:r>
      <w:r w:rsidRPr="006A3266">
        <w:rPr>
          <w:rFonts w:ascii="Book Antiqua" w:hAnsi="Book Antiqua" w:hint="eastAsia"/>
          <w:lang w:eastAsia="zh-CN"/>
        </w:rPr>
        <w:t xml:space="preserve">: </w:t>
      </w:r>
      <w:r w:rsidRPr="006A3266">
        <w:rPr>
          <w:rFonts w:ascii="Book Antiqua" w:hAnsi="Book Antiqua"/>
        </w:rPr>
        <w:t>Aminosalicylates</w:t>
      </w:r>
      <w:r w:rsidRPr="006A3266">
        <w:rPr>
          <w:rFonts w:ascii="Book Antiqua" w:hAnsi="Book Antiqua" w:hint="eastAsia"/>
          <w:lang w:eastAsia="zh-CN"/>
        </w:rPr>
        <w:t xml:space="preserve">; </w:t>
      </w:r>
      <w:r w:rsidRPr="006A3266">
        <w:rPr>
          <w:rFonts w:ascii="Book Antiqua" w:hAnsi="Book Antiqua"/>
          <w:lang w:eastAsia="zh-CN"/>
        </w:rPr>
        <w:t xml:space="preserve">CD: </w:t>
      </w:r>
      <w:r w:rsidRPr="006A3266">
        <w:rPr>
          <w:rFonts w:ascii="Book Antiqua" w:hAnsi="Book Antiqua"/>
        </w:rPr>
        <w:t>Crohn’s</w:t>
      </w:r>
      <w:r w:rsidRPr="006A3266">
        <w:rPr>
          <w:rFonts w:ascii="Book Antiqua" w:hAnsi="Book Antiqua" w:hint="eastAsia"/>
          <w:lang w:eastAsia="zh-CN"/>
        </w:rPr>
        <w:t xml:space="preserve"> </w:t>
      </w:r>
      <w:r w:rsidRPr="006A3266">
        <w:rPr>
          <w:rFonts w:ascii="Book Antiqua" w:hAnsi="Book Antiqua"/>
          <w:lang w:eastAsia="zh-CN"/>
        </w:rPr>
        <w:t>disease</w:t>
      </w:r>
      <w:r w:rsidRPr="006A3266">
        <w:rPr>
          <w:rFonts w:ascii="Book Antiqua" w:hAnsi="Book Antiqua" w:hint="eastAsia"/>
          <w:lang w:eastAsia="zh-CN"/>
        </w:rPr>
        <w:t>.</w:t>
      </w:r>
    </w:p>
    <w:sectPr w:rsidR="006A3266" w:rsidRPr="006A3266" w:rsidSect="004A58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2290D" w14:textId="77777777" w:rsidR="00963E0C" w:rsidRDefault="00963E0C" w:rsidP="00632F84">
      <w:r>
        <w:separator/>
      </w:r>
    </w:p>
  </w:endnote>
  <w:endnote w:type="continuationSeparator" w:id="0">
    <w:p w14:paraId="5455D83B" w14:textId="77777777" w:rsidR="00963E0C" w:rsidRDefault="00963E0C" w:rsidP="0063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ò[ˇ">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ans">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71A65" w14:textId="77777777" w:rsidR="00963E0C" w:rsidRDefault="00963E0C" w:rsidP="00632F84">
      <w:r>
        <w:separator/>
      </w:r>
    </w:p>
  </w:footnote>
  <w:footnote w:type="continuationSeparator" w:id="0">
    <w:p w14:paraId="6331CED7" w14:textId="77777777" w:rsidR="00963E0C" w:rsidRDefault="00963E0C" w:rsidP="00632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0253"/>
    <w:multiLevelType w:val="hybridMultilevel"/>
    <w:tmpl w:val="B8B44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62D34"/>
    <w:multiLevelType w:val="multilevel"/>
    <w:tmpl w:val="9BCE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24C5B"/>
    <w:multiLevelType w:val="multilevel"/>
    <w:tmpl w:val="20C47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4179D3"/>
    <w:multiLevelType w:val="multilevel"/>
    <w:tmpl w:val="D6A4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37DFE"/>
    <w:multiLevelType w:val="hybridMultilevel"/>
    <w:tmpl w:val="D7E02904"/>
    <w:lvl w:ilvl="0" w:tplc="7AE2D4C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002E5"/>
    <w:multiLevelType w:val="hybridMultilevel"/>
    <w:tmpl w:val="7AC2D5EA"/>
    <w:lvl w:ilvl="0" w:tplc="AC604B3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96C0A"/>
    <w:multiLevelType w:val="hybridMultilevel"/>
    <w:tmpl w:val="027CC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D22C9"/>
    <w:multiLevelType w:val="multilevel"/>
    <w:tmpl w:val="4B80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7A6F20"/>
    <w:multiLevelType w:val="hybridMultilevel"/>
    <w:tmpl w:val="EDA6B9D8"/>
    <w:lvl w:ilvl="0" w:tplc="C6AC5F5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C06EBE"/>
    <w:multiLevelType w:val="hybridMultilevel"/>
    <w:tmpl w:val="FB9E942C"/>
    <w:lvl w:ilvl="0" w:tplc="6D2EEDC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D1D54"/>
    <w:multiLevelType w:val="multilevel"/>
    <w:tmpl w:val="B802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A57297"/>
    <w:multiLevelType w:val="multilevel"/>
    <w:tmpl w:val="BC28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1"/>
  </w:num>
  <w:num w:numId="4">
    <w:abstractNumId w:val="1"/>
  </w:num>
  <w:num w:numId="5">
    <w:abstractNumId w:val="7"/>
  </w:num>
  <w:num w:numId="6">
    <w:abstractNumId w:val="10"/>
  </w:num>
  <w:num w:numId="7">
    <w:abstractNumId w:val="3"/>
  </w:num>
  <w:num w:numId="8">
    <w:abstractNumId w:val="2"/>
  </w:num>
  <w:num w:numId="9">
    <w:abstractNumId w:val="0"/>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A1"/>
    <w:rsid w:val="00001AF5"/>
    <w:rsid w:val="00004D25"/>
    <w:rsid w:val="00005044"/>
    <w:rsid w:val="00014B10"/>
    <w:rsid w:val="00020B09"/>
    <w:rsid w:val="00031E7B"/>
    <w:rsid w:val="00031FE3"/>
    <w:rsid w:val="000369A0"/>
    <w:rsid w:val="00037D6E"/>
    <w:rsid w:val="00043244"/>
    <w:rsid w:val="00043460"/>
    <w:rsid w:val="00045C26"/>
    <w:rsid w:val="000466BD"/>
    <w:rsid w:val="00053B4F"/>
    <w:rsid w:val="00055479"/>
    <w:rsid w:val="00055A43"/>
    <w:rsid w:val="00056AC3"/>
    <w:rsid w:val="0005782C"/>
    <w:rsid w:val="00063815"/>
    <w:rsid w:val="0007057D"/>
    <w:rsid w:val="000742E6"/>
    <w:rsid w:val="0007556D"/>
    <w:rsid w:val="00083AC5"/>
    <w:rsid w:val="00085864"/>
    <w:rsid w:val="00091001"/>
    <w:rsid w:val="00091849"/>
    <w:rsid w:val="000931CA"/>
    <w:rsid w:val="000939F7"/>
    <w:rsid w:val="00093C15"/>
    <w:rsid w:val="000943E4"/>
    <w:rsid w:val="000950F9"/>
    <w:rsid w:val="00097634"/>
    <w:rsid w:val="000B35E3"/>
    <w:rsid w:val="000B3C37"/>
    <w:rsid w:val="000B6A5B"/>
    <w:rsid w:val="000C0735"/>
    <w:rsid w:val="000C235C"/>
    <w:rsid w:val="000C4B8C"/>
    <w:rsid w:val="000C4E70"/>
    <w:rsid w:val="000C57C3"/>
    <w:rsid w:val="000D297C"/>
    <w:rsid w:val="000D2B09"/>
    <w:rsid w:val="000D41D2"/>
    <w:rsid w:val="000D435D"/>
    <w:rsid w:val="000E2EC7"/>
    <w:rsid w:val="000E628F"/>
    <w:rsid w:val="000E699C"/>
    <w:rsid w:val="000E6DA0"/>
    <w:rsid w:val="000F173B"/>
    <w:rsid w:val="000F1FC9"/>
    <w:rsid w:val="000F607C"/>
    <w:rsid w:val="000F7451"/>
    <w:rsid w:val="00101056"/>
    <w:rsid w:val="00104A99"/>
    <w:rsid w:val="00105FF3"/>
    <w:rsid w:val="0011750E"/>
    <w:rsid w:val="00120E01"/>
    <w:rsid w:val="00124E96"/>
    <w:rsid w:val="001250DD"/>
    <w:rsid w:val="0012655A"/>
    <w:rsid w:val="001267A1"/>
    <w:rsid w:val="00132065"/>
    <w:rsid w:val="001359B8"/>
    <w:rsid w:val="00135C53"/>
    <w:rsid w:val="001378B1"/>
    <w:rsid w:val="001435F9"/>
    <w:rsid w:val="001437DF"/>
    <w:rsid w:val="00147B80"/>
    <w:rsid w:val="00150504"/>
    <w:rsid w:val="00154C15"/>
    <w:rsid w:val="00162DBF"/>
    <w:rsid w:val="00163A95"/>
    <w:rsid w:val="00165275"/>
    <w:rsid w:val="0017294A"/>
    <w:rsid w:val="00180489"/>
    <w:rsid w:val="0019182F"/>
    <w:rsid w:val="00193B71"/>
    <w:rsid w:val="001970CA"/>
    <w:rsid w:val="001A1FF7"/>
    <w:rsid w:val="001A7ACC"/>
    <w:rsid w:val="001A7C85"/>
    <w:rsid w:val="001B7BC5"/>
    <w:rsid w:val="001C5150"/>
    <w:rsid w:val="001C5B5E"/>
    <w:rsid w:val="001C5BFF"/>
    <w:rsid w:val="001D77F1"/>
    <w:rsid w:val="001E12F5"/>
    <w:rsid w:val="001E17C1"/>
    <w:rsid w:val="00202008"/>
    <w:rsid w:val="00202374"/>
    <w:rsid w:val="00203272"/>
    <w:rsid w:val="002058BC"/>
    <w:rsid w:val="00210C49"/>
    <w:rsid w:val="00212419"/>
    <w:rsid w:val="00214C0D"/>
    <w:rsid w:val="00215637"/>
    <w:rsid w:val="00215BFF"/>
    <w:rsid w:val="00215E97"/>
    <w:rsid w:val="002216F7"/>
    <w:rsid w:val="0022205E"/>
    <w:rsid w:val="00230127"/>
    <w:rsid w:val="00234648"/>
    <w:rsid w:val="00242862"/>
    <w:rsid w:val="002452D2"/>
    <w:rsid w:val="00245807"/>
    <w:rsid w:val="00250190"/>
    <w:rsid w:val="00251573"/>
    <w:rsid w:val="00254376"/>
    <w:rsid w:val="002553D9"/>
    <w:rsid w:val="00256040"/>
    <w:rsid w:val="00270D56"/>
    <w:rsid w:val="002737C2"/>
    <w:rsid w:val="0027567F"/>
    <w:rsid w:val="00276D23"/>
    <w:rsid w:val="00276F04"/>
    <w:rsid w:val="00277A8E"/>
    <w:rsid w:val="00280725"/>
    <w:rsid w:val="00285B45"/>
    <w:rsid w:val="002963DD"/>
    <w:rsid w:val="002A0FD0"/>
    <w:rsid w:val="002A0FE2"/>
    <w:rsid w:val="002A1EC1"/>
    <w:rsid w:val="002A33EF"/>
    <w:rsid w:val="002A4AEC"/>
    <w:rsid w:val="002B30A3"/>
    <w:rsid w:val="002C0044"/>
    <w:rsid w:val="002C229E"/>
    <w:rsid w:val="002C5756"/>
    <w:rsid w:val="002D1FF3"/>
    <w:rsid w:val="002D3033"/>
    <w:rsid w:val="002D78A8"/>
    <w:rsid w:val="002D7986"/>
    <w:rsid w:val="002E2142"/>
    <w:rsid w:val="002E21FD"/>
    <w:rsid w:val="002E6F0F"/>
    <w:rsid w:val="00300074"/>
    <w:rsid w:val="00300177"/>
    <w:rsid w:val="00302E25"/>
    <w:rsid w:val="0030498E"/>
    <w:rsid w:val="003053C6"/>
    <w:rsid w:val="00310757"/>
    <w:rsid w:val="003130B6"/>
    <w:rsid w:val="003157B1"/>
    <w:rsid w:val="00315E68"/>
    <w:rsid w:val="00321DFD"/>
    <w:rsid w:val="00322070"/>
    <w:rsid w:val="003231F7"/>
    <w:rsid w:val="00323A1D"/>
    <w:rsid w:val="00331158"/>
    <w:rsid w:val="00331396"/>
    <w:rsid w:val="00331530"/>
    <w:rsid w:val="00332393"/>
    <w:rsid w:val="00336935"/>
    <w:rsid w:val="00336D5C"/>
    <w:rsid w:val="00337D8D"/>
    <w:rsid w:val="00337EAB"/>
    <w:rsid w:val="00340357"/>
    <w:rsid w:val="003426BA"/>
    <w:rsid w:val="00345C39"/>
    <w:rsid w:val="003464D5"/>
    <w:rsid w:val="00352067"/>
    <w:rsid w:val="00355665"/>
    <w:rsid w:val="00366185"/>
    <w:rsid w:val="0037320F"/>
    <w:rsid w:val="0037402D"/>
    <w:rsid w:val="0037567D"/>
    <w:rsid w:val="00382ABD"/>
    <w:rsid w:val="00382E68"/>
    <w:rsid w:val="00387126"/>
    <w:rsid w:val="00387C6E"/>
    <w:rsid w:val="00391034"/>
    <w:rsid w:val="00392407"/>
    <w:rsid w:val="00397EA7"/>
    <w:rsid w:val="003A5767"/>
    <w:rsid w:val="003A74BF"/>
    <w:rsid w:val="003B1CD7"/>
    <w:rsid w:val="003C2E22"/>
    <w:rsid w:val="003C40F3"/>
    <w:rsid w:val="003C7378"/>
    <w:rsid w:val="003D3E17"/>
    <w:rsid w:val="003D7954"/>
    <w:rsid w:val="003E3781"/>
    <w:rsid w:val="003E493D"/>
    <w:rsid w:val="003E4C99"/>
    <w:rsid w:val="003F1421"/>
    <w:rsid w:val="003F382F"/>
    <w:rsid w:val="003F3AF8"/>
    <w:rsid w:val="003F5787"/>
    <w:rsid w:val="003F587C"/>
    <w:rsid w:val="003F7570"/>
    <w:rsid w:val="00400194"/>
    <w:rsid w:val="00400581"/>
    <w:rsid w:val="00400A71"/>
    <w:rsid w:val="00401E48"/>
    <w:rsid w:val="004026A2"/>
    <w:rsid w:val="004042FB"/>
    <w:rsid w:val="00405F74"/>
    <w:rsid w:val="004069E9"/>
    <w:rsid w:val="00406A43"/>
    <w:rsid w:val="00407A52"/>
    <w:rsid w:val="00411B8E"/>
    <w:rsid w:val="004136E4"/>
    <w:rsid w:val="00414FC5"/>
    <w:rsid w:val="0041501B"/>
    <w:rsid w:val="00415AE5"/>
    <w:rsid w:val="00417704"/>
    <w:rsid w:val="00417C05"/>
    <w:rsid w:val="004219C9"/>
    <w:rsid w:val="004250AB"/>
    <w:rsid w:val="00425582"/>
    <w:rsid w:val="00425B4B"/>
    <w:rsid w:val="00426982"/>
    <w:rsid w:val="0042759F"/>
    <w:rsid w:val="00430912"/>
    <w:rsid w:val="004321D8"/>
    <w:rsid w:val="004343F4"/>
    <w:rsid w:val="00435020"/>
    <w:rsid w:val="00437832"/>
    <w:rsid w:val="004477EC"/>
    <w:rsid w:val="00447DBD"/>
    <w:rsid w:val="00450450"/>
    <w:rsid w:val="004527E9"/>
    <w:rsid w:val="0046104B"/>
    <w:rsid w:val="004617C6"/>
    <w:rsid w:val="00461DAE"/>
    <w:rsid w:val="004624B6"/>
    <w:rsid w:val="00462E09"/>
    <w:rsid w:val="00473449"/>
    <w:rsid w:val="004740B6"/>
    <w:rsid w:val="00476162"/>
    <w:rsid w:val="004764EF"/>
    <w:rsid w:val="004820F3"/>
    <w:rsid w:val="0048502A"/>
    <w:rsid w:val="00485CCB"/>
    <w:rsid w:val="00486A64"/>
    <w:rsid w:val="0048741D"/>
    <w:rsid w:val="00495994"/>
    <w:rsid w:val="004A144B"/>
    <w:rsid w:val="004A5816"/>
    <w:rsid w:val="004A7118"/>
    <w:rsid w:val="004B0A75"/>
    <w:rsid w:val="004B282C"/>
    <w:rsid w:val="004B2AA3"/>
    <w:rsid w:val="004B2E1E"/>
    <w:rsid w:val="004B5191"/>
    <w:rsid w:val="004C1404"/>
    <w:rsid w:val="004C41B3"/>
    <w:rsid w:val="004C780F"/>
    <w:rsid w:val="004D07DA"/>
    <w:rsid w:val="004D0AB5"/>
    <w:rsid w:val="004D4EDF"/>
    <w:rsid w:val="004E0C76"/>
    <w:rsid w:val="004E1AE6"/>
    <w:rsid w:val="004E2104"/>
    <w:rsid w:val="004E43D4"/>
    <w:rsid w:val="004E69A1"/>
    <w:rsid w:val="004E74D5"/>
    <w:rsid w:val="004F0662"/>
    <w:rsid w:val="004F197A"/>
    <w:rsid w:val="004F1DAE"/>
    <w:rsid w:val="004F3B4A"/>
    <w:rsid w:val="004F4743"/>
    <w:rsid w:val="00500C6C"/>
    <w:rsid w:val="005136DE"/>
    <w:rsid w:val="00520861"/>
    <w:rsid w:val="00535049"/>
    <w:rsid w:val="00537DC1"/>
    <w:rsid w:val="005421DB"/>
    <w:rsid w:val="00544DEA"/>
    <w:rsid w:val="0054746D"/>
    <w:rsid w:val="0054748B"/>
    <w:rsid w:val="00551EE7"/>
    <w:rsid w:val="00551F15"/>
    <w:rsid w:val="00563BB7"/>
    <w:rsid w:val="0056549F"/>
    <w:rsid w:val="00570CD9"/>
    <w:rsid w:val="00571C5D"/>
    <w:rsid w:val="005744ED"/>
    <w:rsid w:val="00576A67"/>
    <w:rsid w:val="005776D8"/>
    <w:rsid w:val="00582571"/>
    <w:rsid w:val="00582BAC"/>
    <w:rsid w:val="0058336F"/>
    <w:rsid w:val="00585EF0"/>
    <w:rsid w:val="00594750"/>
    <w:rsid w:val="005A2897"/>
    <w:rsid w:val="005A71A6"/>
    <w:rsid w:val="005B0855"/>
    <w:rsid w:val="005B420A"/>
    <w:rsid w:val="005B55E1"/>
    <w:rsid w:val="005B6382"/>
    <w:rsid w:val="005B68E0"/>
    <w:rsid w:val="005C07C5"/>
    <w:rsid w:val="005C2784"/>
    <w:rsid w:val="005D0095"/>
    <w:rsid w:val="005D0D07"/>
    <w:rsid w:val="005D4CFB"/>
    <w:rsid w:val="005D7A13"/>
    <w:rsid w:val="005E2671"/>
    <w:rsid w:val="005E7D4E"/>
    <w:rsid w:val="005F2F42"/>
    <w:rsid w:val="005F32CE"/>
    <w:rsid w:val="005F4C8C"/>
    <w:rsid w:val="005F6F89"/>
    <w:rsid w:val="005F7AC5"/>
    <w:rsid w:val="005F7F02"/>
    <w:rsid w:val="00604700"/>
    <w:rsid w:val="0061300F"/>
    <w:rsid w:val="0061622D"/>
    <w:rsid w:val="00617020"/>
    <w:rsid w:val="00620133"/>
    <w:rsid w:val="00620803"/>
    <w:rsid w:val="00624695"/>
    <w:rsid w:val="00625F79"/>
    <w:rsid w:val="006276BD"/>
    <w:rsid w:val="00632F84"/>
    <w:rsid w:val="0063675C"/>
    <w:rsid w:val="0064285F"/>
    <w:rsid w:val="006452C2"/>
    <w:rsid w:val="00652950"/>
    <w:rsid w:val="00654421"/>
    <w:rsid w:val="00661E23"/>
    <w:rsid w:val="00662094"/>
    <w:rsid w:val="00671624"/>
    <w:rsid w:val="00677541"/>
    <w:rsid w:val="00684A40"/>
    <w:rsid w:val="00686D5C"/>
    <w:rsid w:val="0069501B"/>
    <w:rsid w:val="006956BF"/>
    <w:rsid w:val="006A3266"/>
    <w:rsid w:val="006A6D13"/>
    <w:rsid w:val="006A6FFC"/>
    <w:rsid w:val="006A7B37"/>
    <w:rsid w:val="006B2445"/>
    <w:rsid w:val="006B3F77"/>
    <w:rsid w:val="006C11DE"/>
    <w:rsid w:val="006C17F3"/>
    <w:rsid w:val="006C7FEA"/>
    <w:rsid w:val="006D24AA"/>
    <w:rsid w:val="006D39C8"/>
    <w:rsid w:val="006D5FD2"/>
    <w:rsid w:val="006E4AD1"/>
    <w:rsid w:val="006E7688"/>
    <w:rsid w:val="006F2BBB"/>
    <w:rsid w:val="006F452A"/>
    <w:rsid w:val="00701F6C"/>
    <w:rsid w:val="007033C0"/>
    <w:rsid w:val="00706DD1"/>
    <w:rsid w:val="007112B3"/>
    <w:rsid w:val="007134B9"/>
    <w:rsid w:val="00717BA3"/>
    <w:rsid w:val="00720C9F"/>
    <w:rsid w:val="00720D25"/>
    <w:rsid w:val="00722EE6"/>
    <w:rsid w:val="00731633"/>
    <w:rsid w:val="00732E63"/>
    <w:rsid w:val="00733823"/>
    <w:rsid w:val="0074737C"/>
    <w:rsid w:val="00750F3C"/>
    <w:rsid w:val="007541AC"/>
    <w:rsid w:val="00755277"/>
    <w:rsid w:val="007568C5"/>
    <w:rsid w:val="00764922"/>
    <w:rsid w:val="00767CFC"/>
    <w:rsid w:val="00780C8A"/>
    <w:rsid w:val="00780EEE"/>
    <w:rsid w:val="007822F0"/>
    <w:rsid w:val="0078775B"/>
    <w:rsid w:val="007962BC"/>
    <w:rsid w:val="007A3787"/>
    <w:rsid w:val="007A6B73"/>
    <w:rsid w:val="007A6CB4"/>
    <w:rsid w:val="007B4B32"/>
    <w:rsid w:val="007B6280"/>
    <w:rsid w:val="007C765F"/>
    <w:rsid w:val="007C7FD1"/>
    <w:rsid w:val="007D71B5"/>
    <w:rsid w:val="007E1E5A"/>
    <w:rsid w:val="007E315D"/>
    <w:rsid w:val="007E3B89"/>
    <w:rsid w:val="007E5867"/>
    <w:rsid w:val="007E5E3F"/>
    <w:rsid w:val="007E7A0B"/>
    <w:rsid w:val="007F0BBD"/>
    <w:rsid w:val="007F1E72"/>
    <w:rsid w:val="007F4403"/>
    <w:rsid w:val="007F4C98"/>
    <w:rsid w:val="007F6CD4"/>
    <w:rsid w:val="007F6F4D"/>
    <w:rsid w:val="00806899"/>
    <w:rsid w:val="00807212"/>
    <w:rsid w:val="008123CC"/>
    <w:rsid w:val="00814B12"/>
    <w:rsid w:val="00816A30"/>
    <w:rsid w:val="008211A6"/>
    <w:rsid w:val="00821BBB"/>
    <w:rsid w:val="00822A0B"/>
    <w:rsid w:val="00823353"/>
    <w:rsid w:val="0082599D"/>
    <w:rsid w:val="008270AA"/>
    <w:rsid w:val="00833066"/>
    <w:rsid w:val="00835FB5"/>
    <w:rsid w:val="00836A90"/>
    <w:rsid w:val="00837A3B"/>
    <w:rsid w:val="00844FCD"/>
    <w:rsid w:val="00850B27"/>
    <w:rsid w:val="00850E9D"/>
    <w:rsid w:val="00852EF6"/>
    <w:rsid w:val="008571B1"/>
    <w:rsid w:val="0086004F"/>
    <w:rsid w:val="00860850"/>
    <w:rsid w:val="008634A6"/>
    <w:rsid w:val="0086472C"/>
    <w:rsid w:val="00870AE0"/>
    <w:rsid w:val="008714A7"/>
    <w:rsid w:val="00872638"/>
    <w:rsid w:val="00872831"/>
    <w:rsid w:val="00875715"/>
    <w:rsid w:val="008921C6"/>
    <w:rsid w:val="00893670"/>
    <w:rsid w:val="00893F54"/>
    <w:rsid w:val="00897D34"/>
    <w:rsid w:val="008A0083"/>
    <w:rsid w:val="008A124D"/>
    <w:rsid w:val="008A2C08"/>
    <w:rsid w:val="008A46DE"/>
    <w:rsid w:val="008A4998"/>
    <w:rsid w:val="008B21E2"/>
    <w:rsid w:val="008C0C3A"/>
    <w:rsid w:val="008C0C57"/>
    <w:rsid w:val="008C297C"/>
    <w:rsid w:val="008C7975"/>
    <w:rsid w:val="008D1A12"/>
    <w:rsid w:val="008D6173"/>
    <w:rsid w:val="008E02F7"/>
    <w:rsid w:val="008E264E"/>
    <w:rsid w:val="008E5123"/>
    <w:rsid w:val="008E6810"/>
    <w:rsid w:val="008F2F89"/>
    <w:rsid w:val="008F4405"/>
    <w:rsid w:val="009058D3"/>
    <w:rsid w:val="00910C96"/>
    <w:rsid w:val="009130E1"/>
    <w:rsid w:val="00914381"/>
    <w:rsid w:val="009166B6"/>
    <w:rsid w:val="009226F9"/>
    <w:rsid w:val="00926969"/>
    <w:rsid w:val="009272D2"/>
    <w:rsid w:val="009306D6"/>
    <w:rsid w:val="00932691"/>
    <w:rsid w:val="009347D2"/>
    <w:rsid w:val="009379A1"/>
    <w:rsid w:val="00941916"/>
    <w:rsid w:val="009427A9"/>
    <w:rsid w:val="0094334C"/>
    <w:rsid w:val="0094667C"/>
    <w:rsid w:val="0095213B"/>
    <w:rsid w:val="009571FB"/>
    <w:rsid w:val="00960FBE"/>
    <w:rsid w:val="009618F6"/>
    <w:rsid w:val="00963287"/>
    <w:rsid w:val="00963E0C"/>
    <w:rsid w:val="00964066"/>
    <w:rsid w:val="009658C8"/>
    <w:rsid w:val="00967FEC"/>
    <w:rsid w:val="00972229"/>
    <w:rsid w:val="00973777"/>
    <w:rsid w:val="00974595"/>
    <w:rsid w:val="00975D8C"/>
    <w:rsid w:val="0097700A"/>
    <w:rsid w:val="00982806"/>
    <w:rsid w:val="00982AC3"/>
    <w:rsid w:val="00983049"/>
    <w:rsid w:val="00992CD8"/>
    <w:rsid w:val="00994975"/>
    <w:rsid w:val="00996902"/>
    <w:rsid w:val="009A1E4D"/>
    <w:rsid w:val="009A36C7"/>
    <w:rsid w:val="009B03A4"/>
    <w:rsid w:val="009B2AF5"/>
    <w:rsid w:val="009B5FE3"/>
    <w:rsid w:val="009B638C"/>
    <w:rsid w:val="009C398F"/>
    <w:rsid w:val="009D3E81"/>
    <w:rsid w:val="009D41A1"/>
    <w:rsid w:val="009E0D56"/>
    <w:rsid w:val="009E3E89"/>
    <w:rsid w:val="009E6BB0"/>
    <w:rsid w:val="009E7376"/>
    <w:rsid w:val="009E7ADC"/>
    <w:rsid w:val="009F4B04"/>
    <w:rsid w:val="009F4B1D"/>
    <w:rsid w:val="00A02470"/>
    <w:rsid w:val="00A049F6"/>
    <w:rsid w:val="00A063A8"/>
    <w:rsid w:val="00A10FE7"/>
    <w:rsid w:val="00A11829"/>
    <w:rsid w:val="00A1270F"/>
    <w:rsid w:val="00A15E71"/>
    <w:rsid w:val="00A21900"/>
    <w:rsid w:val="00A22A1A"/>
    <w:rsid w:val="00A22E75"/>
    <w:rsid w:val="00A233A1"/>
    <w:rsid w:val="00A25AFD"/>
    <w:rsid w:val="00A27125"/>
    <w:rsid w:val="00A27182"/>
    <w:rsid w:val="00A355DD"/>
    <w:rsid w:val="00A40AEC"/>
    <w:rsid w:val="00A4300D"/>
    <w:rsid w:val="00A4716A"/>
    <w:rsid w:val="00A474CD"/>
    <w:rsid w:val="00A47BB3"/>
    <w:rsid w:val="00A5033D"/>
    <w:rsid w:val="00A51A34"/>
    <w:rsid w:val="00A63172"/>
    <w:rsid w:val="00A63374"/>
    <w:rsid w:val="00A64100"/>
    <w:rsid w:val="00A6470A"/>
    <w:rsid w:val="00A66462"/>
    <w:rsid w:val="00A666A4"/>
    <w:rsid w:val="00A66878"/>
    <w:rsid w:val="00A75B10"/>
    <w:rsid w:val="00A76CA3"/>
    <w:rsid w:val="00A7700F"/>
    <w:rsid w:val="00A9133F"/>
    <w:rsid w:val="00A92E02"/>
    <w:rsid w:val="00A97F41"/>
    <w:rsid w:val="00AA03AF"/>
    <w:rsid w:val="00AA141B"/>
    <w:rsid w:val="00AA44B1"/>
    <w:rsid w:val="00AA59F3"/>
    <w:rsid w:val="00AC47F0"/>
    <w:rsid w:val="00AC555F"/>
    <w:rsid w:val="00AC5A83"/>
    <w:rsid w:val="00AD0223"/>
    <w:rsid w:val="00AD3E47"/>
    <w:rsid w:val="00AD6AC6"/>
    <w:rsid w:val="00AE1AC3"/>
    <w:rsid w:val="00AE1F07"/>
    <w:rsid w:val="00AE25D7"/>
    <w:rsid w:val="00AE2EDD"/>
    <w:rsid w:val="00AE35A9"/>
    <w:rsid w:val="00AE38EE"/>
    <w:rsid w:val="00AE4F22"/>
    <w:rsid w:val="00AF2FBF"/>
    <w:rsid w:val="00AF484C"/>
    <w:rsid w:val="00AF536B"/>
    <w:rsid w:val="00AF74A3"/>
    <w:rsid w:val="00B002C2"/>
    <w:rsid w:val="00B10512"/>
    <w:rsid w:val="00B10E8E"/>
    <w:rsid w:val="00B126DF"/>
    <w:rsid w:val="00B13B0D"/>
    <w:rsid w:val="00B23FF5"/>
    <w:rsid w:val="00B24BF3"/>
    <w:rsid w:val="00B30364"/>
    <w:rsid w:val="00B316DA"/>
    <w:rsid w:val="00B32B8A"/>
    <w:rsid w:val="00B3301C"/>
    <w:rsid w:val="00B334DF"/>
    <w:rsid w:val="00B43EF1"/>
    <w:rsid w:val="00B520D1"/>
    <w:rsid w:val="00B60839"/>
    <w:rsid w:val="00B640EE"/>
    <w:rsid w:val="00B670DA"/>
    <w:rsid w:val="00B67212"/>
    <w:rsid w:val="00B7307F"/>
    <w:rsid w:val="00B7479F"/>
    <w:rsid w:val="00B75B5E"/>
    <w:rsid w:val="00B77FBD"/>
    <w:rsid w:val="00B77FD7"/>
    <w:rsid w:val="00B81439"/>
    <w:rsid w:val="00B85712"/>
    <w:rsid w:val="00B8625C"/>
    <w:rsid w:val="00B87DCA"/>
    <w:rsid w:val="00B96C4E"/>
    <w:rsid w:val="00BA0C6C"/>
    <w:rsid w:val="00BA5743"/>
    <w:rsid w:val="00BC32FF"/>
    <w:rsid w:val="00BC40B2"/>
    <w:rsid w:val="00BC4465"/>
    <w:rsid w:val="00BC54FB"/>
    <w:rsid w:val="00BC6C68"/>
    <w:rsid w:val="00BC6D0D"/>
    <w:rsid w:val="00BC6EF0"/>
    <w:rsid w:val="00BD093E"/>
    <w:rsid w:val="00BD13B6"/>
    <w:rsid w:val="00BD2A87"/>
    <w:rsid w:val="00BD46F8"/>
    <w:rsid w:val="00BD53D9"/>
    <w:rsid w:val="00BE132E"/>
    <w:rsid w:val="00BE1CD4"/>
    <w:rsid w:val="00BE7981"/>
    <w:rsid w:val="00BF1B8F"/>
    <w:rsid w:val="00BF381F"/>
    <w:rsid w:val="00BF72A4"/>
    <w:rsid w:val="00C03398"/>
    <w:rsid w:val="00C03801"/>
    <w:rsid w:val="00C10E11"/>
    <w:rsid w:val="00C17614"/>
    <w:rsid w:val="00C20D95"/>
    <w:rsid w:val="00C23199"/>
    <w:rsid w:val="00C321C7"/>
    <w:rsid w:val="00C44698"/>
    <w:rsid w:val="00C450A5"/>
    <w:rsid w:val="00C455DC"/>
    <w:rsid w:val="00C50AB0"/>
    <w:rsid w:val="00C50BBA"/>
    <w:rsid w:val="00C55F1F"/>
    <w:rsid w:val="00C5611B"/>
    <w:rsid w:val="00C60F84"/>
    <w:rsid w:val="00C62AC1"/>
    <w:rsid w:val="00C6668B"/>
    <w:rsid w:val="00C70682"/>
    <w:rsid w:val="00C7361A"/>
    <w:rsid w:val="00C76AA8"/>
    <w:rsid w:val="00C80E0A"/>
    <w:rsid w:val="00C8189F"/>
    <w:rsid w:val="00C91B79"/>
    <w:rsid w:val="00CA03E0"/>
    <w:rsid w:val="00CA0469"/>
    <w:rsid w:val="00CA2D28"/>
    <w:rsid w:val="00CA382B"/>
    <w:rsid w:val="00CA53F1"/>
    <w:rsid w:val="00CB13C0"/>
    <w:rsid w:val="00CB1B44"/>
    <w:rsid w:val="00CB1DFE"/>
    <w:rsid w:val="00CB2E83"/>
    <w:rsid w:val="00CB32B9"/>
    <w:rsid w:val="00CC03A3"/>
    <w:rsid w:val="00CD56D9"/>
    <w:rsid w:val="00CD6E13"/>
    <w:rsid w:val="00CE47F5"/>
    <w:rsid w:val="00CE48A1"/>
    <w:rsid w:val="00CE5D04"/>
    <w:rsid w:val="00CF63DC"/>
    <w:rsid w:val="00CF7FF4"/>
    <w:rsid w:val="00D02053"/>
    <w:rsid w:val="00D1514D"/>
    <w:rsid w:val="00D1551B"/>
    <w:rsid w:val="00D15836"/>
    <w:rsid w:val="00D2314F"/>
    <w:rsid w:val="00D320F5"/>
    <w:rsid w:val="00D330CF"/>
    <w:rsid w:val="00D43973"/>
    <w:rsid w:val="00D45DC2"/>
    <w:rsid w:val="00D45F7B"/>
    <w:rsid w:val="00D47942"/>
    <w:rsid w:val="00D51C8F"/>
    <w:rsid w:val="00D55765"/>
    <w:rsid w:val="00D678F2"/>
    <w:rsid w:val="00D71721"/>
    <w:rsid w:val="00D7198B"/>
    <w:rsid w:val="00D74AEC"/>
    <w:rsid w:val="00D771B2"/>
    <w:rsid w:val="00D772A6"/>
    <w:rsid w:val="00D80130"/>
    <w:rsid w:val="00D9230C"/>
    <w:rsid w:val="00D934C0"/>
    <w:rsid w:val="00D94C49"/>
    <w:rsid w:val="00DA0A2B"/>
    <w:rsid w:val="00DA100F"/>
    <w:rsid w:val="00DA112D"/>
    <w:rsid w:val="00DA1B60"/>
    <w:rsid w:val="00DA1CB1"/>
    <w:rsid w:val="00DA4A47"/>
    <w:rsid w:val="00DC1CEB"/>
    <w:rsid w:val="00DC320C"/>
    <w:rsid w:val="00DC437C"/>
    <w:rsid w:val="00DD2A39"/>
    <w:rsid w:val="00DD40C5"/>
    <w:rsid w:val="00DD5571"/>
    <w:rsid w:val="00DD61DB"/>
    <w:rsid w:val="00DE6CB3"/>
    <w:rsid w:val="00DE6D7C"/>
    <w:rsid w:val="00DE7A8B"/>
    <w:rsid w:val="00E032DF"/>
    <w:rsid w:val="00E05A53"/>
    <w:rsid w:val="00E064A3"/>
    <w:rsid w:val="00E06589"/>
    <w:rsid w:val="00E10FCF"/>
    <w:rsid w:val="00E126DD"/>
    <w:rsid w:val="00E1609A"/>
    <w:rsid w:val="00E16971"/>
    <w:rsid w:val="00E21E4B"/>
    <w:rsid w:val="00E25E53"/>
    <w:rsid w:val="00E30199"/>
    <w:rsid w:val="00E31F01"/>
    <w:rsid w:val="00E32089"/>
    <w:rsid w:val="00E3424D"/>
    <w:rsid w:val="00E35EF7"/>
    <w:rsid w:val="00E3684F"/>
    <w:rsid w:val="00E467FA"/>
    <w:rsid w:val="00E46FB3"/>
    <w:rsid w:val="00E52360"/>
    <w:rsid w:val="00E538C2"/>
    <w:rsid w:val="00E54A41"/>
    <w:rsid w:val="00E61D64"/>
    <w:rsid w:val="00E62243"/>
    <w:rsid w:val="00E660F7"/>
    <w:rsid w:val="00E66D5E"/>
    <w:rsid w:val="00E736FC"/>
    <w:rsid w:val="00E81552"/>
    <w:rsid w:val="00E84DD8"/>
    <w:rsid w:val="00E84ECD"/>
    <w:rsid w:val="00E85D25"/>
    <w:rsid w:val="00E86902"/>
    <w:rsid w:val="00E978DF"/>
    <w:rsid w:val="00EA495A"/>
    <w:rsid w:val="00EA6EA1"/>
    <w:rsid w:val="00EB1900"/>
    <w:rsid w:val="00EB79A4"/>
    <w:rsid w:val="00ED268B"/>
    <w:rsid w:val="00ED5543"/>
    <w:rsid w:val="00EE0B94"/>
    <w:rsid w:val="00EE254F"/>
    <w:rsid w:val="00EE2EED"/>
    <w:rsid w:val="00EE5445"/>
    <w:rsid w:val="00EE7A13"/>
    <w:rsid w:val="00EE7A44"/>
    <w:rsid w:val="00EF0720"/>
    <w:rsid w:val="00EF2982"/>
    <w:rsid w:val="00F004D1"/>
    <w:rsid w:val="00F07825"/>
    <w:rsid w:val="00F12A1B"/>
    <w:rsid w:val="00F13371"/>
    <w:rsid w:val="00F13875"/>
    <w:rsid w:val="00F13F37"/>
    <w:rsid w:val="00F14C02"/>
    <w:rsid w:val="00F202FA"/>
    <w:rsid w:val="00F2066A"/>
    <w:rsid w:val="00F23AFE"/>
    <w:rsid w:val="00F24C11"/>
    <w:rsid w:val="00F32A04"/>
    <w:rsid w:val="00F3363A"/>
    <w:rsid w:val="00F34961"/>
    <w:rsid w:val="00F37A7F"/>
    <w:rsid w:val="00F43E55"/>
    <w:rsid w:val="00F46571"/>
    <w:rsid w:val="00F52560"/>
    <w:rsid w:val="00F55667"/>
    <w:rsid w:val="00F56D09"/>
    <w:rsid w:val="00F578AF"/>
    <w:rsid w:val="00F61AAF"/>
    <w:rsid w:val="00F63997"/>
    <w:rsid w:val="00F654D1"/>
    <w:rsid w:val="00F66D5B"/>
    <w:rsid w:val="00F716BB"/>
    <w:rsid w:val="00F73D50"/>
    <w:rsid w:val="00F8149F"/>
    <w:rsid w:val="00F84740"/>
    <w:rsid w:val="00F86879"/>
    <w:rsid w:val="00F87BCD"/>
    <w:rsid w:val="00F9039E"/>
    <w:rsid w:val="00F90E9C"/>
    <w:rsid w:val="00F91BBD"/>
    <w:rsid w:val="00F92D77"/>
    <w:rsid w:val="00F95534"/>
    <w:rsid w:val="00FA1495"/>
    <w:rsid w:val="00FA1E5F"/>
    <w:rsid w:val="00FA2FC9"/>
    <w:rsid w:val="00FA79D4"/>
    <w:rsid w:val="00FB389C"/>
    <w:rsid w:val="00FC041B"/>
    <w:rsid w:val="00FC4945"/>
    <w:rsid w:val="00FC746C"/>
    <w:rsid w:val="00FD03CD"/>
    <w:rsid w:val="00FD08AB"/>
    <w:rsid w:val="00FD0EB2"/>
    <w:rsid w:val="00FD1FED"/>
    <w:rsid w:val="00FD2483"/>
    <w:rsid w:val="00FD3B2E"/>
    <w:rsid w:val="00FD40E3"/>
    <w:rsid w:val="00FD5179"/>
    <w:rsid w:val="00FD5CDF"/>
    <w:rsid w:val="00FE14FA"/>
    <w:rsid w:val="00FE19E9"/>
    <w:rsid w:val="00FE1E9F"/>
    <w:rsid w:val="00FF4B0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AEA18"/>
  <w15:docId w15:val="{EA29EE72-7B6D-4D22-A74C-AC8B398A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B80"/>
  </w:style>
  <w:style w:type="paragraph" w:styleId="Heading1">
    <w:name w:val="heading 1"/>
    <w:basedOn w:val="Normal"/>
    <w:next w:val="Normal"/>
    <w:link w:val="Heading1Char"/>
    <w:uiPriority w:val="9"/>
    <w:qFormat/>
    <w:rsid w:val="00563BB7"/>
    <w:pPr>
      <w:spacing w:before="300" w:after="40" w:line="276" w:lineRule="auto"/>
      <w:outlineLvl w:val="0"/>
    </w:pPr>
    <w:rPr>
      <w:rFonts w:ascii="Calibri" w:eastAsiaTheme="minorEastAsia" w:hAnsi="Calibri" w:cs="Times New Roman"/>
      <w:smallCaps/>
      <w:spacing w:val="5"/>
      <w:sz w:val="32"/>
      <w:szCs w:val="32"/>
    </w:rPr>
  </w:style>
  <w:style w:type="paragraph" w:styleId="Heading2">
    <w:name w:val="heading 2"/>
    <w:basedOn w:val="Normal"/>
    <w:next w:val="Normal"/>
    <w:link w:val="Heading2Char"/>
    <w:uiPriority w:val="9"/>
    <w:qFormat/>
    <w:rsid w:val="00563BB7"/>
    <w:pPr>
      <w:spacing w:before="240" w:after="80" w:line="276" w:lineRule="auto"/>
      <w:outlineLvl w:val="1"/>
    </w:pPr>
    <w:rPr>
      <w:rFonts w:ascii="Calibri" w:eastAsiaTheme="minorEastAsia" w:hAnsi="Calibri" w:cs="Times New Roman"/>
      <w:smallCaps/>
      <w:spacing w:val="5"/>
      <w:sz w:val="28"/>
      <w:szCs w:val="28"/>
    </w:rPr>
  </w:style>
  <w:style w:type="paragraph" w:styleId="Heading3">
    <w:name w:val="heading 3"/>
    <w:basedOn w:val="Normal"/>
    <w:next w:val="Normal"/>
    <w:link w:val="Heading3Char"/>
    <w:uiPriority w:val="9"/>
    <w:qFormat/>
    <w:rsid w:val="00563BB7"/>
    <w:pPr>
      <w:spacing w:line="276" w:lineRule="auto"/>
      <w:outlineLvl w:val="2"/>
    </w:pPr>
    <w:rPr>
      <w:rFonts w:ascii="Calibri" w:eastAsiaTheme="minorEastAsia" w:hAnsi="Calibri" w:cs="Times New Roman"/>
      <w:smallCaps/>
      <w:spacing w:val="5"/>
    </w:rPr>
  </w:style>
  <w:style w:type="paragraph" w:styleId="Heading4">
    <w:name w:val="heading 4"/>
    <w:basedOn w:val="Normal"/>
    <w:next w:val="Normal"/>
    <w:link w:val="Heading4Char"/>
    <w:uiPriority w:val="9"/>
    <w:qFormat/>
    <w:rsid w:val="00563BB7"/>
    <w:pPr>
      <w:spacing w:before="240" w:line="276" w:lineRule="auto"/>
      <w:outlineLvl w:val="3"/>
    </w:pPr>
    <w:rPr>
      <w:rFonts w:ascii="Calibri" w:eastAsiaTheme="minorEastAsia" w:hAnsi="Calibri" w:cs="Times New Roman"/>
      <w:smallCaps/>
      <w:spacing w:val="10"/>
      <w:sz w:val="22"/>
      <w:szCs w:val="22"/>
    </w:rPr>
  </w:style>
  <w:style w:type="paragraph" w:styleId="Heading5">
    <w:name w:val="heading 5"/>
    <w:basedOn w:val="Normal"/>
    <w:next w:val="Normal"/>
    <w:link w:val="Heading5Char"/>
    <w:uiPriority w:val="9"/>
    <w:qFormat/>
    <w:rsid w:val="00563BB7"/>
    <w:pPr>
      <w:spacing w:before="200" w:line="276" w:lineRule="auto"/>
      <w:outlineLvl w:val="4"/>
    </w:pPr>
    <w:rPr>
      <w:rFonts w:ascii="Calibri" w:eastAsiaTheme="minorEastAsia" w:hAnsi="Calibri" w:cs="Times New Roman"/>
      <w:smallCaps/>
      <w:color w:val="943634"/>
      <w:spacing w:val="10"/>
      <w:sz w:val="22"/>
      <w:szCs w:val="26"/>
    </w:rPr>
  </w:style>
  <w:style w:type="paragraph" w:styleId="Heading6">
    <w:name w:val="heading 6"/>
    <w:basedOn w:val="Normal"/>
    <w:next w:val="Normal"/>
    <w:link w:val="Heading6Char"/>
    <w:uiPriority w:val="9"/>
    <w:qFormat/>
    <w:rsid w:val="00563BB7"/>
    <w:pPr>
      <w:spacing w:line="276" w:lineRule="auto"/>
      <w:outlineLvl w:val="5"/>
    </w:pPr>
    <w:rPr>
      <w:rFonts w:ascii="Calibri" w:eastAsiaTheme="minorEastAsia" w:hAnsi="Calibri" w:cs="Times New Roman"/>
      <w:smallCaps/>
      <w:color w:val="C0504D"/>
      <w:spacing w:val="5"/>
      <w:sz w:val="22"/>
      <w:szCs w:val="20"/>
    </w:rPr>
  </w:style>
  <w:style w:type="paragraph" w:styleId="Heading7">
    <w:name w:val="heading 7"/>
    <w:basedOn w:val="Normal"/>
    <w:next w:val="Normal"/>
    <w:link w:val="Heading7Char"/>
    <w:uiPriority w:val="9"/>
    <w:qFormat/>
    <w:rsid w:val="00563BB7"/>
    <w:pPr>
      <w:spacing w:line="276" w:lineRule="auto"/>
      <w:outlineLvl w:val="6"/>
    </w:pPr>
    <w:rPr>
      <w:rFonts w:ascii="Calibri" w:eastAsiaTheme="minorEastAsia" w:hAnsi="Calibri" w:cs="Times New Roman"/>
      <w:b/>
      <w:smallCaps/>
      <w:color w:val="C0504D"/>
      <w:spacing w:val="10"/>
      <w:sz w:val="20"/>
      <w:szCs w:val="20"/>
    </w:rPr>
  </w:style>
  <w:style w:type="paragraph" w:styleId="Heading8">
    <w:name w:val="heading 8"/>
    <w:basedOn w:val="Normal"/>
    <w:next w:val="Normal"/>
    <w:link w:val="Heading8Char"/>
    <w:uiPriority w:val="9"/>
    <w:qFormat/>
    <w:rsid w:val="00563BB7"/>
    <w:pPr>
      <w:spacing w:line="276" w:lineRule="auto"/>
      <w:outlineLvl w:val="7"/>
    </w:pPr>
    <w:rPr>
      <w:rFonts w:ascii="Calibri" w:eastAsiaTheme="minorEastAsia" w:hAnsi="Calibri" w:cs="Times New Roman"/>
      <w:b/>
      <w:i/>
      <w:smallCaps/>
      <w:color w:val="943634"/>
      <w:sz w:val="20"/>
      <w:szCs w:val="20"/>
    </w:rPr>
  </w:style>
  <w:style w:type="paragraph" w:styleId="Heading9">
    <w:name w:val="heading 9"/>
    <w:basedOn w:val="Normal"/>
    <w:next w:val="Normal"/>
    <w:link w:val="Heading9Char"/>
    <w:uiPriority w:val="9"/>
    <w:qFormat/>
    <w:rsid w:val="00563BB7"/>
    <w:pPr>
      <w:spacing w:line="276" w:lineRule="auto"/>
      <w:outlineLvl w:val="8"/>
    </w:pPr>
    <w:rPr>
      <w:rFonts w:ascii="Calibri" w:eastAsiaTheme="minorEastAsia" w:hAnsi="Calibri" w:cs="Times New Roman"/>
      <w:b/>
      <w:i/>
      <w:smallCaps/>
      <w:color w:val="62242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BB7"/>
    <w:rPr>
      <w:rFonts w:ascii="Calibri" w:eastAsiaTheme="minorEastAsia" w:hAnsi="Calibri" w:cs="Times New Roman"/>
      <w:smallCaps/>
      <w:spacing w:val="5"/>
      <w:sz w:val="32"/>
      <w:szCs w:val="32"/>
    </w:rPr>
  </w:style>
  <w:style w:type="character" w:customStyle="1" w:styleId="Heading2Char">
    <w:name w:val="Heading 2 Char"/>
    <w:basedOn w:val="DefaultParagraphFont"/>
    <w:link w:val="Heading2"/>
    <w:uiPriority w:val="9"/>
    <w:rsid w:val="00563BB7"/>
    <w:rPr>
      <w:rFonts w:ascii="Calibri" w:eastAsiaTheme="minorEastAsia" w:hAnsi="Calibri" w:cs="Times New Roman"/>
      <w:smallCaps/>
      <w:spacing w:val="5"/>
      <w:sz w:val="28"/>
      <w:szCs w:val="28"/>
    </w:rPr>
  </w:style>
  <w:style w:type="character" w:customStyle="1" w:styleId="Heading3Char">
    <w:name w:val="Heading 3 Char"/>
    <w:basedOn w:val="DefaultParagraphFont"/>
    <w:link w:val="Heading3"/>
    <w:uiPriority w:val="9"/>
    <w:rsid w:val="00563BB7"/>
    <w:rPr>
      <w:rFonts w:ascii="Calibri" w:eastAsiaTheme="minorEastAsia" w:hAnsi="Calibri" w:cs="Times New Roman"/>
      <w:smallCaps/>
      <w:spacing w:val="5"/>
    </w:rPr>
  </w:style>
  <w:style w:type="character" w:customStyle="1" w:styleId="Heading4Char">
    <w:name w:val="Heading 4 Char"/>
    <w:basedOn w:val="DefaultParagraphFont"/>
    <w:link w:val="Heading4"/>
    <w:uiPriority w:val="9"/>
    <w:rsid w:val="00563BB7"/>
    <w:rPr>
      <w:rFonts w:ascii="Calibri" w:eastAsiaTheme="minorEastAsia" w:hAnsi="Calibri" w:cs="Times New Roman"/>
      <w:smallCaps/>
      <w:spacing w:val="10"/>
      <w:sz w:val="22"/>
      <w:szCs w:val="22"/>
    </w:rPr>
  </w:style>
  <w:style w:type="character" w:customStyle="1" w:styleId="Heading5Char">
    <w:name w:val="Heading 5 Char"/>
    <w:basedOn w:val="DefaultParagraphFont"/>
    <w:link w:val="Heading5"/>
    <w:uiPriority w:val="9"/>
    <w:rsid w:val="00563BB7"/>
    <w:rPr>
      <w:rFonts w:ascii="Calibri" w:eastAsiaTheme="minorEastAsia" w:hAnsi="Calibri" w:cs="Times New Roman"/>
      <w:smallCaps/>
      <w:color w:val="943634"/>
      <w:spacing w:val="10"/>
      <w:sz w:val="22"/>
      <w:szCs w:val="26"/>
    </w:rPr>
  </w:style>
  <w:style w:type="character" w:customStyle="1" w:styleId="Heading6Char">
    <w:name w:val="Heading 6 Char"/>
    <w:basedOn w:val="DefaultParagraphFont"/>
    <w:link w:val="Heading6"/>
    <w:uiPriority w:val="9"/>
    <w:rsid w:val="00563BB7"/>
    <w:rPr>
      <w:rFonts w:ascii="Calibri" w:eastAsiaTheme="minorEastAsia" w:hAnsi="Calibri" w:cs="Times New Roman"/>
      <w:smallCaps/>
      <w:color w:val="C0504D"/>
      <w:spacing w:val="5"/>
      <w:sz w:val="22"/>
      <w:szCs w:val="20"/>
    </w:rPr>
  </w:style>
  <w:style w:type="character" w:customStyle="1" w:styleId="Heading7Char">
    <w:name w:val="Heading 7 Char"/>
    <w:basedOn w:val="DefaultParagraphFont"/>
    <w:link w:val="Heading7"/>
    <w:uiPriority w:val="9"/>
    <w:rsid w:val="00563BB7"/>
    <w:rPr>
      <w:rFonts w:ascii="Calibri" w:eastAsiaTheme="minorEastAsia" w:hAnsi="Calibri" w:cs="Times New Roman"/>
      <w:b/>
      <w:smallCaps/>
      <w:color w:val="C0504D"/>
      <w:spacing w:val="10"/>
      <w:sz w:val="20"/>
      <w:szCs w:val="20"/>
    </w:rPr>
  </w:style>
  <w:style w:type="character" w:customStyle="1" w:styleId="Heading8Char">
    <w:name w:val="Heading 8 Char"/>
    <w:basedOn w:val="DefaultParagraphFont"/>
    <w:link w:val="Heading8"/>
    <w:uiPriority w:val="9"/>
    <w:rsid w:val="00563BB7"/>
    <w:rPr>
      <w:rFonts w:ascii="Calibri" w:eastAsiaTheme="minorEastAsia" w:hAnsi="Calibri" w:cs="Times New Roman"/>
      <w:b/>
      <w:i/>
      <w:smallCaps/>
      <w:color w:val="943634"/>
      <w:sz w:val="20"/>
      <w:szCs w:val="20"/>
    </w:rPr>
  </w:style>
  <w:style w:type="character" w:customStyle="1" w:styleId="Heading9Char">
    <w:name w:val="Heading 9 Char"/>
    <w:basedOn w:val="DefaultParagraphFont"/>
    <w:link w:val="Heading9"/>
    <w:uiPriority w:val="9"/>
    <w:rsid w:val="00563BB7"/>
    <w:rPr>
      <w:rFonts w:ascii="Calibri" w:eastAsiaTheme="minorEastAsia" w:hAnsi="Calibri" w:cs="Times New Roman"/>
      <w:b/>
      <w:i/>
      <w:smallCaps/>
      <w:color w:val="622423"/>
      <w:sz w:val="20"/>
      <w:szCs w:val="20"/>
    </w:rPr>
  </w:style>
  <w:style w:type="paragraph" w:styleId="ListParagraph">
    <w:name w:val="List Paragraph"/>
    <w:basedOn w:val="Normal"/>
    <w:uiPriority w:val="34"/>
    <w:qFormat/>
    <w:rsid w:val="001267A1"/>
    <w:pPr>
      <w:ind w:left="720"/>
      <w:contextualSpacing/>
    </w:pPr>
  </w:style>
  <w:style w:type="paragraph" w:styleId="NormalWeb">
    <w:name w:val="Normal (Web)"/>
    <w:basedOn w:val="Normal"/>
    <w:uiPriority w:val="99"/>
    <w:unhideWhenUsed/>
    <w:rsid w:val="00F61AA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33066"/>
    <w:rPr>
      <w:color w:val="0000FF"/>
      <w:u w:val="single"/>
    </w:rPr>
  </w:style>
  <w:style w:type="table" w:styleId="TableGrid">
    <w:name w:val="Table Grid"/>
    <w:basedOn w:val="TableNormal"/>
    <w:uiPriority w:val="39"/>
    <w:rsid w:val="00C50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F8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32F84"/>
    <w:rPr>
      <w:sz w:val="18"/>
      <w:szCs w:val="18"/>
    </w:rPr>
  </w:style>
  <w:style w:type="paragraph" w:styleId="Footer">
    <w:name w:val="footer"/>
    <w:basedOn w:val="Normal"/>
    <w:link w:val="FooterChar"/>
    <w:uiPriority w:val="99"/>
    <w:unhideWhenUsed/>
    <w:rsid w:val="00632F8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32F84"/>
    <w:rPr>
      <w:sz w:val="18"/>
      <w:szCs w:val="18"/>
    </w:rPr>
  </w:style>
  <w:style w:type="character" w:styleId="CommentReference">
    <w:name w:val="annotation reference"/>
    <w:rsid w:val="00632F84"/>
    <w:rPr>
      <w:rFonts w:cs="Times New Roman"/>
      <w:sz w:val="21"/>
      <w:szCs w:val="21"/>
    </w:rPr>
  </w:style>
  <w:style w:type="paragraph" w:styleId="CommentText">
    <w:name w:val="annotation text"/>
    <w:basedOn w:val="Normal"/>
    <w:link w:val="CommentTextChar"/>
    <w:uiPriority w:val="99"/>
    <w:rsid w:val="00632F84"/>
    <w:rPr>
      <w:rFonts w:ascii="Times New Roman" w:hAnsi="Times New Roman" w:cs="Times New Roman"/>
    </w:rPr>
  </w:style>
  <w:style w:type="character" w:customStyle="1" w:styleId="CommentTextChar">
    <w:name w:val="Comment Text Char"/>
    <w:basedOn w:val="DefaultParagraphFont"/>
    <w:link w:val="CommentText"/>
    <w:uiPriority w:val="99"/>
    <w:rsid w:val="00632F84"/>
    <w:rPr>
      <w:rFonts w:ascii="Times New Roman" w:hAnsi="Times New Roman" w:cs="Times New Roman"/>
    </w:rPr>
  </w:style>
  <w:style w:type="paragraph" w:styleId="BalloonText">
    <w:name w:val="Balloon Text"/>
    <w:basedOn w:val="Normal"/>
    <w:link w:val="BalloonTextChar"/>
    <w:uiPriority w:val="99"/>
    <w:semiHidden/>
    <w:unhideWhenUsed/>
    <w:rsid w:val="00632F84"/>
    <w:rPr>
      <w:sz w:val="18"/>
      <w:szCs w:val="18"/>
    </w:rPr>
  </w:style>
  <w:style w:type="character" w:customStyle="1" w:styleId="BalloonTextChar">
    <w:name w:val="Balloon Text Char"/>
    <w:basedOn w:val="DefaultParagraphFont"/>
    <w:link w:val="BalloonText"/>
    <w:uiPriority w:val="99"/>
    <w:semiHidden/>
    <w:rsid w:val="00632F84"/>
    <w:rPr>
      <w:sz w:val="18"/>
      <w:szCs w:val="18"/>
    </w:rPr>
  </w:style>
  <w:style w:type="paragraph" w:styleId="CommentSubject">
    <w:name w:val="annotation subject"/>
    <w:basedOn w:val="CommentText"/>
    <w:next w:val="CommentText"/>
    <w:link w:val="CommentSubjectChar"/>
    <w:uiPriority w:val="99"/>
    <w:semiHidden/>
    <w:unhideWhenUsed/>
    <w:rsid w:val="003F7570"/>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3F7570"/>
    <w:rPr>
      <w:rFonts w:ascii="Times New Roman" w:hAnsi="Times New Roman" w:cs="Times New Roman"/>
      <w:b/>
      <w:bCs/>
    </w:rPr>
  </w:style>
  <w:style w:type="character" w:styleId="Strong">
    <w:name w:val="Strong"/>
    <w:uiPriority w:val="22"/>
    <w:qFormat/>
    <w:rsid w:val="009427A9"/>
    <w:rPr>
      <w:b/>
      <w:bCs/>
    </w:rPr>
  </w:style>
  <w:style w:type="paragraph" w:styleId="Caption">
    <w:name w:val="caption"/>
    <w:basedOn w:val="Normal"/>
    <w:next w:val="Normal"/>
    <w:uiPriority w:val="35"/>
    <w:qFormat/>
    <w:rsid w:val="00563BB7"/>
    <w:pPr>
      <w:spacing w:after="200" w:line="276" w:lineRule="auto"/>
      <w:jc w:val="both"/>
    </w:pPr>
    <w:rPr>
      <w:rFonts w:ascii="Calibri" w:eastAsiaTheme="minorEastAsia" w:hAnsi="Calibri" w:cs="Times New Roman"/>
      <w:b/>
      <w:bCs/>
      <w:caps/>
      <w:sz w:val="16"/>
      <w:szCs w:val="18"/>
    </w:rPr>
  </w:style>
  <w:style w:type="paragraph" w:styleId="Title">
    <w:name w:val="Title"/>
    <w:basedOn w:val="Normal"/>
    <w:next w:val="Normal"/>
    <w:link w:val="TitleChar"/>
    <w:uiPriority w:val="10"/>
    <w:qFormat/>
    <w:rsid w:val="00563BB7"/>
    <w:pPr>
      <w:pBdr>
        <w:top w:val="single" w:sz="12" w:space="1" w:color="C0504D"/>
      </w:pBdr>
      <w:spacing w:after="200"/>
      <w:jc w:val="right"/>
    </w:pPr>
    <w:rPr>
      <w:rFonts w:ascii="Calibri" w:eastAsiaTheme="minorEastAsia" w:hAnsi="Calibri" w:cs="Times New Roman"/>
      <w:smallCaps/>
      <w:sz w:val="48"/>
      <w:szCs w:val="48"/>
    </w:rPr>
  </w:style>
  <w:style w:type="character" w:customStyle="1" w:styleId="TitleChar">
    <w:name w:val="Title Char"/>
    <w:basedOn w:val="DefaultParagraphFont"/>
    <w:link w:val="Title"/>
    <w:uiPriority w:val="10"/>
    <w:rsid w:val="00563BB7"/>
    <w:rPr>
      <w:rFonts w:ascii="Calibri" w:eastAsiaTheme="minorEastAsia" w:hAnsi="Calibri" w:cs="Times New Roman"/>
      <w:smallCaps/>
      <w:sz w:val="48"/>
      <w:szCs w:val="48"/>
    </w:rPr>
  </w:style>
  <w:style w:type="paragraph" w:styleId="Subtitle">
    <w:name w:val="Subtitle"/>
    <w:basedOn w:val="Normal"/>
    <w:next w:val="Normal"/>
    <w:link w:val="SubtitleChar"/>
    <w:uiPriority w:val="11"/>
    <w:qFormat/>
    <w:rsid w:val="00563BB7"/>
    <w:pPr>
      <w:spacing w:after="720"/>
      <w:jc w:val="right"/>
    </w:pPr>
    <w:rPr>
      <w:rFonts w:ascii="Cambria" w:eastAsia="Times New Roman" w:hAnsi="Cambria" w:cs="Times New Roman"/>
      <w:sz w:val="20"/>
      <w:szCs w:val="22"/>
    </w:rPr>
  </w:style>
  <w:style w:type="character" w:customStyle="1" w:styleId="SubtitleChar">
    <w:name w:val="Subtitle Char"/>
    <w:basedOn w:val="DefaultParagraphFont"/>
    <w:link w:val="Subtitle"/>
    <w:uiPriority w:val="11"/>
    <w:rsid w:val="00563BB7"/>
    <w:rPr>
      <w:rFonts w:ascii="Cambria" w:eastAsia="Times New Roman" w:hAnsi="Cambria" w:cs="Times New Roman"/>
      <w:sz w:val="20"/>
      <w:szCs w:val="22"/>
    </w:rPr>
  </w:style>
  <w:style w:type="character" w:styleId="Emphasis">
    <w:name w:val="Emphasis"/>
    <w:uiPriority w:val="20"/>
    <w:qFormat/>
    <w:rsid w:val="00563BB7"/>
    <w:rPr>
      <w:b/>
      <w:i/>
      <w:spacing w:val="10"/>
    </w:rPr>
  </w:style>
  <w:style w:type="character" w:customStyle="1" w:styleId="2Char">
    <w:name w:val="中等深浅网格 2 Char"/>
    <w:link w:val="MediumGrid2"/>
    <w:uiPriority w:val="1"/>
    <w:rsid w:val="00563BB7"/>
  </w:style>
  <w:style w:type="table" w:styleId="MediumGrid2">
    <w:name w:val="Medium Grid 2"/>
    <w:basedOn w:val="TableNormal"/>
    <w:link w:val="2Char"/>
    <w:uiPriority w:val="1"/>
    <w:rsid w:val="00563B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1Char">
    <w:name w:val="彩色网格 - 强调文字颜色 1 Char"/>
    <w:link w:val="ColorfulGrid-Accent1"/>
    <w:uiPriority w:val="29"/>
    <w:rsid w:val="00563BB7"/>
    <w:rPr>
      <w:i/>
    </w:rPr>
  </w:style>
  <w:style w:type="table" w:styleId="ColorfulGrid-Accent1">
    <w:name w:val="Colorful Grid Accent 1"/>
    <w:basedOn w:val="TableNormal"/>
    <w:link w:val="-1Char"/>
    <w:uiPriority w:val="29"/>
    <w:rsid w:val="00563BB7"/>
    <w:rPr>
      <w:i/>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2Char">
    <w:name w:val="浅色底纹 - 强调文字颜色 2 Char"/>
    <w:link w:val="LightShading-Accent2"/>
    <w:uiPriority w:val="30"/>
    <w:rsid w:val="00563BB7"/>
    <w:rPr>
      <w:b/>
      <w:i/>
      <w:color w:val="FFFFFF"/>
      <w:shd w:val="clear" w:color="auto" w:fill="C0504D"/>
    </w:rPr>
  </w:style>
  <w:style w:type="table" w:styleId="LightShading-Accent2">
    <w:name w:val="Light Shading Accent 2"/>
    <w:basedOn w:val="TableNormal"/>
    <w:link w:val="-2Char"/>
    <w:uiPriority w:val="30"/>
    <w:rsid w:val="00563BB7"/>
    <w:rPr>
      <w:b/>
      <w:i/>
      <w:color w:val="FFFFF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1">
    <w:name w:val="不明显强调1"/>
    <w:uiPriority w:val="19"/>
    <w:qFormat/>
    <w:rsid w:val="00563BB7"/>
    <w:rPr>
      <w:i/>
    </w:rPr>
  </w:style>
  <w:style w:type="character" w:customStyle="1" w:styleId="10">
    <w:name w:val="明显强调1"/>
    <w:uiPriority w:val="21"/>
    <w:qFormat/>
    <w:rsid w:val="00563BB7"/>
    <w:rPr>
      <w:b/>
      <w:i/>
      <w:color w:val="C0504D"/>
      <w:spacing w:val="10"/>
    </w:rPr>
  </w:style>
  <w:style w:type="character" w:customStyle="1" w:styleId="11">
    <w:name w:val="不明显参考1"/>
    <w:uiPriority w:val="31"/>
    <w:qFormat/>
    <w:rsid w:val="00563BB7"/>
    <w:rPr>
      <w:b/>
    </w:rPr>
  </w:style>
  <w:style w:type="character" w:customStyle="1" w:styleId="12">
    <w:name w:val="明显参考1"/>
    <w:uiPriority w:val="32"/>
    <w:qFormat/>
    <w:rsid w:val="00563BB7"/>
    <w:rPr>
      <w:b/>
      <w:bCs/>
      <w:smallCaps/>
      <w:spacing w:val="5"/>
      <w:sz w:val="22"/>
      <w:szCs w:val="22"/>
      <w:u w:val="single"/>
    </w:rPr>
  </w:style>
  <w:style w:type="character" w:customStyle="1" w:styleId="13">
    <w:name w:val="书籍标题1"/>
    <w:uiPriority w:val="33"/>
    <w:qFormat/>
    <w:rsid w:val="00563BB7"/>
    <w:rPr>
      <w:rFonts w:ascii="Calibri Light" w:eastAsia="Times New Roman" w:hAnsi="Calibri Light"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7495">
      <w:bodyDiv w:val="1"/>
      <w:marLeft w:val="0"/>
      <w:marRight w:val="0"/>
      <w:marTop w:val="0"/>
      <w:marBottom w:val="0"/>
      <w:divBdr>
        <w:top w:val="none" w:sz="0" w:space="0" w:color="auto"/>
        <w:left w:val="none" w:sz="0" w:space="0" w:color="auto"/>
        <w:bottom w:val="none" w:sz="0" w:space="0" w:color="auto"/>
        <w:right w:val="none" w:sz="0" w:space="0" w:color="auto"/>
      </w:divBdr>
      <w:divsChild>
        <w:div w:id="1184904326">
          <w:marLeft w:val="0"/>
          <w:marRight w:val="0"/>
          <w:marTop w:val="0"/>
          <w:marBottom w:val="0"/>
          <w:divBdr>
            <w:top w:val="none" w:sz="0" w:space="0" w:color="auto"/>
            <w:left w:val="none" w:sz="0" w:space="0" w:color="auto"/>
            <w:bottom w:val="none" w:sz="0" w:space="0" w:color="auto"/>
            <w:right w:val="none" w:sz="0" w:space="0" w:color="auto"/>
          </w:divBdr>
          <w:divsChild>
            <w:div w:id="1972243142">
              <w:marLeft w:val="0"/>
              <w:marRight w:val="0"/>
              <w:marTop w:val="0"/>
              <w:marBottom w:val="0"/>
              <w:divBdr>
                <w:top w:val="none" w:sz="0" w:space="0" w:color="auto"/>
                <w:left w:val="none" w:sz="0" w:space="0" w:color="auto"/>
                <w:bottom w:val="none" w:sz="0" w:space="0" w:color="auto"/>
                <w:right w:val="none" w:sz="0" w:space="0" w:color="auto"/>
              </w:divBdr>
              <w:divsChild>
                <w:div w:id="2277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119">
      <w:bodyDiv w:val="1"/>
      <w:marLeft w:val="0"/>
      <w:marRight w:val="0"/>
      <w:marTop w:val="0"/>
      <w:marBottom w:val="0"/>
      <w:divBdr>
        <w:top w:val="none" w:sz="0" w:space="0" w:color="auto"/>
        <w:left w:val="none" w:sz="0" w:space="0" w:color="auto"/>
        <w:bottom w:val="none" w:sz="0" w:space="0" w:color="auto"/>
        <w:right w:val="none" w:sz="0" w:space="0" w:color="auto"/>
      </w:divBdr>
      <w:divsChild>
        <w:div w:id="1030910298">
          <w:marLeft w:val="0"/>
          <w:marRight w:val="0"/>
          <w:marTop w:val="0"/>
          <w:marBottom w:val="0"/>
          <w:divBdr>
            <w:top w:val="none" w:sz="0" w:space="0" w:color="auto"/>
            <w:left w:val="none" w:sz="0" w:space="0" w:color="auto"/>
            <w:bottom w:val="none" w:sz="0" w:space="0" w:color="auto"/>
            <w:right w:val="none" w:sz="0" w:space="0" w:color="auto"/>
          </w:divBdr>
        </w:div>
        <w:div w:id="924730106">
          <w:marLeft w:val="0"/>
          <w:marRight w:val="0"/>
          <w:marTop w:val="0"/>
          <w:marBottom w:val="0"/>
          <w:divBdr>
            <w:top w:val="none" w:sz="0" w:space="0" w:color="auto"/>
            <w:left w:val="none" w:sz="0" w:space="0" w:color="auto"/>
            <w:bottom w:val="none" w:sz="0" w:space="0" w:color="auto"/>
            <w:right w:val="none" w:sz="0" w:space="0" w:color="auto"/>
          </w:divBdr>
        </w:div>
        <w:div w:id="319115460">
          <w:marLeft w:val="0"/>
          <w:marRight w:val="0"/>
          <w:marTop w:val="0"/>
          <w:marBottom w:val="0"/>
          <w:divBdr>
            <w:top w:val="none" w:sz="0" w:space="0" w:color="auto"/>
            <w:left w:val="none" w:sz="0" w:space="0" w:color="auto"/>
            <w:bottom w:val="none" w:sz="0" w:space="0" w:color="auto"/>
            <w:right w:val="none" w:sz="0" w:space="0" w:color="auto"/>
          </w:divBdr>
        </w:div>
        <w:div w:id="491263717">
          <w:marLeft w:val="0"/>
          <w:marRight w:val="0"/>
          <w:marTop w:val="0"/>
          <w:marBottom w:val="0"/>
          <w:divBdr>
            <w:top w:val="none" w:sz="0" w:space="0" w:color="auto"/>
            <w:left w:val="none" w:sz="0" w:space="0" w:color="auto"/>
            <w:bottom w:val="none" w:sz="0" w:space="0" w:color="auto"/>
            <w:right w:val="none" w:sz="0" w:space="0" w:color="auto"/>
          </w:divBdr>
        </w:div>
        <w:div w:id="1353915537">
          <w:marLeft w:val="0"/>
          <w:marRight w:val="0"/>
          <w:marTop w:val="0"/>
          <w:marBottom w:val="0"/>
          <w:divBdr>
            <w:top w:val="none" w:sz="0" w:space="0" w:color="auto"/>
            <w:left w:val="none" w:sz="0" w:space="0" w:color="auto"/>
            <w:bottom w:val="none" w:sz="0" w:space="0" w:color="auto"/>
            <w:right w:val="none" w:sz="0" w:space="0" w:color="auto"/>
          </w:divBdr>
        </w:div>
        <w:div w:id="125202485">
          <w:marLeft w:val="0"/>
          <w:marRight w:val="0"/>
          <w:marTop w:val="0"/>
          <w:marBottom w:val="0"/>
          <w:divBdr>
            <w:top w:val="none" w:sz="0" w:space="0" w:color="auto"/>
            <w:left w:val="none" w:sz="0" w:space="0" w:color="auto"/>
            <w:bottom w:val="none" w:sz="0" w:space="0" w:color="auto"/>
            <w:right w:val="none" w:sz="0" w:space="0" w:color="auto"/>
          </w:divBdr>
        </w:div>
        <w:div w:id="1011033011">
          <w:marLeft w:val="0"/>
          <w:marRight w:val="0"/>
          <w:marTop w:val="0"/>
          <w:marBottom w:val="0"/>
          <w:divBdr>
            <w:top w:val="none" w:sz="0" w:space="0" w:color="auto"/>
            <w:left w:val="none" w:sz="0" w:space="0" w:color="auto"/>
            <w:bottom w:val="none" w:sz="0" w:space="0" w:color="auto"/>
            <w:right w:val="none" w:sz="0" w:space="0" w:color="auto"/>
          </w:divBdr>
        </w:div>
        <w:div w:id="275213237">
          <w:marLeft w:val="0"/>
          <w:marRight w:val="0"/>
          <w:marTop w:val="0"/>
          <w:marBottom w:val="0"/>
          <w:divBdr>
            <w:top w:val="none" w:sz="0" w:space="0" w:color="auto"/>
            <w:left w:val="none" w:sz="0" w:space="0" w:color="auto"/>
            <w:bottom w:val="none" w:sz="0" w:space="0" w:color="auto"/>
            <w:right w:val="none" w:sz="0" w:space="0" w:color="auto"/>
          </w:divBdr>
        </w:div>
        <w:div w:id="533032512">
          <w:marLeft w:val="0"/>
          <w:marRight w:val="0"/>
          <w:marTop w:val="0"/>
          <w:marBottom w:val="0"/>
          <w:divBdr>
            <w:top w:val="none" w:sz="0" w:space="0" w:color="auto"/>
            <w:left w:val="none" w:sz="0" w:space="0" w:color="auto"/>
            <w:bottom w:val="none" w:sz="0" w:space="0" w:color="auto"/>
            <w:right w:val="none" w:sz="0" w:space="0" w:color="auto"/>
          </w:divBdr>
        </w:div>
        <w:div w:id="621157495">
          <w:marLeft w:val="0"/>
          <w:marRight w:val="0"/>
          <w:marTop w:val="0"/>
          <w:marBottom w:val="0"/>
          <w:divBdr>
            <w:top w:val="none" w:sz="0" w:space="0" w:color="auto"/>
            <w:left w:val="none" w:sz="0" w:space="0" w:color="auto"/>
            <w:bottom w:val="none" w:sz="0" w:space="0" w:color="auto"/>
            <w:right w:val="none" w:sz="0" w:space="0" w:color="auto"/>
          </w:divBdr>
        </w:div>
        <w:div w:id="441262145">
          <w:marLeft w:val="0"/>
          <w:marRight w:val="0"/>
          <w:marTop w:val="0"/>
          <w:marBottom w:val="0"/>
          <w:divBdr>
            <w:top w:val="none" w:sz="0" w:space="0" w:color="auto"/>
            <w:left w:val="none" w:sz="0" w:space="0" w:color="auto"/>
            <w:bottom w:val="none" w:sz="0" w:space="0" w:color="auto"/>
            <w:right w:val="none" w:sz="0" w:space="0" w:color="auto"/>
          </w:divBdr>
        </w:div>
        <w:div w:id="1961447485">
          <w:marLeft w:val="0"/>
          <w:marRight w:val="0"/>
          <w:marTop w:val="0"/>
          <w:marBottom w:val="0"/>
          <w:divBdr>
            <w:top w:val="none" w:sz="0" w:space="0" w:color="auto"/>
            <w:left w:val="none" w:sz="0" w:space="0" w:color="auto"/>
            <w:bottom w:val="none" w:sz="0" w:space="0" w:color="auto"/>
            <w:right w:val="none" w:sz="0" w:space="0" w:color="auto"/>
          </w:divBdr>
        </w:div>
        <w:div w:id="1287272045">
          <w:marLeft w:val="0"/>
          <w:marRight w:val="0"/>
          <w:marTop w:val="0"/>
          <w:marBottom w:val="0"/>
          <w:divBdr>
            <w:top w:val="none" w:sz="0" w:space="0" w:color="auto"/>
            <w:left w:val="none" w:sz="0" w:space="0" w:color="auto"/>
            <w:bottom w:val="none" w:sz="0" w:space="0" w:color="auto"/>
            <w:right w:val="none" w:sz="0" w:space="0" w:color="auto"/>
          </w:divBdr>
        </w:div>
        <w:div w:id="191069364">
          <w:marLeft w:val="0"/>
          <w:marRight w:val="0"/>
          <w:marTop w:val="0"/>
          <w:marBottom w:val="0"/>
          <w:divBdr>
            <w:top w:val="none" w:sz="0" w:space="0" w:color="auto"/>
            <w:left w:val="none" w:sz="0" w:space="0" w:color="auto"/>
            <w:bottom w:val="none" w:sz="0" w:space="0" w:color="auto"/>
            <w:right w:val="none" w:sz="0" w:space="0" w:color="auto"/>
          </w:divBdr>
        </w:div>
        <w:div w:id="543061494">
          <w:marLeft w:val="0"/>
          <w:marRight w:val="0"/>
          <w:marTop w:val="0"/>
          <w:marBottom w:val="0"/>
          <w:divBdr>
            <w:top w:val="none" w:sz="0" w:space="0" w:color="auto"/>
            <w:left w:val="none" w:sz="0" w:space="0" w:color="auto"/>
            <w:bottom w:val="none" w:sz="0" w:space="0" w:color="auto"/>
            <w:right w:val="none" w:sz="0" w:space="0" w:color="auto"/>
          </w:divBdr>
        </w:div>
        <w:div w:id="52436397">
          <w:marLeft w:val="0"/>
          <w:marRight w:val="0"/>
          <w:marTop w:val="0"/>
          <w:marBottom w:val="0"/>
          <w:divBdr>
            <w:top w:val="none" w:sz="0" w:space="0" w:color="auto"/>
            <w:left w:val="none" w:sz="0" w:space="0" w:color="auto"/>
            <w:bottom w:val="none" w:sz="0" w:space="0" w:color="auto"/>
            <w:right w:val="none" w:sz="0" w:space="0" w:color="auto"/>
          </w:divBdr>
        </w:div>
        <w:div w:id="90705007">
          <w:marLeft w:val="0"/>
          <w:marRight w:val="0"/>
          <w:marTop w:val="0"/>
          <w:marBottom w:val="0"/>
          <w:divBdr>
            <w:top w:val="none" w:sz="0" w:space="0" w:color="auto"/>
            <w:left w:val="none" w:sz="0" w:space="0" w:color="auto"/>
            <w:bottom w:val="none" w:sz="0" w:space="0" w:color="auto"/>
            <w:right w:val="none" w:sz="0" w:space="0" w:color="auto"/>
          </w:divBdr>
        </w:div>
        <w:div w:id="2076972146">
          <w:marLeft w:val="0"/>
          <w:marRight w:val="0"/>
          <w:marTop w:val="0"/>
          <w:marBottom w:val="0"/>
          <w:divBdr>
            <w:top w:val="none" w:sz="0" w:space="0" w:color="auto"/>
            <w:left w:val="none" w:sz="0" w:space="0" w:color="auto"/>
            <w:bottom w:val="none" w:sz="0" w:space="0" w:color="auto"/>
            <w:right w:val="none" w:sz="0" w:space="0" w:color="auto"/>
          </w:divBdr>
        </w:div>
        <w:div w:id="1514420540">
          <w:marLeft w:val="0"/>
          <w:marRight w:val="0"/>
          <w:marTop w:val="0"/>
          <w:marBottom w:val="0"/>
          <w:divBdr>
            <w:top w:val="none" w:sz="0" w:space="0" w:color="auto"/>
            <w:left w:val="none" w:sz="0" w:space="0" w:color="auto"/>
            <w:bottom w:val="none" w:sz="0" w:space="0" w:color="auto"/>
            <w:right w:val="none" w:sz="0" w:space="0" w:color="auto"/>
          </w:divBdr>
        </w:div>
        <w:div w:id="1104879253">
          <w:marLeft w:val="0"/>
          <w:marRight w:val="0"/>
          <w:marTop w:val="0"/>
          <w:marBottom w:val="0"/>
          <w:divBdr>
            <w:top w:val="none" w:sz="0" w:space="0" w:color="auto"/>
            <w:left w:val="none" w:sz="0" w:space="0" w:color="auto"/>
            <w:bottom w:val="none" w:sz="0" w:space="0" w:color="auto"/>
            <w:right w:val="none" w:sz="0" w:space="0" w:color="auto"/>
          </w:divBdr>
        </w:div>
        <w:div w:id="1252008227">
          <w:marLeft w:val="0"/>
          <w:marRight w:val="0"/>
          <w:marTop w:val="0"/>
          <w:marBottom w:val="0"/>
          <w:divBdr>
            <w:top w:val="none" w:sz="0" w:space="0" w:color="auto"/>
            <w:left w:val="none" w:sz="0" w:space="0" w:color="auto"/>
            <w:bottom w:val="none" w:sz="0" w:space="0" w:color="auto"/>
            <w:right w:val="none" w:sz="0" w:space="0" w:color="auto"/>
          </w:divBdr>
        </w:div>
        <w:div w:id="1046637373">
          <w:marLeft w:val="0"/>
          <w:marRight w:val="0"/>
          <w:marTop w:val="0"/>
          <w:marBottom w:val="0"/>
          <w:divBdr>
            <w:top w:val="none" w:sz="0" w:space="0" w:color="auto"/>
            <w:left w:val="none" w:sz="0" w:space="0" w:color="auto"/>
            <w:bottom w:val="none" w:sz="0" w:space="0" w:color="auto"/>
            <w:right w:val="none" w:sz="0" w:space="0" w:color="auto"/>
          </w:divBdr>
        </w:div>
        <w:div w:id="1040596525">
          <w:marLeft w:val="0"/>
          <w:marRight w:val="0"/>
          <w:marTop w:val="0"/>
          <w:marBottom w:val="0"/>
          <w:divBdr>
            <w:top w:val="none" w:sz="0" w:space="0" w:color="auto"/>
            <w:left w:val="none" w:sz="0" w:space="0" w:color="auto"/>
            <w:bottom w:val="none" w:sz="0" w:space="0" w:color="auto"/>
            <w:right w:val="none" w:sz="0" w:space="0" w:color="auto"/>
          </w:divBdr>
        </w:div>
        <w:div w:id="1687518681">
          <w:marLeft w:val="0"/>
          <w:marRight w:val="0"/>
          <w:marTop w:val="0"/>
          <w:marBottom w:val="0"/>
          <w:divBdr>
            <w:top w:val="none" w:sz="0" w:space="0" w:color="auto"/>
            <w:left w:val="none" w:sz="0" w:space="0" w:color="auto"/>
            <w:bottom w:val="none" w:sz="0" w:space="0" w:color="auto"/>
            <w:right w:val="none" w:sz="0" w:space="0" w:color="auto"/>
          </w:divBdr>
        </w:div>
        <w:div w:id="279411924">
          <w:marLeft w:val="0"/>
          <w:marRight w:val="0"/>
          <w:marTop w:val="0"/>
          <w:marBottom w:val="0"/>
          <w:divBdr>
            <w:top w:val="none" w:sz="0" w:space="0" w:color="auto"/>
            <w:left w:val="none" w:sz="0" w:space="0" w:color="auto"/>
            <w:bottom w:val="none" w:sz="0" w:space="0" w:color="auto"/>
            <w:right w:val="none" w:sz="0" w:space="0" w:color="auto"/>
          </w:divBdr>
        </w:div>
        <w:div w:id="2124034146">
          <w:marLeft w:val="0"/>
          <w:marRight w:val="0"/>
          <w:marTop w:val="0"/>
          <w:marBottom w:val="0"/>
          <w:divBdr>
            <w:top w:val="none" w:sz="0" w:space="0" w:color="auto"/>
            <w:left w:val="none" w:sz="0" w:space="0" w:color="auto"/>
            <w:bottom w:val="none" w:sz="0" w:space="0" w:color="auto"/>
            <w:right w:val="none" w:sz="0" w:space="0" w:color="auto"/>
          </w:divBdr>
        </w:div>
        <w:div w:id="1124809645">
          <w:marLeft w:val="0"/>
          <w:marRight w:val="0"/>
          <w:marTop w:val="0"/>
          <w:marBottom w:val="0"/>
          <w:divBdr>
            <w:top w:val="none" w:sz="0" w:space="0" w:color="auto"/>
            <w:left w:val="none" w:sz="0" w:space="0" w:color="auto"/>
            <w:bottom w:val="none" w:sz="0" w:space="0" w:color="auto"/>
            <w:right w:val="none" w:sz="0" w:space="0" w:color="auto"/>
          </w:divBdr>
        </w:div>
        <w:div w:id="2041011244">
          <w:marLeft w:val="0"/>
          <w:marRight w:val="0"/>
          <w:marTop w:val="0"/>
          <w:marBottom w:val="0"/>
          <w:divBdr>
            <w:top w:val="none" w:sz="0" w:space="0" w:color="auto"/>
            <w:left w:val="none" w:sz="0" w:space="0" w:color="auto"/>
            <w:bottom w:val="none" w:sz="0" w:space="0" w:color="auto"/>
            <w:right w:val="none" w:sz="0" w:space="0" w:color="auto"/>
          </w:divBdr>
        </w:div>
        <w:div w:id="463693900">
          <w:marLeft w:val="0"/>
          <w:marRight w:val="0"/>
          <w:marTop w:val="0"/>
          <w:marBottom w:val="0"/>
          <w:divBdr>
            <w:top w:val="none" w:sz="0" w:space="0" w:color="auto"/>
            <w:left w:val="none" w:sz="0" w:space="0" w:color="auto"/>
            <w:bottom w:val="none" w:sz="0" w:space="0" w:color="auto"/>
            <w:right w:val="none" w:sz="0" w:space="0" w:color="auto"/>
          </w:divBdr>
        </w:div>
        <w:div w:id="1483081295">
          <w:marLeft w:val="0"/>
          <w:marRight w:val="0"/>
          <w:marTop w:val="0"/>
          <w:marBottom w:val="0"/>
          <w:divBdr>
            <w:top w:val="none" w:sz="0" w:space="0" w:color="auto"/>
            <w:left w:val="none" w:sz="0" w:space="0" w:color="auto"/>
            <w:bottom w:val="none" w:sz="0" w:space="0" w:color="auto"/>
            <w:right w:val="none" w:sz="0" w:space="0" w:color="auto"/>
          </w:divBdr>
        </w:div>
        <w:div w:id="352076290">
          <w:marLeft w:val="0"/>
          <w:marRight w:val="0"/>
          <w:marTop w:val="0"/>
          <w:marBottom w:val="0"/>
          <w:divBdr>
            <w:top w:val="none" w:sz="0" w:space="0" w:color="auto"/>
            <w:left w:val="none" w:sz="0" w:space="0" w:color="auto"/>
            <w:bottom w:val="none" w:sz="0" w:space="0" w:color="auto"/>
            <w:right w:val="none" w:sz="0" w:space="0" w:color="auto"/>
          </w:divBdr>
        </w:div>
        <w:div w:id="1346203096">
          <w:marLeft w:val="0"/>
          <w:marRight w:val="0"/>
          <w:marTop w:val="0"/>
          <w:marBottom w:val="0"/>
          <w:divBdr>
            <w:top w:val="none" w:sz="0" w:space="0" w:color="auto"/>
            <w:left w:val="none" w:sz="0" w:space="0" w:color="auto"/>
            <w:bottom w:val="none" w:sz="0" w:space="0" w:color="auto"/>
            <w:right w:val="none" w:sz="0" w:space="0" w:color="auto"/>
          </w:divBdr>
        </w:div>
        <w:div w:id="441730399">
          <w:marLeft w:val="0"/>
          <w:marRight w:val="0"/>
          <w:marTop w:val="0"/>
          <w:marBottom w:val="0"/>
          <w:divBdr>
            <w:top w:val="none" w:sz="0" w:space="0" w:color="auto"/>
            <w:left w:val="none" w:sz="0" w:space="0" w:color="auto"/>
            <w:bottom w:val="none" w:sz="0" w:space="0" w:color="auto"/>
            <w:right w:val="none" w:sz="0" w:space="0" w:color="auto"/>
          </w:divBdr>
        </w:div>
        <w:div w:id="1643272997">
          <w:marLeft w:val="0"/>
          <w:marRight w:val="0"/>
          <w:marTop w:val="0"/>
          <w:marBottom w:val="0"/>
          <w:divBdr>
            <w:top w:val="none" w:sz="0" w:space="0" w:color="auto"/>
            <w:left w:val="none" w:sz="0" w:space="0" w:color="auto"/>
            <w:bottom w:val="none" w:sz="0" w:space="0" w:color="auto"/>
            <w:right w:val="none" w:sz="0" w:space="0" w:color="auto"/>
          </w:divBdr>
        </w:div>
        <w:div w:id="724571353">
          <w:marLeft w:val="0"/>
          <w:marRight w:val="0"/>
          <w:marTop w:val="0"/>
          <w:marBottom w:val="0"/>
          <w:divBdr>
            <w:top w:val="none" w:sz="0" w:space="0" w:color="auto"/>
            <w:left w:val="none" w:sz="0" w:space="0" w:color="auto"/>
            <w:bottom w:val="none" w:sz="0" w:space="0" w:color="auto"/>
            <w:right w:val="none" w:sz="0" w:space="0" w:color="auto"/>
          </w:divBdr>
        </w:div>
        <w:div w:id="1548758754">
          <w:marLeft w:val="0"/>
          <w:marRight w:val="0"/>
          <w:marTop w:val="0"/>
          <w:marBottom w:val="0"/>
          <w:divBdr>
            <w:top w:val="none" w:sz="0" w:space="0" w:color="auto"/>
            <w:left w:val="none" w:sz="0" w:space="0" w:color="auto"/>
            <w:bottom w:val="none" w:sz="0" w:space="0" w:color="auto"/>
            <w:right w:val="none" w:sz="0" w:space="0" w:color="auto"/>
          </w:divBdr>
        </w:div>
        <w:div w:id="979307890">
          <w:marLeft w:val="0"/>
          <w:marRight w:val="0"/>
          <w:marTop w:val="0"/>
          <w:marBottom w:val="0"/>
          <w:divBdr>
            <w:top w:val="none" w:sz="0" w:space="0" w:color="auto"/>
            <w:left w:val="none" w:sz="0" w:space="0" w:color="auto"/>
            <w:bottom w:val="none" w:sz="0" w:space="0" w:color="auto"/>
            <w:right w:val="none" w:sz="0" w:space="0" w:color="auto"/>
          </w:divBdr>
        </w:div>
        <w:div w:id="1328483092">
          <w:marLeft w:val="0"/>
          <w:marRight w:val="0"/>
          <w:marTop w:val="0"/>
          <w:marBottom w:val="0"/>
          <w:divBdr>
            <w:top w:val="none" w:sz="0" w:space="0" w:color="auto"/>
            <w:left w:val="none" w:sz="0" w:space="0" w:color="auto"/>
            <w:bottom w:val="none" w:sz="0" w:space="0" w:color="auto"/>
            <w:right w:val="none" w:sz="0" w:space="0" w:color="auto"/>
          </w:divBdr>
        </w:div>
        <w:div w:id="416292737">
          <w:marLeft w:val="0"/>
          <w:marRight w:val="0"/>
          <w:marTop w:val="0"/>
          <w:marBottom w:val="0"/>
          <w:divBdr>
            <w:top w:val="none" w:sz="0" w:space="0" w:color="auto"/>
            <w:left w:val="none" w:sz="0" w:space="0" w:color="auto"/>
            <w:bottom w:val="none" w:sz="0" w:space="0" w:color="auto"/>
            <w:right w:val="none" w:sz="0" w:space="0" w:color="auto"/>
          </w:divBdr>
        </w:div>
        <w:div w:id="636371623">
          <w:marLeft w:val="0"/>
          <w:marRight w:val="0"/>
          <w:marTop w:val="0"/>
          <w:marBottom w:val="0"/>
          <w:divBdr>
            <w:top w:val="none" w:sz="0" w:space="0" w:color="auto"/>
            <w:left w:val="none" w:sz="0" w:space="0" w:color="auto"/>
            <w:bottom w:val="none" w:sz="0" w:space="0" w:color="auto"/>
            <w:right w:val="none" w:sz="0" w:space="0" w:color="auto"/>
          </w:divBdr>
        </w:div>
        <w:div w:id="400719860">
          <w:marLeft w:val="0"/>
          <w:marRight w:val="0"/>
          <w:marTop w:val="0"/>
          <w:marBottom w:val="0"/>
          <w:divBdr>
            <w:top w:val="none" w:sz="0" w:space="0" w:color="auto"/>
            <w:left w:val="none" w:sz="0" w:space="0" w:color="auto"/>
            <w:bottom w:val="none" w:sz="0" w:space="0" w:color="auto"/>
            <w:right w:val="none" w:sz="0" w:space="0" w:color="auto"/>
          </w:divBdr>
        </w:div>
        <w:div w:id="1928004917">
          <w:marLeft w:val="0"/>
          <w:marRight w:val="0"/>
          <w:marTop w:val="0"/>
          <w:marBottom w:val="0"/>
          <w:divBdr>
            <w:top w:val="none" w:sz="0" w:space="0" w:color="auto"/>
            <w:left w:val="none" w:sz="0" w:space="0" w:color="auto"/>
            <w:bottom w:val="none" w:sz="0" w:space="0" w:color="auto"/>
            <w:right w:val="none" w:sz="0" w:space="0" w:color="auto"/>
          </w:divBdr>
        </w:div>
        <w:div w:id="1297176712">
          <w:marLeft w:val="0"/>
          <w:marRight w:val="0"/>
          <w:marTop w:val="0"/>
          <w:marBottom w:val="0"/>
          <w:divBdr>
            <w:top w:val="none" w:sz="0" w:space="0" w:color="auto"/>
            <w:left w:val="none" w:sz="0" w:space="0" w:color="auto"/>
            <w:bottom w:val="none" w:sz="0" w:space="0" w:color="auto"/>
            <w:right w:val="none" w:sz="0" w:space="0" w:color="auto"/>
          </w:divBdr>
        </w:div>
        <w:div w:id="2033914784">
          <w:marLeft w:val="0"/>
          <w:marRight w:val="0"/>
          <w:marTop w:val="0"/>
          <w:marBottom w:val="0"/>
          <w:divBdr>
            <w:top w:val="none" w:sz="0" w:space="0" w:color="auto"/>
            <w:left w:val="none" w:sz="0" w:space="0" w:color="auto"/>
            <w:bottom w:val="none" w:sz="0" w:space="0" w:color="auto"/>
            <w:right w:val="none" w:sz="0" w:space="0" w:color="auto"/>
          </w:divBdr>
        </w:div>
        <w:div w:id="1897083015">
          <w:marLeft w:val="0"/>
          <w:marRight w:val="0"/>
          <w:marTop w:val="0"/>
          <w:marBottom w:val="0"/>
          <w:divBdr>
            <w:top w:val="none" w:sz="0" w:space="0" w:color="auto"/>
            <w:left w:val="none" w:sz="0" w:space="0" w:color="auto"/>
            <w:bottom w:val="none" w:sz="0" w:space="0" w:color="auto"/>
            <w:right w:val="none" w:sz="0" w:space="0" w:color="auto"/>
          </w:divBdr>
        </w:div>
        <w:div w:id="1015840636">
          <w:marLeft w:val="0"/>
          <w:marRight w:val="0"/>
          <w:marTop w:val="0"/>
          <w:marBottom w:val="0"/>
          <w:divBdr>
            <w:top w:val="none" w:sz="0" w:space="0" w:color="auto"/>
            <w:left w:val="none" w:sz="0" w:space="0" w:color="auto"/>
            <w:bottom w:val="none" w:sz="0" w:space="0" w:color="auto"/>
            <w:right w:val="none" w:sz="0" w:space="0" w:color="auto"/>
          </w:divBdr>
        </w:div>
        <w:div w:id="1468009480">
          <w:marLeft w:val="0"/>
          <w:marRight w:val="0"/>
          <w:marTop w:val="0"/>
          <w:marBottom w:val="0"/>
          <w:divBdr>
            <w:top w:val="none" w:sz="0" w:space="0" w:color="auto"/>
            <w:left w:val="none" w:sz="0" w:space="0" w:color="auto"/>
            <w:bottom w:val="none" w:sz="0" w:space="0" w:color="auto"/>
            <w:right w:val="none" w:sz="0" w:space="0" w:color="auto"/>
          </w:divBdr>
        </w:div>
        <w:div w:id="633219144">
          <w:marLeft w:val="0"/>
          <w:marRight w:val="0"/>
          <w:marTop w:val="0"/>
          <w:marBottom w:val="0"/>
          <w:divBdr>
            <w:top w:val="none" w:sz="0" w:space="0" w:color="auto"/>
            <w:left w:val="none" w:sz="0" w:space="0" w:color="auto"/>
            <w:bottom w:val="none" w:sz="0" w:space="0" w:color="auto"/>
            <w:right w:val="none" w:sz="0" w:space="0" w:color="auto"/>
          </w:divBdr>
        </w:div>
        <w:div w:id="1673099041">
          <w:marLeft w:val="0"/>
          <w:marRight w:val="0"/>
          <w:marTop w:val="0"/>
          <w:marBottom w:val="0"/>
          <w:divBdr>
            <w:top w:val="none" w:sz="0" w:space="0" w:color="auto"/>
            <w:left w:val="none" w:sz="0" w:space="0" w:color="auto"/>
            <w:bottom w:val="none" w:sz="0" w:space="0" w:color="auto"/>
            <w:right w:val="none" w:sz="0" w:space="0" w:color="auto"/>
          </w:divBdr>
        </w:div>
        <w:div w:id="1517888498">
          <w:marLeft w:val="0"/>
          <w:marRight w:val="0"/>
          <w:marTop w:val="0"/>
          <w:marBottom w:val="0"/>
          <w:divBdr>
            <w:top w:val="none" w:sz="0" w:space="0" w:color="auto"/>
            <w:left w:val="none" w:sz="0" w:space="0" w:color="auto"/>
            <w:bottom w:val="none" w:sz="0" w:space="0" w:color="auto"/>
            <w:right w:val="none" w:sz="0" w:space="0" w:color="auto"/>
          </w:divBdr>
        </w:div>
        <w:div w:id="454909224">
          <w:marLeft w:val="0"/>
          <w:marRight w:val="0"/>
          <w:marTop w:val="0"/>
          <w:marBottom w:val="0"/>
          <w:divBdr>
            <w:top w:val="none" w:sz="0" w:space="0" w:color="auto"/>
            <w:left w:val="none" w:sz="0" w:space="0" w:color="auto"/>
            <w:bottom w:val="none" w:sz="0" w:space="0" w:color="auto"/>
            <w:right w:val="none" w:sz="0" w:space="0" w:color="auto"/>
          </w:divBdr>
        </w:div>
        <w:div w:id="1770150696">
          <w:marLeft w:val="0"/>
          <w:marRight w:val="0"/>
          <w:marTop w:val="0"/>
          <w:marBottom w:val="0"/>
          <w:divBdr>
            <w:top w:val="none" w:sz="0" w:space="0" w:color="auto"/>
            <w:left w:val="none" w:sz="0" w:space="0" w:color="auto"/>
            <w:bottom w:val="none" w:sz="0" w:space="0" w:color="auto"/>
            <w:right w:val="none" w:sz="0" w:space="0" w:color="auto"/>
          </w:divBdr>
        </w:div>
        <w:div w:id="915046303">
          <w:marLeft w:val="0"/>
          <w:marRight w:val="0"/>
          <w:marTop w:val="0"/>
          <w:marBottom w:val="0"/>
          <w:divBdr>
            <w:top w:val="none" w:sz="0" w:space="0" w:color="auto"/>
            <w:left w:val="none" w:sz="0" w:space="0" w:color="auto"/>
            <w:bottom w:val="none" w:sz="0" w:space="0" w:color="auto"/>
            <w:right w:val="none" w:sz="0" w:space="0" w:color="auto"/>
          </w:divBdr>
        </w:div>
        <w:div w:id="721712668">
          <w:marLeft w:val="0"/>
          <w:marRight w:val="0"/>
          <w:marTop w:val="0"/>
          <w:marBottom w:val="0"/>
          <w:divBdr>
            <w:top w:val="none" w:sz="0" w:space="0" w:color="auto"/>
            <w:left w:val="none" w:sz="0" w:space="0" w:color="auto"/>
            <w:bottom w:val="none" w:sz="0" w:space="0" w:color="auto"/>
            <w:right w:val="none" w:sz="0" w:space="0" w:color="auto"/>
          </w:divBdr>
        </w:div>
        <w:div w:id="1245870327">
          <w:marLeft w:val="0"/>
          <w:marRight w:val="0"/>
          <w:marTop w:val="0"/>
          <w:marBottom w:val="0"/>
          <w:divBdr>
            <w:top w:val="none" w:sz="0" w:space="0" w:color="auto"/>
            <w:left w:val="none" w:sz="0" w:space="0" w:color="auto"/>
            <w:bottom w:val="none" w:sz="0" w:space="0" w:color="auto"/>
            <w:right w:val="none" w:sz="0" w:space="0" w:color="auto"/>
          </w:divBdr>
        </w:div>
        <w:div w:id="1001856145">
          <w:marLeft w:val="0"/>
          <w:marRight w:val="0"/>
          <w:marTop w:val="0"/>
          <w:marBottom w:val="0"/>
          <w:divBdr>
            <w:top w:val="none" w:sz="0" w:space="0" w:color="auto"/>
            <w:left w:val="none" w:sz="0" w:space="0" w:color="auto"/>
            <w:bottom w:val="none" w:sz="0" w:space="0" w:color="auto"/>
            <w:right w:val="none" w:sz="0" w:space="0" w:color="auto"/>
          </w:divBdr>
        </w:div>
        <w:div w:id="90201986">
          <w:marLeft w:val="0"/>
          <w:marRight w:val="0"/>
          <w:marTop w:val="0"/>
          <w:marBottom w:val="0"/>
          <w:divBdr>
            <w:top w:val="none" w:sz="0" w:space="0" w:color="auto"/>
            <w:left w:val="none" w:sz="0" w:space="0" w:color="auto"/>
            <w:bottom w:val="none" w:sz="0" w:space="0" w:color="auto"/>
            <w:right w:val="none" w:sz="0" w:space="0" w:color="auto"/>
          </w:divBdr>
        </w:div>
        <w:div w:id="689334985">
          <w:marLeft w:val="0"/>
          <w:marRight w:val="0"/>
          <w:marTop w:val="0"/>
          <w:marBottom w:val="0"/>
          <w:divBdr>
            <w:top w:val="none" w:sz="0" w:space="0" w:color="auto"/>
            <w:left w:val="none" w:sz="0" w:space="0" w:color="auto"/>
            <w:bottom w:val="none" w:sz="0" w:space="0" w:color="auto"/>
            <w:right w:val="none" w:sz="0" w:space="0" w:color="auto"/>
          </w:divBdr>
        </w:div>
        <w:div w:id="1330668693">
          <w:marLeft w:val="0"/>
          <w:marRight w:val="0"/>
          <w:marTop w:val="0"/>
          <w:marBottom w:val="0"/>
          <w:divBdr>
            <w:top w:val="none" w:sz="0" w:space="0" w:color="auto"/>
            <w:left w:val="none" w:sz="0" w:space="0" w:color="auto"/>
            <w:bottom w:val="none" w:sz="0" w:space="0" w:color="auto"/>
            <w:right w:val="none" w:sz="0" w:space="0" w:color="auto"/>
          </w:divBdr>
        </w:div>
        <w:div w:id="1345597674">
          <w:marLeft w:val="0"/>
          <w:marRight w:val="0"/>
          <w:marTop w:val="0"/>
          <w:marBottom w:val="0"/>
          <w:divBdr>
            <w:top w:val="none" w:sz="0" w:space="0" w:color="auto"/>
            <w:left w:val="none" w:sz="0" w:space="0" w:color="auto"/>
            <w:bottom w:val="none" w:sz="0" w:space="0" w:color="auto"/>
            <w:right w:val="none" w:sz="0" w:space="0" w:color="auto"/>
          </w:divBdr>
        </w:div>
        <w:div w:id="545530397">
          <w:marLeft w:val="0"/>
          <w:marRight w:val="0"/>
          <w:marTop w:val="0"/>
          <w:marBottom w:val="0"/>
          <w:divBdr>
            <w:top w:val="none" w:sz="0" w:space="0" w:color="auto"/>
            <w:left w:val="none" w:sz="0" w:space="0" w:color="auto"/>
            <w:bottom w:val="none" w:sz="0" w:space="0" w:color="auto"/>
            <w:right w:val="none" w:sz="0" w:space="0" w:color="auto"/>
          </w:divBdr>
        </w:div>
        <w:div w:id="1448114275">
          <w:marLeft w:val="0"/>
          <w:marRight w:val="0"/>
          <w:marTop w:val="0"/>
          <w:marBottom w:val="0"/>
          <w:divBdr>
            <w:top w:val="none" w:sz="0" w:space="0" w:color="auto"/>
            <w:left w:val="none" w:sz="0" w:space="0" w:color="auto"/>
            <w:bottom w:val="none" w:sz="0" w:space="0" w:color="auto"/>
            <w:right w:val="none" w:sz="0" w:space="0" w:color="auto"/>
          </w:divBdr>
        </w:div>
        <w:div w:id="358700427">
          <w:marLeft w:val="0"/>
          <w:marRight w:val="0"/>
          <w:marTop w:val="0"/>
          <w:marBottom w:val="0"/>
          <w:divBdr>
            <w:top w:val="none" w:sz="0" w:space="0" w:color="auto"/>
            <w:left w:val="none" w:sz="0" w:space="0" w:color="auto"/>
            <w:bottom w:val="none" w:sz="0" w:space="0" w:color="auto"/>
            <w:right w:val="none" w:sz="0" w:space="0" w:color="auto"/>
          </w:divBdr>
        </w:div>
        <w:div w:id="1339381579">
          <w:marLeft w:val="0"/>
          <w:marRight w:val="0"/>
          <w:marTop w:val="0"/>
          <w:marBottom w:val="0"/>
          <w:divBdr>
            <w:top w:val="none" w:sz="0" w:space="0" w:color="auto"/>
            <w:left w:val="none" w:sz="0" w:space="0" w:color="auto"/>
            <w:bottom w:val="none" w:sz="0" w:space="0" w:color="auto"/>
            <w:right w:val="none" w:sz="0" w:space="0" w:color="auto"/>
          </w:divBdr>
        </w:div>
        <w:div w:id="1774325321">
          <w:marLeft w:val="0"/>
          <w:marRight w:val="0"/>
          <w:marTop w:val="0"/>
          <w:marBottom w:val="0"/>
          <w:divBdr>
            <w:top w:val="none" w:sz="0" w:space="0" w:color="auto"/>
            <w:left w:val="none" w:sz="0" w:space="0" w:color="auto"/>
            <w:bottom w:val="none" w:sz="0" w:space="0" w:color="auto"/>
            <w:right w:val="none" w:sz="0" w:space="0" w:color="auto"/>
          </w:divBdr>
        </w:div>
      </w:divsChild>
    </w:div>
    <w:div w:id="44184525">
      <w:bodyDiv w:val="1"/>
      <w:marLeft w:val="0"/>
      <w:marRight w:val="0"/>
      <w:marTop w:val="0"/>
      <w:marBottom w:val="0"/>
      <w:divBdr>
        <w:top w:val="none" w:sz="0" w:space="0" w:color="auto"/>
        <w:left w:val="none" w:sz="0" w:space="0" w:color="auto"/>
        <w:bottom w:val="none" w:sz="0" w:space="0" w:color="auto"/>
        <w:right w:val="none" w:sz="0" w:space="0" w:color="auto"/>
      </w:divBdr>
      <w:divsChild>
        <w:div w:id="678239868">
          <w:marLeft w:val="0"/>
          <w:marRight w:val="0"/>
          <w:marTop w:val="0"/>
          <w:marBottom w:val="0"/>
          <w:divBdr>
            <w:top w:val="none" w:sz="0" w:space="0" w:color="auto"/>
            <w:left w:val="none" w:sz="0" w:space="0" w:color="auto"/>
            <w:bottom w:val="none" w:sz="0" w:space="0" w:color="auto"/>
            <w:right w:val="none" w:sz="0" w:space="0" w:color="auto"/>
          </w:divBdr>
          <w:divsChild>
            <w:div w:id="1007443959">
              <w:marLeft w:val="0"/>
              <w:marRight w:val="0"/>
              <w:marTop w:val="0"/>
              <w:marBottom w:val="0"/>
              <w:divBdr>
                <w:top w:val="none" w:sz="0" w:space="0" w:color="auto"/>
                <w:left w:val="none" w:sz="0" w:space="0" w:color="auto"/>
                <w:bottom w:val="none" w:sz="0" w:space="0" w:color="auto"/>
                <w:right w:val="none" w:sz="0" w:space="0" w:color="auto"/>
              </w:divBdr>
              <w:divsChild>
                <w:div w:id="9449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1349">
      <w:bodyDiv w:val="1"/>
      <w:marLeft w:val="0"/>
      <w:marRight w:val="0"/>
      <w:marTop w:val="0"/>
      <w:marBottom w:val="0"/>
      <w:divBdr>
        <w:top w:val="none" w:sz="0" w:space="0" w:color="auto"/>
        <w:left w:val="none" w:sz="0" w:space="0" w:color="auto"/>
        <w:bottom w:val="none" w:sz="0" w:space="0" w:color="auto"/>
        <w:right w:val="none" w:sz="0" w:space="0" w:color="auto"/>
      </w:divBdr>
      <w:divsChild>
        <w:div w:id="1667787677">
          <w:marLeft w:val="0"/>
          <w:marRight w:val="0"/>
          <w:marTop w:val="0"/>
          <w:marBottom w:val="0"/>
          <w:divBdr>
            <w:top w:val="none" w:sz="0" w:space="0" w:color="auto"/>
            <w:left w:val="none" w:sz="0" w:space="0" w:color="auto"/>
            <w:bottom w:val="none" w:sz="0" w:space="0" w:color="auto"/>
            <w:right w:val="none" w:sz="0" w:space="0" w:color="auto"/>
          </w:divBdr>
          <w:divsChild>
            <w:div w:id="656299533">
              <w:marLeft w:val="0"/>
              <w:marRight w:val="0"/>
              <w:marTop w:val="0"/>
              <w:marBottom w:val="0"/>
              <w:divBdr>
                <w:top w:val="none" w:sz="0" w:space="0" w:color="auto"/>
                <w:left w:val="none" w:sz="0" w:space="0" w:color="auto"/>
                <w:bottom w:val="none" w:sz="0" w:space="0" w:color="auto"/>
                <w:right w:val="none" w:sz="0" w:space="0" w:color="auto"/>
              </w:divBdr>
              <w:divsChild>
                <w:div w:id="52586020">
                  <w:marLeft w:val="0"/>
                  <w:marRight w:val="0"/>
                  <w:marTop w:val="0"/>
                  <w:marBottom w:val="0"/>
                  <w:divBdr>
                    <w:top w:val="none" w:sz="0" w:space="0" w:color="auto"/>
                    <w:left w:val="none" w:sz="0" w:space="0" w:color="auto"/>
                    <w:bottom w:val="none" w:sz="0" w:space="0" w:color="auto"/>
                    <w:right w:val="none" w:sz="0" w:space="0" w:color="auto"/>
                  </w:divBdr>
                  <w:divsChild>
                    <w:div w:id="6845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5551">
      <w:bodyDiv w:val="1"/>
      <w:marLeft w:val="0"/>
      <w:marRight w:val="0"/>
      <w:marTop w:val="0"/>
      <w:marBottom w:val="0"/>
      <w:divBdr>
        <w:top w:val="none" w:sz="0" w:space="0" w:color="auto"/>
        <w:left w:val="none" w:sz="0" w:space="0" w:color="auto"/>
        <w:bottom w:val="none" w:sz="0" w:space="0" w:color="auto"/>
        <w:right w:val="none" w:sz="0" w:space="0" w:color="auto"/>
      </w:divBdr>
      <w:divsChild>
        <w:div w:id="308556437">
          <w:marLeft w:val="0"/>
          <w:marRight w:val="0"/>
          <w:marTop w:val="0"/>
          <w:marBottom w:val="0"/>
          <w:divBdr>
            <w:top w:val="none" w:sz="0" w:space="0" w:color="auto"/>
            <w:left w:val="none" w:sz="0" w:space="0" w:color="auto"/>
            <w:bottom w:val="none" w:sz="0" w:space="0" w:color="auto"/>
            <w:right w:val="none" w:sz="0" w:space="0" w:color="auto"/>
          </w:divBdr>
          <w:divsChild>
            <w:div w:id="2144808930">
              <w:marLeft w:val="0"/>
              <w:marRight w:val="0"/>
              <w:marTop w:val="0"/>
              <w:marBottom w:val="0"/>
              <w:divBdr>
                <w:top w:val="none" w:sz="0" w:space="0" w:color="auto"/>
                <w:left w:val="none" w:sz="0" w:space="0" w:color="auto"/>
                <w:bottom w:val="none" w:sz="0" w:space="0" w:color="auto"/>
                <w:right w:val="none" w:sz="0" w:space="0" w:color="auto"/>
              </w:divBdr>
              <w:divsChild>
                <w:div w:id="16338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3926">
      <w:bodyDiv w:val="1"/>
      <w:marLeft w:val="0"/>
      <w:marRight w:val="0"/>
      <w:marTop w:val="0"/>
      <w:marBottom w:val="0"/>
      <w:divBdr>
        <w:top w:val="none" w:sz="0" w:space="0" w:color="auto"/>
        <w:left w:val="none" w:sz="0" w:space="0" w:color="auto"/>
        <w:bottom w:val="none" w:sz="0" w:space="0" w:color="auto"/>
        <w:right w:val="none" w:sz="0" w:space="0" w:color="auto"/>
      </w:divBdr>
      <w:divsChild>
        <w:div w:id="284431805">
          <w:marLeft w:val="0"/>
          <w:marRight w:val="0"/>
          <w:marTop w:val="0"/>
          <w:marBottom w:val="0"/>
          <w:divBdr>
            <w:top w:val="none" w:sz="0" w:space="0" w:color="auto"/>
            <w:left w:val="none" w:sz="0" w:space="0" w:color="auto"/>
            <w:bottom w:val="none" w:sz="0" w:space="0" w:color="auto"/>
            <w:right w:val="none" w:sz="0" w:space="0" w:color="auto"/>
          </w:divBdr>
          <w:divsChild>
            <w:div w:id="1154562312">
              <w:marLeft w:val="0"/>
              <w:marRight w:val="0"/>
              <w:marTop w:val="0"/>
              <w:marBottom w:val="0"/>
              <w:divBdr>
                <w:top w:val="none" w:sz="0" w:space="0" w:color="auto"/>
                <w:left w:val="none" w:sz="0" w:space="0" w:color="auto"/>
                <w:bottom w:val="none" w:sz="0" w:space="0" w:color="auto"/>
                <w:right w:val="none" w:sz="0" w:space="0" w:color="auto"/>
              </w:divBdr>
              <w:divsChild>
                <w:div w:id="2107727411">
                  <w:marLeft w:val="0"/>
                  <w:marRight w:val="0"/>
                  <w:marTop w:val="0"/>
                  <w:marBottom w:val="0"/>
                  <w:divBdr>
                    <w:top w:val="none" w:sz="0" w:space="0" w:color="auto"/>
                    <w:left w:val="none" w:sz="0" w:space="0" w:color="auto"/>
                    <w:bottom w:val="none" w:sz="0" w:space="0" w:color="auto"/>
                    <w:right w:val="none" w:sz="0" w:space="0" w:color="auto"/>
                  </w:divBdr>
                </w:div>
                <w:div w:id="16500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1168">
      <w:bodyDiv w:val="1"/>
      <w:marLeft w:val="0"/>
      <w:marRight w:val="0"/>
      <w:marTop w:val="0"/>
      <w:marBottom w:val="0"/>
      <w:divBdr>
        <w:top w:val="none" w:sz="0" w:space="0" w:color="auto"/>
        <w:left w:val="none" w:sz="0" w:space="0" w:color="auto"/>
        <w:bottom w:val="none" w:sz="0" w:space="0" w:color="auto"/>
        <w:right w:val="none" w:sz="0" w:space="0" w:color="auto"/>
      </w:divBdr>
      <w:divsChild>
        <w:div w:id="1647780906">
          <w:marLeft w:val="0"/>
          <w:marRight w:val="0"/>
          <w:marTop w:val="0"/>
          <w:marBottom w:val="0"/>
          <w:divBdr>
            <w:top w:val="none" w:sz="0" w:space="0" w:color="auto"/>
            <w:left w:val="none" w:sz="0" w:space="0" w:color="auto"/>
            <w:bottom w:val="none" w:sz="0" w:space="0" w:color="auto"/>
            <w:right w:val="none" w:sz="0" w:space="0" w:color="auto"/>
          </w:divBdr>
          <w:divsChild>
            <w:div w:id="1061094506">
              <w:marLeft w:val="0"/>
              <w:marRight w:val="0"/>
              <w:marTop w:val="0"/>
              <w:marBottom w:val="0"/>
              <w:divBdr>
                <w:top w:val="none" w:sz="0" w:space="0" w:color="auto"/>
                <w:left w:val="none" w:sz="0" w:space="0" w:color="auto"/>
                <w:bottom w:val="none" w:sz="0" w:space="0" w:color="auto"/>
                <w:right w:val="none" w:sz="0" w:space="0" w:color="auto"/>
              </w:divBdr>
              <w:divsChild>
                <w:div w:id="8562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7504">
      <w:bodyDiv w:val="1"/>
      <w:marLeft w:val="0"/>
      <w:marRight w:val="0"/>
      <w:marTop w:val="0"/>
      <w:marBottom w:val="0"/>
      <w:divBdr>
        <w:top w:val="none" w:sz="0" w:space="0" w:color="auto"/>
        <w:left w:val="none" w:sz="0" w:space="0" w:color="auto"/>
        <w:bottom w:val="none" w:sz="0" w:space="0" w:color="auto"/>
        <w:right w:val="none" w:sz="0" w:space="0" w:color="auto"/>
      </w:divBdr>
      <w:divsChild>
        <w:div w:id="564678612">
          <w:marLeft w:val="0"/>
          <w:marRight w:val="0"/>
          <w:marTop w:val="0"/>
          <w:marBottom w:val="0"/>
          <w:divBdr>
            <w:top w:val="none" w:sz="0" w:space="0" w:color="auto"/>
            <w:left w:val="none" w:sz="0" w:space="0" w:color="auto"/>
            <w:bottom w:val="none" w:sz="0" w:space="0" w:color="auto"/>
            <w:right w:val="none" w:sz="0" w:space="0" w:color="auto"/>
          </w:divBdr>
          <w:divsChild>
            <w:div w:id="224608685">
              <w:marLeft w:val="0"/>
              <w:marRight w:val="0"/>
              <w:marTop w:val="0"/>
              <w:marBottom w:val="0"/>
              <w:divBdr>
                <w:top w:val="none" w:sz="0" w:space="0" w:color="auto"/>
                <w:left w:val="none" w:sz="0" w:space="0" w:color="auto"/>
                <w:bottom w:val="none" w:sz="0" w:space="0" w:color="auto"/>
                <w:right w:val="none" w:sz="0" w:space="0" w:color="auto"/>
              </w:divBdr>
              <w:divsChild>
                <w:div w:id="16412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1567">
      <w:bodyDiv w:val="1"/>
      <w:marLeft w:val="0"/>
      <w:marRight w:val="0"/>
      <w:marTop w:val="0"/>
      <w:marBottom w:val="0"/>
      <w:divBdr>
        <w:top w:val="none" w:sz="0" w:space="0" w:color="auto"/>
        <w:left w:val="none" w:sz="0" w:space="0" w:color="auto"/>
        <w:bottom w:val="none" w:sz="0" w:space="0" w:color="auto"/>
        <w:right w:val="none" w:sz="0" w:space="0" w:color="auto"/>
      </w:divBdr>
      <w:divsChild>
        <w:div w:id="188882883">
          <w:marLeft w:val="0"/>
          <w:marRight w:val="0"/>
          <w:marTop w:val="0"/>
          <w:marBottom w:val="0"/>
          <w:divBdr>
            <w:top w:val="none" w:sz="0" w:space="0" w:color="auto"/>
            <w:left w:val="none" w:sz="0" w:space="0" w:color="auto"/>
            <w:bottom w:val="none" w:sz="0" w:space="0" w:color="auto"/>
            <w:right w:val="none" w:sz="0" w:space="0" w:color="auto"/>
          </w:divBdr>
          <w:divsChild>
            <w:div w:id="1970473912">
              <w:marLeft w:val="0"/>
              <w:marRight w:val="0"/>
              <w:marTop w:val="0"/>
              <w:marBottom w:val="0"/>
              <w:divBdr>
                <w:top w:val="none" w:sz="0" w:space="0" w:color="auto"/>
                <w:left w:val="none" w:sz="0" w:space="0" w:color="auto"/>
                <w:bottom w:val="none" w:sz="0" w:space="0" w:color="auto"/>
                <w:right w:val="none" w:sz="0" w:space="0" w:color="auto"/>
              </w:divBdr>
              <w:divsChild>
                <w:div w:id="1612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7631">
      <w:bodyDiv w:val="1"/>
      <w:marLeft w:val="0"/>
      <w:marRight w:val="0"/>
      <w:marTop w:val="0"/>
      <w:marBottom w:val="0"/>
      <w:divBdr>
        <w:top w:val="none" w:sz="0" w:space="0" w:color="auto"/>
        <w:left w:val="none" w:sz="0" w:space="0" w:color="auto"/>
        <w:bottom w:val="none" w:sz="0" w:space="0" w:color="auto"/>
        <w:right w:val="none" w:sz="0" w:space="0" w:color="auto"/>
      </w:divBdr>
      <w:divsChild>
        <w:div w:id="1513715477">
          <w:marLeft w:val="0"/>
          <w:marRight w:val="0"/>
          <w:marTop w:val="0"/>
          <w:marBottom w:val="0"/>
          <w:divBdr>
            <w:top w:val="none" w:sz="0" w:space="0" w:color="auto"/>
            <w:left w:val="none" w:sz="0" w:space="0" w:color="auto"/>
            <w:bottom w:val="none" w:sz="0" w:space="0" w:color="auto"/>
            <w:right w:val="none" w:sz="0" w:space="0" w:color="auto"/>
          </w:divBdr>
          <w:divsChild>
            <w:div w:id="893197390">
              <w:marLeft w:val="0"/>
              <w:marRight w:val="0"/>
              <w:marTop w:val="0"/>
              <w:marBottom w:val="0"/>
              <w:divBdr>
                <w:top w:val="none" w:sz="0" w:space="0" w:color="auto"/>
                <w:left w:val="none" w:sz="0" w:space="0" w:color="auto"/>
                <w:bottom w:val="none" w:sz="0" w:space="0" w:color="auto"/>
                <w:right w:val="none" w:sz="0" w:space="0" w:color="auto"/>
              </w:divBdr>
              <w:divsChild>
                <w:div w:id="178206899">
                  <w:marLeft w:val="0"/>
                  <w:marRight w:val="0"/>
                  <w:marTop w:val="0"/>
                  <w:marBottom w:val="0"/>
                  <w:divBdr>
                    <w:top w:val="none" w:sz="0" w:space="0" w:color="auto"/>
                    <w:left w:val="none" w:sz="0" w:space="0" w:color="auto"/>
                    <w:bottom w:val="none" w:sz="0" w:space="0" w:color="auto"/>
                    <w:right w:val="none" w:sz="0" w:space="0" w:color="auto"/>
                  </w:divBdr>
                  <w:divsChild>
                    <w:div w:id="2634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5133">
      <w:bodyDiv w:val="1"/>
      <w:marLeft w:val="0"/>
      <w:marRight w:val="0"/>
      <w:marTop w:val="0"/>
      <w:marBottom w:val="0"/>
      <w:divBdr>
        <w:top w:val="none" w:sz="0" w:space="0" w:color="auto"/>
        <w:left w:val="none" w:sz="0" w:space="0" w:color="auto"/>
        <w:bottom w:val="none" w:sz="0" w:space="0" w:color="auto"/>
        <w:right w:val="none" w:sz="0" w:space="0" w:color="auto"/>
      </w:divBdr>
      <w:divsChild>
        <w:div w:id="1553690198">
          <w:marLeft w:val="0"/>
          <w:marRight w:val="0"/>
          <w:marTop w:val="0"/>
          <w:marBottom w:val="0"/>
          <w:divBdr>
            <w:top w:val="none" w:sz="0" w:space="0" w:color="auto"/>
            <w:left w:val="none" w:sz="0" w:space="0" w:color="auto"/>
            <w:bottom w:val="none" w:sz="0" w:space="0" w:color="auto"/>
            <w:right w:val="none" w:sz="0" w:space="0" w:color="auto"/>
          </w:divBdr>
          <w:divsChild>
            <w:div w:id="2054423638">
              <w:marLeft w:val="0"/>
              <w:marRight w:val="0"/>
              <w:marTop w:val="0"/>
              <w:marBottom w:val="0"/>
              <w:divBdr>
                <w:top w:val="none" w:sz="0" w:space="0" w:color="auto"/>
                <w:left w:val="none" w:sz="0" w:space="0" w:color="auto"/>
                <w:bottom w:val="none" w:sz="0" w:space="0" w:color="auto"/>
                <w:right w:val="none" w:sz="0" w:space="0" w:color="auto"/>
              </w:divBdr>
              <w:divsChild>
                <w:div w:id="980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3600">
      <w:bodyDiv w:val="1"/>
      <w:marLeft w:val="0"/>
      <w:marRight w:val="0"/>
      <w:marTop w:val="0"/>
      <w:marBottom w:val="0"/>
      <w:divBdr>
        <w:top w:val="none" w:sz="0" w:space="0" w:color="auto"/>
        <w:left w:val="none" w:sz="0" w:space="0" w:color="auto"/>
        <w:bottom w:val="none" w:sz="0" w:space="0" w:color="auto"/>
        <w:right w:val="none" w:sz="0" w:space="0" w:color="auto"/>
      </w:divBdr>
      <w:divsChild>
        <w:div w:id="2084375803">
          <w:marLeft w:val="0"/>
          <w:marRight w:val="0"/>
          <w:marTop w:val="0"/>
          <w:marBottom w:val="0"/>
          <w:divBdr>
            <w:top w:val="none" w:sz="0" w:space="0" w:color="auto"/>
            <w:left w:val="none" w:sz="0" w:space="0" w:color="auto"/>
            <w:bottom w:val="none" w:sz="0" w:space="0" w:color="auto"/>
            <w:right w:val="none" w:sz="0" w:space="0" w:color="auto"/>
          </w:divBdr>
          <w:divsChild>
            <w:div w:id="1777365937">
              <w:marLeft w:val="0"/>
              <w:marRight w:val="0"/>
              <w:marTop w:val="0"/>
              <w:marBottom w:val="0"/>
              <w:divBdr>
                <w:top w:val="none" w:sz="0" w:space="0" w:color="auto"/>
                <w:left w:val="none" w:sz="0" w:space="0" w:color="auto"/>
                <w:bottom w:val="none" w:sz="0" w:space="0" w:color="auto"/>
                <w:right w:val="none" w:sz="0" w:space="0" w:color="auto"/>
              </w:divBdr>
              <w:divsChild>
                <w:div w:id="13686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807">
      <w:bodyDiv w:val="1"/>
      <w:marLeft w:val="0"/>
      <w:marRight w:val="0"/>
      <w:marTop w:val="0"/>
      <w:marBottom w:val="0"/>
      <w:divBdr>
        <w:top w:val="none" w:sz="0" w:space="0" w:color="auto"/>
        <w:left w:val="none" w:sz="0" w:space="0" w:color="auto"/>
        <w:bottom w:val="none" w:sz="0" w:space="0" w:color="auto"/>
        <w:right w:val="none" w:sz="0" w:space="0" w:color="auto"/>
      </w:divBdr>
      <w:divsChild>
        <w:div w:id="1582451127">
          <w:marLeft w:val="0"/>
          <w:marRight w:val="0"/>
          <w:marTop w:val="0"/>
          <w:marBottom w:val="0"/>
          <w:divBdr>
            <w:top w:val="none" w:sz="0" w:space="0" w:color="auto"/>
            <w:left w:val="none" w:sz="0" w:space="0" w:color="auto"/>
            <w:bottom w:val="none" w:sz="0" w:space="0" w:color="auto"/>
            <w:right w:val="none" w:sz="0" w:space="0" w:color="auto"/>
          </w:divBdr>
          <w:divsChild>
            <w:div w:id="1005861861">
              <w:marLeft w:val="0"/>
              <w:marRight w:val="0"/>
              <w:marTop w:val="0"/>
              <w:marBottom w:val="0"/>
              <w:divBdr>
                <w:top w:val="none" w:sz="0" w:space="0" w:color="auto"/>
                <w:left w:val="none" w:sz="0" w:space="0" w:color="auto"/>
                <w:bottom w:val="none" w:sz="0" w:space="0" w:color="auto"/>
                <w:right w:val="none" w:sz="0" w:space="0" w:color="auto"/>
              </w:divBdr>
              <w:divsChild>
                <w:div w:id="21402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4086">
      <w:bodyDiv w:val="1"/>
      <w:marLeft w:val="0"/>
      <w:marRight w:val="0"/>
      <w:marTop w:val="0"/>
      <w:marBottom w:val="0"/>
      <w:divBdr>
        <w:top w:val="none" w:sz="0" w:space="0" w:color="auto"/>
        <w:left w:val="none" w:sz="0" w:space="0" w:color="auto"/>
        <w:bottom w:val="none" w:sz="0" w:space="0" w:color="auto"/>
        <w:right w:val="none" w:sz="0" w:space="0" w:color="auto"/>
      </w:divBdr>
      <w:divsChild>
        <w:div w:id="2130121533">
          <w:marLeft w:val="0"/>
          <w:marRight w:val="0"/>
          <w:marTop w:val="0"/>
          <w:marBottom w:val="0"/>
          <w:divBdr>
            <w:top w:val="none" w:sz="0" w:space="0" w:color="auto"/>
            <w:left w:val="none" w:sz="0" w:space="0" w:color="auto"/>
            <w:bottom w:val="none" w:sz="0" w:space="0" w:color="auto"/>
            <w:right w:val="none" w:sz="0" w:space="0" w:color="auto"/>
          </w:divBdr>
          <w:divsChild>
            <w:div w:id="110325781">
              <w:marLeft w:val="0"/>
              <w:marRight w:val="0"/>
              <w:marTop w:val="0"/>
              <w:marBottom w:val="0"/>
              <w:divBdr>
                <w:top w:val="none" w:sz="0" w:space="0" w:color="auto"/>
                <w:left w:val="none" w:sz="0" w:space="0" w:color="auto"/>
                <w:bottom w:val="none" w:sz="0" w:space="0" w:color="auto"/>
                <w:right w:val="none" w:sz="0" w:space="0" w:color="auto"/>
              </w:divBdr>
              <w:divsChild>
                <w:div w:id="2473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6197">
      <w:bodyDiv w:val="1"/>
      <w:marLeft w:val="0"/>
      <w:marRight w:val="0"/>
      <w:marTop w:val="0"/>
      <w:marBottom w:val="0"/>
      <w:divBdr>
        <w:top w:val="none" w:sz="0" w:space="0" w:color="auto"/>
        <w:left w:val="none" w:sz="0" w:space="0" w:color="auto"/>
        <w:bottom w:val="none" w:sz="0" w:space="0" w:color="auto"/>
        <w:right w:val="none" w:sz="0" w:space="0" w:color="auto"/>
      </w:divBdr>
      <w:divsChild>
        <w:div w:id="1365252792">
          <w:marLeft w:val="0"/>
          <w:marRight w:val="0"/>
          <w:marTop w:val="0"/>
          <w:marBottom w:val="0"/>
          <w:divBdr>
            <w:top w:val="none" w:sz="0" w:space="0" w:color="auto"/>
            <w:left w:val="none" w:sz="0" w:space="0" w:color="auto"/>
            <w:bottom w:val="none" w:sz="0" w:space="0" w:color="auto"/>
            <w:right w:val="none" w:sz="0" w:space="0" w:color="auto"/>
          </w:divBdr>
          <w:divsChild>
            <w:div w:id="664161598">
              <w:marLeft w:val="0"/>
              <w:marRight w:val="0"/>
              <w:marTop w:val="0"/>
              <w:marBottom w:val="0"/>
              <w:divBdr>
                <w:top w:val="none" w:sz="0" w:space="0" w:color="auto"/>
                <w:left w:val="none" w:sz="0" w:space="0" w:color="auto"/>
                <w:bottom w:val="none" w:sz="0" w:space="0" w:color="auto"/>
                <w:right w:val="none" w:sz="0" w:space="0" w:color="auto"/>
              </w:divBdr>
              <w:divsChild>
                <w:div w:id="8025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3633">
      <w:bodyDiv w:val="1"/>
      <w:marLeft w:val="0"/>
      <w:marRight w:val="0"/>
      <w:marTop w:val="0"/>
      <w:marBottom w:val="0"/>
      <w:divBdr>
        <w:top w:val="none" w:sz="0" w:space="0" w:color="auto"/>
        <w:left w:val="none" w:sz="0" w:space="0" w:color="auto"/>
        <w:bottom w:val="none" w:sz="0" w:space="0" w:color="auto"/>
        <w:right w:val="none" w:sz="0" w:space="0" w:color="auto"/>
      </w:divBdr>
      <w:divsChild>
        <w:div w:id="1624383490">
          <w:marLeft w:val="0"/>
          <w:marRight w:val="0"/>
          <w:marTop w:val="0"/>
          <w:marBottom w:val="0"/>
          <w:divBdr>
            <w:top w:val="none" w:sz="0" w:space="0" w:color="auto"/>
            <w:left w:val="none" w:sz="0" w:space="0" w:color="auto"/>
            <w:bottom w:val="none" w:sz="0" w:space="0" w:color="auto"/>
            <w:right w:val="none" w:sz="0" w:space="0" w:color="auto"/>
          </w:divBdr>
          <w:divsChild>
            <w:div w:id="1032533422">
              <w:marLeft w:val="0"/>
              <w:marRight w:val="0"/>
              <w:marTop w:val="0"/>
              <w:marBottom w:val="0"/>
              <w:divBdr>
                <w:top w:val="none" w:sz="0" w:space="0" w:color="auto"/>
                <w:left w:val="none" w:sz="0" w:space="0" w:color="auto"/>
                <w:bottom w:val="none" w:sz="0" w:space="0" w:color="auto"/>
                <w:right w:val="none" w:sz="0" w:space="0" w:color="auto"/>
              </w:divBdr>
              <w:divsChild>
                <w:div w:id="13288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0403">
      <w:bodyDiv w:val="1"/>
      <w:marLeft w:val="0"/>
      <w:marRight w:val="0"/>
      <w:marTop w:val="0"/>
      <w:marBottom w:val="0"/>
      <w:divBdr>
        <w:top w:val="none" w:sz="0" w:space="0" w:color="auto"/>
        <w:left w:val="none" w:sz="0" w:space="0" w:color="auto"/>
        <w:bottom w:val="none" w:sz="0" w:space="0" w:color="auto"/>
        <w:right w:val="none" w:sz="0" w:space="0" w:color="auto"/>
      </w:divBdr>
      <w:divsChild>
        <w:div w:id="1308315257">
          <w:marLeft w:val="0"/>
          <w:marRight w:val="0"/>
          <w:marTop w:val="0"/>
          <w:marBottom w:val="0"/>
          <w:divBdr>
            <w:top w:val="none" w:sz="0" w:space="0" w:color="auto"/>
            <w:left w:val="none" w:sz="0" w:space="0" w:color="auto"/>
            <w:bottom w:val="none" w:sz="0" w:space="0" w:color="auto"/>
            <w:right w:val="none" w:sz="0" w:space="0" w:color="auto"/>
          </w:divBdr>
          <w:divsChild>
            <w:div w:id="887497225">
              <w:marLeft w:val="0"/>
              <w:marRight w:val="0"/>
              <w:marTop w:val="0"/>
              <w:marBottom w:val="0"/>
              <w:divBdr>
                <w:top w:val="none" w:sz="0" w:space="0" w:color="auto"/>
                <w:left w:val="none" w:sz="0" w:space="0" w:color="auto"/>
                <w:bottom w:val="none" w:sz="0" w:space="0" w:color="auto"/>
                <w:right w:val="none" w:sz="0" w:space="0" w:color="auto"/>
              </w:divBdr>
              <w:divsChild>
                <w:div w:id="878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60706">
      <w:bodyDiv w:val="1"/>
      <w:marLeft w:val="0"/>
      <w:marRight w:val="0"/>
      <w:marTop w:val="0"/>
      <w:marBottom w:val="0"/>
      <w:divBdr>
        <w:top w:val="none" w:sz="0" w:space="0" w:color="auto"/>
        <w:left w:val="none" w:sz="0" w:space="0" w:color="auto"/>
        <w:bottom w:val="none" w:sz="0" w:space="0" w:color="auto"/>
        <w:right w:val="none" w:sz="0" w:space="0" w:color="auto"/>
      </w:divBdr>
      <w:divsChild>
        <w:div w:id="1410691527">
          <w:marLeft w:val="0"/>
          <w:marRight w:val="0"/>
          <w:marTop w:val="0"/>
          <w:marBottom w:val="0"/>
          <w:divBdr>
            <w:top w:val="none" w:sz="0" w:space="0" w:color="auto"/>
            <w:left w:val="none" w:sz="0" w:space="0" w:color="auto"/>
            <w:bottom w:val="none" w:sz="0" w:space="0" w:color="auto"/>
            <w:right w:val="none" w:sz="0" w:space="0" w:color="auto"/>
          </w:divBdr>
          <w:divsChild>
            <w:div w:id="2118597201">
              <w:marLeft w:val="0"/>
              <w:marRight w:val="0"/>
              <w:marTop w:val="0"/>
              <w:marBottom w:val="0"/>
              <w:divBdr>
                <w:top w:val="none" w:sz="0" w:space="0" w:color="auto"/>
                <w:left w:val="none" w:sz="0" w:space="0" w:color="auto"/>
                <w:bottom w:val="none" w:sz="0" w:space="0" w:color="auto"/>
                <w:right w:val="none" w:sz="0" w:space="0" w:color="auto"/>
              </w:divBdr>
              <w:divsChild>
                <w:div w:id="21306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3240">
      <w:bodyDiv w:val="1"/>
      <w:marLeft w:val="0"/>
      <w:marRight w:val="0"/>
      <w:marTop w:val="0"/>
      <w:marBottom w:val="0"/>
      <w:divBdr>
        <w:top w:val="none" w:sz="0" w:space="0" w:color="auto"/>
        <w:left w:val="none" w:sz="0" w:space="0" w:color="auto"/>
        <w:bottom w:val="none" w:sz="0" w:space="0" w:color="auto"/>
        <w:right w:val="none" w:sz="0" w:space="0" w:color="auto"/>
      </w:divBdr>
      <w:divsChild>
        <w:div w:id="1515880240">
          <w:marLeft w:val="0"/>
          <w:marRight w:val="0"/>
          <w:marTop w:val="0"/>
          <w:marBottom w:val="0"/>
          <w:divBdr>
            <w:top w:val="none" w:sz="0" w:space="0" w:color="auto"/>
            <w:left w:val="none" w:sz="0" w:space="0" w:color="auto"/>
            <w:bottom w:val="none" w:sz="0" w:space="0" w:color="auto"/>
            <w:right w:val="none" w:sz="0" w:space="0" w:color="auto"/>
          </w:divBdr>
          <w:divsChild>
            <w:div w:id="1820150868">
              <w:marLeft w:val="0"/>
              <w:marRight w:val="0"/>
              <w:marTop w:val="0"/>
              <w:marBottom w:val="0"/>
              <w:divBdr>
                <w:top w:val="none" w:sz="0" w:space="0" w:color="auto"/>
                <w:left w:val="none" w:sz="0" w:space="0" w:color="auto"/>
                <w:bottom w:val="none" w:sz="0" w:space="0" w:color="auto"/>
                <w:right w:val="none" w:sz="0" w:space="0" w:color="auto"/>
              </w:divBdr>
              <w:divsChild>
                <w:div w:id="900794264">
                  <w:marLeft w:val="0"/>
                  <w:marRight w:val="0"/>
                  <w:marTop w:val="0"/>
                  <w:marBottom w:val="0"/>
                  <w:divBdr>
                    <w:top w:val="none" w:sz="0" w:space="0" w:color="auto"/>
                    <w:left w:val="none" w:sz="0" w:space="0" w:color="auto"/>
                    <w:bottom w:val="none" w:sz="0" w:space="0" w:color="auto"/>
                    <w:right w:val="none" w:sz="0" w:space="0" w:color="auto"/>
                  </w:divBdr>
                  <w:divsChild>
                    <w:div w:id="13314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541792">
      <w:bodyDiv w:val="1"/>
      <w:marLeft w:val="0"/>
      <w:marRight w:val="0"/>
      <w:marTop w:val="0"/>
      <w:marBottom w:val="0"/>
      <w:divBdr>
        <w:top w:val="none" w:sz="0" w:space="0" w:color="auto"/>
        <w:left w:val="none" w:sz="0" w:space="0" w:color="auto"/>
        <w:bottom w:val="none" w:sz="0" w:space="0" w:color="auto"/>
        <w:right w:val="none" w:sz="0" w:space="0" w:color="auto"/>
      </w:divBdr>
      <w:divsChild>
        <w:div w:id="1043099769">
          <w:marLeft w:val="0"/>
          <w:marRight w:val="0"/>
          <w:marTop w:val="0"/>
          <w:marBottom w:val="0"/>
          <w:divBdr>
            <w:top w:val="none" w:sz="0" w:space="0" w:color="auto"/>
            <w:left w:val="none" w:sz="0" w:space="0" w:color="auto"/>
            <w:bottom w:val="none" w:sz="0" w:space="0" w:color="auto"/>
            <w:right w:val="none" w:sz="0" w:space="0" w:color="auto"/>
          </w:divBdr>
          <w:divsChild>
            <w:div w:id="754783145">
              <w:marLeft w:val="0"/>
              <w:marRight w:val="0"/>
              <w:marTop w:val="0"/>
              <w:marBottom w:val="0"/>
              <w:divBdr>
                <w:top w:val="none" w:sz="0" w:space="0" w:color="auto"/>
                <w:left w:val="none" w:sz="0" w:space="0" w:color="auto"/>
                <w:bottom w:val="none" w:sz="0" w:space="0" w:color="auto"/>
                <w:right w:val="none" w:sz="0" w:space="0" w:color="auto"/>
              </w:divBdr>
              <w:divsChild>
                <w:div w:id="19840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7571">
      <w:bodyDiv w:val="1"/>
      <w:marLeft w:val="0"/>
      <w:marRight w:val="0"/>
      <w:marTop w:val="0"/>
      <w:marBottom w:val="0"/>
      <w:divBdr>
        <w:top w:val="none" w:sz="0" w:space="0" w:color="auto"/>
        <w:left w:val="none" w:sz="0" w:space="0" w:color="auto"/>
        <w:bottom w:val="none" w:sz="0" w:space="0" w:color="auto"/>
        <w:right w:val="none" w:sz="0" w:space="0" w:color="auto"/>
      </w:divBdr>
      <w:divsChild>
        <w:div w:id="1522862781">
          <w:marLeft w:val="0"/>
          <w:marRight w:val="0"/>
          <w:marTop w:val="0"/>
          <w:marBottom w:val="0"/>
          <w:divBdr>
            <w:top w:val="none" w:sz="0" w:space="0" w:color="auto"/>
            <w:left w:val="none" w:sz="0" w:space="0" w:color="auto"/>
            <w:bottom w:val="none" w:sz="0" w:space="0" w:color="auto"/>
            <w:right w:val="none" w:sz="0" w:space="0" w:color="auto"/>
          </w:divBdr>
          <w:divsChild>
            <w:div w:id="356278198">
              <w:marLeft w:val="0"/>
              <w:marRight w:val="0"/>
              <w:marTop w:val="0"/>
              <w:marBottom w:val="0"/>
              <w:divBdr>
                <w:top w:val="none" w:sz="0" w:space="0" w:color="auto"/>
                <w:left w:val="none" w:sz="0" w:space="0" w:color="auto"/>
                <w:bottom w:val="none" w:sz="0" w:space="0" w:color="auto"/>
                <w:right w:val="none" w:sz="0" w:space="0" w:color="auto"/>
              </w:divBdr>
              <w:divsChild>
                <w:div w:id="17297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902669">
      <w:bodyDiv w:val="1"/>
      <w:marLeft w:val="0"/>
      <w:marRight w:val="0"/>
      <w:marTop w:val="0"/>
      <w:marBottom w:val="0"/>
      <w:divBdr>
        <w:top w:val="none" w:sz="0" w:space="0" w:color="auto"/>
        <w:left w:val="none" w:sz="0" w:space="0" w:color="auto"/>
        <w:bottom w:val="none" w:sz="0" w:space="0" w:color="auto"/>
        <w:right w:val="none" w:sz="0" w:space="0" w:color="auto"/>
      </w:divBdr>
      <w:divsChild>
        <w:div w:id="810902876">
          <w:marLeft w:val="0"/>
          <w:marRight w:val="0"/>
          <w:marTop w:val="0"/>
          <w:marBottom w:val="0"/>
          <w:divBdr>
            <w:top w:val="none" w:sz="0" w:space="0" w:color="auto"/>
            <w:left w:val="none" w:sz="0" w:space="0" w:color="auto"/>
            <w:bottom w:val="none" w:sz="0" w:space="0" w:color="auto"/>
            <w:right w:val="none" w:sz="0" w:space="0" w:color="auto"/>
          </w:divBdr>
          <w:divsChild>
            <w:div w:id="1394544572">
              <w:marLeft w:val="0"/>
              <w:marRight w:val="0"/>
              <w:marTop w:val="0"/>
              <w:marBottom w:val="0"/>
              <w:divBdr>
                <w:top w:val="none" w:sz="0" w:space="0" w:color="auto"/>
                <w:left w:val="none" w:sz="0" w:space="0" w:color="auto"/>
                <w:bottom w:val="none" w:sz="0" w:space="0" w:color="auto"/>
                <w:right w:val="none" w:sz="0" w:space="0" w:color="auto"/>
              </w:divBdr>
              <w:divsChild>
                <w:div w:id="9392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074">
      <w:bodyDiv w:val="1"/>
      <w:marLeft w:val="0"/>
      <w:marRight w:val="0"/>
      <w:marTop w:val="0"/>
      <w:marBottom w:val="0"/>
      <w:divBdr>
        <w:top w:val="none" w:sz="0" w:space="0" w:color="auto"/>
        <w:left w:val="none" w:sz="0" w:space="0" w:color="auto"/>
        <w:bottom w:val="none" w:sz="0" w:space="0" w:color="auto"/>
        <w:right w:val="none" w:sz="0" w:space="0" w:color="auto"/>
      </w:divBdr>
      <w:divsChild>
        <w:div w:id="1511070138">
          <w:marLeft w:val="0"/>
          <w:marRight w:val="0"/>
          <w:marTop w:val="0"/>
          <w:marBottom w:val="0"/>
          <w:divBdr>
            <w:top w:val="none" w:sz="0" w:space="0" w:color="auto"/>
            <w:left w:val="none" w:sz="0" w:space="0" w:color="auto"/>
            <w:bottom w:val="none" w:sz="0" w:space="0" w:color="auto"/>
            <w:right w:val="none" w:sz="0" w:space="0" w:color="auto"/>
          </w:divBdr>
          <w:divsChild>
            <w:div w:id="1735738885">
              <w:marLeft w:val="0"/>
              <w:marRight w:val="0"/>
              <w:marTop w:val="0"/>
              <w:marBottom w:val="0"/>
              <w:divBdr>
                <w:top w:val="none" w:sz="0" w:space="0" w:color="auto"/>
                <w:left w:val="none" w:sz="0" w:space="0" w:color="auto"/>
                <w:bottom w:val="none" w:sz="0" w:space="0" w:color="auto"/>
                <w:right w:val="none" w:sz="0" w:space="0" w:color="auto"/>
              </w:divBdr>
              <w:divsChild>
                <w:div w:id="8940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930925">
      <w:bodyDiv w:val="1"/>
      <w:marLeft w:val="0"/>
      <w:marRight w:val="0"/>
      <w:marTop w:val="0"/>
      <w:marBottom w:val="0"/>
      <w:divBdr>
        <w:top w:val="none" w:sz="0" w:space="0" w:color="auto"/>
        <w:left w:val="none" w:sz="0" w:space="0" w:color="auto"/>
        <w:bottom w:val="none" w:sz="0" w:space="0" w:color="auto"/>
        <w:right w:val="none" w:sz="0" w:space="0" w:color="auto"/>
      </w:divBdr>
      <w:divsChild>
        <w:div w:id="93790184">
          <w:marLeft w:val="0"/>
          <w:marRight w:val="0"/>
          <w:marTop w:val="0"/>
          <w:marBottom w:val="0"/>
          <w:divBdr>
            <w:top w:val="none" w:sz="0" w:space="0" w:color="auto"/>
            <w:left w:val="none" w:sz="0" w:space="0" w:color="auto"/>
            <w:bottom w:val="none" w:sz="0" w:space="0" w:color="auto"/>
            <w:right w:val="none" w:sz="0" w:space="0" w:color="auto"/>
          </w:divBdr>
          <w:divsChild>
            <w:div w:id="1685862064">
              <w:marLeft w:val="0"/>
              <w:marRight w:val="0"/>
              <w:marTop w:val="0"/>
              <w:marBottom w:val="0"/>
              <w:divBdr>
                <w:top w:val="none" w:sz="0" w:space="0" w:color="auto"/>
                <w:left w:val="none" w:sz="0" w:space="0" w:color="auto"/>
                <w:bottom w:val="none" w:sz="0" w:space="0" w:color="auto"/>
                <w:right w:val="none" w:sz="0" w:space="0" w:color="auto"/>
              </w:divBdr>
              <w:divsChild>
                <w:div w:id="1499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0815">
      <w:bodyDiv w:val="1"/>
      <w:marLeft w:val="0"/>
      <w:marRight w:val="0"/>
      <w:marTop w:val="0"/>
      <w:marBottom w:val="0"/>
      <w:divBdr>
        <w:top w:val="none" w:sz="0" w:space="0" w:color="auto"/>
        <w:left w:val="none" w:sz="0" w:space="0" w:color="auto"/>
        <w:bottom w:val="none" w:sz="0" w:space="0" w:color="auto"/>
        <w:right w:val="none" w:sz="0" w:space="0" w:color="auto"/>
      </w:divBdr>
      <w:divsChild>
        <w:div w:id="1446072319">
          <w:marLeft w:val="0"/>
          <w:marRight w:val="0"/>
          <w:marTop w:val="0"/>
          <w:marBottom w:val="0"/>
          <w:divBdr>
            <w:top w:val="none" w:sz="0" w:space="0" w:color="auto"/>
            <w:left w:val="none" w:sz="0" w:space="0" w:color="auto"/>
            <w:bottom w:val="none" w:sz="0" w:space="0" w:color="auto"/>
            <w:right w:val="none" w:sz="0" w:space="0" w:color="auto"/>
          </w:divBdr>
          <w:divsChild>
            <w:div w:id="2042170528">
              <w:marLeft w:val="0"/>
              <w:marRight w:val="0"/>
              <w:marTop w:val="0"/>
              <w:marBottom w:val="0"/>
              <w:divBdr>
                <w:top w:val="none" w:sz="0" w:space="0" w:color="auto"/>
                <w:left w:val="none" w:sz="0" w:space="0" w:color="auto"/>
                <w:bottom w:val="none" w:sz="0" w:space="0" w:color="auto"/>
                <w:right w:val="none" w:sz="0" w:space="0" w:color="auto"/>
              </w:divBdr>
              <w:divsChild>
                <w:div w:id="1172911361">
                  <w:marLeft w:val="0"/>
                  <w:marRight w:val="0"/>
                  <w:marTop w:val="0"/>
                  <w:marBottom w:val="0"/>
                  <w:divBdr>
                    <w:top w:val="none" w:sz="0" w:space="0" w:color="auto"/>
                    <w:left w:val="none" w:sz="0" w:space="0" w:color="auto"/>
                    <w:bottom w:val="none" w:sz="0" w:space="0" w:color="auto"/>
                    <w:right w:val="none" w:sz="0" w:space="0" w:color="auto"/>
                  </w:divBdr>
                  <w:divsChild>
                    <w:div w:id="4526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760714">
      <w:bodyDiv w:val="1"/>
      <w:marLeft w:val="0"/>
      <w:marRight w:val="0"/>
      <w:marTop w:val="0"/>
      <w:marBottom w:val="0"/>
      <w:divBdr>
        <w:top w:val="none" w:sz="0" w:space="0" w:color="auto"/>
        <w:left w:val="none" w:sz="0" w:space="0" w:color="auto"/>
        <w:bottom w:val="none" w:sz="0" w:space="0" w:color="auto"/>
        <w:right w:val="none" w:sz="0" w:space="0" w:color="auto"/>
      </w:divBdr>
      <w:divsChild>
        <w:div w:id="1841890845">
          <w:marLeft w:val="0"/>
          <w:marRight w:val="0"/>
          <w:marTop w:val="0"/>
          <w:marBottom w:val="0"/>
          <w:divBdr>
            <w:top w:val="none" w:sz="0" w:space="0" w:color="auto"/>
            <w:left w:val="none" w:sz="0" w:space="0" w:color="auto"/>
            <w:bottom w:val="none" w:sz="0" w:space="0" w:color="auto"/>
            <w:right w:val="none" w:sz="0" w:space="0" w:color="auto"/>
          </w:divBdr>
          <w:divsChild>
            <w:div w:id="1720592249">
              <w:marLeft w:val="0"/>
              <w:marRight w:val="0"/>
              <w:marTop w:val="0"/>
              <w:marBottom w:val="0"/>
              <w:divBdr>
                <w:top w:val="none" w:sz="0" w:space="0" w:color="auto"/>
                <w:left w:val="none" w:sz="0" w:space="0" w:color="auto"/>
                <w:bottom w:val="none" w:sz="0" w:space="0" w:color="auto"/>
                <w:right w:val="none" w:sz="0" w:space="0" w:color="auto"/>
              </w:divBdr>
              <w:divsChild>
                <w:div w:id="17671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1462">
      <w:bodyDiv w:val="1"/>
      <w:marLeft w:val="0"/>
      <w:marRight w:val="0"/>
      <w:marTop w:val="0"/>
      <w:marBottom w:val="0"/>
      <w:divBdr>
        <w:top w:val="none" w:sz="0" w:space="0" w:color="auto"/>
        <w:left w:val="none" w:sz="0" w:space="0" w:color="auto"/>
        <w:bottom w:val="none" w:sz="0" w:space="0" w:color="auto"/>
        <w:right w:val="none" w:sz="0" w:space="0" w:color="auto"/>
      </w:divBdr>
      <w:divsChild>
        <w:div w:id="1080951005">
          <w:marLeft w:val="0"/>
          <w:marRight w:val="0"/>
          <w:marTop w:val="0"/>
          <w:marBottom w:val="0"/>
          <w:divBdr>
            <w:top w:val="none" w:sz="0" w:space="0" w:color="auto"/>
            <w:left w:val="none" w:sz="0" w:space="0" w:color="auto"/>
            <w:bottom w:val="none" w:sz="0" w:space="0" w:color="auto"/>
            <w:right w:val="none" w:sz="0" w:space="0" w:color="auto"/>
          </w:divBdr>
          <w:divsChild>
            <w:div w:id="711342462">
              <w:marLeft w:val="0"/>
              <w:marRight w:val="0"/>
              <w:marTop w:val="0"/>
              <w:marBottom w:val="0"/>
              <w:divBdr>
                <w:top w:val="none" w:sz="0" w:space="0" w:color="auto"/>
                <w:left w:val="none" w:sz="0" w:space="0" w:color="auto"/>
                <w:bottom w:val="none" w:sz="0" w:space="0" w:color="auto"/>
                <w:right w:val="none" w:sz="0" w:space="0" w:color="auto"/>
              </w:divBdr>
              <w:divsChild>
                <w:div w:id="16810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1746">
      <w:bodyDiv w:val="1"/>
      <w:marLeft w:val="0"/>
      <w:marRight w:val="0"/>
      <w:marTop w:val="0"/>
      <w:marBottom w:val="0"/>
      <w:divBdr>
        <w:top w:val="none" w:sz="0" w:space="0" w:color="auto"/>
        <w:left w:val="none" w:sz="0" w:space="0" w:color="auto"/>
        <w:bottom w:val="none" w:sz="0" w:space="0" w:color="auto"/>
        <w:right w:val="none" w:sz="0" w:space="0" w:color="auto"/>
      </w:divBdr>
      <w:divsChild>
        <w:div w:id="1678729560">
          <w:marLeft w:val="0"/>
          <w:marRight w:val="0"/>
          <w:marTop w:val="0"/>
          <w:marBottom w:val="0"/>
          <w:divBdr>
            <w:top w:val="none" w:sz="0" w:space="0" w:color="auto"/>
            <w:left w:val="none" w:sz="0" w:space="0" w:color="auto"/>
            <w:bottom w:val="none" w:sz="0" w:space="0" w:color="auto"/>
            <w:right w:val="none" w:sz="0" w:space="0" w:color="auto"/>
          </w:divBdr>
          <w:divsChild>
            <w:div w:id="1091974540">
              <w:marLeft w:val="0"/>
              <w:marRight w:val="0"/>
              <w:marTop w:val="0"/>
              <w:marBottom w:val="0"/>
              <w:divBdr>
                <w:top w:val="none" w:sz="0" w:space="0" w:color="auto"/>
                <w:left w:val="none" w:sz="0" w:space="0" w:color="auto"/>
                <w:bottom w:val="none" w:sz="0" w:space="0" w:color="auto"/>
                <w:right w:val="none" w:sz="0" w:space="0" w:color="auto"/>
              </w:divBdr>
              <w:divsChild>
                <w:div w:id="131413341">
                  <w:marLeft w:val="0"/>
                  <w:marRight w:val="0"/>
                  <w:marTop w:val="0"/>
                  <w:marBottom w:val="0"/>
                  <w:divBdr>
                    <w:top w:val="none" w:sz="0" w:space="0" w:color="auto"/>
                    <w:left w:val="none" w:sz="0" w:space="0" w:color="auto"/>
                    <w:bottom w:val="none" w:sz="0" w:space="0" w:color="auto"/>
                    <w:right w:val="none" w:sz="0" w:space="0" w:color="auto"/>
                  </w:divBdr>
                </w:div>
              </w:divsChild>
            </w:div>
            <w:div w:id="88016042">
              <w:marLeft w:val="0"/>
              <w:marRight w:val="0"/>
              <w:marTop w:val="0"/>
              <w:marBottom w:val="0"/>
              <w:divBdr>
                <w:top w:val="none" w:sz="0" w:space="0" w:color="auto"/>
                <w:left w:val="none" w:sz="0" w:space="0" w:color="auto"/>
                <w:bottom w:val="none" w:sz="0" w:space="0" w:color="auto"/>
                <w:right w:val="none" w:sz="0" w:space="0" w:color="auto"/>
              </w:divBdr>
              <w:divsChild>
                <w:div w:id="1506168481">
                  <w:marLeft w:val="0"/>
                  <w:marRight w:val="0"/>
                  <w:marTop w:val="0"/>
                  <w:marBottom w:val="0"/>
                  <w:divBdr>
                    <w:top w:val="none" w:sz="0" w:space="0" w:color="auto"/>
                    <w:left w:val="none" w:sz="0" w:space="0" w:color="auto"/>
                    <w:bottom w:val="none" w:sz="0" w:space="0" w:color="auto"/>
                    <w:right w:val="none" w:sz="0" w:space="0" w:color="auto"/>
                  </w:divBdr>
                </w:div>
              </w:divsChild>
            </w:div>
            <w:div w:id="1775512699">
              <w:marLeft w:val="0"/>
              <w:marRight w:val="0"/>
              <w:marTop w:val="0"/>
              <w:marBottom w:val="0"/>
              <w:divBdr>
                <w:top w:val="none" w:sz="0" w:space="0" w:color="auto"/>
                <w:left w:val="none" w:sz="0" w:space="0" w:color="auto"/>
                <w:bottom w:val="none" w:sz="0" w:space="0" w:color="auto"/>
                <w:right w:val="none" w:sz="0" w:space="0" w:color="auto"/>
              </w:divBdr>
              <w:divsChild>
                <w:div w:id="8025646">
                  <w:marLeft w:val="0"/>
                  <w:marRight w:val="0"/>
                  <w:marTop w:val="0"/>
                  <w:marBottom w:val="0"/>
                  <w:divBdr>
                    <w:top w:val="none" w:sz="0" w:space="0" w:color="auto"/>
                    <w:left w:val="none" w:sz="0" w:space="0" w:color="auto"/>
                    <w:bottom w:val="none" w:sz="0" w:space="0" w:color="auto"/>
                    <w:right w:val="none" w:sz="0" w:space="0" w:color="auto"/>
                  </w:divBdr>
                </w:div>
              </w:divsChild>
            </w:div>
            <w:div w:id="1107041895">
              <w:marLeft w:val="0"/>
              <w:marRight w:val="0"/>
              <w:marTop w:val="0"/>
              <w:marBottom w:val="0"/>
              <w:divBdr>
                <w:top w:val="none" w:sz="0" w:space="0" w:color="auto"/>
                <w:left w:val="none" w:sz="0" w:space="0" w:color="auto"/>
                <w:bottom w:val="none" w:sz="0" w:space="0" w:color="auto"/>
                <w:right w:val="none" w:sz="0" w:space="0" w:color="auto"/>
              </w:divBdr>
              <w:divsChild>
                <w:div w:id="119031988">
                  <w:marLeft w:val="0"/>
                  <w:marRight w:val="0"/>
                  <w:marTop w:val="0"/>
                  <w:marBottom w:val="0"/>
                  <w:divBdr>
                    <w:top w:val="none" w:sz="0" w:space="0" w:color="auto"/>
                    <w:left w:val="none" w:sz="0" w:space="0" w:color="auto"/>
                    <w:bottom w:val="none" w:sz="0" w:space="0" w:color="auto"/>
                    <w:right w:val="none" w:sz="0" w:space="0" w:color="auto"/>
                  </w:divBdr>
                </w:div>
              </w:divsChild>
            </w:div>
            <w:div w:id="1439719243">
              <w:marLeft w:val="0"/>
              <w:marRight w:val="0"/>
              <w:marTop w:val="0"/>
              <w:marBottom w:val="0"/>
              <w:divBdr>
                <w:top w:val="none" w:sz="0" w:space="0" w:color="auto"/>
                <w:left w:val="none" w:sz="0" w:space="0" w:color="auto"/>
                <w:bottom w:val="none" w:sz="0" w:space="0" w:color="auto"/>
                <w:right w:val="none" w:sz="0" w:space="0" w:color="auto"/>
              </w:divBdr>
              <w:divsChild>
                <w:div w:id="2037845782">
                  <w:marLeft w:val="0"/>
                  <w:marRight w:val="0"/>
                  <w:marTop w:val="0"/>
                  <w:marBottom w:val="0"/>
                  <w:divBdr>
                    <w:top w:val="none" w:sz="0" w:space="0" w:color="auto"/>
                    <w:left w:val="none" w:sz="0" w:space="0" w:color="auto"/>
                    <w:bottom w:val="none" w:sz="0" w:space="0" w:color="auto"/>
                    <w:right w:val="none" w:sz="0" w:space="0" w:color="auto"/>
                  </w:divBdr>
                </w:div>
              </w:divsChild>
            </w:div>
            <w:div w:id="1403288966">
              <w:marLeft w:val="0"/>
              <w:marRight w:val="0"/>
              <w:marTop w:val="0"/>
              <w:marBottom w:val="0"/>
              <w:divBdr>
                <w:top w:val="none" w:sz="0" w:space="0" w:color="auto"/>
                <w:left w:val="none" w:sz="0" w:space="0" w:color="auto"/>
                <w:bottom w:val="none" w:sz="0" w:space="0" w:color="auto"/>
                <w:right w:val="none" w:sz="0" w:space="0" w:color="auto"/>
              </w:divBdr>
              <w:divsChild>
                <w:div w:id="1602880558">
                  <w:marLeft w:val="0"/>
                  <w:marRight w:val="0"/>
                  <w:marTop w:val="0"/>
                  <w:marBottom w:val="0"/>
                  <w:divBdr>
                    <w:top w:val="none" w:sz="0" w:space="0" w:color="auto"/>
                    <w:left w:val="none" w:sz="0" w:space="0" w:color="auto"/>
                    <w:bottom w:val="none" w:sz="0" w:space="0" w:color="auto"/>
                    <w:right w:val="none" w:sz="0" w:space="0" w:color="auto"/>
                  </w:divBdr>
                </w:div>
              </w:divsChild>
            </w:div>
            <w:div w:id="1438254814">
              <w:marLeft w:val="0"/>
              <w:marRight w:val="0"/>
              <w:marTop w:val="0"/>
              <w:marBottom w:val="0"/>
              <w:divBdr>
                <w:top w:val="none" w:sz="0" w:space="0" w:color="auto"/>
                <w:left w:val="none" w:sz="0" w:space="0" w:color="auto"/>
                <w:bottom w:val="none" w:sz="0" w:space="0" w:color="auto"/>
                <w:right w:val="none" w:sz="0" w:space="0" w:color="auto"/>
              </w:divBdr>
              <w:divsChild>
                <w:div w:id="1154836810">
                  <w:marLeft w:val="0"/>
                  <w:marRight w:val="0"/>
                  <w:marTop w:val="0"/>
                  <w:marBottom w:val="0"/>
                  <w:divBdr>
                    <w:top w:val="none" w:sz="0" w:space="0" w:color="auto"/>
                    <w:left w:val="none" w:sz="0" w:space="0" w:color="auto"/>
                    <w:bottom w:val="none" w:sz="0" w:space="0" w:color="auto"/>
                    <w:right w:val="none" w:sz="0" w:space="0" w:color="auto"/>
                  </w:divBdr>
                </w:div>
              </w:divsChild>
            </w:div>
            <w:div w:id="1363169731">
              <w:marLeft w:val="0"/>
              <w:marRight w:val="0"/>
              <w:marTop w:val="0"/>
              <w:marBottom w:val="0"/>
              <w:divBdr>
                <w:top w:val="none" w:sz="0" w:space="0" w:color="auto"/>
                <w:left w:val="none" w:sz="0" w:space="0" w:color="auto"/>
                <w:bottom w:val="none" w:sz="0" w:space="0" w:color="auto"/>
                <w:right w:val="none" w:sz="0" w:space="0" w:color="auto"/>
              </w:divBdr>
              <w:divsChild>
                <w:div w:id="983848297">
                  <w:marLeft w:val="0"/>
                  <w:marRight w:val="0"/>
                  <w:marTop w:val="0"/>
                  <w:marBottom w:val="0"/>
                  <w:divBdr>
                    <w:top w:val="none" w:sz="0" w:space="0" w:color="auto"/>
                    <w:left w:val="none" w:sz="0" w:space="0" w:color="auto"/>
                    <w:bottom w:val="none" w:sz="0" w:space="0" w:color="auto"/>
                    <w:right w:val="none" w:sz="0" w:space="0" w:color="auto"/>
                  </w:divBdr>
                </w:div>
              </w:divsChild>
            </w:div>
            <w:div w:id="30344882">
              <w:marLeft w:val="0"/>
              <w:marRight w:val="0"/>
              <w:marTop w:val="0"/>
              <w:marBottom w:val="0"/>
              <w:divBdr>
                <w:top w:val="none" w:sz="0" w:space="0" w:color="auto"/>
                <w:left w:val="none" w:sz="0" w:space="0" w:color="auto"/>
                <w:bottom w:val="none" w:sz="0" w:space="0" w:color="auto"/>
                <w:right w:val="none" w:sz="0" w:space="0" w:color="auto"/>
              </w:divBdr>
              <w:divsChild>
                <w:div w:id="11263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18091">
      <w:bodyDiv w:val="1"/>
      <w:marLeft w:val="0"/>
      <w:marRight w:val="0"/>
      <w:marTop w:val="0"/>
      <w:marBottom w:val="0"/>
      <w:divBdr>
        <w:top w:val="none" w:sz="0" w:space="0" w:color="auto"/>
        <w:left w:val="none" w:sz="0" w:space="0" w:color="auto"/>
        <w:bottom w:val="none" w:sz="0" w:space="0" w:color="auto"/>
        <w:right w:val="none" w:sz="0" w:space="0" w:color="auto"/>
      </w:divBdr>
      <w:divsChild>
        <w:div w:id="196622244">
          <w:marLeft w:val="0"/>
          <w:marRight w:val="0"/>
          <w:marTop w:val="0"/>
          <w:marBottom w:val="0"/>
          <w:divBdr>
            <w:top w:val="none" w:sz="0" w:space="0" w:color="auto"/>
            <w:left w:val="none" w:sz="0" w:space="0" w:color="auto"/>
            <w:bottom w:val="none" w:sz="0" w:space="0" w:color="auto"/>
            <w:right w:val="none" w:sz="0" w:space="0" w:color="auto"/>
          </w:divBdr>
          <w:divsChild>
            <w:div w:id="518352157">
              <w:marLeft w:val="0"/>
              <w:marRight w:val="0"/>
              <w:marTop w:val="0"/>
              <w:marBottom w:val="0"/>
              <w:divBdr>
                <w:top w:val="none" w:sz="0" w:space="0" w:color="auto"/>
                <w:left w:val="none" w:sz="0" w:space="0" w:color="auto"/>
                <w:bottom w:val="none" w:sz="0" w:space="0" w:color="auto"/>
                <w:right w:val="none" w:sz="0" w:space="0" w:color="auto"/>
              </w:divBdr>
              <w:divsChild>
                <w:div w:id="3889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9154">
      <w:bodyDiv w:val="1"/>
      <w:marLeft w:val="0"/>
      <w:marRight w:val="0"/>
      <w:marTop w:val="0"/>
      <w:marBottom w:val="0"/>
      <w:divBdr>
        <w:top w:val="none" w:sz="0" w:space="0" w:color="auto"/>
        <w:left w:val="none" w:sz="0" w:space="0" w:color="auto"/>
        <w:bottom w:val="none" w:sz="0" w:space="0" w:color="auto"/>
        <w:right w:val="none" w:sz="0" w:space="0" w:color="auto"/>
      </w:divBdr>
      <w:divsChild>
        <w:div w:id="1340231269">
          <w:marLeft w:val="0"/>
          <w:marRight w:val="0"/>
          <w:marTop w:val="0"/>
          <w:marBottom w:val="0"/>
          <w:divBdr>
            <w:top w:val="none" w:sz="0" w:space="0" w:color="auto"/>
            <w:left w:val="none" w:sz="0" w:space="0" w:color="auto"/>
            <w:bottom w:val="none" w:sz="0" w:space="0" w:color="auto"/>
            <w:right w:val="none" w:sz="0" w:space="0" w:color="auto"/>
          </w:divBdr>
          <w:divsChild>
            <w:div w:id="207105269">
              <w:marLeft w:val="0"/>
              <w:marRight w:val="0"/>
              <w:marTop w:val="0"/>
              <w:marBottom w:val="0"/>
              <w:divBdr>
                <w:top w:val="none" w:sz="0" w:space="0" w:color="auto"/>
                <w:left w:val="none" w:sz="0" w:space="0" w:color="auto"/>
                <w:bottom w:val="none" w:sz="0" w:space="0" w:color="auto"/>
                <w:right w:val="none" w:sz="0" w:space="0" w:color="auto"/>
              </w:divBdr>
              <w:divsChild>
                <w:div w:id="7964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5541">
      <w:bodyDiv w:val="1"/>
      <w:marLeft w:val="0"/>
      <w:marRight w:val="0"/>
      <w:marTop w:val="0"/>
      <w:marBottom w:val="0"/>
      <w:divBdr>
        <w:top w:val="none" w:sz="0" w:space="0" w:color="auto"/>
        <w:left w:val="none" w:sz="0" w:space="0" w:color="auto"/>
        <w:bottom w:val="none" w:sz="0" w:space="0" w:color="auto"/>
        <w:right w:val="none" w:sz="0" w:space="0" w:color="auto"/>
      </w:divBdr>
      <w:divsChild>
        <w:div w:id="985166954">
          <w:marLeft w:val="0"/>
          <w:marRight w:val="0"/>
          <w:marTop w:val="0"/>
          <w:marBottom w:val="0"/>
          <w:divBdr>
            <w:top w:val="none" w:sz="0" w:space="0" w:color="auto"/>
            <w:left w:val="none" w:sz="0" w:space="0" w:color="auto"/>
            <w:bottom w:val="none" w:sz="0" w:space="0" w:color="auto"/>
            <w:right w:val="none" w:sz="0" w:space="0" w:color="auto"/>
          </w:divBdr>
          <w:divsChild>
            <w:div w:id="936254571">
              <w:marLeft w:val="0"/>
              <w:marRight w:val="0"/>
              <w:marTop w:val="0"/>
              <w:marBottom w:val="0"/>
              <w:divBdr>
                <w:top w:val="none" w:sz="0" w:space="0" w:color="auto"/>
                <w:left w:val="none" w:sz="0" w:space="0" w:color="auto"/>
                <w:bottom w:val="none" w:sz="0" w:space="0" w:color="auto"/>
                <w:right w:val="none" w:sz="0" w:space="0" w:color="auto"/>
              </w:divBdr>
              <w:divsChild>
                <w:div w:id="19233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9949">
      <w:bodyDiv w:val="1"/>
      <w:marLeft w:val="0"/>
      <w:marRight w:val="0"/>
      <w:marTop w:val="0"/>
      <w:marBottom w:val="0"/>
      <w:divBdr>
        <w:top w:val="none" w:sz="0" w:space="0" w:color="auto"/>
        <w:left w:val="none" w:sz="0" w:space="0" w:color="auto"/>
        <w:bottom w:val="none" w:sz="0" w:space="0" w:color="auto"/>
        <w:right w:val="none" w:sz="0" w:space="0" w:color="auto"/>
      </w:divBdr>
      <w:divsChild>
        <w:div w:id="431439347">
          <w:marLeft w:val="0"/>
          <w:marRight w:val="0"/>
          <w:marTop w:val="0"/>
          <w:marBottom w:val="0"/>
          <w:divBdr>
            <w:top w:val="none" w:sz="0" w:space="0" w:color="auto"/>
            <w:left w:val="none" w:sz="0" w:space="0" w:color="auto"/>
            <w:bottom w:val="none" w:sz="0" w:space="0" w:color="auto"/>
            <w:right w:val="none" w:sz="0" w:space="0" w:color="auto"/>
          </w:divBdr>
          <w:divsChild>
            <w:div w:id="1584801432">
              <w:marLeft w:val="0"/>
              <w:marRight w:val="0"/>
              <w:marTop w:val="0"/>
              <w:marBottom w:val="0"/>
              <w:divBdr>
                <w:top w:val="none" w:sz="0" w:space="0" w:color="auto"/>
                <w:left w:val="none" w:sz="0" w:space="0" w:color="auto"/>
                <w:bottom w:val="none" w:sz="0" w:space="0" w:color="auto"/>
                <w:right w:val="none" w:sz="0" w:space="0" w:color="auto"/>
              </w:divBdr>
              <w:divsChild>
                <w:div w:id="50570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141176">
      <w:bodyDiv w:val="1"/>
      <w:marLeft w:val="0"/>
      <w:marRight w:val="0"/>
      <w:marTop w:val="0"/>
      <w:marBottom w:val="0"/>
      <w:divBdr>
        <w:top w:val="none" w:sz="0" w:space="0" w:color="auto"/>
        <w:left w:val="none" w:sz="0" w:space="0" w:color="auto"/>
        <w:bottom w:val="none" w:sz="0" w:space="0" w:color="auto"/>
        <w:right w:val="none" w:sz="0" w:space="0" w:color="auto"/>
      </w:divBdr>
      <w:divsChild>
        <w:div w:id="1457287537">
          <w:marLeft w:val="0"/>
          <w:marRight w:val="0"/>
          <w:marTop w:val="0"/>
          <w:marBottom w:val="0"/>
          <w:divBdr>
            <w:top w:val="none" w:sz="0" w:space="0" w:color="auto"/>
            <w:left w:val="none" w:sz="0" w:space="0" w:color="auto"/>
            <w:bottom w:val="none" w:sz="0" w:space="0" w:color="auto"/>
            <w:right w:val="none" w:sz="0" w:space="0" w:color="auto"/>
          </w:divBdr>
          <w:divsChild>
            <w:div w:id="1791512300">
              <w:marLeft w:val="0"/>
              <w:marRight w:val="0"/>
              <w:marTop w:val="0"/>
              <w:marBottom w:val="0"/>
              <w:divBdr>
                <w:top w:val="none" w:sz="0" w:space="0" w:color="auto"/>
                <w:left w:val="none" w:sz="0" w:space="0" w:color="auto"/>
                <w:bottom w:val="none" w:sz="0" w:space="0" w:color="auto"/>
                <w:right w:val="none" w:sz="0" w:space="0" w:color="auto"/>
              </w:divBdr>
              <w:divsChild>
                <w:div w:id="7603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578143">
      <w:bodyDiv w:val="1"/>
      <w:marLeft w:val="0"/>
      <w:marRight w:val="0"/>
      <w:marTop w:val="0"/>
      <w:marBottom w:val="0"/>
      <w:divBdr>
        <w:top w:val="none" w:sz="0" w:space="0" w:color="auto"/>
        <w:left w:val="none" w:sz="0" w:space="0" w:color="auto"/>
        <w:bottom w:val="none" w:sz="0" w:space="0" w:color="auto"/>
        <w:right w:val="none" w:sz="0" w:space="0" w:color="auto"/>
      </w:divBdr>
      <w:divsChild>
        <w:div w:id="865093418">
          <w:marLeft w:val="0"/>
          <w:marRight w:val="0"/>
          <w:marTop w:val="0"/>
          <w:marBottom w:val="0"/>
          <w:divBdr>
            <w:top w:val="none" w:sz="0" w:space="0" w:color="auto"/>
            <w:left w:val="none" w:sz="0" w:space="0" w:color="auto"/>
            <w:bottom w:val="none" w:sz="0" w:space="0" w:color="auto"/>
            <w:right w:val="none" w:sz="0" w:space="0" w:color="auto"/>
          </w:divBdr>
          <w:divsChild>
            <w:div w:id="343484043">
              <w:marLeft w:val="0"/>
              <w:marRight w:val="0"/>
              <w:marTop w:val="0"/>
              <w:marBottom w:val="0"/>
              <w:divBdr>
                <w:top w:val="none" w:sz="0" w:space="0" w:color="auto"/>
                <w:left w:val="none" w:sz="0" w:space="0" w:color="auto"/>
                <w:bottom w:val="none" w:sz="0" w:space="0" w:color="auto"/>
                <w:right w:val="none" w:sz="0" w:space="0" w:color="auto"/>
              </w:divBdr>
              <w:divsChild>
                <w:div w:id="19076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00259">
      <w:bodyDiv w:val="1"/>
      <w:marLeft w:val="0"/>
      <w:marRight w:val="0"/>
      <w:marTop w:val="0"/>
      <w:marBottom w:val="0"/>
      <w:divBdr>
        <w:top w:val="none" w:sz="0" w:space="0" w:color="auto"/>
        <w:left w:val="none" w:sz="0" w:space="0" w:color="auto"/>
        <w:bottom w:val="none" w:sz="0" w:space="0" w:color="auto"/>
        <w:right w:val="none" w:sz="0" w:space="0" w:color="auto"/>
      </w:divBdr>
      <w:divsChild>
        <w:div w:id="764308345">
          <w:marLeft w:val="0"/>
          <w:marRight w:val="0"/>
          <w:marTop w:val="0"/>
          <w:marBottom w:val="0"/>
          <w:divBdr>
            <w:top w:val="none" w:sz="0" w:space="0" w:color="auto"/>
            <w:left w:val="none" w:sz="0" w:space="0" w:color="auto"/>
            <w:bottom w:val="none" w:sz="0" w:space="0" w:color="auto"/>
            <w:right w:val="none" w:sz="0" w:space="0" w:color="auto"/>
          </w:divBdr>
          <w:divsChild>
            <w:div w:id="1179543067">
              <w:marLeft w:val="0"/>
              <w:marRight w:val="0"/>
              <w:marTop w:val="0"/>
              <w:marBottom w:val="0"/>
              <w:divBdr>
                <w:top w:val="none" w:sz="0" w:space="0" w:color="auto"/>
                <w:left w:val="none" w:sz="0" w:space="0" w:color="auto"/>
                <w:bottom w:val="none" w:sz="0" w:space="0" w:color="auto"/>
                <w:right w:val="none" w:sz="0" w:space="0" w:color="auto"/>
              </w:divBdr>
              <w:divsChild>
                <w:div w:id="1765955121">
                  <w:marLeft w:val="0"/>
                  <w:marRight w:val="0"/>
                  <w:marTop w:val="0"/>
                  <w:marBottom w:val="0"/>
                  <w:divBdr>
                    <w:top w:val="none" w:sz="0" w:space="0" w:color="auto"/>
                    <w:left w:val="none" w:sz="0" w:space="0" w:color="auto"/>
                    <w:bottom w:val="none" w:sz="0" w:space="0" w:color="auto"/>
                    <w:right w:val="none" w:sz="0" w:space="0" w:color="auto"/>
                  </w:divBdr>
                  <w:divsChild>
                    <w:div w:id="1742019520">
                      <w:marLeft w:val="0"/>
                      <w:marRight w:val="0"/>
                      <w:marTop w:val="0"/>
                      <w:marBottom w:val="0"/>
                      <w:divBdr>
                        <w:top w:val="none" w:sz="0" w:space="0" w:color="auto"/>
                        <w:left w:val="none" w:sz="0" w:space="0" w:color="auto"/>
                        <w:bottom w:val="none" w:sz="0" w:space="0" w:color="auto"/>
                        <w:right w:val="none" w:sz="0" w:space="0" w:color="auto"/>
                      </w:divBdr>
                    </w:div>
                    <w:div w:id="7432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6659">
      <w:bodyDiv w:val="1"/>
      <w:marLeft w:val="0"/>
      <w:marRight w:val="0"/>
      <w:marTop w:val="0"/>
      <w:marBottom w:val="0"/>
      <w:divBdr>
        <w:top w:val="none" w:sz="0" w:space="0" w:color="auto"/>
        <w:left w:val="none" w:sz="0" w:space="0" w:color="auto"/>
        <w:bottom w:val="none" w:sz="0" w:space="0" w:color="auto"/>
        <w:right w:val="none" w:sz="0" w:space="0" w:color="auto"/>
      </w:divBdr>
      <w:divsChild>
        <w:div w:id="98108897">
          <w:marLeft w:val="0"/>
          <w:marRight w:val="0"/>
          <w:marTop w:val="0"/>
          <w:marBottom w:val="0"/>
          <w:divBdr>
            <w:top w:val="none" w:sz="0" w:space="0" w:color="auto"/>
            <w:left w:val="none" w:sz="0" w:space="0" w:color="auto"/>
            <w:bottom w:val="none" w:sz="0" w:space="0" w:color="auto"/>
            <w:right w:val="none" w:sz="0" w:space="0" w:color="auto"/>
          </w:divBdr>
          <w:divsChild>
            <w:div w:id="1329409294">
              <w:marLeft w:val="0"/>
              <w:marRight w:val="0"/>
              <w:marTop w:val="0"/>
              <w:marBottom w:val="0"/>
              <w:divBdr>
                <w:top w:val="none" w:sz="0" w:space="0" w:color="auto"/>
                <w:left w:val="none" w:sz="0" w:space="0" w:color="auto"/>
                <w:bottom w:val="none" w:sz="0" w:space="0" w:color="auto"/>
                <w:right w:val="none" w:sz="0" w:space="0" w:color="auto"/>
              </w:divBdr>
              <w:divsChild>
                <w:div w:id="447357960">
                  <w:marLeft w:val="0"/>
                  <w:marRight w:val="0"/>
                  <w:marTop w:val="0"/>
                  <w:marBottom w:val="0"/>
                  <w:divBdr>
                    <w:top w:val="none" w:sz="0" w:space="0" w:color="auto"/>
                    <w:left w:val="none" w:sz="0" w:space="0" w:color="auto"/>
                    <w:bottom w:val="none" w:sz="0" w:space="0" w:color="auto"/>
                    <w:right w:val="none" w:sz="0" w:space="0" w:color="auto"/>
                  </w:divBdr>
                  <w:divsChild>
                    <w:div w:id="1586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007604">
      <w:bodyDiv w:val="1"/>
      <w:marLeft w:val="0"/>
      <w:marRight w:val="0"/>
      <w:marTop w:val="0"/>
      <w:marBottom w:val="0"/>
      <w:divBdr>
        <w:top w:val="none" w:sz="0" w:space="0" w:color="auto"/>
        <w:left w:val="none" w:sz="0" w:space="0" w:color="auto"/>
        <w:bottom w:val="none" w:sz="0" w:space="0" w:color="auto"/>
        <w:right w:val="none" w:sz="0" w:space="0" w:color="auto"/>
      </w:divBdr>
      <w:divsChild>
        <w:div w:id="729035570">
          <w:marLeft w:val="0"/>
          <w:marRight w:val="0"/>
          <w:marTop w:val="0"/>
          <w:marBottom w:val="0"/>
          <w:divBdr>
            <w:top w:val="none" w:sz="0" w:space="0" w:color="auto"/>
            <w:left w:val="none" w:sz="0" w:space="0" w:color="auto"/>
            <w:bottom w:val="none" w:sz="0" w:space="0" w:color="auto"/>
            <w:right w:val="none" w:sz="0" w:space="0" w:color="auto"/>
          </w:divBdr>
          <w:divsChild>
            <w:div w:id="693656537">
              <w:marLeft w:val="0"/>
              <w:marRight w:val="0"/>
              <w:marTop w:val="0"/>
              <w:marBottom w:val="0"/>
              <w:divBdr>
                <w:top w:val="none" w:sz="0" w:space="0" w:color="auto"/>
                <w:left w:val="none" w:sz="0" w:space="0" w:color="auto"/>
                <w:bottom w:val="none" w:sz="0" w:space="0" w:color="auto"/>
                <w:right w:val="none" w:sz="0" w:space="0" w:color="auto"/>
              </w:divBdr>
              <w:divsChild>
                <w:div w:id="6304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94901">
      <w:bodyDiv w:val="1"/>
      <w:marLeft w:val="0"/>
      <w:marRight w:val="0"/>
      <w:marTop w:val="0"/>
      <w:marBottom w:val="0"/>
      <w:divBdr>
        <w:top w:val="none" w:sz="0" w:space="0" w:color="auto"/>
        <w:left w:val="none" w:sz="0" w:space="0" w:color="auto"/>
        <w:bottom w:val="none" w:sz="0" w:space="0" w:color="auto"/>
        <w:right w:val="none" w:sz="0" w:space="0" w:color="auto"/>
      </w:divBdr>
      <w:divsChild>
        <w:div w:id="1844203523">
          <w:marLeft w:val="0"/>
          <w:marRight w:val="0"/>
          <w:marTop w:val="0"/>
          <w:marBottom w:val="0"/>
          <w:divBdr>
            <w:top w:val="none" w:sz="0" w:space="0" w:color="auto"/>
            <w:left w:val="none" w:sz="0" w:space="0" w:color="auto"/>
            <w:bottom w:val="none" w:sz="0" w:space="0" w:color="auto"/>
            <w:right w:val="none" w:sz="0" w:space="0" w:color="auto"/>
          </w:divBdr>
          <w:divsChild>
            <w:div w:id="1524514550">
              <w:marLeft w:val="0"/>
              <w:marRight w:val="0"/>
              <w:marTop w:val="0"/>
              <w:marBottom w:val="0"/>
              <w:divBdr>
                <w:top w:val="none" w:sz="0" w:space="0" w:color="auto"/>
                <w:left w:val="none" w:sz="0" w:space="0" w:color="auto"/>
                <w:bottom w:val="none" w:sz="0" w:space="0" w:color="auto"/>
                <w:right w:val="none" w:sz="0" w:space="0" w:color="auto"/>
              </w:divBdr>
              <w:divsChild>
                <w:div w:id="16737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6511">
      <w:bodyDiv w:val="1"/>
      <w:marLeft w:val="150"/>
      <w:marRight w:val="150"/>
      <w:marTop w:val="150"/>
      <w:marBottom w:val="150"/>
      <w:divBdr>
        <w:top w:val="none" w:sz="0" w:space="0" w:color="auto"/>
        <w:left w:val="none" w:sz="0" w:space="0" w:color="auto"/>
        <w:bottom w:val="none" w:sz="0" w:space="0" w:color="auto"/>
        <w:right w:val="none" w:sz="0" w:space="0" w:color="auto"/>
      </w:divBdr>
    </w:div>
    <w:div w:id="678389643">
      <w:bodyDiv w:val="1"/>
      <w:marLeft w:val="0"/>
      <w:marRight w:val="0"/>
      <w:marTop w:val="0"/>
      <w:marBottom w:val="0"/>
      <w:divBdr>
        <w:top w:val="none" w:sz="0" w:space="0" w:color="auto"/>
        <w:left w:val="none" w:sz="0" w:space="0" w:color="auto"/>
        <w:bottom w:val="none" w:sz="0" w:space="0" w:color="auto"/>
        <w:right w:val="none" w:sz="0" w:space="0" w:color="auto"/>
      </w:divBdr>
      <w:divsChild>
        <w:div w:id="172457086">
          <w:marLeft w:val="0"/>
          <w:marRight w:val="0"/>
          <w:marTop w:val="0"/>
          <w:marBottom w:val="0"/>
          <w:divBdr>
            <w:top w:val="none" w:sz="0" w:space="0" w:color="auto"/>
            <w:left w:val="none" w:sz="0" w:space="0" w:color="auto"/>
            <w:bottom w:val="none" w:sz="0" w:space="0" w:color="auto"/>
            <w:right w:val="none" w:sz="0" w:space="0" w:color="auto"/>
          </w:divBdr>
          <w:divsChild>
            <w:div w:id="73203826">
              <w:marLeft w:val="0"/>
              <w:marRight w:val="0"/>
              <w:marTop w:val="0"/>
              <w:marBottom w:val="0"/>
              <w:divBdr>
                <w:top w:val="none" w:sz="0" w:space="0" w:color="auto"/>
                <w:left w:val="none" w:sz="0" w:space="0" w:color="auto"/>
                <w:bottom w:val="none" w:sz="0" w:space="0" w:color="auto"/>
                <w:right w:val="none" w:sz="0" w:space="0" w:color="auto"/>
              </w:divBdr>
              <w:divsChild>
                <w:div w:id="5492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24004">
      <w:bodyDiv w:val="1"/>
      <w:marLeft w:val="0"/>
      <w:marRight w:val="0"/>
      <w:marTop w:val="0"/>
      <w:marBottom w:val="0"/>
      <w:divBdr>
        <w:top w:val="none" w:sz="0" w:space="0" w:color="auto"/>
        <w:left w:val="none" w:sz="0" w:space="0" w:color="auto"/>
        <w:bottom w:val="none" w:sz="0" w:space="0" w:color="auto"/>
        <w:right w:val="none" w:sz="0" w:space="0" w:color="auto"/>
      </w:divBdr>
      <w:divsChild>
        <w:div w:id="1307661622">
          <w:marLeft w:val="0"/>
          <w:marRight w:val="0"/>
          <w:marTop w:val="0"/>
          <w:marBottom w:val="0"/>
          <w:divBdr>
            <w:top w:val="none" w:sz="0" w:space="0" w:color="auto"/>
            <w:left w:val="none" w:sz="0" w:space="0" w:color="auto"/>
            <w:bottom w:val="none" w:sz="0" w:space="0" w:color="auto"/>
            <w:right w:val="none" w:sz="0" w:space="0" w:color="auto"/>
          </w:divBdr>
          <w:divsChild>
            <w:div w:id="1552687055">
              <w:marLeft w:val="0"/>
              <w:marRight w:val="0"/>
              <w:marTop w:val="0"/>
              <w:marBottom w:val="0"/>
              <w:divBdr>
                <w:top w:val="none" w:sz="0" w:space="0" w:color="auto"/>
                <w:left w:val="none" w:sz="0" w:space="0" w:color="auto"/>
                <w:bottom w:val="none" w:sz="0" w:space="0" w:color="auto"/>
                <w:right w:val="none" w:sz="0" w:space="0" w:color="auto"/>
              </w:divBdr>
              <w:divsChild>
                <w:div w:id="16427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1557">
      <w:bodyDiv w:val="1"/>
      <w:marLeft w:val="0"/>
      <w:marRight w:val="0"/>
      <w:marTop w:val="0"/>
      <w:marBottom w:val="0"/>
      <w:divBdr>
        <w:top w:val="none" w:sz="0" w:space="0" w:color="auto"/>
        <w:left w:val="none" w:sz="0" w:space="0" w:color="auto"/>
        <w:bottom w:val="none" w:sz="0" w:space="0" w:color="auto"/>
        <w:right w:val="none" w:sz="0" w:space="0" w:color="auto"/>
      </w:divBdr>
      <w:divsChild>
        <w:div w:id="2112311696">
          <w:marLeft w:val="0"/>
          <w:marRight w:val="0"/>
          <w:marTop w:val="0"/>
          <w:marBottom w:val="0"/>
          <w:divBdr>
            <w:top w:val="none" w:sz="0" w:space="0" w:color="auto"/>
            <w:left w:val="none" w:sz="0" w:space="0" w:color="auto"/>
            <w:bottom w:val="none" w:sz="0" w:space="0" w:color="auto"/>
            <w:right w:val="none" w:sz="0" w:space="0" w:color="auto"/>
          </w:divBdr>
          <w:divsChild>
            <w:div w:id="1821076037">
              <w:marLeft w:val="0"/>
              <w:marRight w:val="0"/>
              <w:marTop w:val="0"/>
              <w:marBottom w:val="0"/>
              <w:divBdr>
                <w:top w:val="none" w:sz="0" w:space="0" w:color="auto"/>
                <w:left w:val="none" w:sz="0" w:space="0" w:color="auto"/>
                <w:bottom w:val="none" w:sz="0" w:space="0" w:color="auto"/>
                <w:right w:val="none" w:sz="0" w:space="0" w:color="auto"/>
              </w:divBdr>
              <w:divsChild>
                <w:div w:id="230895135">
                  <w:marLeft w:val="0"/>
                  <w:marRight w:val="0"/>
                  <w:marTop w:val="0"/>
                  <w:marBottom w:val="0"/>
                  <w:divBdr>
                    <w:top w:val="none" w:sz="0" w:space="0" w:color="auto"/>
                    <w:left w:val="none" w:sz="0" w:space="0" w:color="auto"/>
                    <w:bottom w:val="none" w:sz="0" w:space="0" w:color="auto"/>
                    <w:right w:val="none" w:sz="0" w:space="0" w:color="auto"/>
                  </w:divBdr>
                  <w:divsChild>
                    <w:div w:id="4209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22632">
      <w:bodyDiv w:val="1"/>
      <w:marLeft w:val="0"/>
      <w:marRight w:val="0"/>
      <w:marTop w:val="0"/>
      <w:marBottom w:val="0"/>
      <w:divBdr>
        <w:top w:val="none" w:sz="0" w:space="0" w:color="auto"/>
        <w:left w:val="none" w:sz="0" w:space="0" w:color="auto"/>
        <w:bottom w:val="none" w:sz="0" w:space="0" w:color="auto"/>
        <w:right w:val="none" w:sz="0" w:space="0" w:color="auto"/>
      </w:divBdr>
      <w:divsChild>
        <w:div w:id="115830122">
          <w:marLeft w:val="0"/>
          <w:marRight w:val="0"/>
          <w:marTop w:val="0"/>
          <w:marBottom w:val="0"/>
          <w:divBdr>
            <w:top w:val="none" w:sz="0" w:space="0" w:color="auto"/>
            <w:left w:val="none" w:sz="0" w:space="0" w:color="auto"/>
            <w:bottom w:val="none" w:sz="0" w:space="0" w:color="auto"/>
            <w:right w:val="none" w:sz="0" w:space="0" w:color="auto"/>
          </w:divBdr>
          <w:divsChild>
            <w:div w:id="315957804">
              <w:marLeft w:val="0"/>
              <w:marRight w:val="0"/>
              <w:marTop w:val="0"/>
              <w:marBottom w:val="0"/>
              <w:divBdr>
                <w:top w:val="none" w:sz="0" w:space="0" w:color="auto"/>
                <w:left w:val="none" w:sz="0" w:space="0" w:color="auto"/>
                <w:bottom w:val="none" w:sz="0" w:space="0" w:color="auto"/>
                <w:right w:val="none" w:sz="0" w:space="0" w:color="auto"/>
              </w:divBdr>
              <w:divsChild>
                <w:div w:id="2887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59358">
      <w:bodyDiv w:val="1"/>
      <w:marLeft w:val="0"/>
      <w:marRight w:val="0"/>
      <w:marTop w:val="0"/>
      <w:marBottom w:val="0"/>
      <w:divBdr>
        <w:top w:val="none" w:sz="0" w:space="0" w:color="auto"/>
        <w:left w:val="none" w:sz="0" w:space="0" w:color="auto"/>
        <w:bottom w:val="none" w:sz="0" w:space="0" w:color="auto"/>
        <w:right w:val="none" w:sz="0" w:space="0" w:color="auto"/>
      </w:divBdr>
      <w:divsChild>
        <w:div w:id="340744102">
          <w:marLeft w:val="0"/>
          <w:marRight w:val="0"/>
          <w:marTop w:val="0"/>
          <w:marBottom w:val="0"/>
          <w:divBdr>
            <w:top w:val="none" w:sz="0" w:space="0" w:color="auto"/>
            <w:left w:val="none" w:sz="0" w:space="0" w:color="auto"/>
            <w:bottom w:val="none" w:sz="0" w:space="0" w:color="auto"/>
            <w:right w:val="none" w:sz="0" w:space="0" w:color="auto"/>
          </w:divBdr>
          <w:divsChild>
            <w:div w:id="1943493445">
              <w:marLeft w:val="0"/>
              <w:marRight w:val="0"/>
              <w:marTop w:val="0"/>
              <w:marBottom w:val="0"/>
              <w:divBdr>
                <w:top w:val="none" w:sz="0" w:space="0" w:color="auto"/>
                <w:left w:val="none" w:sz="0" w:space="0" w:color="auto"/>
                <w:bottom w:val="none" w:sz="0" w:space="0" w:color="auto"/>
                <w:right w:val="none" w:sz="0" w:space="0" w:color="auto"/>
              </w:divBdr>
              <w:divsChild>
                <w:div w:id="3528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26966">
      <w:bodyDiv w:val="1"/>
      <w:marLeft w:val="0"/>
      <w:marRight w:val="0"/>
      <w:marTop w:val="0"/>
      <w:marBottom w:val="0"/>
      <w:divBdr>
        <w:top w:val="none" w:sz="0" w:space="0" w:color="auto"/>
        <w:left w:val="none" w:sz="0" w:space="0" w:color="auto"/>
        <w:bottom w:val="none" w:sz="0" w:space="0" w:color="auto"/>
        <w:right w:val="none" w:sz="0" w:space="0" w:color="auto"/>
      </w:divBdr>
      <w:divsChild>
        <w:div w:id="846481200">
          <w:marLeft w:val="0"/>
          <w:marRight w:val="0"/>
          <w:marTop w:val="0"/>
          <w:marBottom w:val="0"/>
          <w:divBdr>
            <w:top w:val="none" w:sz="0" w:space="0" w:color="auto"/>
            <w:left w:val="none" w:sz="0" w:space="0" w:color="auto"/>
            <w:bottom w:val="none" w:sz="0" w:space="0" w:color="auto"/>
            <w:right w:val="none" w:sz="0" w:space="0" w:color="auto"/>
          </w:divBdr>
          <w:divsChild>
            <w:div w:id="1675299205">
              <w:marLeft w:val="0"/>
              <w:marRight w:val="0"/>
              <w:marTop w:val="0"/>
              <w:marBottom w:val="0"/>
              <w:divBdr>
                <w:top w:val="none" w:sz="0" w:space="0" w:color="auto"/>
                <w:left w:val="none" w:sz="0" w:space="0" w:color="auto"/>
                <w:bottom w:val="none" w:sz="0" w:space="0" w:color="auto"/>
                <w:right w:val="none" w:sz="0" w:space="0" w:color="auto"/>
              </w:divBdr>
              <w:divsChild>
                <w:div w:id="16472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52624">
      <w:bodyDiv w:val="1"/>
      <w:marLeft w:val="0"/>
      <w:marRight w:val="0"/>
      <w:marTop w:val="0"/>
      <w:marBottom w:val="0"/>
      <w:divBdr>
        <w:top w:val="none" w:sz="0" w:space="0" w:color="auto"/>
        <w:left w:val="none" w:sz="0" w:space="0" w:color="auto"/>
        <w:bottom w:val="none" w:sz="0" w:space="0" w:color="auto"/>
        <w:right w:val="none" w:sz="0" w:space="0" w:color="auto"/>
      </w:divBdr>
      <w:divsChild>
        <w:div w:id="810319331">
          <w:marLeft w:val="0"/>
          <w:marRight w:val="0"/>
          <w:marTop w:val="0"/>
          <w:marBottom w:val="0"/>
          <w:divBdr>
            <w:top w:val="none" w:sz="0" w:space="0" w:color="auto"/>
            <w:left w:val="none" w:sz="0" w:space="0" w:color="auto"/>
            <w:bottom w:val="none" w:sz="0" w:space="0" w:color="auto"/>
            <w:right w:val="none" w:sz="0" w:space="0" w:color="auto"/>
          </w:divBdr>
          <w:divsChild>
            <w:div w:id="1557400351">
              <w:marLeft w:val="0"/>
              <w:marRight w:val="0"/>
              <w:marTop w:val="0"/>
              <w:marBottom w:val="0"/>
              <w:divBdr>
                <w:top w:val="none" w:sz="0" w:space="0" w:color="auto"/>
                <w:left w:val="none" w:sz="0" w:space="0" w:color="auto"/>
                <w:bottom w:val="none" w:sz="0" w:space="0" w:color="auto"/>
                <w:right w:val="none" w:sz="0" w:space="0" w:color="auto"/>
              </w:divBdr>
              <w:divsChild>
                <w:div w:id="6623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54227">
      <w:bodyDiv w:val="1"/>
      <w:marLeft w:val="0"/>
      <w:marRight w:val="0"/>
      <w:marTop w:val="0"/>
      <w:marBottom w:val="0"/>
      <w:divBdr>
        <w:top w:val="none" w:sz="0" w:space="0" w:color="auto"/>
        <w:left w:val="none" w:sz="0" w:space="0" w:color="auto"/>
        <w:bottom w:val="none" w:sz="0" w:space="0" w:color="auto"/>
        <w:right w:val="none" w:sz="0" w:space="0" w:color="auto"/>
      </w:divBdr>
      <w:divsChild>
        <w:div w:id="158621770">
          <w:marLeft w:val="0"/>
          <w:marRight w:val="0"/>
          <w:marTop w:val="0"/>
          <w:marBottom w:val="0"/>
          <w:divBdr>
            <w:top w:val="none" w:sz="0" w:space="0" w:color="auto"/>
            <w:left w:val="none" w:sz="0" w:space="0" w:color="auto"/>
            <w:bottom w:val="none" w:sz="0" w:space="0" w:color="auto"/>
            <w:right w:val="none" w:sz="0" w:space="0" w:color="auto"/>
          </w:divBdr>
          <w:divsChild>
            <w:div w:id="2129858595">
              <w:marLeft w:val="0"/>
              <w:marRight w:val="0"/>
              <w:marTop w:val="0"/>
              <w:marBottom w:val="0"/>
              <w:divBdr>
                <w:top w:val="none" w:sz="0" w:space="0" w:color="auto"/>
                <w:left w:val="none" w:sz="0" w:space="0" w:color="auto"/>
                <w:bottom w:val="none" w:sz="0" w:space="0" w:color="auto"/>
                <w:right w:val="none" w:sz="0" w:space="0" w:color="auto"/>
              </w:divBdr>
              <w:divsChild>
                <w:div w:id="5589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75301">
      <w:bodyDiv w:val="1"/>
      <w:marLeft w:val="0"/>
      <w:marRight w:val="0"/>
      <w:marTop w:val="0"/>
      <w:marBottom w:val="0"/>
      <w:divBdr>
        <w:top w:val="none" w:sz="0" w:space="0" w:color="auto"/>
        <w:left w:val="none" w:sz="0" w:space="0" w:color="auto"/>
        <w:bottom w:val="none" w:sz="0" w:space="0" w:color="auto"/>
        <w:right w:val="none" w:sz="0" w:space="0" w:color="auto"/>
      </w:divBdr>
      <w:divsChild>
        <w:div w:id="1639335175">
          <w:marLeft w:val="0"/>
          <w:marRight w:val="0"/>
          <w:marTop w:val="0"/>
          <w:marBottom w:val="0"/>
          <w:divBdr>
            <w:top w:val="none" w:sz="0" w:space="0" w:color="auto"/>
            <w:left w:val="none" w:sz="0" w:space="0" w:color="auto"/>
            <w:bottom w:val="none" w:sz="0" w:space="0" w:color="auto"/>
            <w:right w:val="none" w:sz="0" w:space="0" w:color="auto"/>
          </w:divBdr>
          <w:divsChild>
            <w:div w:id="1673801367">
              <w:marLeft w:val="0"/>
              <w:marRight w:val="0"/>
              <w:marTop w:val="0"/>
              <w:marBottom w:val="0"/>
              <w:divBdr>
                <w:top w:val="none" w:sz="0" w:space="0" w:color="auto"/>
                <w:left w:val="none" w:sz="0" w:space="0" w:color="auto"/>
                <w:bottom w:val="none" w:sz="0" w:space="0" w:color="auto"/>
                <w:right w:val="none" w:sz="0" w:space="0" w:color="auto"/>
              </w:divBdr>
              <w:divsChild>
                <w:div w:id="14311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90932">
      <w:bodyDiv w:val="1"/>
      <w:marLeft w:val="0"/>
      <w:marRight w:val="0"/>
      <w:marTop w:val="0"/>
      <w:marBottom w:val="0"/>
      <w:divBdr>
        <w:top w:val="none" w:sz="0" w:space="0" w:color="auto"/>
        <w:left w:val="none" w:sz="0" w:space="0" w:color="auto"/>
        <w:bottom w:val="none" w:sz="0" w:space="0" w:color="auto"/>
        <w:right w:val="none" w:sz="0" w:space="0" w:color="auto"/>
      </w:divBdr>
      <w:divsChild>
        <w:div w:id="416907134">
          <w:marLeft w:val="0"/>
          <w:marRight w:val="0"/>
          <w:marTop w:val="0"/>
          <w:marBottom w:val="0"/>
          <w:divBdr>
            <w:top w:val="none" w:sz="0" w:space="0" w:color="auto"/>
            <w:left w:val="none" w:sz="0" w:space="0" w:color="auto"/>
            <w:bottom w:val="none" w:sz="0" w:space="0" w:color="auto"/>
            <w:right w:val="none" w:sz="0" w:space="0" w:color="auto"/>
          </w:divBdr>
          <w:divsChild>
            <w:div w:id="636688570">
              <w:marLeft w:val="0"/>
              <w:marRight w:val="0"/>
              <w:marTop w:val="0"/>
              <w:marBottom w:val="0"/>
              <w:divBdr>
                <w:top w:val="none" w:sz="0" w:space="0" w:color="auto"/>
                <w:left w:val="none" w:sz="0" w:space="0" w:color="auto"/>
                <w:bottom w:val="none" w:sz="0" w:space="0" w:color="auto"/>
                <w:right w:val="none" w:sz="0" w:space="0" w:color="auto"/>
              </w:divBdr>
              <w:divsChild>
                <w:div w:id="1548101816">
                  <w:marLeft w:val="0"/>
                  <w:marRight w:val="0"/>
                  <w:marTop w:val="0"/>
                  <w:marBottom w:val="0"/>
                  <w:divBdr>
                    <w:top w:val="none" w:sz="0" w:space="0" w:color="auto"/>
                    <w:left w:val="none" w:sz="0" w:space="0" w:color="auto"/>
                    <w:bottom w:val="none" w:sz="0" w:space="0" w:color="auto"/>
                    <w:right w:val="none" w:sz="0" w:space="0" w:color="auto"/>
                  </w:divBdr>
                  <w:divsChild>
                    <w:div w:id="7800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165539">
      <w:bodyDiv w:val="1"/>
      <w:marLeft w:val="0"/>
      <w:marRight w:val="0"/>
      <w:marTop w:val="0"/>
      <w:marBottom w:val="0"/>
      <w:divBdr>
        <w:top w:val="none" w:sz="0" w:space="0" w:color="auto"/>
        <w:left w:val="none" w:sz="0" w:space="0" w:color="auto"/>
        <w:bottom w:val="none" w:sz="0" w:space="0" w:color="auto"/>
        <w:right w:val="none" w:sz="0" w:space="0" w:color="auto"/>
      </w:divBdr>
      <w:divsChild>
        <w:div w:id="1284189035">
          <w:marLeft w:val="0"/>
          <w:marRight w:val="0"/>
          <w:marTop w:val="0"/>
          <w:marBottom w:val="0"/>
          <w:divBdr>
            <w:top w:val="none" w:sz="0" w:space="0" w:color="auto"/>
            <w:left w:val="none" w:sz="0" w:space="0" w:color="auto"/>
            <w:bottom w:val="none" w:sz="0" w:space="0" w:color="auto"/>
            <w:right w:val="none" w:sz="0" w:space="0" w:color="auto"/>
          </w:divBdr>
          <w:divsChild>
            <w:div w:id="855273635">
              <w:marLeft w:val="0"/>
              <w:marRight w:val="0"/>
              <w:marTop w:val="0"/>
              <w:marBottom w:val="0"/>
              <w:divBdr>
                <w:top w:val="none" w:sz="0" w:space="0" w:color="auto"/>
                <w:left w:val="none" w:sz="0" w:space="0" w:color="auto"/>
                <w:bottom w:val="none" w:sz="0" w:space="0" w:color="auto"/>
                <w:right w:val="none" w:sz="0" w:space="0" w:color="auto"/>
              </w:divBdr>
              <w:divsChild>
                <w:div w:id="7481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539240">
      <w:bodyDiv w:val="1"/>
      <w:marLeft w:val="0"/>
      <w:marRight w:val="0"/>
      <w:marTop w:val="0"/>
      <w:marBottom w:val="0"/>
      <w:divBdr>
        <w:top w:val="none" w:sz="0" w:space="0" w:color="auto"/>
        <w:left w:val="none" w:sz="0" w:space="0" w:color="auto"/>
        <w:bottom w:val="none" w:sz="0" w:space="0" w:color="auto"/>
        <w:right w:val="none" w:sz="0" w:space="0" w:color="auto"/>
      </w:divBdr>
      <w:divsChild>
        <w:div w:id="1481463632">
          <w:marLeft w:val="0"/>
          <w:marRight w:val="0"/>
          <w:marTop w:val="0"/>
          <w:marBottom w:val="0"/>
          <w:divBdr>
            <w:top w:val="none" w:sz="0" w:space="0" w:color="auto"/>
            <w:left w:val="none" w:sz="0" w:space="0" w:color="auto"/>
            <w:bottom w:val="none" w:sz="0" w:space="0" w:color="auto"/>
            <w:right w:val="none" w:sz="0" w:space="0" w:color="auto"/>
          </w:divBdr>
          <w:divsChild>
            <w:div w:id="1707825814">
              <w:marLeft w:val="0"/>
              <w:marRight w:val="0"/>
              <w:marTop w:val="0"/>
              <w:marBottom w:val="0"/>
              <w:divBdr>
                <w:top w:val="none" w:sz="0" w:space="0" w:color="auto"/>
                <w:left w:val="none" w:sz="0" w:space="0" w:color="auto"/>
                <w:bottom w:val="none" w:sz="0" w:space="0" w:color="auto"/>
                <w:right w:val="none" w:sz="0" w:space="0" w:color="auto"/>
              </w:divBdr>
              <w:divsChild>
                <w:div w:id="7088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4509">
      <w:bodyDiv w:val="1"/>
      <w:marLeft w:val="0"/>
      <w:marRight w:val="0"/>
      <w:marTop w:val="0"/>
      <w:marBottom w:val="0"/>
      <w:divBdr>
        <w:top w:val="none" w:sz="0" w:space="0" w:color="auto"/>
        <w:left w:val="none" w:sz="0" w:space="0" w:color="auto"/>
        <w:bottom w:val="none" w:sz="0" w:space="0" w:color="auto"/>
        <w:right w:val="none" w:sz="0" w:space="0" w:color="auto"/>
      </w:divBdr>
      <w:divsChild>
        <w:div w:id="495534966">
          <w:marLeft w:val="0"/>
          <w:marRight w:val="0"/>
          <w:marTop w:val="0"/>
          <w:marBottom w:val="0"/>
          <w:divBdr>
            <w:top w:val="none" w:sz="0" w:space="0" w:color="auto"/>
            <w:left w:val="none" w:sz="0" w:space="0" w:color="auto"/>
            <w:bottom w:val="none" w:sz="0" w:space="0" w:color="auto"/>
            <w:right w:val="none" w:sz="0" w:space="0" w:color="auto"/>
          </w:divBdr>
          <w:divsChild>
            <w:div w:id="1043289458">
              <w:marLeft w:val="0"/>
              <w:marRight w:val="0"/>
              <w:marTop w:val="0"/>
              <w:marBottom w:val="0"/>
              <w:divBdr>
                <w:top w:val="none" w:sz="0" w:space="0" w:color="auto"/>
                <w:left w:val="none" w:sz="0" w:space="0" w:color="auto"/>
                <w:bottom w:val="none" w:sz="0" w:space="0" w:color="auto"/>
                <w:right w:val="none" w:sz="0" w:space="0" w:color="auto"/>
              </w:divBdr>
              <w:divsChild>
                <w:div w:id="19977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97249">
      <w:bodyDiv w:val="1"/>
      <w:marLeft w:val="0"/>
      <w:marRight w:val="0"/>
      <w:marTop w:val="0"/>
      <w:marBottom w:val="0"/>
      <w:divBdr>
        <w:top w:val="none" w:sz="0" w:space="0" w:color="auto"/>
        <w:left w:val="none" w:sz="0" w:space="0" w:color="auto"/>
        <w:bottom w:val="none" w:sz="0" w:space="0" w:color="auto"/>
        <w:right w:val="none" w:sz="0" w:space="0" w:color="auto"/>
      </w:divBdr>
      <w:divsChild>
        <w:div w:id="394281162">
          <w:marLeft w:val="0"/>
          <w:marRight w:val="0"/>
          <w:marTop w:val="0"/>
          <w:marBottom w:val="0"/>
          <w:divBdr>
            <w:top w:val="none" w:sz="0" w:space="0" w:color="auto"/>
            <w:left w:val="none" w:sz="0" w:space="0" w:color="auto"/>
            <w:bottom w:val="none" w:sz="0" w:space="0" w:color="auto"/>
            <w:right w:val="none" w:sz="0" w:space="0" w:color="auto"/>
          </w:divBdr>
          <w:divsChild>
            <w:div w:id="1571843941">
              <w:marLeft w:val="0"/>
              <w:marRight w:val="0"/>
              <w:marTop w:val="0"/>
              <w:marBottom w:val="0"/>
              <w:divBdr>
                <w:top w:val="none" w:sz="0" w:space="0" w:color="auto"/>
                <w:left w:val="none" w:sz="0" w:space="0" w:color="auto"/>
                <w:bottom w:val="none" w:sz="0" w:space="0" w:color="auto"/>
                <w:right w:val="none" w:sz="0" w:space="0" w:color="auto"/>
              </w:divBdr>
              <w:divsChild>
                <w:div w:id="4543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05642">
      <w:bodyDiv w:val="1"/>
      <w:marLeft w:val="0"/>
      <w:marRight w:val="0"/>
      <w:marTop w:val="0"/>
      <w:marBottom w:val="0"/>
      <w:divBdr>
        <w:top w:val="none" w:sz="0" w:space="0" w:color="auto"/>
        <w:left w:val="none" w:sz="0" w:space="0" w:color="auto"/>
        <w:bottom w:val="none" w:sz="0" w:space="0" w:color="auto"/>
        <w:right w:val="none" w:sz="0" w:space="0" w:color="auto"/>
      </w:divBdr>
      <w:divsChild>
        <w:div w:id="741567340">
          <w:marLeft w:val="0"/>
          <w:marRight w:val="0"/>
          <w:marTop w:val="0"/>
          <w:marBottom w:val="0"/>
          <w:divBdr>
            <w:top w:val="none" w:sz="0" w:space="0" w:color="auto"/>
            <w:left w:val="none" w:sz="0" w:space="0" w:color="auto"/>
            <w:bottom w:val="none" w:sz="0" w:space="0" w:color="auto"/>
            <w:right w:val="none" w:sz="0" w:space="0" w:color="auto"/>
          </w:divBdr>
          <w:divsChild>
            <w:div w:id="1681273067">
              <w:marLeft w:val="0"/>
              <w:marRight w:val="0"/>
              <w:marTop w:val="0"/>
              <w:marBottom w:val="0"/>
              <w:divBdr>
                <w:top w:val="none" w:sz="0" w:space="0" w:color="auto"/>
                <w:left w:val="none" w:sz="0" w:space="0" w:color="auto"/>
                <w:bottom w:val="none" w:sz="0" w:space="0" w:color="auto"/>
                <w:right w:val="none" w:sz="0" w:space="0" w:color="auto"/>
              </w:divBdr>
              <w:divsChild>
                <w:div w:id="8702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32041">
      <w:bodyDiv w:val="1"/>
      <w:marLeft w:val="0"/>
      <w:marRight w:val="0"/>
      <w:marTop w:val="0"/>
      <w:marBottom w:val="0"/>
      <w:divBdr>
        <w:top w:val="none" w:sz="0" w:space="0" w:color="auto"/>
        <w:left w:val="none" w:sz="0" w:space="0" w:color="auto"/>
        <w:bottom w:val="none" w:sz="0" w:space="0" w:color="auto"/>
        <w:right w:val="none" w:sz="0" w:space="0" w:color="auto"/>
      </w:divBdr>
      <w:divsChild>
        <w:div w:id="1652324935">
          <w:marLeft w:val="0"/>
          <w:marRight w:val="0"/>
          <w:marTop w:val="0"/>
          <w:marBottom w:val="0"/>
          <w:divBdr>
            <w:top w:val="none" w:sz="0" w:space="0" w:color="auto"/>
            <w:left w:val="none" w:sz="0" w:space="0" w:color="auto"/>
            <w:bottom w:val="none" w:sz="0" w:space="0" w:color="auto"/>
            <w:right w:val="none" w:sz="0" w:space="0" w:color="auto"/>
          </w:divBdr>
          <w:divsChild>
            <w:div w:id="1942563615">
              <w:marLeft w:val="0"/>
              <w:marRight w:val="0"/>
              <w:marTop w:val="0"/>
              <w:marBottom w:val="0"/>
              <w:divBdr>
                <w:top w:val="none" w:sz="0" w:space="0" w:color="auto"/>
                <w:left w:val="none" w:sz="0" w:space="0" w:color="auto"/>
                <w:bottom w:val="none" w:sz="0" w:space="0" w:color="auto"/>
                <w:right w:val="none" w:sz="0" w:space="0" w:color="auto"/>
              </w:divBdr>
              <w:divsChild>
                <w:div w:id="9947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0430">
      <w:bodyDiv w:val="1"/>
      <w:marLeft w:val="0"/>
      <w:marRight w:val="0"/>
      <w:marTop w:val="0"/>
      <w:marBottom w:val="0"/>
      <w:divBdr>
        <w:top w:val="none" w:sz="0" w:space="0" w:color="auto"/>
        <w:left w:val="none" w:sz="0" w:space="0" w:color="auto"/>
        <w:bottom w:val="none" w:sz="0" w:space="0" w:color="auto"/>
        <w:right w:val="none" w:sz="0" w:space="0" w:color="auto"/>
      </w:divBdr>
      <w:divsChild>
        <w:div w:id="575285966">
          <w:marLeft w:val="0"/>
          <w:marRight w:val="0"/>
          <w:marTop w:val="0"/>
          <w:marBottom w:val="0"/>
          <w:divBdr>
            <w:top w:val="none" w:sz="0" w:space="0" w:color="auto"/>
            <w:left w:val="none" w:sz="0" w:space="0" w:color="auto"/>
            <w:bottom w:val="none" w:sz="0" w:space="0" w:color="auto"/>
            <w:right w:val="none" w:sz="0" w:space="0" w:color="auto"/>
          </w:divBdr>
          <w:divsChild>
            <w:div w:id="399913421">
              <w:marLeft w:val="0"/>
              <w:marRight w:val="0"/>
              <w:marTop w:val="0"/>
              <w:marBottom w:val="0"/>
              <w:divBdr>
                <w:top w:val="none" w:sz="0" w:space="0" w:color="auto"/>
                <w:left w:val="none" w:sz="0" w:space="0" w:color="auto"/>
                <w:bottom w:val="none" w:sz="0" w:space="0" w:color="auto"/>
                <w:right w:val="none" w:sz="0" w:space="0" w:color="auto"/>
              </w:divBdr>
              <w:divsChild>
                <w:div w:id="14359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2275">
      <w:bodyDiv w:val="1"/>
      <w:marLeft w:val="0"/>
      <w:marRight w:val="0"/>
      <w:marTop w:val="0"/>
      <w:marBottom w:val="0"/>
      <w:divBdr>
        <w:top w:val="none" w:sz="0" w:space="0" w:color="auto"/>
        <w:left w:val="none" w:sz="0" w:space="0" w:color="auto"/>
        <w:bottom w:val="none" w:sz="0" w:space="0" w:color="auto"/>
        <w:right w:val="none" w:sz="0" w:space="0" w:color="auto"/>
      </w:divBdr>
      <w:divsChild>
        <w:div w:id="1469785682">
          <w:marLeft w:val="0"/>
          <w:marRight w:val="0"/>
          <w:marTop w:val="0"/>
          <w:marBottom w:val="0"/>
          <w:divBdr>
            <w:top w:val="none" w:sz="0" w:space="0" w:color="auto"/>
            <w:left w:val="none" w:sz="0" w:space="0" w:color="auto"/>
            <w:bottom w:val="none" w:sz="0" w:space="0" w:color="auto"/>
            <w:right w:val="none" w:sz="0" w:space="0" w:color="auto"/>
          </w:divBdr>
          <w:divsChild>
            <w:div w:id="181170393">
              <w:marLeft w:val="0"/>
              <w:marRight w:val="0"/>
              <w:marTop w:val="0"/>
              <w:marBottom w:val="0"/>
              <w:divBdr>
                <w:top w:val="none" w:sz="0" w:space="0" w:color="auto"/>
                <w:left w:val="none" w:sz="0" w:space="0" w:color="auto"/>
                <w:bottom w:val="none" w:sz="0" w:space="0" w:color="auto"/>
                <w:right w:val="none" w:sz="0" w:space="0" w:color="auto"/>
              </w:divBdr>
              <w:divsChild>
                <w:div w:id="19930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33326">
      <w:bodyDiv w:val="1"/>
      <w:marLeft w:val="0"/>
      <w:marRight w:val="0"/>
      <w:marTop w:val="0"/>
      <w:marBottom w:val="0"/>
      <w:divBdr>
        <w:top w:val="none" w:sz="0" w:space="0" w:color="auto"/>
        <w:left w:val="none" w:sz="0" w:space="0" w:color="auto"/>
        <w:bottom w:val="none" w:sz="0" w:space="0" w:color="auto"/>
        <w:right w:val="none" w:sz="0" w:space="0" w:color="auto"/>
      </w:divBdr>
      <w:divsChild>
        <w:div w:id="1259558636">
          <w:marLeft w:val="0"/>
          <w:marRight w:val="0"/>
          <w:marTop w:val="0"/>
          <w:marBottom w:val="0"/>
          <w:divBdr>
            <w:top w:val="none" w:sz="0" w:space="0" w:color="auto"/>
            <w:left w:val="none" w:sz="0" w:space="0" w:color="auto"/>
            <w:bottom w:val="none" w:sz="0" w:space="0" w:color="auto"/>
            <w:right w:val="none" w:sz="0" w:space="0" w:color="auto"/>
          </w:divBdr>
          <w:divsChild>
            <w:div w:id="1649557103">
              <w:marLeft w:val="0"/>
              <w:marRight w:val="0"/>
              <w:marTop w:val="0"/>
              <w:marBottom w:val="0"/>
              <w:divBdr>
                <w:top w:val="none" w:sz="0" w:space="0" w:color="auto"/>
                <w:left w:val="none" w:sz="0" w:space="0" w:color="auto"/>
                <w:bottom w:val="none" w:sz="0" w:space="0" w:color="auto"/>
                <w:right w:val="none" w:sz="0" w:space="0" w:color="auto"/>
              </w:divBdr>
              <w:divsChild>
                <w:div w:id="214257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31759">
      <w:bodyDiv w:val="1"/>
      <w:marLeft w:val="0"/>
      <w:marRight w:val="0"/>
      <w:marTop w:val="0"/>
      <w:marBottom w:val="0"/>
      <w:divBdr>
        <w:top w:val="none" w:sz="0" w:space="0" w:color="auto"/>
        <w:left w:val="none" w:sz="0" w:space="0" w:color="auto"/>
        <w:bottom w:val="none" w:sz="0" w:space="0" w:color="auto"/>
        <w:right w:val="none" w:sz="0" w:space="0" w:color="auto"/>
      </w:divBdr>
      <w:divsChild>
        <w:div w:id="1278485785">
          <w:marLeft w:val="0"/>
          <w:marRight w:val="0"/>
          <w:marTop w:val="0"/>
          <w:marBottom w:val="0"/>
          <w:divBdr>
            <w:top w:val="none" w:sz="0" w:space="0" w:color="auto"/>
            <w:left w:val="none" w:sz="0" w:space="0" w:color="auto"/>
            <w:bottom w:val="none" w:sz="0" w:space="0" w:color="auto"/>
            <w:right w:val="none" w:sz="0" w:space="0" w:color="auto"/>
          </w:divBdr>
          <w:divsChild>
            <w:div w:id="824249020">
              <w:marLeft w:val="0"/>
              <w:marRight w:val="0"/>
              <w:marTop w:val="0"/>
              <w:marBottom w:val="0"/>
              <w:divBdr>
                <w:top w:val="none" w:sz="0" w:space="0" w:color="auto"/>
                <w:left w:val="none" w:sz="0" w:space="0" w:color="auto"/>
                <w:bottom w:val="none" w:sz="0" w:space="0" w:color="auto"/>
                <w:right w:val="none" w:sz="0" w:space="0" w:color="auto"/>
              </w:divBdr>
              <w:divsChild>
                <w:div w:id="13476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82920">
      <w:bodyDiv w:val="1"/>
      <w:marLeft w:val="0"/>
      <w:marRight w:val="0"/>
      <w:marTop w:val="0"/>
      <w:marBottom w:val="0"/>
      <w:divBdr>
        <w:top w:val="none" w:sz="0" w:space="0" w:color="auto"/>
        <w:left w:val="none" w:sz="0" w:space="0" w:color="auto"/>
        <w:bottom w:val="none" w:sz="0" w:space="0" w:color="auto"/>
        <w:right w:val="none" w:sz="0" w:space="0" w:color="auto"/>
      </w:divBdr>
      <w:divsChild>
        <w:div w:id="309477749">
          <w:marLeft w:val="0"/>
          <w:marRight w:val="0"/>
          <w:marTop w:val="0"/>
          <w:marBottom w:val="0"/>
          <w:divBdr>
            <w:top w:val="none" w:sz="0" w:space="0" w:color="auto"/>
            <w:left w:val="none" w:sz="0" w:space="0" w:color="auto"/>
            <w:bottom w:val="none" w:sz="0" w:space="0" w:color="auto"/>
            <w:right w:val="none" w:sz="0" w:space="0" w:color="auto"/>
          </w:divBdr>
          <w:divsChild>
            <w:div w:id="1349717797">
              <w:marLeft w:val="0"/>
              <w:marRight w:val="0"/>
              <w:marTop w:val="0"/>
              <w:marBottom w:val="0"/>
              <w:divBdr>
                <w:top w:val="none" w:sz="0" w:space="0" w:color="auto"/>
                <w:left w:val="none" w:sz="0" w:space="0" w:color="auto"/>
                <w:bottom w:val="none" w:sz="0" w:space="0" w:color="auto"/>
                <w:right w:val="none" w:sz="0" w:space="0" w:color="auto"/>
              </w:divBdr>
              <w:divsChild>
                <w:div w:id="7079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56274">
      <w:bodyDiv w:val="1"/>
      <w:marLeft w:val="0"/>
      <w:marRight w:val="0"/>
      <w:marTop w:val="0"/>
      <w:marBottom w:val="0"/>
      <w:divBdr>
        <w:top w:val="none" w:sz="0" w:space="0" w:color="auto"/>
        <w:left w:val="none" w:sz="0" w:space="0" w:color="auto"/>
        <w:bottom w:val="none" w:sz="0" w:space="0" w:color="auto"/>
        <w:right w:val="none" w:sz="0" w:space="0" w:color="auto"/>
      </w:divBdr>
      <w:divsChild>
        <w:div w:id="164052594">
          <w:marLeft w:val="0"/>
          <w:marRight w:val="0"/>
          <w:marTop w:val="0"/>
          <w:marBottom w:val="0"/>
          <w:divBdr>
            <w:top w:val="none" w:sz="0" w:space="0" w:color="auto"/>
            <w:left w:val="none" w:sz="0" w:space="0" w:color="auto"/>
            <w:bottom w:val="none" w:sz="0" w:space="0" w:color="auto"/>
            <w:right w:val="none" w:sz="0" w:space="0" w:color="auto"/>
          </w:divBdr>
          <w:divsChild>
            <w:div w:id="901135494">
              <w:marLeft w:val="0"/>
              <w:marRight w:val="0"/>
              <w:marTop w:val="0"/>
              <w:marBottom w:val="0"/>
              <w:divBdr>
                <w:top w:val="none" w:sz="0" w:space="0" w:color="auto"/>
                <w:left w:val="none" w:sz="0" w:space="0" w:color="auto"/>
                <w:bottom w:val="none" w:sz="0" w:space="0" w:color="auto"/>
                <w:right w:val="none" w:sz="0" w:space="0" w:color="auto"/>
              </w:divBdr>
              <w:divsChild>
                <w:div w:id="3396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04420">
      <w:bodyDiv w:val="1"/>
      <w:marLeft w:val="0"/>
      <w:marRight w:val="0"/>
      <w:marTop w:val="0"/>
      <w:marBottom w:val="0"/>
      <w:divBdr>
        <w:top w:val="none" w:sz="0" w:space="0" w:color="auto"/>
        <w:left w:val="none" w:sz="0" w:space="0" w:color="auto"/>
        <w:bottom w:val="none" w:sz="0" w:space="0" w:color="auto"/>
        <w:right w:val="none" w:sz="0" w:space="0" w:color="auto"/>
      </w:divBdr>
      <w:divsChild>
        <w:div w:id="354382287">
          <w:marLeft w:val="0"/>
          <w:marRight w:val="0"/>
          <w:marTop w:val="0"/>
          <w:marBottom w:val="0"/>
          <w:divBdr>
            <w:top w:val="none" w:sz="0" w:space="0" w:color="auto"/>
            <w:left w:val="none" w:sz="0" w:space="0" w:color="auto"/>
            <w:bottom w:val="none" w:sz="0" w:space="0" w:color="auto"/>
            <w:right w:val="none" w:sz="0" w:space="0" w:color="auto"/>
          </w:divBdr>
          <w:divsChild>
            <w:div w:id="1885216460">
              <w:marLeft w:val="0"/>
              <w:marRight w:val="0"/>
              <w:marTop w:val="0"/>
              <w:marBottom w:val="0"/>
              <w:divBdr>
                <w:top w:val="none" w:sz="0" w:space="0" w:color="auto"/>
                <w:left w:val="none" w:sz="0" w:space="0" w:color="auto"/>
                <w:bottom w:val="none" w:sz="0" w:space="0" w:color="auto"/>
                <w:right w:val="none" w:sz="0" w:space="0" w:color="auto"/>
              </w:divBdr>
              <w:divsChild>
                <w:div w:id="160850353">
                  <w:marLeft w:val="0"/>
                  <w:marRight w:val="0"/>
                  <w:marTop w:val="0"/>
                  <w:marBottom w:val="0"/>
                  <w:divBdr>
                    <w:top w:val="none" w:sz="0" w:space="0" w:color="auto"/>
                    <w:left w:val="none" w:sz="0" w:space="0" w:color="auto"/>
                    <w:bottom w:val="none" w:sz="0" w:space="0" w:color="auto"/>
                    <w:right w:val="none" w:sz="0" w:space="0" w:color="auto"/>
                  </w:divBdr>
                  <w:divsChild>
                    <w:div w:id="10797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31848">
      <w:bodyDiv w:val="1"/>
      <w:marLeft w:val="0"/>
      <w:marRight w:val="0"/>
      <w:marTop w:val="0"/>
      <w:marBottom w:val="0"/>
      <w:divBdr>
        <w:top w:val="none" w:sz="0" w:space="0" w:color="auto"/>
        <w:left w:val="none" w:sz="0" w:space="0" w:color="auto"/>
        <w:bottom w:val="none" w:sz="0" w:space="0" w:color="auto"/>
        <w:right w:val="none" w:sz="0" w:space="0" w:color="auto"/>
      </w:divBdr>
      <w:divsChild>
        <w:div w:id="595211336">
          <w:marLeft w:val="0"/>
          <w:marRight w:val="0"/>
          <w:marTop w:val="0"/>
          <w:marBottom w:val="0"/>
          <w:divBdr>
            <w:top w:val="none" w:sz="0" w:space="0" w:color="auto"/>
            <w:left w:val="none" w:sz="0" w:space="0" w:color="auto"/>
            <w:bottom w:val="none" w:sz="0" w:space="0" w:color="auto"/>
            <w:right w:val="none" w:sz="0" w:space="0" w:color="auto"/>
          </w:divBdr>
          <w:divsChild>
            <w:div w:id="799424657">
              <w:marLeft w:val="0"/>
              <w:marRight w:val="0"/>
              <w:marTop w:val="0"/>
              <w:marBottom w:val="0"/>
              <w:divBdr>
                <w:top w:val="none" w:sz="0" w:space="0" w:color="auto"/>
                <w:left w:val="none" w:sz="0" w:space="0" w:color="auto"/>
                <w:bottom w:val="none" w:sz="0" w:space="0" w:color="auto"/>
                <w:right w:val="none" w:sz="0" w:space="0" w:color="auto"/>
              </w:divBdr>
              <w:divsChild>
                <w:div w:id="9122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283">
      <w:bodyDiv w:val="1"/>
      <w:marLeft w:val="0"/>
      <w:marRight w:val="0"/>
      <w:marTop w:val="0"/>
      <w:marBottom w:val="0"/>
      <w:divBdr>
        <w:top w:val="none" w:sz="0" w:space="0" w:color="auto"/>
        <w:left w:val="none" w:sz="0" w:space="0" w:color="auto"/>
        <w:bottom w:val="none" w:sz="0" w:space="0" w:color="auto"/>
        <w:right w:val="none" w:sz="0" w:space="0" w:color="auto"/>
      </w:divBdr>
      <w:divsChild>
        <w:div w:id="958027643">
          <w:marLeft w:val="0"/>
          <w:marRight w:val="0"/>
          <w:marTop w:val="0"/>
          <w:marBottom w:val="0"/>
          <w:divBdr>
            <w:top w:val="none" w:sz="0" w:space="0" w:color="auto"/>
            <w:left w:val="none" w:sz="0" w:space="0" w:color="auto"/>
            <w:bottom w:val="none" w:sz="0" w:space="0" w:color="auto"/>
            <w:right w:val="none" w:sz="0" w:space="0" w:color="auto"/>
          </w:divBdr>
          <w:divsChild>
            <w:div w:id="2017415685">
              <w:marLeft w:val="0"/>
              <w:marRight w:val="0"/>
              <w:marTop w:val="0"/>
              <w:marBottom w:val="0"/>
              <w:divBdr>
                <w:top w:val="none" w:sz="0" w:space="0" w:color="auto"/>
                <w:left w:val="none" w:sz="0" w:space="0" w:color="auto"/>
                <w:bottom w:val="none" w:sz="0" w:space="0" w:color="auto"/>
                <w:right w:val="none" w:sz="0" w:space="0" w:color="auto"/>
              </w:divBdr>
              <w:divsChild>
                <w:div w:id="144978834">
                  <w:marLeft w:val="0"/>
                  <w:marRight w:val="0"/>
                  <w:marTop w:val="0"/>
                  <w:marBottom w:val="0"/>
                  <w:divBdr>
                    <w:top w:val="none" w:sz="0" w:space="0" w:color="auto"/>
                    <w:left w:val="none" w:sz="0" w:space="0" w:color="auto"/>
                    <w:bottom w:val="none" w:sz="0" w:space="0" w:color="auto"/>
                    <w:right w:val="none" w:sz="0" w:space="0" w:color="auto"/>
                  </w:divBdr>
                  <w:divsChild>
                    <w:div w:id="2575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18948">
      <w:bodyDiv w:val="1"/>
      <w:marLeft w:val="0"/>
      <w:marRight w:val="0"/>
      <w:marTop w:val="0"/>
      <w:marBottom w:val="0"/>
      <w:divBdr>
        <w:top w:val="none" w:sz="0" w:space="0" w:color="auto"/>
        <w:left w:val="none" w:sz="0" w:space="0" w:color="auto"/>
        <w:bottom w:val="none" w:sz="0" w:space="0" w:color="auto"/>
        <w:right w:val="none" w:sz="0" w:space="0" w:color="auto"/>
      </w:divBdr>
      <w:divsChild>
        <w:div w:id="413170098">
          <w:marLeft w:val="0"/>
          <w:marRight w:val="0"/>
          <w:marTop w:val="0"/>
          <w:marBottom w:val="0"/>
          <w:divBdr>
            <w:top w:val="none" w:sz="0" w:space="0" w:color="auto"/>
            <w:left w:val="none" w:sz="0" w:space="0" w:color="auto"/>
            <w:bottom w:val="none" w:sz="0" w:space="0" w:color="auto"/>
            <w:right w:val="none" w:sz="0" w:space="0" w:color="auto"/>
          </w:divBdr>
          <w:divsChild>
            <w:div w:id="1632517602">
              <w:marLeft w:val="0"/>
              <w:marRight w:val="0"/>
              <w:marTop w:val="0"/>
              <w:marBottom w:val="0"/>
              <w:divBdr>
                <w:top w:val="none" w:sz="0" w:space="0" w:color="auto"/>
                <w:left w:val="none" w:sz="0" w:space="0" w:color="auto"/>
                <w:bottom w:val="none" w:sz="0" w:space="0" w:color="auto"/>
                <w:right w:val="none" w:sz="0" w:space="0" w:color="auto"/>
              </w:divBdr>
              <w:divsChild>
                <w:div w:id="19036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6009">
      <w:bodyDiv w:val="1"/>
      <w:marLeft w:val="0"/>
      <w:marRight w:val="0"/>
      <w:marTop w:val="0"/>
      <w:marBottom w:val="0"/>
      <w:divBdr>
        <w:top w:val="none" w:sz="0" w:space="0" w:color="auto"/>
        <w:left w:val="none" w:sz="0" w:space="0" w:color="auto"/>
        <w:bottom w:val="none" w:sz="0" w:space="0" w:color="auto"/>
        <w:right w:val="none" w:sz="0" w:space="0" w:color="auto"/>
      </w:divBdr>
      <w:divsChild>
        <w:div w:id="1478496489">
          <w:marLeft w:val="0"/>
          <w:marRight w:val="0"/>
          <w:marTop w:val="0"/>
          <w:marBottom w:val="0"/>
          <w:divBdr>
            <w:top w:val="none" w:sz="0" w:space="0" w:color="auto"/>
            <w:left w:val="none" w:sz="0" w:space="0" w:color="auto"/>
            <w:bottom w:val="none" w:sz="0" w:space="0" w:color="auto"/>
            <w:right w:val="none" w:sz="0" w:space="0" w:color="auto"/>
          </w:divBdr>
          <w:divsChild>
            <w:div w:id="1188517776">
              <w:marLeft w:val="0"/>
              <w:marRight w:val="0"/>
              <w:marTop w:val="0"/>
              <w:marBottom w:val="0"/>
              <w:divBdr>
                <w:top w:val="none" w:sz="0" w:space="0" w:color="auto"/>
                <w:left w:val="none" w:sz="0" w:space="0" w:color="auto"/>
                <w:bottom w:val="none" w:sz="0" w:space="0" w:color="auto"/>
                <w:right w:val="none" w:sz="0" w:space="0" w:color="auto"/>
              </w:divBdr>
              <w:divsChild>
                <w:div w:id="2043482025">
                  <w:marLeft w:val="0"/>
                  <w:marRight w:val="0"/>
                  <w:marTop w:val="0"/>
                  <w:marBottom w:val="0"/>
                  <w:divBdr>
                    <w:top w:val="none" w:sz="0" w:space="0" w:color="auto"/>
                    <w:left w:val="none" w:sz="0" w:space="0" w:color="auto"/>
                    <w:bottom w:val="none" w:sz="0" w:space="0" w:color="auto"/>
                    <w:right w:val="none" w:sz="0" w:space="0" w:color="auto"/>
                  </w:divBdr>
                  <w:divsChild>
                    <w:div w:id="15499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60585">
      <w:bodyDiv w:val="1"/>
      <w:marLeft w:val="0"/>
      <w:marRight w:val="0"/>
      <w:marTop w:val="0"/>
      <w:marBottom w:val="0"/>
      <w:divBdr>
        <w:top w:val="none" w:sz="0" w:space="0" w:color="auto"/>
        <w:left w:val="none" w:sz="0" w:space="0" w:color="auto"/>
        <w:bottom w:val="none" w:sz="0" w:space="0" w:color="auto"/>
        <w:right w:val="none" w:sz="0" w:space="0" w:color="auto"/>
      </w:divBdr>
      <w:divsChild>
        <w:div w:id="1255939970">
          <w:marLeft w:val="0"/>
          <w:marRight w:val="0"/>
          <w:marTop w:val="0"/>
          <w:marBottom w:val="0"/>
          <w:divBdr>
            <w:top w:val="none" w:sz="0" w:space="0" w:color="auto"/>
            <w:left w:val="none" w:sz="0" w:space="0" w:color="auto"/>
            <w:bottom w:val="none" w:sz="0" w:space="0" w:color="auto"/>
            <w:right w:val="none" w:sz="0" w:space="0" w:color="auto"/>
          </w:divBdr>
          <w:divsChild>
            <w:div w:id="1586307400">
              <w:marLeft w:val="0"/>
              <w:marRight w:val="0"/>
              <w:marTop w:val="0"/>
              <w:marBottom w:val="0"/>
              <w:divBdr>
                <w:top w:val="none" w:sz="0" w:space="0" w:color="auto"/>
                <w:left w:val="none" w:sz="0" w:space="0" w:color="auto"/>
                <w:bottom w:val="none" w:sz="0" w:space="0" w:color="auto"/>
                <w:right w:val="none" w:sz="0" w:space="0" w:color="auto"/>
              </w:divBdr>
              <w:divsChild>
                <w:div w:id="12650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7478">
      <w:bodyDiv w:val="1"/>
      <w:marLeft w:val="0"/>
      <w:marRight w:val="0"/>
      <w:marTop w:val="0"/>
      <w:marBottom w:val="0"/>
      <w:divBdr>
        <w:top w:val="none" w:sz="0" w:space="0" w:color="auto"/>
        <w:left w:val="none" w:sz="0" w:space="0" w:color="auto"/>
        <w:bottom w:val="none" w:sz="0" w:space="0" w:color="auto"/>
        <w:right w:val="none" w:sz="0" w:space="0" w:color="auto"/>
      </w:divBdr>
      <w:divsChild>
        <w:div w:id="613444917">
          <w:marLeft w:val="0"/>
          <w:marRight w:val="0"/>
          <w:marTop w:val="0"/>
          <w:marBottom w:val="0"/>
          <w:divBdr>
            <w:top w:val="none" w:sz="0" w:space="0" w:color="auto"/>
            <w:left w:val="none" w:sz="0" w:space="0" w:color="auto"/>
            <w:bottom w:val="none" w:sz="0" w:space="0" w:color="auto"/>
            <w:right w:val="none" w:sz="0" w:space="0" w:color="auto"/>
          </w:divBdr>
          <w:divsChild>
            <w:div w:id="860046909">
              <w:marLeft w:val="0"/>
              <w:marRight w:val="0"/>
              <w:marTop w:val="0"/>
              <w:marBottom w:val="0"/>
              <w:divBdr>
                <w:top w:val="none" w:sz="0" w:space="0" w:color="auto"/>
                <w:left w:val="none" w:sz="0" w:space="0" w:color="auto"/>
                <w:bottom w:val="none" w:sz="0" w:space="0" w:color="auto"/>
                <w:right w:val="none" w:sz="0" w:space="0" w:color="auto"/>
              </w:divBdr>
              <w:divsChild>
                <w:div w:id="11176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32670">
      <w:bodyDiv w:val="1"/>
      <w:marLeft w:val="0"/>
      <w:marRight w:val="0"/>
      <w:marTop w:val="0"/>
      <w:marBottom w:val="0"/>
      <w:divBdr>
        <w:top w:val="none" w:sz="0" w:space="0" w:color="auto"/>
        <w:left w:val="none" w:sz="0" w:space="0" w:color="auto"/>
        <w:bottom w:val="none" w:sz="0" w:space="0" w:color="auto"/>
        <w:right w:val="none" w:sz="0" w:space="0" w:color="auto"/>
      </w:divBdr>
      <w:divsChild>
        <w:div w:id="1035277115">
          <w:marLeft w:val="0"/>
          <w:marRight w:val="0"/>
          <w:marTop w:val="0"/>
          <w:marBottom w:val="0"/>
          <w:divBdr>
            <w:top w:val="none" w:sz="0" w:space="0" w:color="auto"/>
            <w:left w:val="none" w:sz="0" w:space="0" w:color="auto"/>
            <w:bottom w:val="none" w:sz="0" w:space="0" w:color="auto"/>
            <w:right w:val="none" w:sz="0" w:space="0" w:color="auto"/>
          </w:divBdr>
          <w:divsChild>
            <w:div w:id="1747454171">
              <w:marLeft w:val="0"/>
              <w:marRight w:val="0"/>
              <w:marTop w:val="0"/>
              <w:marBottom w:val="0"/>
              <w:divBdr>
                <w:top w:val="none" w:sz="0" w:space="0" w:color="auto"/>
                <w:left w:val="none" w:sz="0" w:space="0" w:color="auto"/>
                <w:bottom w:val="none" w:sz="0" w:space="0" w:color="auto"/>
                <w:right w:val="none" w:sz="0" w:space="0" w:color="auto"/>
              </w:divBdr>
              <w:divsChild>
                <w:div w:id="586579159">
                  <w:marLeft w:val="0"/>
                  <w:marRight w:val="0"/>
                  <w:marTop w:val="0"/>
                  <w:marBottom w:val="0"/>
                  <w:divBdr>
                    <w:top w:val="none" w:sz="0" w:space="0" w:color="auto"/>
                    <w:left w:val="none" w:sz="0" w:space="0" w:color="auto"/>
                    <w:bottom w:val="none" w:sz="0" w:space="0" w:color="auto"/>
                    <w:right w:val="none" w:sz="0" w:space="0" w:color="auto"/>
                  </w:divBdr>
                  <w:divsChild>
                    <w:div w:id="1178346939">
                      <w:marLeft w:val="0"/>
                      <w:marRight w:val="0"/>
                      <w:marTop w:val="0"/>
                      <w:marBottom w:val="0"/>
                      <w:divBdr>
                        <w:top w:val="none" w:sz="0" w:space="0" w:color="auto"/>
                        <w:left w:val="none" w:sz="0" w:space="0" w:color="auto"/>
                        <w:bottom w:val="none" w:sz="0" w:space="0" w:color="auto"/>
                        <w:right w:val="none" w:sz="0" w:space="0" w:color="auto"/>
                      </w:divBdr>
                    </w:div>
                    <w:div w:id="4364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5764">
      <w:bodyDiv w:val="1"/>
      <w:marLeft w:val="0"/>
      <w:marRight w:val="0"/>
      <w:marTop w:val="0"/>
      <w:marBottom w:val="0"/>
      <w:divBdr>
        <w:top w:val="none" w:sz="0" w:space="0" w:color="auto"/>
        <w:left w:val="none" w:sz="0" w:space="0" w:color="auto"/>
        <w:bottom w:val="none" w:sz="0" w:space="0" w:color="auto"/>
        <w:right w:val="none" w:sz="0" w:space="0" w:color="auto"/>
      </w:divBdr>
      <w:divsChild>
        <w:div w:id="499807665">
          <w:marLeft w:val="0"/>
          <w:marRight w:val="0"/>
          <w:marTop w:val="0"/>
          <w:marBottom w:val="0"/>
          <w:divBdr>
            <w:top w:val="none" w:sz="0" w:space="0" w:color="auto"/>
            <w:left w:val="none" w:sz="0" w:space="0" w:color="auto"/>
            <w:bottom w:val="none" w:sz="0" w:space="0" w:color="auto"/>
            <w:right w:val="none" w:sz="0" w:space="0" w:color="auto"/>
          </w:divBdr>
          <w:divsChild>
            <w:div w:id="913703256">
              <w:marLeft w:val="0"/>
              <w:marRight w:val="0"/>
              <w:marTop w:val="0"/>
              <w:marBottom w:val="0"/>
              <w:divBdr>
                <w:top w:val="none" w:sz="0" w:space="0" w:color="auto"/>
                <w:left w:val="none" w:sz="0" w:space="0" w:color="auto"/>
                <w:bottom w:val="none" w:sz="0" w:space="0" w:color="auto"/>
                <w:right w:val="none" w:sz="0" w:space="0" w:color="auto"/>
              </w:divBdr>
              <w:divsChild>
                <w:div w:id="1447650269">
                  <w:marLeft w:val="0"/>
                  <w:marRight w:val="0"/>
                  <w:marTop w:val="0"/>
                  <w:marBottom w:val="0"/>
                  <w:divBdr>
                    <w:top w:val="none" w:sz="0" w:space="0" w:color="auto"/>
                    <w:left w:val="none" w:sz="0" w:space="0" w:color="auto"/>
                    <w:bottom w:val="none" w:sz="0" w:space="0" w:color="auto"/>
                    <w:right w:val="none" w:sz="0" w:space="0" w:color="auto"/>
                  </w:divBdr>
                  <w:divsChild>
                    <w:div w:id="14964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3261">
      <w:bodyDiv w:val="1"/>
      <w:marLeft w:val="0"/>
      <w:marRight w:val="0"/>
      <w:marTop w:val="0"/>
      <w:marBottom w:val="0"/>
      <w:divBdr>
        <w:top w:val="none" w:sz="0" w:space="0" w:color="auto"/>
        <w:left w:val="none" w:sz="0" w:space="0" w:color="auto"/>
        <w:bottom w:val="none" w:sz="0" w:space="0" w:color="auto"/>
        <w:right w:val="none" w:sz="0" w:space="0" w:color="auto"/>
      </w:divBdr>
      <w:divsChild>
        <w:div w:id="1327900149">
          <w:marLeft w:val="0"/>
          <w:marRight w:val="0"/>
          <w:marTop w:val="0"/>
          <w:marBottom w:val="0"/>
          <w:divBdr>
            <w:top w:val="none" w:sz="0" w:space="0" w:color="auto"/>
            <w:left w:val="none" w:sz="0" w:space="0" w:color="auto"/>
            <w:bottom w:val="none" w:sz="0" w:space="0" w:color="auto"/>
            <w:right w:val="none" w:sz="0" w:space="0" w:color="auto"/>
          </w:divBdr>
          <w:divsChild>
            <w:div w:id="491145797">
              <w:marLeft w:val="0"/>
              <w:marRight w:val="0"/>
              <w:marTop w:val="0"/>
              <w:marBottom w:val="0"/>
              <w:divBdr>
                <w:top w:val="none" w:sz="0" w:space="0" w:color="auto"/>
                <w:left w:val="none" w:sz="0" w:space="0" w:color="auto"/>
                <w:bottom w:val="none" w:sz="0" w:space="0" w:color="auto"/>
                <w:right w:val="none" w:sz="0" w:space="0" w:color="auto"/>
              </w:divBdr>
              <w:divsChild>
                <w:div w:id="920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1763">
      <w:bodyDiv w:val="1"/>
      <w:marLeft w:val="0"/>
      <w:marRight w:val="0"/>
      <w:marTop w:val="0"/>
      <w:marBottom w:val="0"/>
      <w:divBdr>
        <w:top w:val="none" w:sz="0" w:space="0" w:color="auto"/>
        <w:left w:val="none" w:sz="0" w:space="0" w:color="auto"/>
        <w:bottom w:val="none" w:sz="0" w:space="0" w:color="auto"/>
        <w:right w:val="none" w:sz="0" w:space="0" w:color="auto"/>
      </w:divBdr>
      <w:divsChild>
        <w:div w:id="656423331">
          <w:marLeft w:val="0"/>
          <w:marRight w:val="0"/>
          <w:marTop w:val="0"/>
          <w:marBottom w:val="0"/>
          <w:divBdr>
            <w:top w:val="none" w:sz="0" w:space="0" w:color="auto"/>
            <w:left w:val="none" w:sz="0" w:space="0" w:color="auto"/>
            <w:bottom w:val="none" w:sz="0" w:space="0" w:color="auto"/>
            <w:right w:val="none" w:sz="0" w:space="0" w:color="auto"/>
          </w:divBdr>
          <w:divsChild>
            <w:div w:id="1549221450">
              <w:marLeft w:val="0"/>
              <w:marRight w:val="0"/>
              <w:marTop w:val="0"/>
              <w:marBottom w:val="0"/>
              <w:divBdr>
                <w:top w:val="none" w:sz="0" w:space="0" w:color="auto"/>
                <w:left w:val="none" w:sz="0" w:space="0" w:color="auto"/>
                <w:bottom w:val="none" w:sz="0" w:space="0" w:color="auto"/>
                <w:right w:val="none" w:sz="0" w:space="0" w:color="auto"/>
              </w:divBdr>
              <w:divsChild>
                <w:div w:id="4645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9886">
      <w:bodyDiv w:val="1"/>
      <w:marLeft w:val="0"/>
      <w:marRight w:val="0"/>
      <w:marTop w:val="0"/>
      <w:marBottom w:val="0"/>
      <w:divBdr>
        <w:top w:val="none" w:sz="0" w:space="0" w:color="auto"/>
        <w:left w:val="none" w:sz="0" w:space="0" w:color="auto"/>
        <w:bottom w:val="none" w:sz="0" w:space="0" w:color="auto"/>
        <w:right w:val="none" w:sz="0" w:space="0" w:color="auto"/>
      </w:divBdr>
      <w:divsChild>
        <w:div w:id="1834492402">
          <w:marLeft w:val="0"/>
          <w:marRight w:val="0"/>
          <w:marTop w:val="0"/>
          <w:marBottom w:val="0"/>
          <w:divBdr>
            <w:top w:val="none" w:sz="0" w:space="0" w:color="auto"/>
            <w:left w:val="none" w:sz="0" w:space="0" w:color="auto"/>
            <w:bottom w:val="none" w:sz="0" w:space="0" w:color="auto"/>
            <w:right w:val="none" w:sz="0" w:space="0" w:color="auto"/>
          </w:divBdr>
          <w:divsChild>
            <w:div w:id="237714285">
              <w:marLeft w:val="0"/>
              <w:marRight w:val="0"/>
              <w:marTop w:val="0"/>
              <w:marBottom w:val="0"/>
              <w:divBdr>
                <w:top w:val="none" w:sz="0" w:space="0" w:color="auto"/>
                <w:left w:val="none" w:sz="0" w:space="0" w:color="auto"/>
                <w:bottom w:val="none" w:sz="0" w:space="0" w:color="auto"/>
                <w:right w:val="none" w:sz="0" w:space="0" w:color="auto"/>
              </w:divBdr>
              <w:divsChild>
                <w:div w:id="14403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17694">
      <w:bodyDiv w:val="1"/>
      <w:marLeft w:val="0"/>
      <w:marRight w:val="0"/>
      <w:marTop w:val="0"/>
      <w:marBottom w:val="0"/>
      <w:divBdr>
        <w:top w:val="none" w:sz="0" w:space="0" w:color="auto"/>
        <w:left w:val="none" w:sz="0" w:space="0" w:color="auto"/>
        <w:bottom w:val="none" w:sz="0" w:space="0" w:color="auto"/>
        <w:right w:val="none" w:sz="0" w:space="0" w:color="auto"/>
      </w:divBdr>
      <w:divsChild>
        <w:div w:id="450906539">
          <w:marLeft w:val="0"/>
          <w:marRight w:val="0"/>
          <w:marTop w:val="0"/>
          <w:marBottom w:val="0"/>
          <w:divBdr>
            <w:top w:val="none" w:sz="0" w:space="0" w:color="auto"/>
            <w:left w:val="none" w:sz="0" w:space="0" w:color="auto"/>
            <w:bottom w:val="none" w:sz="0" w:space="0" w:color="auto"/>
            <w:right w:val="none" w:sz="0" w:space="0" w:color="auto"/>
          </w:divBdr>
          <w:divsChild>
            <w:div w:id="1910187014">
              <w:marLeft w:val="0"/>
              <w:marRight w:val="0"/>
              <w:marTop w:val="0"/>
              <w:marBottom w:val="0"/>
              <w:divBdr>
                <w:top w:val="none" w:sz="0" w:space="0" w:color="auto"/>
                <w:left w:val="none" w:sz="0" w:space="0" w:color="auto"/>
                <w:bottom w:val="none" w:sz="0" w:space="0" w:color="auto"/>
                <w:right w:val="none" w:sz="0" w:space="0" w:color="auto"/>
              </w:divBdr>
              <w:divsChild>
                <w:div w:id="1808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28222">
      <w:bodyDiv w:val="1"/>
      <w:marLeft w:val="0"/>
      <w:marRight w:val="0"/>
      <w:marTop w:val="0"/>
      <w:marBottom w:val="0"/>
      <w:divBdr>
        <w:top w:val="none" w:sz="0" w:space="0" w:color="auto"/>
        <w:left w:val="none" w:sz="0" w:space="0" w:color="auto"/>
        <w:bottom w:val="none" w:sz="0" w:space="0" w:color="auto"/>
        <w:right w:val="none" w:sz="0" w:space="0" w:color="auto"/>
      </w:divBdr>
      <w:divsChild>
        <w:div w:id="724451528">
          <w:marLeft w:val="0"/>
          <w:marRight w:val="0"/>
          <w:marTop w:val="0"/>
          <w:marBottom w:val="0"/>
          <w:divBdr>
            <w:top w:val="none" w:sz="0" w:space="0" w:color="auto"/>
            <w:left w:val="none" w:sz="0" w:space="0" w:color="auto"/>
            <w:bottom w:val="none" w:sz="0" w:space="0" w:color="auto"/>
            <w:right w:val="none" w:sz="0" w:space="0" w:color="auto"/>
          </w:divBdr>
          <w:divsChild>
            <w:div w:id="172381091">
              <w:marLeft w:val="0"/>
              <w:marRight w:val="0"/>
              <w:marTop w:val="0"/>
              <w:marBottom w:val="0"/>
              <w:divBdr>
                <w:top w:val="none" w:sz="0" w:space="0" w:color="auto"/>
                <w:left w:val="none" w:sz="0" w:space="0" w:color="auto"/>
                <w:bottom w:val="none" w:sz="0" w:space="0" w:color="auto"/>
                <w:right w:val="none" w:sz="0" w:space="0" w:color="auto"/>
              </w:divBdr>
              <w:divsChild>
                <w:div w:id="4771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5343">
      <w:bodyDiv w:val="1"/>
      <w:marLeft w:val="0"/>
      <w:marRight w:val="0"/>
      <w:marTop w:val="0"/>
      <w:marBottom w:val="0"/>
      <w:divBdr>
        <w:top w:val="none" w:sz="0" w:space="0" w:color="auto"/>
        <w:left w:val="none" w:sz="0" w:space="0" w:color="auto"/>
        <w:bottom w:val="none" w:sz="0" w:space="0" w:color="auto"/>
        <w:right w:val="none" w:sz="0" w:space="0" w:color="auto"/>
      </w:divBdr>
      <w:divsChild>
        <w:div w:id="1340154047">
          <w:marLeft w:val="0"/>
          <w:marRight w:val="0"/>
          <w:marTop w:val="0"/>
          <w:marBottom w:val="0"/>
          <w:divBdr>
            <w:top w:val="none" w:sz="0" w:space="0" w:color="auto"/>
            <w:left w:val="none" w:sz="0" w:space="0" w:color="auto"/>
            <w:bottom w:val="none" w:sz="0" w:space="0" w:color="auto"/>
            <w:right w:val="none" w:sz="0" w:space="0" w:color="auto"/>
          </w:divBdr>
          <w:divsChild>
            <w:div w:id="2122258376">
              <w:marLeft w:val="0"/>
              <w:marRight w:val="0"/>
              <w:marTop w:val="0"/>
              <w:marBottom w:val="0"/>
              <w:divBdr>
                <w:top w:val="none" w:sz="0" w:space="0" w:color="auto"/>
                <w:left w:val="none" w:sz="0" w:space="0" w:color="auto"/>
                <w:bottom w:val="none" w:sz="0" w:space="0" w:color="auto"/>
                <w:right w:val="none" w:sz="0" w:space="0" w:color="auto"/>
              </w:divBdr>
              <w:divsChild>
                <w:div w:id="10742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05639">
      <w:bodyDiv w:val="1"/>
      <w:marLeft w:val="0"/>
      <w:marRight w:val="0"/>
      <w:marTop w:val="0"/>
      <w:marBottom w:val="0"/>
      <w:divBdr>
        <w:top w:val="none" w:sz="0" w:space="0" w:color="auto"/>
        <w:left w:val="none" w:sz="0" w:space="0" w:color="auto"/>
        <w:bottom w:val="none" w:sz="0" w:space="0" w:color="auto"/>
        <w:right w:val="none" w:sz="0" w:space="0" w:color="auto"/>
      </w:divBdr>
      <w:divsChild>
        <w:div w:id="266500560">
          <w:marLeft w:val="0"/>
          <w:marRight w:val="0"/>
          <w:marTop w:val="0"/>
          <w:marBottom w:val="0"/>
          <w:divBdr>
            <w:top w:val="none" w:sz="0" w:space="0" w:color="auto"/>
            <w:left w:val="none" w:sz="0" w:space="0" w:color="auto"/>
            <w:bottom w:val="none" w:sz="0" w:space="0" w:color="auto"/>
            <w:right w:val="none" w:sz="0" w:space="0" w:color="auto"/>
          </w:divBdr>
          <w:divsChild>
            <w:div w:id="860974765">
              <w:marLeft w:val="0"/>
              <w:marRight w:val="0"/>
              <w:marTop w:val="0"/>
              <w:marBottom w:val="0"/>
              <w:divBdr>
                <w:top w:val="none" w:sz="0" w:space="0" w:color="auto"/>
                <w:left w:val="none" w:sz="0" w:space="0" w:color="auto"/>
                <w:bottom w:val="none" w:sz="0" w:space="0" w:color="auto"/>
                <w:right w:val="none" w:sz="0" w:space="0" w:color="auto"/>
              </w:divBdr>
              <w:divsChild>
                <w:div w:id="19653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48511">
      <w:bodyDiv w:val="1"/>
      <w:marLeft w:val="0"/>
      <w:marRight w:val="0"/>
      <w:marTop w:val="0"/>
      <w:marBottom w:val="0"/>
      <w:divBdr>
        <w:top w:val="none" w:sz="0" w:space="0" w:color="auto"/>
        <w:left w:val="none" w:sz="0" w:space="0" w:color="auto"/>
        <w:bottom w:val="none" w:sz="0" w:space="0" w:color="auto"/>
        <w:right w:val="none" w:sz="0" w:space="0" w:color="auto"/>
      </w:divBdr>
      <w:divsChild>
        <w:div w:id="338505853">
          <w:marLeft w:val="0"/>
          <w:marRight w:val="0"/>
          <w:marTop w:val="0"/>
          <w:marBottom w:val="0"/>
          <w:divBdr>
            <w:top w:val="none" w:sz="0" w:space="0" w:color="auto"/>
            <w:left w:val="none" w:sz="0" w:space="0" w:color="auto"/>
            <w:bottom w:val="none" w:sz="0" w:space="0" w:color="auto"/>
            <w:right w:val="none" w:sz="0" w:space="0" w:color="auto"/>
          </w:divBdr>
          <w:divsChild>
            <w:div w:id="1222134399">
              <w:marLeft w:val="0"/>
              <w:marRight w:val="0"/>
              <w:marTop w:val="0"/>
              <w:marBottom w:val="0"/>
              <w:divBdr>
                <w:top w:val="none" w:sz="0" w:space="0" w:color="auto"/>
                <w:left w:val="none" w:sz="0" w:space="0" w:color="auto"/>
                <w:bottom w:val="none" w:sz="0" w:space="0" w:color="auto"/>
                <w:right w:val="none" w:sz="0" w:space="0" w:color="auto"/>
              </w:divBdr>
              <w:divsChild>
                <w:div w:id="83841148">
                  <w:marLeft w:val="0"/>
                  <w:marRight w:val="0"/>
                  <w:marTop w:val="0"/>
                  <w:marBottom w:val="0"/>
                  <w:divBdr>
                    <w:top w:val="none" w:sz="0" w:space="0" w:color="auto"/>
                    <w:left w:val="none" w:sz="0" w:space="0" w:color="auto"/>
                    <w:bottom w:val="none" w:sz="0" w:space="0" w:color="auto"/>
                    <w:right w:val="none" w:sz="0" w:space="0" w:color="auto"/>
                  </w:divBdr>
                  <w:divsChild>
                    <w:div w:id="10070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16989">
      <w:bodyDiv w:val="1"/>
      <w:marLeft w:val="0"/>
      <w:marRight w:val="0"/>
      <w:marTop w:val="0"/>
      <w:marBottom w:val="0"/>
      <w:divBdr>
        <w:top w:val="none" w:sz="0" w:space="0" w:color="auto"/>
        <w:left w:val="none" w:sz="0" w:space="0" w:color="auto"/>
        <w:bottom w:val="none" w:sz="0" w:space="0" w:color="auto"/>
        <w:right w:val="none" w:sz="0" w:space="0" w:color="auto"/>
      </w:divBdr>
      <w:divsChild>
        <w:div w:id="1635867683">
          <w:marLeft w:val="0"/>
          <w:marRight w:val="0"/>
          <w:marTop w:val="0"/>
          <w:marBottom w:val="0"/>
          <w:divBdr>
            <w:top w:val="none" w:sz="0" w:space="0" w:color="auto"/>
            <w:left w:val="none" w:sz="0" w:space="0" w:color="auto"/>
            <w:bottom w:val="none" w:sz="0" w:space="0" w:color="auto"/>
            <w:right w:val="none" w:sz="0" w:space="0" w:color="auto"/>
          </w:divBdr>
          <w:divsChild>
            <w:div w:id="248928134">
              <w:marLeft w:val="0"/>
              <w:marRight w:val="0"/>
              <w:marTop w:val="0"/>
              <w:marBottom w:val="0"/>
              <w:divBdr>
                <w:top w:val="none" w:sz="0" w:space="0" w:color="auto"/>
                <w:left w:val="none" w:sz="0" w:space="0" w:color="auto"/>
                <w:bottom w:val="none" w:sz="0" w:space="0" w:color="auto"/>
                <w:right w:val="none" w:sz="0" w:space="0" w:color="auto"/>
              </w:divBdr>
              <w:divsChild>
                <w:div w:id="59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61245">
      <w:bodyDiv w:val="1"/>
      <w:marLeft w:val="0"/>
      <w:marRight w:val="0"/>
      <w:marTop w:val="0"/>
      <w:marBottom w:val="0"/>
      <w:divBdr>
        <w:top w:val="none" w:sz="0" w:space="0" w:color="auto"/>
        <w:left w:val="none" w:sz="0" w:space="0" w:color="auto"/>
        <w:bottom w:val="none" w:sz="0" w:space="0" w:color="auto"/>
        <w:right w:val="none" w:sz="0" w:space="0" w:color="auto"/>
      </w:divBdr>
      <w:divsChild>
        <w:div w:id="861161752">
          <w:marLeft w:val="0"/>
          <w:marRight w:val="0"/>
          <w:marTop w:val="0"/>
          <w:marBottom w:val="0"/>
          <w:divBdr>
            <w:top w:val="none" w:sz="0" w:space="0" w:color="auto"/>
            <w:left w:val="none" w:sz="0" w:space="0" w:color="auto"/>
            <w:bottom w:val="none" w:sz="0" w:space="0" w:color="auto"/>
            <w:right w:val="none" w:sz="0" w:space="0" w:color="auto"/>
          </w:divBdr>
          <w:divsChild>
            <w:div w:id="140510630">
              <w:marLeft w:val="0"/>
              <w:marRight w:val="0"/>
              <w:marTop w:val="0"/>
              <w:marBottom w:val="0"/>
              <w:divBdr>
                <w:top w:val="none" w:sz="0" w:space="0" w:color="auto"/>
                <w:left w:val="none" w:sz="0" w:space="0" w:color="auto"/>
                <w:bottom w:val="none" w:sz="0" w:space="0" w:color="auto"/>
                <w:right w:val="none" w:sz="0" w:space="0" w:color="auto"/>
              </w:divBdr>
              <w:divsChild>
                <w:div w:id="978724550">
                  <w:marLeft w:val="0"/>
                  <w:marRight w:val="0"/>
                  <w:marTop w:val="0"/>
                  <w:marBottom w:val="0"/>
                  <w:divBdr>
                    <w:top w:val="none" w:sz="0" w:space="0" w:color="auto"/>
                    <w:left w:val="none" w:sz="0" w:space="0" w:color="auto"/>
                    <w:bottom w:val="none" w:sz="0" w:space="0" w:color="auto"/>
                    <w:right w:val="none" w:sz="0" w:space="0" w:color="auto"/>
                  </w:divBdr>
                  <w:divsChild>
                    <w:div w:id="14716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00998">
      <w:bodyDiv w:val="1"/>
      <w:marLeft w:val="0"/>
      <w:marRight w:val="0"/>
      <w:marTop w:val="0"/>
      <w:marBottom w:val="0"/>
      <w:divBdr>
        <w:top w:val="none" w:sz="0" w:space="0" w:color="auto"/>
        <w:left w:val="none" w:sz="0" w:space="0" w:color="auto"/>
        <w:bottom w:val="none" w:sz="0" w:space="0" w:color="auto"/>
        <w:right w:val="none" w:sz="0" w:space="0" w:color="auto"/>
      </w:divBdr>
      <w:divsChild>
        <w:div w:id="559903377">
          <w:marLeft w:val="0"/>
          <w:marRight w:val="0"/>
          <w:marTop w:val="0"/>
          <w:marBottom w:val="0"/>
          <w:divBdr>
            <w:top w:val="none" w:sz="0" w:space="0" w:color="auto"/>
            <w:left w:val="none" w:sz="0" w:space="0" w:color="auto"/>
            <w:bottom w:val="none" w:sz="0" w:space="0" w:color="auto"/>
            <w:right w:val="none" w:sz="0" w:space="0" w:color="auto"/>
          </w:divBdr>
          <w:divsChild>
            <w:div w:id="1498574433">
              <w:marLeft w:val="0"/>
              <w:marRight w:val="0"/>
              <w:marTop w:val="0"/>
              <w:marBottom w:val="0"/>
              <w:divBdr>
                <w:top w:val="none" w:sz="0" w:space="0" w:color="auto"/>
                <w:left w:val="none" w:sz="0" w:space="0" w:color="auto"/>
                <w:bottom w:val="none" w:sz="0" w:space="0" w:color="auto"/>
                <w:right w:val="none" w:sz="0" w:space="0" w:color="auto"/>
              </w:divBdr>
              <w:divsChild>
                <w:div w:id="774521976">
                  <w:marLeft w:val="0"/>
                  <w:marRight w:val="0"/>
                  <w:marTop w:val="0"/>
                  <w:marBottom w:val="0"/>
                  <w:divBdr>
                    <w:top w:val="none" w:sz="0" w:space="0" w:color="auto"/>
                    <w:left w:val="none" w:sz="0" w:space="0" w:color="auto"/>
                    <w:bottom w:val="none" w:sz="0" w:space="0" w:color="auto"/>
                    <w:right w:val="none" w:sz="0" w:space="0" w:color="auto"/>
                  </w:divBdr>
                  <w:divsChild>
                    <w:div w:id="6819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93421">
      <w:bodyDiv w:val="1"/>
      <w:marLeft w:val="0"/>
      <w:marRight w:val="0"/>
      <w:marTop w:val="0"/>
      <w:marBottom w:val="0"/>
      <w:divBdr>
        <w:top w:val="none" w:sz="0" w:space="0" w:color="auto"/>
        <w:left w:val="none" w:sz="0" w:space="0" w:color="auto"/>
        <w:bottom w:val="none" w:sz="0" w:space="0" w:color="auto"/>
        <w:right w:val="none" w:sz="0" w:space="0" w:color="auto"/>
      </w:divBdr>
      <w:divsChild>
        <w:div w:id="522549392">
          <w:marLeft w:val="0"/>
          <w:marRight w:val="0"/>
          <w:marTop w:val="0"/>
          <w:marBottom w:val="0"/>
          <w:divBdr>
            <w:top w:val="none" w:sz="0" w:space="0" w:color="auto"/>
            <w:left w:val="none" w:sz="0" w:space="0" w:color="auto"/>
            <w:bottom w:val="none" w:sz="0" w:space="0" w:color="auto"/>
            <w:right w:val="none" w:sz="0" w:space="0" w:color="auto"/>
          </w:divBdr>
          <w:divsChild>
            <w:div w:id="350760597">
              <w:marLeft w:val="0"/>
              <w:marRight w:val="0"/>
              <w:marTop w:val="0"/>
              <w:marBottom w:val="0"/>
              <w:divBdr>
                <w:top w:val="none" w:sz="0" w:space="0" w:color="auto"/>
                <w:left w:val="none" w:sz="0" w:space="0" w:color="auto"/>
                <w:bottom w:val="none" w:sz="0" w:space="0" w:color="auto"/>
                <w:right w:val="none" w:sz="0" w:space="0" w:color="auto"/>
              </w:divBdr>
              <w:divsChild>
                <w:div w:id="7916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81851">
      <w:bodyDiv w:val="1"/>
      <w:marLeft w:val="0"/>
      <w:marRight w:val="0"/>
      <w:marTop w:val="0"/>
      <w:marBottom w:val="0"/>
      <w:divBdr>
        <w:top w:val="none" w:sz="0" w:space="0" w:color="auto"/>
        <w:left w:val="none" w:sz="0" w:space="0" w:color="auto"/>
        <w:bottom w:val="none" w:sz="0" w:space="0" w:color="auto"/>
        <w:right w:val="none" w:sz="0" w:space="0" w:color="auto"/>
      </w:divBdr>
      <w:divsChild>
        <w:div w:id="2005010721">
          <w:marLeft w:val="0"/>
          <w:marRight w:val="0"/>
          <w:marTop w:val="0"/>
          <w:marBottom w:val="0"/>
          <w:divBdr>
            <w:top w:val="none" w:sz="0" w:space="0" w:color="auto"/>
            <w:left w:val="none" w:sz="0" w:space="0" w:color="auto"/>
            <w:bottom w:val="none" w:sz="0" w:space="0" w:color="auto"/>
            <w:right w:val="none" w:sz="0" w:space="0" w:color="auto"/>
          </w:divBdr>
          <w:divsChild>
            <w:div w:id="100226160">
              <w:marLeft w:val="0"/>
              <w:marRight w:val="0"/>
              <w:marTop w:val="0"/>
              <w:marBottom w:val="0"/>
              <w:divBdr>
                <w:top w:val="none" w:sz="0" w:space="0" w:color="auto"/>
                <w:left w:val="none" w:sz="0" w:space="0" w:color="auto"/>
                <w:bottom w:val="none" w:sz="0" w:space="0" w:color="auto"/>
                <w:right w:val="none" w:sz="0" w:space="0" w:color="auto"/>
              </w:divBdr>
              <w:divsChild>
                <w:div w:id="10629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71949">
      <w:bodyDiv w:val="1"/>
      <w:marLeft w:val="0"/>
      <w:marRight w:val="0"/>
      <w:marTop w:val="0"/>
      <w:marBottom w:val="0"/>
      <w:divBdr>
        <w:top w:val="none" w:sz="0" w:space="0" w:color="auto"/>
        <w:left w:val="none" w:sz="0" w:space="0" w:color="auto"/>
        <w:bottom w:val="none" w:sz="0" w:space="0" w:color="auto"/>
        <w:right w:val="none" w:sz="0" w:space="0" w:color="auto"/>
      </w:divBdr>
      <w:divsChild>
        <w:div w:id="631980606">
          <w:marLeft w:val="0"/>
          <w:marRight w:val="0"/>
          <w:marTop w:val="0"/>
          <w:marBottom w:val="0"/>
          <w:divBdr>
            <w:top w:val="none" w:sz="0" w:space="0" w:color="auto"/>
            <w:left w:val="none" w:sz="0" w:space="0" w:color="auto"/>
            <w:bottom w:val="none" w:sz="0" w:space="0" w:color="auto"/>
            <w:right w:val="none" w:sz="0" w:space="0" w:color="auto"/>
          </w:divBdr>
          <w:divsChild>
            <w:div w:id="1447580609">
              <w:marLeft w:val="0"/>
              <w:marRight w:val="0"/>
              <w:marTop w:val="0"/>
              <w:marBottom w:val="0"/>
              <w:divBdr>
                <w:top w:val="none" w:sz="0" w:space="0" w:color="auto"/>
                <w:left w:val="none" w:sz="0" w:space="0" w:color="auto"/>
                <w:bottom w:val="none" w:sz="0" w:space="0" w:color="auto"/>
                <w:right w:val="none" w:sz="0" w:space="0" w:color="auto"/>
              </w:divBdr>
              <w:divsChild>
                <w:div w:id="7440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498">
      <w:bodyDiv w:val="1"/>
      <w:marLeft w:val="0"/>
      <w:marRight w:val="0"/>
      <w:marTop w:val="0"/>
      <w:marBottom w:val="0"/>
      <w:divBdr>
        <w:top w:val="none" w:sz="0" w:space="0" w:color="auto"/>
        <w:left w:val="none" w:sz="0" w:space="0" w:color="auto"/>
        <w:bottom w:val="none" w:sz="0" w:space="0" w:color="auto"/>
        <w:right w:val="none" w:sz="0" w:space="0" w:color="auto"/>
      </w:divBdr>
      <w:divsChild>
        <w:div w:id="366107403">
          <w:marLeft w:val="0"/>
          <w:marRight w:val="0"/>
          <w:marTop w:val="0"/>
          <w:marBottom w:val="0"/>
          <w:divBdr>
            <w:top w:val="none" w:sz="0" w:space="0" w:color="auto"/>
            <w:left w:val="none" w:sz="0" w:space="0" w:color="auto"/>
            <w:bottom w:val="none" w:sz="0" w:space="0" w:color="auto"/>
            <w:right w:val="none" w:sz="0" w:space="0" w:color="auto"/>
          </w:divBdr>
          <w:divsChild>
            <w:div w:id="887685274">
              <w:marLeft w:val="0"/>
              <w:marRight w:val="0"/>
              <w:marTop w:val="0"/>
              <w:marBottom w:val="0"/>
              <w:divBdr>
                <w:top w:val="none" w:sz="0" w:space="0" w:color="auto"/>
                <w:left w:val="none" w:sz="0" w:space="0" w:color="auto"/>
                <w:bottom w:val="none" w:sz="0" w:space="0" w:color="auto"/>
                <w:right w:val="none" w:sz="0" w:space="0" w:color="auto"/>
              </w:divBdr>
              <w:divsChild>
                <w:div w:id="10309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9502">
      <w:bodyDiv w:val="1"/>
      <w:marLeft w:val="0"/>
      <w:marRight w:val="0"/>
      <w:marTop w:val="0"/>
      <w:marBottom w:val="0"/>
      <w:divBdr>
        <w:top w:val="none" w:sz="0" w:space="0" w:color="auto"/>
        <w:left w:val="none" w:sz="0" w:space="0" w:color="auto"/>
        <w:bottom w:val="none" w:sz="0" w:space="0" w:color="auto"/>
        <w:right w:val="none" w:sz="0" w:space="0" w:color="auto"/>
      </w:divBdr>
      <w:divsChild>
        <w:div w:id="306519641">
          <w:marLeft w:val="0"/>
          <w:marRight w:val="0"/>
          <w:marTop w:val="0"/>
          <w:marBottom w:val="0"/>
          <w:divBdr>
            <w:top w:val="none" w:sz="0" w:space="0" w:color="auto"/>
            <w:left w:val="none" w:sz="0" w:space="0" w:color="auto"/>
            <w:bottom w:val="none" w:sz="0" w:space="0" w:color="auto"/>
            <w:right w:val="none" w:sz="0" w:space="0" w:color="auto"/>
          </w:divBdr>
          <w:divsChild>
            <w:div w:id="79109212">
              <w:marLeft w:val="0"/>
              <w:marRight w:val="0"/>
              <w:marTop w:val="0"/>
              <w:marBottom w:val="0"/>
              <w:divBdr>
                <w:top w:val="none" w:sz="0" w:space="0" w:color="auto"/>
                <w:left w:val="none" w:sz="0" w:space="0" w:color="auto"/>
                <w:bottom w:val="none" w:sz="0" w:space="0" w:color="auto"/>
                <w:right w:val="none" w:sz="0" w:space="0" w:color="auto"/>
              </w:divBdr>
              <w:divsChild>
                <w:div w:id="296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7327">
      <w:bodyDiv w:val="1"/>
      <w:marLeft w:val="0"/>
      <w:marRight w:val="0"/>
      <w:marTop w:val="0"/>
      <w:marBottom w:val="0"/>
      <w:divBdr>
        <w:top w:val="none" w:sz="0" w:space="0" w:color="auto"/>
        <w:left w:val="none" w:sz="0" w:space="0" w:color="auto"/>
        <w:bottom w:val="none" w:sz="0" w:space="0" w:color="auto"/>
        <w:right w:val="none" w:sz="0" w:space="0" w:color="auto"/>
      </w:divBdr>
      <w:divsChild>
        <w:div w:id="868444977">
          <w:marLeft w:val="0"/>
          <w:marRight w:val="0"/>
          <w:marTop w:val="0"/>
          <w:marBottom w:val="0"/>
          <w:divBdr>
            <w:top w:val="none" w:sz="0" w:space="0" w:color="auto"/>
            <w:left w:val="none" w:sz="0" w:space="0" w:color="auto"/>
            <w:bottom w:val="none" w:sz="0" w:space="0" w:color="auto"/>
            <w:right w:val="none" w:sz="0" w:space="0" w:color="auto"/>
          </w:divBdr>
          <w:divsChild>
            <w:div w:id="656764410">
              <w:marLeft w:val="0"/>
              <w:marRight w:val="0"/>
              <w:marTop w:val="0"/>
              <w:marBottom w:val="0"/>
              <w:divBdr>
                <w:top w:val="none" w:sz="0" w:space="0" w:color="auto"/>
                <w:left w:val="none" w:sz="0" w:space="0" w:color="auto"/>
                <w:bottom w:val="none" w:sz="0" w:space="0" w:color="auto"/>
                <w:right w:val="none" w:sz="0" w:space="0" w:color="auto"/>
              </w:divBdr>
              <w:divsChild>
                <w:div w:id="2024472834">
                  <w:marLeft w:val="0"/>
                  <w:marRight w:val="0"/>
                  <w:marTop w:val="0"/>
                  <w:marBottom w:val="0"/>
                  <w:divBdr>
                    <w:top w:val="none" w:sz="0" w:space="0" w:color="auto"/>
                    <w:left w:val="none" w:sz="0" w:space="0" w:color="auto"/>
                    <w:bottom w:val="none" w:sz="0" w:space="0" w:color="auto"/>
                    <w:right w:val="none" w:sz="0" w:space="0" w:color="auto"/>
                  </w:divBdr>
                  <w:divsChild>
                    <w:div w:id="18187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08102">
      <w:bodyDiv w:val="1"/>
      <w:marLeft w:val="0"/>
      <w:marRight w:val="0"/>
      <w:marTop w:val="0"/>
      <w:marBottom w:val="0"/>
      <w:divBdr>
        <w:top w:val="none" w:sz="0" w:space="0" w:color="auto"/>
        <w:left w:val="none" w:sz="0" w:space="0" w:color="auto"/>
        <w:bottom w:val="none" w:sz="0" w:space="0" w:color="auto"/>
        <w:right w:val="none" w:sz="0" w:space="0" w:color="auto"/>
      </w:divBdr>
      <w:divsChild>
        <w:div w:id="1009059132">
          <w:marLeft w:val="0"/>
          <w:marRight w:val="0"/>
          <w:marTop w:val="0"/>
          <w:marBottom w:val="0"/>
          <w:divBdr>
            <w:top w:val="none" w:sz="0" w:space="0" w:color="auto"/>
            <w:left w:val="none" w:sz="0" w:space="0" w:color="auto"/>
            <w:bottom w:val="none" w:sz="0" w:space="0" w:color="auto"/>
            <w:right w:val="none" w:sz="0" w:space="0" w:color="auto"/>
          </w:divBdr>
          <w:divsChild>
            <w:div w:id="1743872892">
              <w:marLeft w:val="0"/>
              <w:marRight w:val="0"/>
              <w:marTop w:val="0"/>
              <w:marBottom w:val="0"/>
              <w:divBdr>
                <w:top w:val="none" w:sz="0" w:space="0" w:color="auto"/>
                <w:left w:val="none" w:sz="0" w:space="0" w:color="auto"/>
                <w:bottom w:val="none" w:sz="0" w:space="0" w:color="auto"/>
                <w:right w:val="none" w:sz="0" w:space="0" w:color="auto"/>
              </w:divBdr>
              <w:divsChild>
                <w:div w:id="10079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28429">
      <w:bodyDiv w:val="1"/>
      <w:marLeft w:val="0"/>
      <w:marRight w:val="0"/>
      <w:marTop w:val="0"/>
      <w:marBottom w:val="0"/>
      <w:divBdr>
        <w:top w:val="none" w:sz="0" w:space="0" w:color="auto"/>
        <w:left w:val="none" w:sz="0" w:space="0" w:color="auto"/>
        <w:bottom w:val="none" w:sz="0" w:space="0" w:color="auto"/>
        <w:right w:val="none" w:sz="0" w:space="0" w:color="auto"/>
      </w:divBdr>
      <w:divsChild>
        <w:div w:id="1391490369">
          <w:marLeft w:val="0"/>
          <w:marRight w:val="0"/>
          <w:marTop w:val="0"/>
          <w:marBottom w:val="0"/>
          <w:divBdr>
            <w:top w:val="none" w:sz="0" w:space="0" w:color="auto"/>
            <w:left w:val="none" w:sz="0" w:space="0" w:color="auto"/>
            <w:bottom w:val="none" w:sz="0" w:space="0" w:color="auto"/>
            <w:right w:val="none" w:sz="0" w:space="0" w:color="auto"/>
          </w:divBdr>
          <w:divsChild>
            <w:div w:id="1921795152">
              <w:marLeft w:val="0"/>
              <w:marRight w:val="0"/>
              <w:marTop w:val="0"/>
              <w:marBottom w:val="0"/>
              <w:divBdr>
                <w:top w:val="none" w:sz="0" w:space="0" w:color="auto"/>
                <w:left w:val="none" w:sz="0" w:space="0" w:color="auto"/>
                <w:bottom w:val="none" w:sz="0" w:space="0" w:color="auto"/>
                <w:right w:val="none" w:sz="0" w:space="0" w:color="auto"/>
              </w:divBdr>
              <w:divsChild>
                <w:div w:id="381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02086">
      <w:bodyDiv w:val="1"/>
      <w:marLeft w:val="0"/>
      <w:marRight w:val="0"/>
      <w:marTop w:val="0"/>
      <w:marBottom w:val="0"/>
      <w:divBdr>
        <w:top w:val="none" w:sz="0" w:space="0" w:color="auto"/>
        <w:left w:val="none" w:sz="0" w:space="0" w:color="auto"/>
        <w:bottom w:val="none" w:sz="0" w:space="0" w:color="auto"/>
        <w:right w:val="none" w:sz="0" w:space="0" w:color="auto"/>
      </w:divBdr>
      <w:divsChild>
        <w:div w:id="249198939">
          <w:marLeft w:val="0"/>
          <w:marRight w:val="0"/>
          <w:marTop w:val="0"/>
          <w:marBottom w:val="0"/>
          <w:divBdr>
            <w:top w:val="none" w:sz="0" w:space="0" w:color="auto"/>
            <w:left w:val="none" w:sz="0" w:space="0" w:color="auto"/>
            <w:bottom w:val="none" w:sz="0" w:space="0" w:color="auto"/>
            <w:right w:val="none" w:sz="0" w:space="0" w:color="auto"/>
          </w:divBdr>
          <w:divsChild>
            <w:div w:id="616329441">
              <w:marLeft w:val="0"/>
              <w:marRight w:val="0"/>
              <w:marTop w:val="0"/>
              <w:marBottom w:val="0"/>
              <w:divBdr>
                <w:top w:val="none" w:sz="0" w:space="0" w:color="auto"/>
                <w:left w:val="none" w:sz="0" w:space="0" w:color="auto"/>
                <w:bottom w:val="none" w:sz="0" w:space="0" w:color="auto"/>
                <w:right w:val="none" w:sz="0" w:space="0" w:color="auto"/>
              </w:divBdr>
              <w:divsChild>
                <w:div w:id="15627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267105">
      <w:bodyDiv w:val="1"/>
      <w:marLeft w:val="0"/>
      <w:marRight w:val="0"/>
      <w:marTop w:val="0"/>
      <w:marBottom w:val="0"/>
      <w:divBdr>
        <w:top w:val="none" w:sz="0" w:space="0" w:color="auto"/>
        <w:left w:val="none" w:sz="0" w:space="0" w:color="auto"/>
        <w:bottom w:val="none" w:sz="0" w:space="0" w:color="auto"/>
        <w:right w:val="none" w:sz="0" w:space="0" w:color="auto"/>
      </w:divBdr>
      <w:divsChild>
        <w:div w:id="666514761">
          <w:marLeft w:val="0"/>
          <w:marRight w:val="0"/>
          <w:marTop w:val="0"/>
          <w:marBottom w:val="0"/>
          <w:divBdr>
            <w:top w:val="none" w:sz="0" w:space="0" w:color="auto"/>
            <w:left w:val="none" w:sz="0" w:space="0" w:color="auto"/>
            <w:bottom w:val="none" w:sz="0" w:space="0" w:color="auto"/>
            <w:right w:val="none" w:sz="0" w:space="0" w:color="auto"/>
          </w:divBdr>
          <w:divsChild>
            <w:div w:id="94518681">
              <w:marLeft w:val="0"/>
              <w:marRight w:val="0"/>
              <w:marTop w:val="0"/>
              <w:marBottom w:val="0"/>
              <w:divBdr>
                <w:top w:val="none" w:sz="0" w:space="0" w:color="auto"/>
                <w:left w:val="none" w:sz="0" w:space="0" w:color="auto"/>
                <w:bottom w:val="none" w:sz="0" w:space="0" w:color="auto"/>
                <w:right w:val="none" w:sz="0" w:space="0" w:color="auto"/>
              </w:divBdr>
              <w:divsChild>
                <w:div w:id="5100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94984">
      <w:bodyDiv w:val="1"/>
      <w:marLeft w:val="0"/>
      <w:marRight w:val="0"/>
      <w:marTop w:val="0"/>
      <w:marBottom w:val="0"/>
      <w:divBdr>
        <w:top w:val="none" w:sz="0" w:space="0" w:color="auto"/>
        <w:left w:val="none" w:sz="0" w:space="0" w:color="auto"/>
        <w:bottom w:val="none" w:sz="0" w:space="0" w:color="auto"/>
        <w:right w:val="none" w:sz="0" w:space="0" w:color="auto"/>
      </w:divBdr>
      <w:divsChild>
        <w:div w:id="475879529">
          <w:marLeft w:val="0"/>
          <w:marRight w:val="0"/>
          <w:marTop w:val="0"/>
          <w:marBottom w:val="0"/>
          <w:divBdr>
            <w:top w:val="none" w:sz="0" w:space="0" w:color="auto"/>
            <w:left w:val="none" w:sz="0" w:space="0" w:color="auto"/>
            <w:bottom w:val="none" w:sz="0" w:space="0" w:color="auto"/>
            <w:right w:val="none" w:sz="0" w:space="0" w:color="auto"/>
          </w:divBdr>
          <w:divsChild>
            <w:div w:id="1201094951">
              <w:marLeft w:val="0"/>
              <w:marRight w:val="0"/>
              <w:marTop w:val="0"/>
              <w:marBottom w:val="0"/>
              <w:divBdr>
                <w:top w:val="none" w:sz="0" w:space="0" w:color="auto"/>
                <w:left w:val="none" w:sz="0" w:space="0" w:color="auto"/>
                <w:bottom w:val="none" w:sz="0" w:space="0" w:color="auto"/>
                <w:right w:val="none" w:sz="0" w:space="0" w:color="auto"/>
              </w:divBdr>
              <w:divsChild>
                <w:div w:id="1822581478">
                  <w:marLeft w:val="0"/>
                  <w:marRight w:val="0"/>
                  <w:marTop w:val="0"/>
                  <w:marBottom w:val="0"/>
                  <w:divBdr>
                    <w:top w:val="none" w:sz="0" w:space="0" w:color="auto"/>
                    <w:left w:val="none" w:sz="0" w:space="0" w:color="auto"/>
                    <w:bottom w:val="none" w:sz="0" w:space="0" w:color="auto"/>
                    <w:right w:val="none" w:sz="0" w:space="0" w:color="auto"/>
                  </w:divBdr>
                  <w:divsChild>
                    <w:div w:id="10972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46579">
      <w:bodyDiv w:val="1"/>
      <w:marLeft w:val="0"/>
      <w:marRight w:val="0"/>
      <w:marTop w:val="0"/>
      <w:marBottom w:val="0"/>
      <w:divBdr>
        <w:top w:val="none" w:sz="0" w:space="0" w:color="auto"/>
        <w:left w:val="none" w:sz="0" w:space="0" w:color="auto"/>
        <w:bottom w:val="none" w:sz="0" w:space="0" w:color="auto"/>
        <w:right w:val="none" w:sz="0" w:space="0" w:color="auto"/>
      </w:divBdr>
      <w:divsChild>
        <w:div w:id="135030640">
          <w:marLeft w:val="0"/>
          <w:marRight w:val="0"/>
          <w:marTop w:val="0"/>
          <w:marBottom w:val="0"/>
          <w:divBdr>
            <w:top w:val="none" w:sz="0" w:space="0" w:color="auto"/>
            <w:left w:val="none" w:sz="0" w:space="0" w:color="auto"/>
            <w:bottom w:val="none" w:sz="0" w:space="0" w:color="auto"/>
            <w:right w:val="none" w:sz="0" w:space="0" w:color="auto"/>
          </w:divBdr>
          <w:divsChild>
            <w:div w:id="679817780">
              <w:marLeft w:val="0"/>
              <w:marRight w:val="0"/>
              <w:marTop w:val="0"/>
              <w:marBottom w:val="0"/>
              <w:divBdr>
                <w:top w:val="none" w:sz="0" w:space="0" w:color="auto"/>
                <w:left w:val="none" w:sz="0" w:space="0" w:color="auto"/>
                <w:bottom w:val="none" w:sz="0" w:space="0" w:color="auto"/>
                <w:right w:val="none" w:sz="0" w:space="0" w:color="auto"/>
              </w:divBdr>
              <w:divsChild>
                <w:div w:id="14616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98037">
      <w:bodyDiv w:val="1"/>
      <w:marLeft w:val="0"/>
      <w:marRight w:val="0"/>
      <w:marTop w:val="0"/>
      <w:marBottom w:val="0"/>
      <w:divBdr>
        <w:top w:val="none" w:sz="0" w:space="0" w:color="auto"/>
        <w:left w:val="none" w:sz="0" w:space="0" w:color="auto"/>
        <w:bottom w:val="none" w:sz="0" w:space="0" w:color="auto"/>
        <w:right w:val="none" w:sz="0" w:space="0" w:color="auto"/>
      </w:divBdr>
      <w:divsChild>
        <w:div w:id="154998614">
          <w:marLeft w:val="0"/>
          <w:marRight w:val="0"/>
          <w:marTop w:val="0"/>
          <w:marBottom w:val="0"/>
          <w:divBdr>
            <w:top w:val="none" w:sz="0" w:space="0" w:color="auto"/>
            <w:left w:val="none" w:sz="0" w:space="0" w:color="auto"/>
            <w:bottom w:val="none" w:sz="0" w:space="0" w:color="auto"/>
            <w:right w:val="none" w:sz="0" w:space="0" w:color="auto"/>
          </w:divBdr>
          <w:divsChild>
            <w:div w:id="679354691">
              <w:marLeft w:val="0"/>
              <w:marRight w:val="0"/>
              <w:marTop w:val="0"/>
              <w:marBottom w:val="0"/>
              <w:divBdr>
                <w:top w:val="none" w:sz="0" w:space="0" w:color="auto"/>
                <w:left w:val="none" w:sz="0" w:space="0" w:color="auto"/>
                <w:bottom w:val="none" w:sz="0" w:space="0" w:color="auto"/>
                <w:right w:val="none" w:sz="0" w:space="0" w:color="auto"/>
              </w:divBdr>
              <w:divsChild>
                <w:div w:id="5940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30411">
      <w:bodyDiv w:val="1"/>
      <w:marLeft w:val="0"/>
      <w:marRight w:val="0"/>
      <w:marTop w:val="0"/>
      <w:marBottom w:val="0"/>
      <w:divBdr>
        <w:top w:val="none" w:sz="0" w:space="0" w:color="auto"/>
        <w:left w:val="none" w:sz="0" w:space="0" w:color="auto"/>
        <w:bottom w:val="none" w:sz="0" w:space="0" w:color="auto"/>
        <w:right w:val="none" w:sz="0" w:space="0" w:color="auto"/>
      </w:divBdr>
      <w:divsChild>
        <w:div w:id="781922530">
          <w:marLeft w:val="0"/>
          <w:marRight w:val="0"/>
          <w:marTop w:val="0"/>
          <w:marBottom w:val="0"/>
          <w:divBdr>
            <w:top w:val="none" w:sz="0" w:space="0" w:color="auto"/>
            <w:left w:val="none" w:sz="0" w:space="0" w:color="auto"/>
            <w:bottom w:val="none" w:sz="0" w:space="0" w:color="auto"/>
            <w:right w:val="none" w:sz="0" w:space="0" w:color="auto"/>
          </w:divBdr>
          <w:divsChild>
            <w:div w:id="2060085783">
              <w:marLeft w:val="0"/>
              <w:marRight w:val="0"/>
              <w:marTop w:val="0"/>
              <w:marBottom w:val="0"/>
              <w:divBdr>
                <w:top w:val="none" w:sz="0" w:space="0" w:color="auto"/>
                <w:left w:val="none" w:sz="0" w:space="0" w:color="auto"/>
                <w:bottom w:val="none" w:sz="0" w:space="0" w:color="auto"/>
                <w:right w:val="none" w:sz="0" w:space="0" w:color="auto"/>
              </w:divBdr>
              <w:divsChild>
                <w:div w:id="121642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6786">
      <w:bodyDiv w:val="1"/>
      <w:marLeft w:val="0"/>
      <w:marRight w:val="0"/>
      <w:marTop w:val="0"/>
      <w:marBottom w:val="0"/>
      <w:divBdr>
        <w:top w:val="none" w:sz="0" w:space="0" w:color="auto"/>
        <w:left w:val="none" w:sz="0" w:space="0" w:color="auto"/>
        <w:bottom w:val="none" w:sz="0" w:space="0" w:color="auto"/>
        <w:right w:val="none" w:sz="0" w:space="0" w:color="auto"/>
      </w:divBdr>
      <w:divsChild>
        <w:div w:id="1772702714">
          <w:marLeft w:val="0"/>
          <w:marRight w:val="0"/>
          <w:marTop w:val="0"/>
          <w:marBottom w:val="0"/>
          <w:divBdr>
            <w:top w:val="none" w:sz="0" w:space="0" w:color="auto"/>
            <w:left w:val="none" w:sz="0" w:space="0" w:color="auto"/>
            <w:bottom w:val="none" w:sz="0" w:space="0" w:color="auto"/>
            <w:right w:val="none" w:sz="0" w:space="0" w:color="auto"/>
          </w:divBdr>
          <w:divsChild>
            <w:div w:id="1632856391">
              <w:marLeft w:val="0"/>
              <w:marRight w:val="0"/>
              <w:marTop w:val="0"/>
              <w:marBottom w:val="0"/>
              <w:divBdr>
                <w:top w:val="none" w:sz="0" w:space="0" w:color="auto"/>
                <w:left w:val="none" w:sz="0" w:space="0" w:color="auto"/>
                <w:bottom w:val="none" w:sz="0" w:space="0" w:color="auto"/>
                <w:right w:val="none" w:sz="0" w:space="0" w:color="auto"/>
              </w:divBdr>
              <w:divsChild>
                <w:div w:id="19471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121">
      <w:bodyDiv w:val="1"/>
      <w:marLeft w:val="0"/>
      <w:marRight w:val="0"/>
      <w:marTop w:val="0"/>
      <w:marBottom w:val="0"/>
      <w:divBdr>
        <w:top w:val="none" w:sz="0" w:space="0" w:color="auto"/>
        <w:left w:val="none" w:sz="0" w:space="0" w:color="auto"/>
        <w:bottom w:val="none" w:sz="0" w:space="0" w:color="auto"/>
        <w:right w:val="none" w:sz="0" w:space="0" w:color="auto"/>
      </w:divBdr>
      <w:divsChild>
        <w:div w:id="2000842122">
          <w:marLeft w:val="0"/>
          <w:marRight w:val="0"/>
          <w:marTop w:val="0"/>
          <w:marBottom w:val="0"/>
          <w:divBdr>
            <w:top w:val="none" w:sz="0" w:space="0" w:color="auto"/>
            <w:left w:val="none" w:sz="0" w:space="0" w:color="auto"/>
            <w:bottom w:val="none" w:sz="0" w:space="0" w:color="auto"/>
            <w:right w:val="none" w:sz="0" w:space="0" w:color="auto"/>
          </w:divBdr>
          <w:divsChild>
            <w:div w:id="578563889">
              <w:marLeft w:val="0"/>
              <w:marRight w:val="0"/>
              <w:marTop w:val="0"/>
              <w:marBottom w:val="0"/>
              <w:divBdr>
                <w:top w:val="none" w:sz="0" w:space="0" w:color="auto"/>
                <w:left w:val="none" w:sz="0" w:space="0" w:color="auto"/>
                <w:bottom w:val="none" w:sz="0" w:space="0" w:color="auto"/>
                <w:right w:val="none" w:sz="0" w:space="0" w:color="auto"/>
              </w:divBdr>
              <w:divsChild>
                <w:div w:id="13533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1817">
      <w:bodyDiv w:val="1"/>
      <w:marLeft w:val="0"/>
      <w:marRight w:val="0"/>
      <w:marTop w:val="0"/>
      <w:marBottom w:val="0"/>
      <w:divBdr>
        <w:top w:val="none" w:sz="0" w:space="0" w:color="auto"/>
        <w:left w:val="none" w:sz="0" w:space="0" w:color="auto"/>
        <w:bottom w:val="none" w:sz="0" w:space="0" w:color="auto"/>
        <w:right w:val="none" w:sz="0" w:space="0" w:color="auto"/>
      </w:divBdr>
      <w:divsChild>
        <w:div w:id="630866888">
          <w:marLeft w:val="0"/>
          <w:marRight w:val="0"/>
          <w:marTop w:val="0"/>
          <w:marBottom w:val="0"/>
          <w:divBdr>
            <w:top w:val="none" w:sz="0" w:space="0" w:color="auto"/>
            <w:left w:val="none" w:sz="0" w:space="0" w:color="auto"/>
            <w:bottom w:val="none" w:sz="0" w:space="0" w:color="auto"/>
            <w:right w:val="none" w:sz="0" w:space="0" w:color="auto"/>
          </w:divBdr>
          <w:divsChild>
            <w:div w:id="1643315368">
              <w:marLeft w:val="0"/>
              <w:marRight w:val="0"/>
              <w:marTop w:val="0"/>
              <w:marBottom w:val="0"/>
              <w:divBdr>
                <w:top w:val="none" w:sz="0" w:space="0" w:color="auto"/>
                <w:left w:val="none" w:sz="0" w:space="0" w:color="auto"/>
                <w:bottom w:val="none" w:sz="0" w:space="0" w:color="auto"/>
                <w:right w:val="none" w:sz="0" w:space="0" w:color="auto"/>
              </w:divBdr>
              <w:divsChild>
                <w:div w:id="911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85642">
      <w:bodyDiv w:val="1"/>
      <w:marLeft w:val="0"/>
      <w:marRight w:val="0"/>
      <w:marTop w:val="0"/>
      <w:marBottom w:val="0"/>
      <w:divBdr>
        <w:top w:val="none" w:sz="0" w:space="0" w:color="auto"/>
        <w:left w:val="none" w:sz="0" w:space="0" w:color="auto"/>
        <w:bottom w:val="none" w:sz="0" w:space="0" w:color="auto"/>
        <w:right w:val="none" w:sz="0" w:space="0" w:color="auto"/>
      </w:divBdr>
      <w:divsChild>
        <w:div w:id="808670590">
          <w:marLeft w:val="0"/>
          <w:marRight w:val="0"/>
          <w:marTop w:val="0"/>
          <w:marBottom w:val="0"/>
          <w:divBdr>
            <w:top w:val="none" w:sz="0" w:space="0" w:color="auto"/>
            <w:left w:val="none" w:sz="0" w:space="0" w:color="auto"/>
            <w:bottom w:val="none" w:sz="0" w:space="0" w:color="auto"/>
            <w:right w:val="none" w:sz="0" w:space="0" w:color="auto"/>
          </w:divBdr>
          <w:divsChild>
            <w:div w:id="1123841660">
              <w:marLeft w:val="0"/>
              <w:marRight w:val="0"/>
              <w:marTop w:val="0"/>
              <w:marBottom w:val="0"/>
              <w:divBdr>
                <w:top w:val="none" w:sz="0" w:space="0" w:color="auto"/>
                <w:left w:val="none" w:sz="0" w:space="0" w:color="auto"/>
                <w:bottom w:val="none" w:sz="0" w:space="0" w:color="auto"/>
                <w:right w:val="none" w:sz="0" w:space="0" w:color="auto"/>
              </w:divBdr>
              <w:divsChild>
                <w:div w:id="8384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82483">
      <w:bodyDiv w:val="1"/>
      <w:marLeft w:val="0"/>
      <w:marRight w:val="0"/>
      <w:marTop w:val="0"/>
      <w:marBottom w:val="0"/>
      <w:divBdr>
        <w:top w:val="none" w:sz="0" w:space="0" w:color="auto"/>
        <w:left w:val="none" w:sz="0" w:space="0" w:color="auto"/>
        <w:bottom w:val="none" w:sz="0" w:space="0" w:color="auto"/>
        <w:right w:val="none" w:sz="0" w:space="0" w:color="auto"/>
      </w:divBdr>
      <w:divsChild>
        <w:div w:id="1170948226">
          <w:marLeft w:val="0"/>
          <w:marRight w:val="0"/>
          <w:marTop w:val="0"/>
          <w:marBottom w:val="0"/>
          <w:divBdr>
            <w:top w:val="none" w:sz="0" w:space="0" w:color="auto"/>
            <w:left w:val="none" w:sz="0" w:space="0" w:color="auto"/>
            <w:bottom w:val="none" w:sz="0" w:space="0" w:color="auto"/>
            <w:right w:val="none" w:sz="0" w:space="0" w:color="auto"/>
          </w:divBdr>
          <w:divsChild>
            <w:div w:id="25105054">
              <w:marLeft w:val="0"/>
              <w:marRight w:val="0"/>
              <w:marTop w:val="0"/>
              <w:marBottom w:val="0"/>
              <w:divBdr>
                <w:top w:val="none" w:sz="0" w:space="0" w:color="auto"/>
                <w:left w:val="none" w:sz="0" w:space="0" w:color="auto"/>
                <w:bottom w:val="none" w:sz="0" w:space="0" w:color="auto"/>
                <w:right w:val="none" w:sz="0" w:space="0" w:color="auto"/>
              </w:divBdr>
              <w:divsChild>
                <w:div w:id="18816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03184">
      <w:bodyDiv w:val="1"/>
      <w:marLeft w:val="0"/>
      <w:marRight w:val="0"/>
      <w:marTop w:val="0"/>
      <w:marBottom w:val="0"/>
      <w:divBdr>
        <w:top w:val="none" w:sz="0" w:space="0" w:color="auto"/>
        <w:left w:val="none" w:sz="0" w:space="0" w:color="auto"/>
        <w:bottom w:val="none" w:sz="0" w:space="0" w:color="auto"/>
        <w:right w:val="none" w:sz="0" w:space="0" w:color="auto"/>
      </w:divBdr>
      <w:divsChild>
        <w:div w:id="1600793315">
          <w:marLeft w:val="0"/>
          <w:marRight w:val="0"/>
          <w:marTop w:val="0"/>
          <w:marBottom w:val="0"/>
          <w:divBdr>
            <w:top w:val="none" w:sz="0" w:space="0" w:color="auto"/>
            <w:left w:val="none" w:sz="0" w:space="0" w:color="auto"/>
            <w:bottom w:val="none" w:sz="0" w:space="0" w:color="auto"/>
            <w:right w:val="none" w:sz="0" w:space="0" w:color="auto"/>
          </w:divBdr>
          <w:divsChild>
            <w:div w:id="1992246830">
              <w:marLeft w:val="0"/>
              <w:marRight w:val="0"/>
              <w:marTop w:val="0"/>
              <w:marBottom w:val="0"/>
              <w:divBdr>
                <w:top w:val="none" w:sz="0" w:space="0" w:color="auto"/>
                <w:left w:val="none" w:sz="0" w:space="0" w:color="auto"/>
                <w:bottom w:val="none" w:sz="0" w:space="0" w:color="auto"/>
                <w:right w:val="none" w:sz="0" w:space="0" w:color="auto"/>
              </w:divBdr>
              <w:divsChild>
                <w:div w:id="10394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0180">
      <w:bodyDiv w:val="1"/>
      <w:marLeft w:val="0"/>
      <w:marRight w:val="0"/>
      <w:marTop w:val="0"/>
      <w:marBottom w:val="0"/>
      <w:divBdr>
        <w:top w:val="none" w:sz="0" w:space="0" w:color="auto"/>
        <w:left w:val="none" w:sz="0" w:space="0" w:color="auto"/>
        <w:bottom w:val="none" w:sz="0" w:space="0" w:color="auto"/>
        <w:right w:val="none" w:sz="0" w:space="0" w:color="auto"/>
      </w:divBdr>
      <w:divsChild>
        <w:div w:id="1880970132">
          <w:marLeft w:val="0"/>
          <w:marRight w:val="0"/>
          <w:marTop w:val="0"/>
          <w:marBottom w:val="0"/>
          <w:divBdr>
            <w:top w:val="none" w:sz="0" w:space="0" w:color="auto"/>
            <w:left w:val="none" w:sz="0" w:space="0" w:color="auto"/>
            <w:bottom w:val="none" w:sz="0" w:space="0" w:color="auto"/>
            <w:right w:val="none" w:sz="0" w:space="0" w:color="auto"/>
          </w:divBdr>
          <w:divsChild>
            <w:div w:id="405422394">
              <w:marLeft w:val="0"/>
              <w:marRight w:val="0"/>
              <w:marTop w:val="0"/>
              <w:marBottom w:val="0"/>
              <w:divBdr>
                <w:top w:val="none" w:sz="0" w:space="0" w:color="auto"/>
                <w:left w:val="none" w:sz="0" w:space="0" w:color="auto"/>
                <w:bottom w:val="none" w:sz="0" w:space="0" w:color="auto"/>
                <w:right w:val="none" w:sz="0" w:space="0" w:color="auto"/>
              </w:divBdr>
              <w:divsChild>
                <w:div w:id="18253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6447">
      <w:bodyDiv w:val="1"/>
      <w:marLeft w:val="0"/>
      <w:marRight w:val="0"/>
      <w:marTop w:val="0"/>
      <w:marBottom w:val="0"/>
      <w:divBdr>
        <w:top w:val="none" w:sz="0" w:space="0" w:color="auto"/>
        <w:left w:val="none" w:sz="0" w:space="0" w:color="auto"/>
        <w:bottom w:val="none" w:sz="0" w:space="0" w:color="auto"/>
        <w:right w:val="none" w:sz="0" w:space="0" w:color="auto"/>
      </w:divBdr>
      <w:divsChild>
        <w:div w:id="662582492">
          <w:marLeft w:val="0"/>
          <w:marRight w:val="0"/>
          <w:marTop w:val="0"/>
          <w:marBottom w:val="0"/>
          <w:divBdr>
            <w:top w:val="none" w:sz="0" w:space="0" w:color="auto"/>
            <w:left w:val="none" w:sz="0" w:space="0" w:color="auto"/>
            <w:bottom w:val="none" w:sz="0" w:space="0" w:color="auto"/>
            <w:right w:val="none" w:sz="0" w:space="0" w:color="auto"/>
          </w:divBdr>
          <w:divsChild>
            <w:div w:id="1679192036">
              <w:marLeft w:val="0"/>
              <w:marRight w:val="0"/>
              <w:marTop w:val="0"/>
              <w:marBottom w:val="0"/>
              <w:divBdr>
                <w:top w:val="none" w:sz="0" w:space="0" w:color="auto"/>
                <w:left w:val="none" w:sz="0" w:space="0" w:color="auto"/>
                <w:bottom w:val="none" w:sz="0" w:space="0" w:color="auto"/>
                <w:right w:val="none" w:sz="0" w:space="0" w:color="auto"/>
              </w:divBdr>
              <w:divsChild>
                <w:div w:id="2013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75379">
      <w:bodyDiv w:val="1"/>
      <w:marLeft w:val="0"/>
      <w:marRight w:val="0"/>
      <w:marTop w:val="0"/>
      <w:marBottom w:val="0"/>
      <w:divBdr>
        <w:top w:val="none" w:sz="0" w:space="0" w:color="auto"/>
        <w:left w:val="none" w:sz="0" w:space="0" w:color="auto"/>
        <w:bottom w:val="none" w:sz="0" w:space="0" w:color="auto"/>
        <w:right w:val="none" w:sz="0" w:space="0" w:color="auto"/>
      </w:divBdr>
      <w:divsChild>
        <w:div w:id="1290434951">
          <w:marLeft w:val="0"/>
          <w:marRight w:val="0"/>
          <w:marTop w:val="0"/>
          <w:marBottom w:val="0"/>
          <w:divBdr>
            <w:top w:val="none" w:sz="0" w:space="0" w:color="auto"/>
            <w:left w:val="none" w:sz="0" w:space="0" w:color="auto"/>
            <w:bottom w:val="none" w:sz="0" w:space="0" w:color="auto"/>
            <w:right w:val="none" w:sz="0" w:space="0" w:color="auto"/>
          </w:divBdr>
          <w:divsChild>
            <w:div w:id="961502176">
              <w:marLeft w:val="0"/>
              <w:marRight w:val="0"/>
              <w:marTop w:val="0"/>
              <w:marBottom w:val="0"/>
              <w:divBdr>
                <w:top w:val="none" w:sz="0" w:space="0" w:color="auto"/>
                <w:left w:val="none" w:sz="0" w:space="0" w:color="auto"/>
                <w:bottom w:val="none" w:sz="0" w:space="0" w:color="auto"/>
                <w:right w:val="none" w:sz="0" w:space="0" w:color="auto"/>
              </w:divBdr>
              <w:divsChild>
                <w:div w:id="1502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43650">
      <w:bodyDiv w:val="1"/>
      <w:marLeft w:val="0"/>
      <w:marRight w:val="0"/>
      <w:marTop w:val="0"/>
      <w:marBottom w:val="0"/>
      <w:divBdr>
        <w:top w:val="none" w:sz="0" w:space="0" w:color="auto"/>
        <w:left w:val="none" w:sz="0" w:space="0" w:color="auto"/>
        <w:bottom w:val="none" w:sz="0" w:space="0" w:color="auto"/>
        <w:right w:val="none" w:sz="0" w:space="0" w:color="auto"/>
      </w:divBdr>
      <w:divsChild>
        <w:div w:id="827402943">
          <w:marLeft w:val="0"/>
          <w:marRight w:val="0"/>
          <w:marTop w:val="0"/>
          <w:marBottom w:val="0"/>
          <w:divBdr>
            <w:top w:val="none" w:sz="0" w:space="0" w:color="auto"/>
            <w:left w:val="none" w:sz="0" w:space="0" w:color="auto"/>
            <w:bottom w:val="none" w:sz="0" w:space="0" w:color="auto"/>
            <w:right w:val="none" w:sz="0" w:space="0" w:color="auto"/>
          </w:divBdr>
          <w:divsChild>
            <w:div w:id="1400056446">
              <w:marLeft w:val="0"/>
              <w:marRight w:val="0"/>
              <w:marTop w:val="0"/>
              <w:marBottom w:val="0"/>
              <w:divBdr>
                <w:top w:val="none" w:sz="0" w:space="0" w:color="auto"/>
                <w:left w:val="none" w:sz="0" w:space="0" w:color="auto"/>
                <w:bottom w:val="none" w:sz="0" w:space="0" w:color="auto"/>
                <w:right w:val="none" w:sz="0" w:space="0" w:color="auto"/>
              </w:divBdr>
              <w:divsChild>
                <w:div w:id="602685840">
                  <w:marLeft w:val="0"/>
                  <w:marRight w:val="0"/>
                  <w:marTop w:val="0"/>
                  <w:marBottom w:val="0"/>
                  <w:divBdr>
                    <w:top w:val="none" w:sz="0" w:space="0" w:color="auto"/>
                    <w:left w:val="none" w:sz="0" w:space="0" w:color="auto"/>
                    <w:bottom w:val="none" w:sz="0" w:space="0" w:color="auto"/>
                    <w:right w:val="none" w:sz="0" w:space="0" w:color="auto"/>
                  </w:divBdr>
                  <w:divsChild>
                    <w:div w:id="19795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92590">
      <w:bodyDiv w:val="1"/>
      <w:marLeft w:val="0"/>
      <w:marRight w:val="0"/>
      <w:marTop w:val="0"/>
      <w:marBottom w:val="0"/>
      <w:divBdr>
        <w:top w:val="none" w:sz="0" w:space="0" w:color="auto"/>
        <w:left w:val="none" w:sz="0" w:space="0" w:color="auto"/>
        <w:bottom w:val="none" w:sz="0" w:space="0" w:color="auto"/>
        <w:right w:val="none" w:sz="0" w:space="0" w:color="auto"/>
      </w:divBdr>
      <w:divsChild>
        <w:div w:id="524949795">
          <w:marLeft w:val="0"/>
          <w:marRight w:val="0"/>
          <w:marTop w:val="0"/>
          <w:marBottom w:val="0"/>
          <w:divBdr>
            <w:top w:val="none" w:sz="0" w:space="0" w:color="auto"/>
            <w:left w:val="none" w:sz="0" w:space="0" w:color="auto"/>
            <w:bottom w:val="none" w:sz="0" w:space="0" w:color="auto"/>
            <w:right w:val="none" w:sz="0" w:space="0" w:color="auto"/>
          </w:divBdr>
          <w:divsChild>
            <w:div w:id="1418744158">
              <w:marLeft w:val="0"/>
              <w:marRight w:val="0"/>
              <w:marTop w:val="0"/>
              <w:marBottom w:val="0"/>
              <w:divBdr>
                <w:top w:val="none" w:sz="0" w:space="0" w:color="auto"/>
                <w:left w:val="none" w:sz="0" w:space="0" w:color="auto"/>
                <w:bottom w:val="none" w:sz="0" w:space="0" w:color="auto"/>
                <w:right w:val="none" w:sz="0" w:space="0" w:color="auto"/>
              </w:divBdr>
              <w:divsChild>
                <w:div w:id="6104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6187">
      <w:bodyDiv w:val="1"/>
      <w:marLeft w:val="0"/>
      <w:marRight w:val="0"/>
      <w:marTop w:val="0"/>
      <w:marBottom w:val="0"/>
      <w:divBdr>
        <w:top w:val="none" w:sz="0" w:space="0" w:color="auto"/>
        <w:left w:val="none" w:sz="0" w:space="0" w:color="auto"/>
        <w:bottom w:val="none" w:sz="0" w:space="0" w:color="auto"/>
        <w:right w:val="none" w:sz="0" w:space="0" w:color="auto"/>
      </w:divBdr>
      <w:divsChild>
        <w:div w:id="982319630">
          <w:marLeft w:val="0"/>
          <w:marRight w:val="0"/>
          <w:marTop w:val="0"/>
          <w:marBottom w:val="0"/>
          <w:divBdr>
            <w:top w:val="none" w:sz="0" w:space="0" w:color="auto"/>
            <w:left w:val="none" w:sz="0" w:space="0" w:color="auto"/>
            <w:bottom w:val="none" w:sz="0" w:space="0" w:color="auto"/>
            <w:right w:val="none" w:sz="0" w:space="0" w:color="auto"/>
          </w:divBdr>
          <w:divsChild>
            <w:div w:id="1213157213">
              <w:marLeft w:val="0"/>
              <w:marRight w:val="0"/>
              <w:marTop w:val="0"/>
              <w:marBottom w:val="0"/>
              <w:divBdr>
                <w:top w:val="none" w:sz="0" w:space="0" w:color="auto"/>
                <w:left w:val="none" w:sz="0" w:space="0" w:color="auto"/>
                <w:bottom w:val="none" w:sz="0" w:space="0" w:color="auto"/>
                <w:right w:val="none" w:sz="0" w:space="0" w:color="auto"/>
              </w:divBdr>
              <w:divsChild>
                <w:div w:id="174988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70743">
      <w:bodyDiv w:val="1"/>
      <w:marLeft w:val="0"/>
      <w:marRight w:val="0"/>
      <w:marTop w:val="0"/>
      <w:marBottom w:val="0"/>
      <w:divBdr>
        <w:top w:val="none" w:sz="0" w:space="0" w:color="auto"/>
        <w:left w:val="none" w:sz="0" w:space="0" w:color="auto"/>
        <w:bottom w:val="none" w:sz="0" w:space="0" w:color="auto"/>
        <w:right w:val="none" w:sz="0" w:space="0" w:color="auto"/>
      </w:divBdr>
      <w:divsChild>
        <w:div w:id="1293949713">
          <w:marLeft w:val="0"/>
          <w:marRight w:val="0"/>
          <w:marTop w:val="0"/>
          <w:marBottom w:val="0"/>
          <w:divBdr>
            <w:top w:val="none" w:sz="0" w:space="0" w:color="auto"/>
            <w:left w:val="none" w:sz="0" w:space="0" w:color="auto"/>
            <w:bottom w:val="none" w:sz="0" w:space="0" w:color="auto"/>
            <w:right w:val="none" w:sz="0" w:space="0" w:color="auto"/>
          </w:divBdr>
          <w:divsChild>
            <w:div w:id="51739855">
              <w:marLeft w:val="0"/>
              <w:marRight w:val="0"/>
              <w:marTop w:val="0"/>
              <w:marBottom w:val="0"/>
              <w:divBdr>
                <w:top w:val="none" w:sz="0" w:space="0" w:color="auto"/>
                <w:left w:val="none" w:sz="0" w:space="0" w:color="auto"/>
                <w:bottom w:val="none" w:sz="0" w:space="0" w:color="auto"/>
                <w:right w:val="none" w:sz="0" w:space="0" w:color="auto"/>
              </w:divBdr>
              <w:divsChild>
                <w:div w:id="2343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1626">
      <w:bodyDiv w:val="1"/>
      <w:marLeft w:val="0"/>
      <w:marRight w:val="0"/>
      <w:marTop w:val="0"/>
      <w:marBottom w:val="0"/>
      <w:divBdr>
        <w:top w:val="none" w:sz="0" w:space="0" w:color="auto"/>
        <w:left w:val="none" w:sz="0" w:space="0" w:color="auto"/>
        <w:bottom w:val="none" w:sz="0" w:space="0" w:color="auto"/>
        <w:right w:val="none" w:sz="0" w:space="0" w:color="auto"/>
      </w:divBdr>
      <w:divsChild>
        <w:div w:id="40833281">
          <w:marLeft w:val="0"/>
          <w:marRight w:val="0"/>
          <w:marTop w:val="0"/>
          <w:marBottom w:val="0"/>
          <w:divBdr>
            <w:top w:val="none" w:sz="0" w:space="0" w:color="auto"/>
            <w:left w:val="none" w:sz="0" w:space="0" w:color="auto"/>
            <w:bottom w:val="none" w:sz="0" w:space="0" w:color="auto"/>
            <w:right w:val="none" w:sz="0" w:space="0" w:color="auto"/>
          </w:divBdr>
          <w:divsChild>
            <w:div w:id="417875182">
              <w:marLeft w:val="0"/>
              <w:marRight w:val="0"/>
              <w:marTop w:val="0"/>
              <w:marBottom w:val="0"/>
              <w:divBdr>
                <w:top w:val="none" w:sz="0" w:space="0" w:color="auto"/>
                <w:left w:val="none" w:sz="0" w:space="0" w:color="auto"/>
                <w:bottom w:val="none" w:sz="0" w:space="0" w:color="auto"/>
                <w:right w:val="none" w:sz="0" w:space="0" w:color="auto"/>
              </w:divBdr>
              <w:divsChild>
                <w:div w:id="2144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0870">
      <w:bodyDiv w:val="1"/>
      <w:marLeft w:val="0"/>
      <w:marRight w:val="0"/>
      <w:marTop w:val="0"/>
      <w:marBottom w:val="0"/>
      <w:divBdr>
        <w:top w:val="none" w:sz="0" w:space="0" w:color="auto"/>
        <w:left w:val="none" w:sz="0" w:space="0" w:color="auto"/>
        <w:bottom w:val="none" w:sz="0" w:space="0" w:color="auto"/>
        <w:right w:val="none" w:sz="0" w:space="0" w:color="auto"/>
      </w:divBdr>
      <w:divsChild>
        <w:div w:id="254289071">
          <w:marLeft w:val="0"/>
          <w:marRight w:val="0"/>
          <w:marTop w:val="0"/>
          <w:marBottom w:val="0"/>
          <w:divBdr>
            <w:top w:val="none" w:sz="0" w:space="0" w:color="auto"/>
            <w:left w:val="none" w:sz="0" w:space="0" w:color="auto"/>
            <w:bottom w:val="none" w:sz="0" w:space="0" w:color="auto"/>
            <w:right w:val="none" w:sz="0" w:space="0" w:color="auto"/>
          </w:divBdr>
          <w:divsChild>
            <w:div w:id="1387028901">
              <w:marLeft w:val="0"/>
              <w:marRight w:val="0"/>
              <w:marTop w:val="0"/>
              <w:marBottom w:val="0"/>
              <w:divBdr>
                <w:top w:val="none" w:sz="0" w:space="0" w:color="auto"/>
                <w:left w:val="none" w:sz="0" w:space="0" w:color="auto"/>
                <w:bottom w:val="none" w:sz="0" w:space="0" w:color="auto"/>
                <w:right w:val="none" w:sz="0" w:space="0" w:color="auto"/>
              </w:divBdr>
              <w:divsChild>
                <w:div w:id="15230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911">
      <w:bodyDiv w:val="1"/>
      <w:marLeft w:val="0"/>
      <w:marRight w:val="0"/>
      <w:marTop w:val="0"/>
      <w:marBottom w:val="0"/>
      <w:divBdr>
        <w:top w:val="none" w:sz="0" w:space="0" w:color="auto"/>
        <w:left w:val="none" w:sz="0" w:space="0" w:color="auto"/>
        <w:bottom w:val="none" w:sz="0" w:space="0" w:color="auto"/>
        <w:right w:val="none" w:sz="0" w:space="0" w:color="auto"/>
      </w:divBdr>
      <w:divsChild>
        <w:div w:id="474226533">
          <w:marLeft w:val="0"/>
          <w:marRight w:val="0"/>
          <w:marTop w:val="0"/>
          <w:marBottom w:val="0"/>
          <w:divBdr>
            <w:top w:val="none" w:sz="0" w:space="0" w:color="auto"/>
            <w:left w:val="none" w:sz="0" w:space="0" w:color="auto"/>
            <w:bottom w:val="none" w:sz="0" w:space="0" w:color="auto"/>
            <w:right w:val="none" w:sz="0" w:space="0" w:color="auto"/>
          </w:divBdr>
          <w:divsChild>
            <w:div w:id="1682702770">
              <w:marLeft w:val="0"/>
              <w:marRight w:val="0"/>
              <w:marTop w:val="0"/>
              <w:marBottom w:val="0"/>
              <w:divBdr>
                <w:top w:val="none" w:sz="0" w:space="0" w:color="auto"/>
                <w:left w:val="none" w:sz="0" w:space="0" w:color="auto"/>
                <w:bottom w:val="none" w:sz="0" w:space="0" w:color="auto"/>
                <w:right w:val="none" w:sz="0" w:space="0" w:color="auto"/>
              </w:divBdr>
              <w:divsChild>
                <w:div w:id="9522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53669">
      <w:bodyDiv w:val="1"/>
      <w:marLeft w:val="0"/>
      <w:marRight w:val="0"/>
      <w:marTop w:val="0"/>
      <w:marBottom w:val="0"/>
      <w:divBdr>
        <w:top w:val="none" w:sz="0" w:space="0" w:color="auto"/>
        <w:left w:val="none" w:sz="0" w:space="0" w:color="auto"/>
        <w:bottom w:val="none" w:sz="0" w:space="0" w:color="auto"/>
        <w:right w:val="none" w:sz="0" w:space="0" w:color="auto"/>
      </w:divBdr>
      <w:divsChild>
        <w:div w:id="471406356">
          <w:marLeft w:val="0"/>
          <w:marRight w:val="0"/>
          <w:marTop w:val="0"/>
          <w:marBottom w:val="0"/>
          <w:divBdr>
            <w:top w:val="none" w:sz="0" w:space="0" w:color="auto"/>
            <w:left w:val="none" w:sz="0" w:space="0" w:color="auto"/>
            <w:bottom w:val="none" w:sz="0" w:space="0" w:color="auto"/>
            <w:right w:val="none" w:sz="0" w:space="0" w:color="auto"/>
          </w:divBdr>
          <w:divsChild>
            <w:div w:id="1066150355">
              <w:marLeft w:val="0"/>
              <w:marRight w:val="0"/>
              <w:marTop w:val="0"/>
              <w:marBottom w:val="0"/>
              <w:divBdr>
                <w:top w:val="none" w:sz="0" w:space="0" w:color="auto"/>
                <w:left w:val="none" w:sz="0" w:space="0" w:color="auto"/>
                <w:bottom w:val="none" w:sz="0" w:space="0" w:color="auto"/>
                <w:right w:val="none" w:sz="0" w:space="0" w:color="auto"/>
              </w:divBdr>
              <w:divsChild>
                <w:div w:id="19022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2367">
      <w:bodyDiv w:val="1"/>
      <w:marLeft w:val="0"/>
      <w:marRight w:val="0"/>
      <w:marTop w:val="0"/>
      <w:marBottom w:val="0"/>
      <w:divBdr>
        <w:top w:val="none" w:sz="0" w:space="0" w:color="auto"/>
        <w:left w:val="none" w:sz="0" w:space="0" w:color="auto"/>
        <w:bottom w:val="none" w:sz="0" w:space="0" w:color="auto"/>
        <w:right w:val="none" w:sz="0" w:space="0" w:color="auto"/>
      </w:divBdr>
      <w:divsChild>
        <w:div w:id="418990608">
          <w:marLeft w:val="0"/>
          <w:marRight w:val="0"/>
          <w:marTop w:val="0"/>
          <w:marBottom w:val="0"/>
          <w:divBdr>
            <w:top w:val="none" w:sz="0" w:space="0" w:color="auto"/>
            <w:left w:val="none" w:sz="0" w:space="0" w:color="auto"/>
            <w:bottom w:val="none" w:sz="0" w:space="0" w:color="auto"/>
            <w:right w:val="none" w:sz="0" w:space="0" w:color="auto"/>
          </w:divBdr>
          <w:divsChild>
            <w:div w:id="1108310936">
              <w:marLeft w:val="0"/>
              <w:marRight w:val="0"/>
              <w:marTop w:val="0"/>
              <w:marBottom w:val="0"/>
              <w:divBdr>
                <w:top w:val="none" w:sz="0" w:space="0" w:color="auto"/>
                <w:left w:val="none" w:sz="0" w:space="0" w:color="auto"/>
                <w:bottom w:val="none" w:sz="0" w:space="0" w:color="auto"/>
                <w:right w:val="none" w:sz="0" w:space="0" w:color="auto"/>
              </w:divBdr>
              <w:divsChild>
                <w:div w:id="688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69608">
      <w:bodyDiv w:val="1"/>
      <w:marLeft w:val="0"/>
      <w:marRight w:val="0"/>
      <w:marTop w:val="0"/>
      <w:marBottom w:val="0"/>
      <w:divBdr>
        <w:top w:val="none" w:sz="0" w:space="0" w:color="auto"/>
        <w:left w:val="none" w:sz="0" w:space="0" w:color="auto"/>
        <w:bottom w:val="none" w:sz="0" w:space="0" w:color="auto"/>
        <w:right w:val="none" w:sz="0" w:space="0" w:color="auto"/>
      </w:divBdr>
      <w:divsChild>
        <w:div w:id="1921333962">
          <w:marLeft w:val="0"/>
          <w:marRight w:val="0"/>
          <w:marTop w:val="0"/>
          <w:marBottom w:val="0"/>
          <w:divBdr>
            <w:top w:val="none" w:sz="0" w:space="0" w:color="auto"/>
            <w:left w:val="none" w:sz="0" w:space="0" w:color="auto"/>
            <w:bottom w:val="none" w:sz="0" w:space="0" w:color="auto"/>
            <w:right w:val="none" w:sz="0" w:space="0" w:color="auto"/>
          </w:divBdr>
          <w:divsChild>
            <w:div w:id="917055917">
              <w:marLeft w:val="0"/>
              <w:marRight w:val="0"/>
              <w:marTop w:val="0"/>
              <w:marBottom w:val="0"/>
              <w:divBdr>
                <w:top w:val="none" w:sz="0" w:space="0" w:color="auto"/>
                <w:left w:val="none" w:sz="0" w:space="0" w:color="auto"/>
                <w:bottom w:val="none" w:sz="0" w:space="0" w:color="auto"/>
                <w:right w:val="none" w:sz="0" w:space="0" w:color="auto"/>
              </w:divBdr>
              <w:divsChild>
                <w:div w:id="15646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33131">
      <w:bodyDiv w:val="1"/>
      <w:marLeft w:val="0"/>
      <w:marRight w:val="0"/>
      <w:marTop w:val="0"/>
      <w:marBottom w:val="0"/>
      <w:divBdr>
        <w:top w:val="none" w:sz="0" w:space="0" w:color="auto"/>
        <w:left w:val="none" w:sz="0" w:space="0" w:color="auto"/>
        <w:bottom w:val="none" w:sz="0" w:space="0" w:color="auto"/>
        <w:right w:val="none" w:sz="0" w:space="0" w:color="auto"/>
      </w:divBdr>
      <w:divsChild>
        <w:div w:id="328409036">
          <w:marLeft w:val="0"/>
          <w:marRight w:val="0"/>
          <w:marTop w:val="0"/>
          <w:marBottom w:val="0"/>
          <w:divBdr>
            <w:top w:val="none" w:sz="0" w:space="0" w:color="auto"/>
            <w:left w:val="none" w:sz="0" w:space="0" w:color="auto"/>
            <w:bottom w:val="none" w:sz="0" w:space="0" w:color="auto"/>
            <w:right w:val="none" w:sz="0" w:space="0" w:color="auto"/>
          </w:divBdr>
          <w:divsChild>
            <w:div w:id="1036078196">
              <w:marLeft w:val="0"/>
              <w:marRight w:val="0"/>
              <w:marTop w:val="0"/>
              <w:marBottom w:val="0"/>
              <w:divBdr>
                <w:top w:val="none" w:sz="0" w:space="0" w:color="auto"/>
                <w:left w:val="none" w:sz="0" w:space="0" w:color="auto"/>
                <w:bottom w:val="none" w:sz="0" w:space="0" w:color="auto"/>
                <w:right w:val="none" w:sz="0" w:space="0" w:color="auto"/>
              </w:divBdr>
              <w:divsChild>
                <w:div w:id="14830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4948">
      <w:bodyDiv w:val="1"/>
      <w:marLeft w:val="0"/>
      <w:marRight w:val="0"/>
      <w:marTop w:val="0"/>
      <w:marBottom w:val="0"/>
      <w:divBdr>
        <w:top w:val="none" w:sz="0" w:space="0" w:color="auto"/>
        <w:left w:val="none" w:sz="0" w:space="0" w:color="auto"/>
        <w:bottom w:val="none" w:sz="0" w:space="0" w:color="auto"/>
        <w:right w:val="none" w:sz="0" w:space="0" w:color="auto"/>
      </w:divBdr>
      <w:divsChild>
        <w:div w:id="392973801">
          <w:marLeft w:val="0"/>
          <w:marRight w:val="0"/>
          <w:marTop w:val="0"/>
          <w:marBottom w:val="0"/>
          <w:divBdr>
            <w:top w:val="none" w:sz="0" w:space="0" w:color="auto"/>
            <w:left w:val="none" w:sz="0" w:space="0" w:color="auto"/>
            <w:bottom w:val="none" w:sz="0" w:space="0" w:color="auto"/>
            <w:right w:val="none" w:sz="0" w:space="0" w:color="auto"/>
          </w:divBdr>
          <w:divsChild>
            <w:div w:id="1772512607">
              <w:marLeft w:val="0"/>
              <w:marRight w:val="0"/>
              <w:marTop w:val="0"/>
              <w:marBottom w:val="0"/>
              <w:divBdr>
                <w:top w:val="none" w:sz="0" w:space="0" w:color="auto"/>
                <w:left w:val="none" w:sz="0" w:space="0" w:color="auto"/>
                <w:bottom w:val="none" w:sz="0" w:space="0" w:color="auto"/>
                <w:right w:val="none" w:sz="0" w:space="0" w:color="auto"/>
              </w:divBdr>
              <w:divsChild>
                <w:div w:id="5283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6466">
      <w:bodyDiv w:val="1"/>
      <w:marLeft w:val="0"/>
      <w:marRight w:val="0"/>
      <w:marTop w:val="0"/>
      <w:marBottom w:val="0"/>
      <w:divBdr>
        <w:top w:val="none" w:sz="0" w:space="0" w:color="auto"/>
        <w:left w:val="none" w:sz="0" w:space="0" w:color="auto"/>
        <w:bottom w:val="none" w:sz="0" w:space="0" w:color="auto"/>
        <w:right w:val="none" w:sz="0" w:space="0" w:color="auto"/>
      </w:divBdr>
      <w:divsChild>
        <w:div w:id="708653002">
          <w:marLeft w:val="0"/>
          <w:marRight w:val="0"/>
          <w:marTop w:val="0"/>
          <w:marBottom w:val="0"/>
          <w:divBdr>
            <w:top w:val="none" w:sz="0" w:space="0" w:color="auto"/>
            <w:left w:val="none" w:sz="0" w:space="0" w:color="auto"/>
            <w:bottom w:val="none" w:sz="0" w:space="0" w:color="auto"/>
            <w:right w:val="none" w:sz="0" w:space="0" w:color="auto"/>
          </w:divBdr>
          <w:divsChild>
            <w:div w:id="1372225519">
              <w:marLeft w:val="0"/>
              <w:marRight w:val="0"/>
              <w:marTop w:val="0"/>
              <w:marBottom w:val="0"/>
              <w:divBdr>
                <w:top w:val="none" w:sz="0" w:space="0" w:color="auto"/>
                <w:left w:val="none" w:sz="0" w:space="0" w:color="auto"/>
                <w:bottom w:val="none" w:sz="0" w:space="0" w:color="auto"/>
                <w:right w:val="none" w:sz="0" w:space="0" w:color="auto"/>
              </w:divBdr>
              <w:divsChild>
                <w:div w:id="12107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432078">
      <w:bodyDiv w:val="1"/>
      <w:marLeft w:val="0"/>
      <w:marRight w:val="0"/>
      <w:marTop w:val="0"/>
      <w:marBottom w:val="0"/>
      <w:divBdr>
        <w:top w:val="none" w:sz="0" w:space="0" w:color="auto"/>
        <w:left w:val="none" w:sz="0" w:space="0" w:color="auto"/>
        <w:bottom w:val="none" w:sz="0" w:space="0" w:color="auto"/>
        <w:right w:val="none" w:sz="0" w:space="0" w:color="auto"/>
      </w:divBdr>
      <w:divsChild>
        <w:div w:id="1204711535">
          <w:marLeft w:val="0"/>
          <w:marRight w:val="0"/>
          <w:marTop w:val="0"/>
          <w:marBottom w:val="0"/>
          <w:divBdr>
            <w:top w:val="none" w:sz="0" w:space="0" w:color="auto"/>
            <w:left w:val="none" w:sz="0" w:space="0" w:color="auto"/>
            <w:bottom w:val="none" w:sz="0" w:space="0" w:color="auto"/>
            <w:right w:val="none" w:sz="0" w:space="0" w:color="auto"/>
          </w:divBdr>
          <w:divsChild>
            <w:div w:id="834613253">
              <w:marLeft w:val="0"/>
              <w:marRight w:val="0"/>
              <w:marTop w:val="0"/>
              <w:marBottom w:val="0"/>
              <w:divBdr>
                <w:top w:val="none" w:sz="0" w:space="0" w:color="auto"/>
                <w:left w:val="none" w:sz="0" w:space="0" w:color="auto"/>
                <w:bottom w:val="none" w:sz="0" w:space="0" w:color="auto"/>
                <w:right w:val="none" w:sz="0" w:space="0" w:color="auto"/>
              </w:divBdr>
              <w:divsChild>
                <w:div w:id="1285885547">
                  <w:marLeft w:val="0"/>
                  <w:marRight w:val="0"/>
                  <w:marTop w:val="0"/>
                  <w:marBottom w:val="0"/>
                  <w:divBdr>
                    <w:top w:val="none" w:sz="0" w:space="0" w:color="auto"/>
                    <w:left w:val="none" w:sz="0" w:space="0" w:color="auto"/>
                    <w:bottom w:val="none" w:sz="0" w:space="0" w:color="auto"/>
                    <w:right w:val="none" w:sz="0" w:space="0" w:color="auto"/>
                  </w:divBdr>
                  <w:divsChild>
                    <w:div w:id="1264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563172">
      <w:bodyDiv w:val="1"/>
      <w:marLeft w:val="0"/>
      <w:marRight w:val="0"/>
      <w:marTop w:val="0"/>
      <w:marBottom w:val="0"/>
      <w:divBdr>
        <w:top w:val="none" w:sz="0" w:space="0" w:color="auto"/>
        <w:left w:val="none" w:sz="0" w:space="0" w:color="auto"/>
        <w:bottom w:val="none" w:sz="0" w:space="0" w:color="auto"/>
        <w:right w:val="none" w:sz="0" w:space="0" w:color="auto"/>
      </w:divBdr>
      <w:divsChild>
        <w:div w:id="738595190">
          <w:marLeft w:val="0"/>
          <w:marRight w:val="0"/>
          <w:marTop w:val="0"/>
          <w:marBottom w:val="0"/>
          <w:divBdr>
            <w:top w:val="none" w:sz="0" w:space="0" w:color="auto"/>
            <w:left w:val="none" w:sz="0" w:space="0" w:color="auto"/>
            <w:bottom w:val="none" w:sz="0" w:space="0" w:color="auto"/>
            <w:right w:val="none" w:sz="0" w:space="0" w:color="auto"/>
          </w:divBdr>
          <w:divsChild>
            <w:div w:id="246154338">
              <w:marLeft w:val="0"/>
              <w:marRight w:val="0"/>
              <w:marTop w:val="0"/>
              <w:marBottom w:val="0"/>
              <w:divBdr>
                <w:top w:val="none" w:sz="0" w:space="0" w:color="auto"/>
                <w:left w:val="none" w:sz="0" w:space="0" w:color="auto"/>
                <w:bottom w:val="none" w:sz="0" w:space="0" w:color="auto"/>
                <w:right w:val="none" w:sz="0" w:space="0" w:color="auto"/>
              </w:divBdr>
              <w:divsChild>
                <w:div w:id="2305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76294">
      <w:bodyDiv w:val="1"/>
      <w:marLeft w:val="0"/>
      <w:marRight w:val="0"/>
      <w:marTop w:val="0"/>
      <w:marBottom w:val="0"/>
      <w:divBdr>
        <w:top w:val="none" w:sz="0" w:space="0" w:color="auto"/>
        <w:left w:val="none" w:sz="0" w:space="0" w:color="auto"/>
        <w:bottom w:val="none" w:sz="0" w:space="0" w:color="auto"/>
        <w:right w:val="none" w:sz="0" w:space="0" w:color="auto"/>
      </w:divBdr>
      <w:divsChild>
        <w:div w:id="1955206879">
          <w:marLeft w:val="0"/>
          <w:marRight w:val="0"/>
          <w:marTop w:val="0"/>
          <w:marBottom w:val="0"/>
          <w:divBdr>
            <w:top w:val="none" w:sz="0" w:space="0" w:color="auto"/>
            <w:left w:val="none" w:sz="0" w:space="0" w:color="auto"/>
            <w:bottom w:val="none" w:sz="0" w:space="0" w:color="auto"/>
            <w:right w:val="none" w:sz="0" w:space="0" w:color="auto"/>
          </w:divBdr>
          <w:divsChild>
            <w:div w:id="1821271193">
              <w:marLeft w:val="0"/>
              <w:marRight w:val="0"/>
              <w:marTop w:val="0"/>
              <w:marBottom w:val="0"/>
              <w:divBdr>
                <w:top w:val="none" w:sz="0" w:space="0" w:color="auto"/>
                <w:left w:val="none" w:sz="0" w:space="0" w:color="auto"/>
                <w:bottom w:val="none" w:sz="0" w:space="0" w:color="auto"/>
                <w:right w:val="none" w:sz="0" w:space="0" w:color="auto"/>
              </w:divBdr>
              <w:divsChild>
                <w:div w:id="1956324801">
                  <w:marLeft w:val="0"/>
                  <w:marRight w:val="0"/>
                  <w:marTop w:val="0"/>
                  <w:marBottom w:val="0"/>
                  <w:divBdr>
                    <w:top w:val="none" w:sz="0" w:space="0" w:color="auto"/>
                    <w:left w:val="none" w:sz="0" w:space="0" w:color="auto"/>
                    <w:bottom w:val="none" w:sz="0" w:space="0" w:color="auto"/>
                    <w:right w:val="none" w:sz="0" w:space="0" w:color="auto"/>
                  </w:divBdr>
                  <w:divsChild>
                    <w:div w:id="3636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55780">
      <w:bodyDiv w:val="1"/>
      <w:marLeft w:val="0"/>
      <w:marRight w:val="0"/>
      <w:marTop w:val="0"/>
      <w:marBottom w:val="0"/>
      <w:divBdr>
        <w:top w:val="none" w:sz="0" w:space="0" w:color="auto"/>
        <w:left w:val="none" w:sz="0" w:space="0" w:color="auto"/>
        <w:bottom w:val="none" w:sz="0" w:space="0" w:color="auto"/>
        <w:right w:val="none" w:sz="0" w:space="0" w:color="auto"/>
      </w:divBdr>
      <w:divsChild>
        <w:div w:id="190268023">
          <w:marLeft w:val="0"/>
          <w:marRight w:val="0"/>
          <w:marTop w:val="0"/>
          <w:marBottom w:val="0"/>
          <w:divBdr>
            <w:top w:val="none" w:sz="0" w:space="0" w:color="auto"/>
            <w:left w:val="none" w:sz="0" w:space="0" w:color="auto"/>
            <w:bottom w:val="none" w:sz="0" w:space="0" w:color="auto"/>
            <w:right w:val="none" w:sz="0" w:space="0" w:color="auto"/>
          </w:divBdr>
          <w:divsChild>
            <w:div w:id="1008218559">
              <w:marLeft w:val="0"/>
              <w:marRight w:val="0"/>
              <w:marTop w:val="0"/>
              <w:marBottom w:val="0"/>
              <w:divBdr>
                <w:top w:val="none" w:sz="0" w:space="0" w:color="auto"/>
                <w:left w:val="none" w:sz="0" w:space="0" w:color="auto"/>
                <w:bottom w:val="none" w:sz="0" w:space="0" w:color="auto"/>
                <w:right w:val="none" w:sz="0" w:space="0" w:color="auto"/>
              </w:divBdr>
              <w:divsChild>
                <w:div w:id="15589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00749">
      <w:bodyDiv w:val="1"/>
      <w:marLeft w:val="0"/>
      <w:marRight w:val="0"/>
      <w:marTop w:val="0"/>
      <w:marBottom w:val="0"/>
      <w:divBdr>
        <w:top w:val="none" w:sz="0" w:space="0" w:color="auto"/>
        <w:left w:val="none" w:sz="0" w:space="0" w:color="auto"/>
        <w:bottom w:val="none" w:sz="0" w:space="0" w:color="auto"/>
        <w:right w:val="none" w:sz="0" w:space="0" w:color="auto"/>
      </w:divBdr>
      <w:divsChild>
        <w:div w:id="1610159152">
          <w:marLeft w:val="0"/>
          <w:marRight w:val="0"/>
          <w:marTop w:val="0"/>
          <w:marBottom w:val="0"/>
          <w:divBdr>
            <w:top w:val="none" w:sz="0" w:space="0" w:color="auto"/>
            <w:left w:val="none" w:sz="0" w:space="0" w:color="auto"/>
            <w:bottom w:val="none" w:sz="0" w:space="0" w:color="auto"/>
            <w:right w:val="none" w:sz="0" w:space="0" w:color="auto"/>
          </w:divBdr>
          <w:divsChild>
            <w:div w:id="1717461101">
              <w:marLeft w:val="0"/>
              <w:marRight w:val="0"/>
              <w:marTop w:val="0"/>
              <w:marBottom w:val="0"/>
              <w:divBdr>
                <w:top w:val="none" w:sz="0" w:space="0" w:color="auto"/>
                <w:left w:val="none" w:sz="0" w:space="0" w:color="auto"/>
                <w:bottom w:val="none" w:sz="0" w:space="0" w:color="auto"/>
                <w:right w:val="none" w:sz="0" w:space="0" w:color="auto"/>
              </w:divBdr>
              <w:divsChild>
                <w:div w:id="55594319">
                  <w:marLeft w:val="0"/>
                  <w:marRight w:val="0"/>
                  <w:marTop w:val="0"/>
                  <w:marBottom w:val="0"/>
                  <w:divBdr>
                    <w:top w:val="none" w:sz="0" w:space="0" w:color="auto"/>
                    <w:left w:val="none" w:sz="0" w:space="0" w:color="auto"/>
                    <w:bottom w:val="none" w:sz="0" w:space="0" w:color="auto"/>
                    <w:right w:val="none" w:sz="0" w:space="0" w:color="auto"/>
                  </w:divBdr>
                  <w:divsChild>
                    <w:div w:id="9269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3522">
      <w:bodyDiv w:val="1"/>
      <w:marLeft w:val="0"/>
      <w:marRight w:val="0"/>
      <w:marTop w:val="0"/>
      <w:marBottom w:val="0"/>
      <w:divBdr>
        <w:top w:val="none" w:sz="0" w:space="0" w:color="auto"/>
        <w:left w:val="none" w:sz="0" w:space="0" w:color="auto"/>
        <w:bottom w:val="none" w:sz="0" w:space="0" w:color="auto"/>
        <w:right w:val="none" w:sz="0" w:space="0" w:color="auto"/>
      </w:divBdr>
      <w:divsChild>
        <w:div w:id="1736975879">
          <w:marLeft w:val="0"/>
          <w:marRight w:val="0"/>
          <w:marTop w:val="0"/>
          <w:marBottom w:val="0"/>
          <w:divBdr>
            <w:top w:val="none" w:sz="0" w:space="0" w:color="auto"/>
            <w:left w:val="none" w:sz="0" w:space="0" w:color="auto"/>
            <w:bottom w:val="none" w:sz="0" w:space="0" w:color="auto"/>
            <w:right w:val="none" w:sz="0" w:space="0" w:color="auto"/>
          </w:divBdr>
          <w:divsChild>
            <w:div w:id="1906258593">
              <w:marLeft w:val="0"/>
              <w:marRight w:val="0"/>
              <w:marTop w:val="0"/>
              <w:marBottom w:val="0"/>
              <w:divBdr>
                <w:top w:val="none" w:sz="0" w:space="0" w:color="auto"/>
                <w:left w:val="none" w:sz="0" w:space="0" w:color="auto"/>
                <w:bottom w:val="none" w:sz="0" w:space="0" w:color="auto"/>
                <w:right w:val="none" w:sz="0" w:space="0" w:color="auto"/>
              </w:divBdr>
              <w:divsChild>
                <w:div w:id="19427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8120">
      <w:bodyDiv w:val="1"/>
      <w:marLeft w:val="0"/>
      <w:marRight w:val="0"/>
      <w:marTop w:val="0"/>
      <w:marBottom w:val="0"/>
      <w:divBdr>
        <w:top w:val="none" w:sz="0" w:space="0" w:color="auto"/>
        <w:left w:val="none" w:sz="0" w:space="0" w:color="auto"/>
        <w:bottom w:val="none" w:sz="0" w:space="0" w:color="auto"/>
        <w:right w:val="none" w:sz="0" w:space="0" w:color="auto"/>
      </w:divBdr>
      <w:divsChild>
        <w:div w:id="222453703">
          <w:marLeft w:val="0"/>
          <w:marRight w:val="0"/>
          <w:marTop w:val="0"/>
          <w:marBottom w:val="0"/>
          <w:divBdr>
            <w:top w:val="none" w:sz="0" w:space="0" w:color="auto"/>
            <w:left w:val="none" w:sz="0" w:space="0" w:color="auto"/>
            <w:bottom w:val="none" w:sz="0" w:space="0" w:color="auto"/>
            <w:right w:val="none" w:sz="0" w:space="0" w:color="auto"/>
          </w:divBdr>
          <w:divsChild>
            <w:div w:id="1573202170">
              <w:marLeft w:val="0"/>
              <w:marRight w:val="0"/>
              <w:marTop w:val="0"/>
              <w:marBottom w:val="0"/>
              <w:divBdr>
                <w:top w:val="none" w:sz="0" w:space="0" w:color="auto"/>
                <w:left w:val="none" w:sz="0" w:space="0" w:color="auto"/>
                <w:bottom w:val="none" w:sz="0" w:space="0" w:color="auto"/>
                <w:right w:val="none" w:sz="0" w:space="0" w:color="auto"/>
              </w:divBdr>
              <w:divsChild>
                <w:div w:id="16518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37547">
      <w:bodyDiv w:val="1"/>
      <w:marLeft w:val="0"/>
      <w:marRight w:val="0"/>
      <w:marTop w:val="0"/>
      <w:marBottom w:val="0"/>
      <w:divBdr>
        <w:top w:val="none" w:sz="0" w:space="0" w:color="auto"/>
        <w:left w:val="none" w:sz="0" w:space="0" w:color="auto"/>
        <w:bottom w:val="none" w:sz="0" w:space="0" w:color="auto"/>
        <w:right w:val="none" w:sz="0" w:space="0" w:color="auto"/>
      </w:divBdr>
      <w:divsChild>
        <w:div w:id="1137798311">
          <w:marLeft w:val="0"/>
          <w:marRight w:val="0"/>
          <w:marTop w:val="0"/>
          <w:marBottom w:val="0"/>
          <w:divBdr>
            <w:top w:val="none" w:sz="0" w:space="0" w:color="auto"/>
            <w:left w:val="none" w:sz="0" w:space="0" w:color="auto"/>
            <w:bottom w:val="none" w:sz="0" w:space="0" w:color="auto"/>
            <w:right w:val="none" w:sz="0" w:space="0" w:color="auto"/>
          </w:divBdr>
          <w:divsChild>
            <w:div w:id="635792660">
              <w:marLeft w:val="0"/>
              <w:marRight w:val="0"/>
              <w:marTop w:val="0"/>
              <w:marBottom w:val="0"/>
              <w:divBdr>
                <w:top w:val="none" w:sz="0" w:space="0" w:color="auto"/>
                <w:left w:val="none" w:sz="0" w:space="0" w:color="auto"/>
                <w:bottom w:val="none" w:sz="0" w:space="0" w:color="auto"/>
                <w:right w:val="none" w:sz="0" w:space="0" w:color="auto"/>
              </w:divBdr>
              <w:divsChild>
                <w:div w:id="1285963675">
                  <w:marLeft w:val="0"/>
                  <w:marRight w:val="0"/>
                  <w:marTop w:val="0"/>
                  <w:marBottom w:val="0"/>
                  <w:divBdr>
                    <w:top w:val="none" w:sz="0" w:space="0" w:color="auto"/>
                    <w:left w:val="none" w:sz="0" w:space="0" w:color="auto"/>
                    <w:bottom w:val="none" w:sz="0" w:space="0" w:color="auto"/>
                    <w:right w:val="none" w:sz="0" w:space="0" w:color="auto"/>
                  </w:divBdr>
                  <w:divsChild>
                    <w:div w:id="92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99361">
      <w:bodyDiv w:val="1"/>
      <w:marLeft w:val="0"/>
      <w:marRight w:val="0"/>
      <w:marTop w:val="0"/>
      <w:marBottom w:val="0"/>
      <w:divBdr>
        <w:top w:val="none" w:sz="0" w:space="0" w:color="auto"/>
        <w:left w:val="none" w:sz="0" w:space="0" w:color="auto"/>
        <w:bottom w:val="none" w:sz="0" w:space="0" w:color="auto"/>
        <w:right w:val="none" w:sz="0" w:space="0" w:color="auto"/>
      </w:divBdr>
      <w:divsChild>
        <w:div w:id="1619219762">
          <w:marLeft w:val="0"/>
          <w:marRight w:val="0"/>
          <w:marTop w:val="0"/>
          <w:marBottom w:val="0"/>
          <w:divBdr>
            <w:top w:val="none" w:sz="0" w:space="0" w:color="auto"/>
            <w:left w:val="none" w:sz="0" w:space="0" w:color="auto"/>
            <w:bottom w:val="none" w:sz="0" w:space="0" w:color="auto"/>
            <w:right w:val="none" w:sz="0" w:space="0" w:color="auto"/>
          </w:divBdr>
          <w:divsChild>
            <w:div w:id="923227678">
              <w:marLeft w:val="0"/>
              <w:marRight w:val="0"/>
              <w:marTop w:val="0"/>
              <w:marBottom w:val="0"/>
              <w:divBdr>
                <w:top w:val="none" w:sz="0" w:space="0" w:color="auto"/>
                <w:left w:val="none" w:sz="0" w:space="0" w:color="auto"/>
                <w:bottom w:val="none" w:sz="0" w:space="0" w:color="auto"/>
                <w:right w:val="none" w:sz="0" w:space="0" w:color="auto"/>
              </w:divBdr>
              <w:divsChild>
                <w:div w:id="1646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32304">
      <w:bodyDiv w:val="1"/>
      <w:marLeft w:val="0"/>
      <w:marRight w:val="0"/>
      <w:marTop w:val="0"/>
      <w:marBottom w:val="0"/>
      <w:divBdr>
        <w:top w:val="none" w:sz="0" w:space="0" w:color="auto"/>
        <w:left w:val="none" w:sz="0" w:space="0" w:color="auto"/>
        <w:bottom w:val="none" w:sz="0" w:space="0" w:color="auto"/>
        <w:right w:val="none" w:sz="0" w:space="0" w:color="auto"/>
      </w:divBdr>
      <w:divsChild>
        <w:div w:id="1127238054">
          <w:marLeft w:val="0"/>
          <w:marRight w:val="0"/>
          <w:marTop w:val="0"/>
          <w:marBottom w:val="0"/>
          <w:divBdr>
            <w:top w:val="none" w:sz="0" w:space="0" w:color="auto"/>
            <w:left w:val="none" w:sz="0" w:space="0" w:color="auto"/>
            <w:bottom w:val="none" w:sz="0" w:space="0" w:color="auto"/>
            <w:right w:val="none" w:sz="0" w:space="0" w:color="auto"/>
          </w:divBdr>
          <w:divsChild>
            <w:div w:id="637994620">
              <w:marLeft w:val="0"/>
              <w:marRight w:val="0"/>
              <w:marTop w:val="0"/>
              <w:marBottom w:val="0"/>
              <w:divBdr>
                <w:top w:val="none" w:sz="0" w:space="0" w:color="auto"/>
                <w:left w:val="none" w:sz="0" w:space="0" w:color="auto"/>
                <w:bottom w:val="none" w:sz="0" w:space="0" w:color="auto"/>
                <w:right w:val="none" w:sz="0" w:space="0" w:color="auto"/>
              </w:divBdr>
              <w:divsChild>
                <w:div w:id="16377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6473">
      <w:bodyDiv w:val="1"/>
      <w:marLeft w:val="0"/>
      <w:marRight w:val="0"/>
      <w:marTop w:val="0"/>
      <w:marBottom w:val="0"/>
      <w:divBdr>
        <w:top w:val="none" w:sz="0" w:space="0" w:color="auto"/>
        <w:left w:val="none" w:sz="0" w:space="0" w:color="auto"/>
        <w:bottom w:val="none" w:sz="0" w:space="0" w:color="auto"/>
        <w:right w:val="none" w:sz="0" w:space="0" w:color="auto"/>
      </w:divBdr>
      <w:divsChild>
        <w:div w:id="2104718390">
          <w:marLeft w:val="0"/>
          <w:marRight w:val="0"/>
          <w:marTop w:val="0"/>
          <w:marBottom w:val="0"/>
          <w:divBdr>
            <w:top w:val="none" w:sz="0" w:space="0" w:color="auto"/>
            <w:left w:val="none" w:sz="0" w:space="0" w:color="auto"/>
            <w:bottom w:val="none" w:sz="0" w:space="0" w:color="auto"/>
            <w:right w:val="none" w:sz="0" w:space="0" w:color="auto"/>
          </w:divBdr>
          <w:divsChild>
            <w:div w:id="408041589">
              <w:marLeft w:val="0"/>
              <w:marRight w:val="0"/>
              <w:marTop w:val="0"/>
              <w:marBottom w:val="0"/>
              <w:divBdr>
                <w:top w:val="none" w:sz="0" w:space="0" w:color="auto"/>
                <w:left w:val="none" w:sz="0" w:space="0" w:color="auto"/>
                <w:bottom w:val="none" w:sz="0" w:space="0" w:color="auto"/>
                <w:right w:val="none" w:sz="0" w:space="0" w:color="auto"/>
              </w:divBdr>
              <w:divsChild>
                <w:div w:id="963121007">
                  <w:marLeft w:val="0"/>
                  <w:marRight w:val="0"/>
                  <w:marTop w:val="0"/>
                  <w:marBottom w:val="0"/>
                  <w:divBdr>
                    <w:top w:val="none" w:sz="0" w:space="0" w:color="auto"/>
                    <w:left w:val="none" w:sz="0" w:space="0" w:color="auto"/>
                    <w:bottom w:val="none" w:sz="0" w:space="0" w:color="auto"/>
                    <w:right w:val="none" w:sz="0" w:space="0" w:color="auto"/>
                  </w:divBdr>
                  <w:divsChild>
                    <w:div w:id="20781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80811">
      <w:bodyDiv w:val="1"/>
      <w:marLeft w:val="0"/>
      <w:marRight w:val="0"/>
      <w:marTop w:val="0"/>
      <w:marBottom w:val="0"/>
      <w:divBdr>
        <w:top w:val="none" w:sz="0" w:space="0" w:color="auto"/>
        <w:left w:val="none" w:sz="0" w:space="0" w:color="auto"/>
        <w:bottom w:val="none" w:sz="0" w:space="0" w:color="auto"/>
        <w:right w:val="none" w:sz="0" w:space="0" w:color="auto"/>
      </w:divBdr>
      <w:divsChild>
        <w:div w:id="1014461451">
          <w:marLeft w:val="0"/>
          <w:marRight w:val="0"/>
          <w:marTop w:val="0"/>
          <w:marBottom w:val="0"/>
          <w:divBdr>
            <w:top w:val="none" w:sz="0" w:space="0" w:color="auto"/>
            <w:left w:val="none" w:sz="0" w:space="0" w:color="auto"/>
            <w:bottom w:val="none" w:sz="0" w:space="0" w:color="auto"/>
            <w:right w:val="none" w:sz="0" w:space="0" w:color="auto"/>
          </w:divBdr>
          <w:divsChild>
            <w:div w:id="393234005">
              <w:marLeft w:val="0"/>
              <w:marRight w:val="0"/>
              <w:marTop w:val="0"/>
              <w:marBottom w:val="0"/>
              <w:divBdr>
                <w:top w:val="none" w:sz="0" w:space="0" w:color="auto"/>
                <w:left w:val="none" w:sz="0" w:space="0" w:color="auto"/>
                <w:bottom w:val="none" w:sz="0" w:space="0" w:color="auto"/>
                <w:right w:val="none" w:sz="0" w:space="0" w:color="auto"/>
              </w:divBdr>
              <w:divsChild>
                <w:div w:id="7617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4068">
      <w:bodyDiv w:val="1"/>
      <w:marLeft w:val="0"/>
      <w:marRight w:val="0"/>
      <w:marTop w:val="0"/>
      <w:marBottom w:val="0"/>
      <w:divBdr>
        <w:top w:val="none" w:sz="0" w:space="0" w:color="auto"/>
        <w:left w:val="none" w:sz="0" w:space="0" w:color="auto"/>
        <w:bottom w:val="none" w:sz="0" w:space="0" w:color="auto"/>
        <w:right w:val="none" w:sz="0" w:space="0" w:color="auto"/>
      </w:divBdr>
      <w:divsChild>
        <w:div w:id="1938780998">
          <w:marLeft w:val="0"/>
          <w:marRight w:val="0"/>
          <w:marTop w:val="0"/>
          <w:marBottom w:val="0"/>
          <w:divBdr>
            <w:top w:val="none" w:sz="0" w:space="0" w:color="auto"/>
            <w:left w:val="none" w:sz="0" w:space="0" w:color="auto"/>
            <w:bottom w:val="none" w:sz="0" w:space="0" w:color="auto"/>
            <w:right w:val="none" w:sz="0" w:space="0" w:color="auto"/>
          </w:divBdr>
          <w:divsChild>
            <w:div w:id="1466393650">
              <w:marLeft w:val="0"/>
              <w:marRight w:val="0"/>
              <w:marTop w:val="0"/>
              <w:marBottom w:val="0"/>
              <w:divBdr>
                <w:top w:val="none" w:sz="0" w:space="0" w:color="auto"/>
                <w:left w:val="none" w:sz="0" w:space="0" w:color="auto"/>
                <w:bottom w:val="none" w:sz="0" w:space="0" w:color="auto"/>
                <w:right w:val="none" w:sz="0" w:space="0" w:color="auto"/>
              </w:divBdr>
              <w:divsChild>
                <w:div w:id="6904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66231">
      <w:bodyDiv w:val="1"/>
      <w:marLeft w:val="0"/>
      <w:marRight w:val="0"/>
      <w:marTop w:val="0"/>
      <w:marBottom w:val="0"/>
      <w:divBdr>
        <w:top w:val="none" w:sz="0" w:space="0" w:color="auto"/>
        <w:left w:val="none" w:sz="0" w:space="0" w:color="auto"/>
        <w:bottom w:val="none" w:sz="0" w:space="0" w:color="auto"/>
        <w:right w:val="none" w:sz="0" w:space="0" w:color="auto"/>
      </w:divBdr>
      <w:divsChild>
        <w:div w:id="463155417">
          <w:marLeft w:val="0"/>
          <w:marRight w:val="0"/>
          <w:marTop w:val="0"/>
          <w:marBottom w:val="0"/>
          <w:divBdr>
            <w:top w:val="none" w:sz="0" w:space="0" w:color="auto"/>
            <w:left w:val="none" w:sz="0" w:space="0" w:color="auto"/>
            <w:bottom w:val="none" w:sz="0" w:space="0" w:color="auto"/>
            <w:right w:val="none" w:sz="0" w:space="0" w:color="auto"/>
          </w:divBdr>
          <w:divsChild>
            <w:div w:id="833494979">
              <w:marLeft w:val="0"/>
              <w:marRight w:val="0"/>
              <w:marTop w:val="0"/>
              <w:marBottom w:val="0"/>
              <w:divBdr>
                <w:top w:val="none" w:sz="0" w:space="0" w:color="auto"/>
                <w:left w:val="none" w:sz="0" w:space="0" w:color="auto"/>
                <w:bottom w:val="none" w:sz="0" w:space="0" w:color="auto"/>
                <w:right w:val="none" w:sz="0" w:space="0" w:color="auto"/>
              </w:divBdr>
              <w:divsChild>
                <w:div w:id="1926959687">
                  <w:marLeft w:val="0"/>
                  <w:marRight w:val="0"/>
                  <w:marTop w:val="0"/>
                  <w:marBottom w:val="0"/>
                  <w:divBdr>
                    <w:top w:val="none" w:sz="0" w:space="0" w:color="auto"/>
                    <w:left w:val="none" w:sz="0" w:space="0" w:color="auto"/>
                    <w:bottom w:val="none" w:sz="0" w:space="0" w:color="auto"/>
                    <w:right w:val="none" w:sz="0" w:space="0" w:color="auto"/>
                  </w:divBdr>
                  <w:divsChild>
                    <w:div w:id="21157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56836">
      <w:bodyDiv w:val="1"/>
      <w:marLeft w:val="0"/>
      <w:marRight w:val="0"/>
      <w:marTop w:val="0"/>
      <w:marBottom w:val="0"/>
      <w:divBdr>
        <w:top w:val="none" w:sz="0" w:space="0" w:color="auto"/>
        <w:left w:val="none" w:sz="0" w:space="0" w:color="auto"/>
        <w:bottom w:val="none" w:sz="0" w:space="0" w:color="auto"/>
        <w:right w:val="none" w:sz="0" w:space="0" w:color="auto"/>
      </w:divBdr>
      <w:divsChild>
        <w:div w:id="1190148844">
          <w:marLeft w:val="0"/>
          <w:marRight w:val="0"/>
          <w:marTop w:val="0"/>
          <w:marBottom w:val="0"/>
          <w:divBdr>
            <w:top w:val="none" w:sz="0" w:space="0" w:color="auto"/>
            <w:left w:val="none" w:sz="0" w:space="0" w:color="auto"/>
            <w:bottom w:val="none" w:sz="0" w:space="0" w:color="auto"/>
            <w:right w:val="none" w:sz="0" w:space="0" w:color="auto"/>
          </w:divBdr>
          <w:divsChild>
            <w:div w:id="1835492661">
              <w:marLeft w:val="0"/>
              <w:marRight w:val="0"/>
              <w:marTop w:val="0"/>
              <w:marBottom w:val="0"/>
              <w:divBdr>
                <w:top w:val="none" w:sz="0" w:space="0" w:color="auto"/>
                <w:left w:val="none" w:sz="0" w:space="0" w:color="auto"/>
                <w:bottom w:val="none" w:sz="0" w:space="0" w:color="auto"/>
                <w:right w:val="none" w:sz="0" w:space="0" w:color="auto"/>
              </w:divBdr>
              <w:divsChild>
                <w:div w:id="204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38453">
      <w:bodyDiv w:val="1"/>
      <w:marLeft w:val="0"/>
      <w:marRight w:val="0"/>
      <w:marTop w:val="0"/>
      <w:marBottom w:val="0"/>
      <w:divBdr>
        <w:top w:val="none" w:sz="0" w:space="0" w:color="auto"/>
        <w:left w:val="none" w:sz="0" w:space="0" w:color="auto"/>
        <w:bottom w:val="none" w:sz="0" w:space="0" w:color="auto"/>
        <w:right w:val="none" w:sz="0" w:space="0" w:color="auto"/>
      </w:divBdr>
      <w:divsChild>
        <w:div w:id="990131894">
          <w:marLeft w:val="0"/>
          <w:marRight w:val="0"/>
          <w:marTop w:val="0"/>
          <w:marBottom w:val="0"/>
          <w:divBdr>
            <w:top w:val="none" w:sz="0" w:space="0" w:color="auto"/>
            <w:left w:val="none" w:sz="0" w:space="0" w:color="auto"/>
            <w:bottom w:val="none" w:sz="0" w:space="0" w:color="auto"/>
            <w:right w:val="none" w:sz="0" w:space="0" w:color="auto"/>
          </w:divBdr>
          <w:divsChild>
            <w:div w:id="1011227017">
              <w:marLeft w:val="0"/>
              <w:marRight w:val="0"/>
              <w:marTop w:val="0"/>
              <w:marBottom w:val="0"/>
              <w:divBdr>
                <w:top w:val="none" w:sz="0" w:space="0" w:color="auto"/>
                <w:left w:val="none" w:sz="0" w:space="0" w:color="auto"/>
                <w:bottom w:val="none" w:sz="0" w:space="0" w:color="auto"/>
                <w:right w:val="none" w:sz="0" w:space="0" w:color="auto"/>
              </w:divBdr>
              <w:divsChild>
                <w:div w:id="135407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ziella.guaris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A4DD15-79C5-4909-A1FA-A3B36DD3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13334</Words>
  <Characters>76008</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Gasparetto</dc:creator>
  <cp:lastModifiedBy>Na Ma</cp:lastModifiedBy>
  <cp:revision>2</cp:revision>
  <cp:lastPrinted>2017-02-07T15:02:00Z</cp:lastPrinted>
  <dcterms:created xsi:type="dcterms:W3CDTF">2017-07-22T02:56:00Z</dcterms:created>
  <dcterms:modified xsi:type="dcterms:W3CDTF">2017-07-22T02:56:00Z</dcterms:modified>
</cp:coreProperties>
</file>