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A5" w:rsidRPr="00710B70" w:rsidRDefault="005E68A5" w:rsidP="00710B70">
      <w:pPr>
        <w:spacing w:line="360" w:lineRule="auto"/>
        <w:jc w:val="both"/>
        <w:rPr>
          <w:rFonts w:ascii="Book Antiqua" w:hAnsi="Book Antiqua"/>
          <w:b/>
          <w:color w:val="000000"/>
          <w:szCs w:val="24"/>
        </w:rPr>
      </w:pPr>
      <w:r w:rsidRPr="00710B70">
        <w:rPr>
          <w:rFonts w:ascii="Book Antiqua" w:hAnsi="Book Antiqua"/>
          <w:b/>
          <w:color w:val="0000FF"/>
          <w:szCs w:val="24"/>
        </w:rPr>
        <w:t xml:space="preserve">Name of journal: </w:t>
      </w:r>
      <w:r w:rsidRPr="00710B70">
        <w:rPr>
          <w:rFonts w:ascii="Book Antiqua" w:hAnsi="Book Antiqua"/>
          <w:b/>
          <w:color w:val="000000"/>
          <w:szCs w:val="24"/>
        </w:rPr>
        <w:t>World Journal of Gastroenterology</w:t>
      </w:r>
    </w:p>
    <w:p w:rsidR="005E68A5" w:rsidRPr="00710B70" w:rsidRDefault="005E68A5" w:rsidP="00710B70">
      <w:pPr>
        <w:spacing w:line="360" w:lineRule="auto"/>
        <w:jc w:val="both"/>
        <w:rPr>
          <w:rFonts w:ascii="Book Antiqua" w:hAnsi="Book Antiqua"/>
          <w:b/>
          <w:color w:val="0000FF"/>
          <w:szCs w:val="24"/>
          <w:lang w:eastAsia="zh-CN"/>
        </w:rPr>
      </w:pPr>
      <w:r w:rsidRPr="00710B70">
        <w:rPr>
          <w:rFonts w:ascii="Book Antiqua" w:hAnsi="Book Antiqua"/>
          <w:b/>
          <w:color w:val="0000FF"/>
          <w:szCs w:val="24"/>
        </w:rPr>
        <w:t xml:space="preserve">ESPS Manuscript NO: </w:t>
      </w:r>
      <w:r w:rsidRPr="00710B70">
        <w:rPr>
          <w:rFonts w:ascii="Book Antiqua" w:hAnsi="Book Antiqua"/>
          <w:b/>
          <w:color w:val="0000FF"/>
          <w:szCs w:val="24"/>
          <w:lang w:eastAsia="zh-CN"/>
        </w:rPr>
        <w:t>3375</w:t>
      </w:r>
    </w:p>
    <w:p w:rsidR="005E68A5" w:rsidRPr="00710B70" w:rsidRDefault="005E68A5" w:rsidP="00710B70">
      <w:pPr>
        <w:spacing w:line="360" w:lineRule="auto"/>
        <w:jc w:val="both"/>
        <w:rPr>
          <w:rFonts w:ascii="Book Antiqua" w:hAnsi="Book Antiqua"/>
          <w:b/>
          <w:color w:val="000000"/>
          <w:szCs w:val="24"/>
          <w:lang w:eastAsia="zh-CN"/>
        </w:rPr>
      </w:pPr>
      <w:r w:rsidRPr="00710B70">
        <w:rPr>
          <w:rFonts w:ascii="Book Antiqua" w:hAnsi="Book Antiqua"/>
          <w:b/>
          <w:color w:val="0000FF"/>
          <w:szCs w:val="24"/>
        </w:rPr>
        <w:t xml:space="preserve">Columns: </w:t>
      </w:r>
      <w:r w:rsidR="00C47032" w:rsidRPr="00710B70">
        <w:rPr>
          <w:rFonts w:ascii="Book Antiqua" w:hAnsi="Book Antiqua" w:cs="Tahoma"/>
          <w:b/>
          <w:color w:val="000000"/>
          <w:szCs w:val="24"/>
        </w:rPr>
        <w:t>BRIEF ARTICLE</w:t>
      </w:r>
    </w:p>
    <w:p w:rsidR="005E68A5" w:rsidRPr="00710B70" w:rsidRDefault="005E68A5" w:rsidP="00710B70">
      <w:pPr>
        <w:spacing w:line="360" w:lineRule="auto"/>
        <w:jc w:val="both"/>
        <w:rPr>
          <w:rFonts w:ascii="Book Antiqua" w:hAnsi="Book Antiqua"/>
          <w:b/>
          <w:color w:val="0000FF"/>
          <w:szCs w:val="24"/>
          <w:lang w:eastAsia="zh-CN"/>
        </w:rPr>
      </w:pPr>
    </w:p>
    <w:p w:rsidR="005E68A5" w:rsidRPr="00710B70" w:rsidRDefault="00033663" w:rsidP="00710B70">
      <w:pPr>
        <w:spacing w:line="360" w:lineRule="auto"/>
        <w:jc w:val="both"/>
        <w:rPr>
          <w:rFonts w:ascii="Book Antiqua" w:hAnsi="Book Antiqua"/>
          <w:szCs w:val="24"/>
        </w:rPr>
      </w:pPr>
      <w:r w:rsidRPr="00710B70">
        <w:rPr>
          <w:rFonts w:ascii="Book Antiqua" w:hAnsi="Book Antiqua"/>
          <w:szCs w:val="24"/>
        </w:rPr>
        <w:t xml:space="preserve">Prediction of </w:t>
      </w:r>
      <w:r w:rsidR="005E68A5" w:rsidRPr="00710B70">
        <w:rPr>
          <w:rFonts w:ascii="Book Antiqua" w:hAnsi="Book Antiqua"/>
          <w:szCs w:val="24"/>
        </w:rPr>
        <w:t xml:space="preserve">Crohn’s </w:t>
      </w:r>
      <w:r w:rsidR="00C47032" w:rsidRPr="00710B70">
        <w:rPr>
          <w:rFonts w:ascii="Book Antiqua" w:hAnsi="Book Antiqua"/>
          <w:szCs w:val="24"/>
        </w:rPr>
        <w:t>d</w:t>
      </w:r>
      <w:r w:rsidR="005E68A5" w:rsidRPr="00710B70">
        <w:rPr>
          <w:rFonts w:ascii="Book Antiqua" w:hAnsi="Book Antiqua"/>
          <w:szCs w:val="24"/>
        </w:rPr>
        <w:t xml:space="preserve">isease </w:t>
      </w:r>
      <w:r w:rsidR="00C47032" w:rsidRPr="00710B70">
        <w:rPr>
          <w:rFonts w:ascii="Book Antiqua" w:hAnsi="Book Antiqua"/>
          <w:szCs w:val="24"/>
        </w:rPr>
        <w:t>a</w:t>
      </w:r>
      <w:r w:rsidR="005E68A5" w:rsidRPr="00710B70">
        <w:rPr>
          <w:rFonts w:ascii="Book Antiqua" w:hAnsi="Book Antiqua"/>
          <w:szCs w:val="24"/>
        </w:rPr>
        <w:t>gg</w:t>
      </w:r>
      <w:r w:rsidRPr="00710B70">
        <w:rPr>
          <w:rFonts w:ascii="Book Antiqua" w:hAnsi="Book Antiqua"/>
          <w:szCs w:val="24"/>
        </w:rPr>
        <w:t xml:space="preserve">ression through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5E68A5" w:rsidRPr="00710B70">
        <w:rPr>
          <w:rFonts w:ascii="Book Antiqua" w:hAnsi="Book Antiqua"/>
          <w:szCs w:val="24"/>
        </w:rPr>
        <w:t xml:space="preserve"> </w:t>
      </w:r>
      <w:r w:rsidRPr="00710B70">
        <w:rPr>
          <w:rFonts w:ascii="Book Antiqua" w:hAnsi="Book Antiqua"/>
          <w:szCs w:val="24"/>
        </w:rPr>
        <w:t xml:space="preserve">gene </w:t>
      </w:r>
      <w:r w:rsidR="005E68A5" w:rsidRPr="00710B70">
        <w:rPr>
          <w:rFonts w:ascii="Book Antiqua" w:hAnsi="Book Antiqua"/>
          <w:szCs w:val="24"/>
        </w:rPr>
        <w:t>sequenc</w:t>
      </w:r>
      <w:r w:rsidRPr="00710B70">
        <w:rPr>
          <w:rFonts w:ascii="Book Antiqua" w:hAnsi="Book Antiqua"/>
          <w:szCs w:val="24"/>
        </w:rPr>
        <w:t>ing</w:t>
      </w:r>
      <w:r w:rsidR="005E68A5" w:rsidRPr="00710B70">
        <w:rPr>
          <w:rFonts w:ascii="Book Antiqua" w:hAnsi="Book Antiqua"/>
          <w:szCs w:val="24"/>
        </w:rPr>
        <w:t xml:space="preserve"> </w:t>
      </w:r>
      <w:r w:rsidRPr="00710B70">
        <w:rPr>
          <w:rFonts w:ascii="Book Antiqua" w:hAnsi="Book Antiqua"/>
          <w:szCs w:val="24"/>
        </w:rPr>
        <w:t>in an Australian cohort</w:t>
      </w:r>
    </w:p>
    <w:p w:rsidR="005E68A5" w:rsidRPr="00710B70" w:rsidRDefault="005E68A5" w:rsidP="00710B70">
      <w:pPr>
        <w:spacing w:line="360" w:lineRule="auto"/>
        <w:jc w:val="both"/>
        <w:rPr>
          <w:rFonts w:ascii="Book Antiqua" w:hAnsi="Book Antiqua"/>
          <w:szCs w:val="24"/>
        </w:rPr>
      </w:pPr>
    </w:p>
    <w:p w:rsidR="005E68A5" w:rsidRPr="00710B70" w:rsidRDefault="00A938D2" w:rsidP="00710B70">
      <w:pPr>
        <w:spacing w:line="360" w:lineRule="auto"/>
        <w:jc w:val="both"/>
        <w:rPr>
          <w:rFonts w:ascii="Book Antiqua" w:hAnsi="Book Antiqua"/>
          <w:szCs w:val="24"/>
          <w:lang w:eastAsia="zh-CN"/>
        </w:rPr>
      </w:pPr>
      <w:r w:rsidRPr="00710B70">
        <w:rPr>
          <w:rFonts w:ascii="Book Antiqua" w:hAnsi="Book Antiqua"/>
          <w:b/>
          <w:szCs w:val="24"/>
        </w:rPr>
        <w:t>Bhullar</w:t>
      </w:r>
      <w:r w:rsidRPr="00710B70">
        <w:rPr>
          <w:rFonts w:ascii="Book Antiqua" w:hAnsi="Book Antiqua"/>
          <w:szCs w:val="24"/>
        </w:rPr>
        <w:t xml:space="preserve"> </w:t>
      </w:r>
      <w:r w:rsidRPr="00710B70">
        <w:rPr>
          <w:rFonts w:ascii="Book Antiqua" w:hAnsi="Book Antiqua"/>
          <w:szCs w:val="24"/>
          <w:lang w:eastAsia="zh-CN"/>
        </w:rPr>
        <w:t xml:space="preserve">M </w:t>
      </w:r>
      <w:r w:rsidRPr="00710B70">
        <w:rPr>
          <w:rFonts w:ascii="Book Antiqua" w:hAnsi="Book Antiqua"/>
          <w:i/>
          <w:szCs w:val="24"/>
          <w:lang w:eastAsia="zh-CN"/>
        </w:rPr>
        <w:t>et al.</w:t>
      </w:r>
      <w:r w:rsidRPr="00710B70">
        <w:rPr>
          <w:rFonts w:ascii="Book Antiqua" w:hAnsi="Book Antiqua"/>
          <w:szCs w:val="24"/>
          <w:lang w:eastAsia="zh-CN"/>
        </w:rPr>
        <w:t xml:space="preserv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sequencing in Crohn’s </w:t>
      </w:r>
      <w:r w:rsidR="007F45C6" w:rsidRPr="00710B70">
        <w:rPr>
          <w:rFonts w:ascii="Book Antiqua" w:hAnsi="Book Antiqua"/>
          <w:szCs w:val="24"/>
        </w:rPr>
        <w:t>disease</w:t>
      </w:r>
    </w:p>
    <w:p w:rsidR="00A938D2" w:rsidRPr="00710B70" w:rsidRDefault="00A938D2" w:rsidP="00710B70">
      <w:pPr>
        <w:spacing w:line="360" w:lineRule="auto"/>
        <w:jc w:val="both"/>
        <w:rPr>
          <w:rFonts w:ascii="Book Antiqua" w:hAnsi="Book Antiqua"/>
          <w:b/>
          <w:szCs w:val="24"/>
          <w:lang w:eastAsia="zh-CN"/>
        </w:rPr>
      </w:pPr>
    </w:p>
    <w:p w:rsidR="005E68A5" w:rsidRPr="00710B70" w:rsidRDefault="005E68A5" w:rsidP="00710B70">
      <w:pPr>
        <w:spacing w:line="360" w:lineRule="auto"/>
        <w:jc w:val="both"/>
        <w:rPr>
          <w:rFonts w:ascii="Book Antiqua" w:hAnsi="Book Antiqua"/>
          <w:b/>
          <w:szCs w:val="24"/>
        </w:rPr>
      </w:pPr>
      <w:r w:rsidRPr="00710B70">
        <w:rPr>
          <w:rFonts w:ascii="Book Antiqua" w:hAnsi="Book Antiqua"/>
          <w:b/>
          <w:szCs w:val="24"/>
        </w:rPr>
        <w:t xml:space="preserve">Maneesha Bhullar, Finlay Macrae, Gregor Brown, Margie Smith, Ken Sharpe </w:t>
      </w:r>
    </w:p>
    <w:p w:rsidR="005E68A5" w:rsidRPr="00710B70" w:rsidRDefault="005E68A5" w:rsidP="00710B70">
      <w:pPr>
        <w:spacing w:line="360" w:lineRule="auto"/>
        <w:jc w:val="both"/>
        <w:rPr>
          <w:rFonts w:ascii="Book Antiqua" w:hAnsi="Book Antiqua"/>
          <w:szCs w:val="24"/>
        </w:rPr>
      </w:pPr>
    </w:p>
    <w:p w:rsidR="005E68A5" w:rsidRDefault="005E68A5" w:rsidP="00710B70">
      <w:pPr>
        <w:pStyle w:val="a5"/>
        <w:spacing w:line="360" w:lineRule="auto"/>
        <w:ind w:left="0"/>
        <w:jc w:val="both"/>
        <w:rPr>
          <w:rFonts w:ascii="Book Antiqua" w:hAnsi="Book Antiqua"/>
          <w:szCs w:val="24"/>
          <w:lang w:eastAsia="zh-CN"/>
        </w:rPr>
      </w:pPr>
      <w:r w:rsidRPr="00710B70">
        <w:rPr>
          <w:rFonts w:ascii="Book Antiqua" w:hAnsi="Book Antiqua"/>
          <w:b/>
          <w:szCs w:val="24"/>
        </w:rPr>
        <w:t>Maneesha Bhullar, Finlay Macrae, Gregor Brown</w:t>
      </w:r>
      <w:r w:rsidRPr="00710B70">
        <w:rPr>
          <w:rFonts w:ascii="Book Antiqua" w:hAnsi="Book Antiqua"/>
          <w:szCs w:val="24"/>
        </w:rPr>
        <w:t xml:space="preserve">, Department of Colorectal Medicine and Genetics, 3 Centre, The Royal Melbourne Hospital, </w:t>
      </w:r>
      <w:r w:rsidR="00A938D2" w:rsidRPr="00710B70">
        <w:rPr>
          <w:rFonts w:ascii="Book Antiqua" w:hAnsi="Book Antiqua"/>
          <w:szCs w:val="24"/>
        </w:rPr>
        <w:t>Parkville 3052, VIC, Australia</w:t>
      </w:r>
    </w:p>
    <w:p w:rsidR="00B8177E" w:rsidRPr="00710B70" w:rsidRDefault="00B8177E" w:rsidP="00710B70">
      <w:pPr>
        <w:pStyle w:val="a5"/>
        <w:spacing w:line="360" w:lineRule="auto"/>
        <w:ind w:left="0"/>
        <w:jc w:val="both"/>
        <w:rPr>
          <w:rFonts w:ascii="Book Antiqua" w:hAnsi="Book Antiqua"/>
          <w:szCs w:val="24"/>
          <w:lang w:eastAsia="zh-CN"/>
        </w:rPr>
      </w:pPr>
    </w:p>
    <w:p w:rsidR="005E68A5" w:rsidRDefault="005E68A5" w:rsidP="00710B70">
      <w:pPr>
        <w:pStyle w:val="a5"/>
        <w:spacing w:line="360" w:lineRule="auto"/>
        <w:ind w:left="0"/>
        <w:jc w:val="both"/>
        <w:rPr>
          <w:rFonts w:ascii="Book Antiqua" w:hAnsi="Book Antiqua"/>
          <w:szCs w:val="24"/>
          <w:lang w:eastAsia="zh-CN"/>
        </w:rPr>
      </w:pPr>
      <w:r w:rsidRPr="00710B70">
        <w:rPr>
          <w:rFonts w:ascii="Book Antiqua" w:hAnsi="Book Antiqua"/>
          <w:b/>
          <w:szCs w:val="24"/>
        </w:rPr>
        <w:t>Margie Smith</w:t>
      </w:r>
      <w:r w:rsidRPr="00710B70">
        <w:rPr>
          <w:rFonts w:ascii="Book Antiqua" w:hAnsi="Book Antiqua"/>
          <w:szCs w:val="24"/>
        </w:rPr>
        <w:t xml:space="preserve">, Department of Molecular Genetics, CMR Room 204, Pathology, The Royal Melbourne Hospital, </w:t>
      </w:r>
      <w:r w:rsidR="00A938D2" w:rsidRPr="00710B70">
        <w:rPr>
          <w:rFonts w:ascii="Book Antiqua" w:hAnsi="Book Antiqua"/>
          <w:szCs w:val="24"/>
        </w:rPr>
        <w:t>Parkville 3052, VIC, Australia</w:t>
      </w:r>
      <w:r w:rsidRPr="00710B70">
        <w:rPr>
          <w:rFonts w:ascii="Book Antiqua" w:hAnsi="Book Antiqua"/>
          <w:szCs w:val="24"/>
        </w:rPr>
        <w:t xml:space="preserve"> </w:t>
      </w:r>
    </w:p>
    <w:p w:rsidR="00B8177E" w:rsidRPr="00710B70" w:rsidRDefault="00B8177E" w:rsidP="00710B70">
      <w:pPr>
        <w:pStyle w:val="a5"/>
        <w:spacing w:line="360" w:lineRule="auto"/>
        <w:ind w:left="0"/>
        <w:jc w:val="both"/>
        <w:rPr>
          <w:rFonts w:ascii="Book Antiqua" w:hAnsi="Book Antiqua"/>
          <w:szCs w:val="24"/>
          <w:lang w:eastAsia="zh-CN"/>
        </w:rPr>
      </w:pPr>
    </w:p>
    <w:p w:rsidR="005E68A5" w:rsidRPr="00710B70" w:rsidRDefault="005E68A5" w:rsidP="00710B70">
      <w:pPr>
        <w:pStyle w:val="a5"/>
        <w:spacing w:line="360" w:lineRule="auto"/>
        <w:ind w:left="0"/>
        <w:jc w:val="both"/>
        <w:rPr>
          <w:rFonts w:ascii="Book Antiqua" w:hAnsi="Book Antiqua"/>
          <w:szCs w:val="24"/>
          <w:lang w:eastAsia="zh-CN"/>
        </w:rPr>
      </w:pPr>
      <w:r w:rsidRPr="00710B70">
        <w:rPr>
          <w:rFonts w:ascii="Book Antiqua" w:hAnsi="Book Antiqua"/>
          <w:b/>
          <w:szCs w:val="24"/>
        </w:rPr>
        <w:t>Ken Sharpe</w:t>
      </w:r>
      <w:r w:rsidRPr="00710B70">
        <w:rPr>
          <w:rFonts w:ascii="Book Antiqua" w:hAnsi="Book Antiqua"/>
          <w:szCs w:val="24"/>
        </w:rPr>
        <w:t>,</w:t>
      </w:r>
      <w:r w:rsidR="00A938D2" w:rsidRPr="00710B70">
        <w:rPr>
          <w:rFonts w:ascii="Book Antiqua" w:hAnsi="Book Antiqua"/>
          <w:szCs w:val="24"/>
          <w:lang w:eastAsia="zh-CN"/>
        </w:rPr>
        <w:t xml:space="preserve"> </w:t>
      </w:r>
      <w:r w:rsidRPr="00710B70">
        <w:rPr>
          <w:rFonts w:ascii="Book Antiqua" w:hAnsi="Book Antiqua"/>
          <w:szCs w:val="24"/>
        </w:rPr>
        <w:t xml:space="preserve">Department of Statistics, University of Melbourne, </w:t>
      </w:r>
      <w:r w:rsidR="00A938D2" w:rsidRPr="00710B70">
        <w:rPr>
          <w:rFonts w:ascii="Book Antiqua" w:hAnsi="Book Antiqua"/>
          <w:szCs w:val="24"/>
        </w:rPr>
        <w:t>Parkville 3050, VIC, Australia</w:t>
      </w:r>
    </w:p>
    <w:p w:rsidR="005E68A5" w:rsidRPr="00710B70" w:rsidRDefault="005E68A5" w:rsidP="00710B70">
      <w:pPr>
        <w:spacing w:line="360" w:lineRule="auto"/>
        <w:jc w:val="both"/>
        <w:rPr>
          <w:rFonts w:ascii="Book Antiqua" w:hAnsi="Book Antiqua"/>
          <w:szCs w:val="24"/>
          <w:lang w:eastAsia="zh-CN"/>
        </w:rPr>
      </w:pPr>
    </w:p>
    <w:p w:rsidR="005E68A5" w:rsidRPr="00710B70" w:rsidRDefault="00A938D2" w:rsidP="00710B70">
      <w:pPr>
        <w:spacing w:line="360" w:lineRule="auto"/>
        <w:jc w:val="both"/>
        <w:rPr>
          <w:rFonts w:ascii="Book Antiqua" w:hAnsi="Book Antiqua"/>
          <w:szCs w:val="24"/>
          <w:lang w:eastAsia="zh-CN"/>
        </w:rPr>
      </w:pPr>
      <w:r w:rsidRPr="00710B70">
        <w:rPr>
          <w:rFonts w:ascii="Book Antiqua" w:hAnsi="Book Antiqua"/>
          <w:b/>
          <w:szCs w:val="24"/>
          <w:lang w:eastAsia="zh-CN"/>
        </w:rPr>
        <w:t>Author contributions</w:t>
      </w:r>
      <w:r w:rsidRPr="00710B70">
        <w:rPr>
          <w:rFonts w:ascii="Book Antiqua" w:hAnsi="Book Antiqua"/>
          <w:szCs w:val="24"/>
          <w:lang w:eastAsia="zh-CN"/>
        </w:rPr>
        <w:t>: Bhullar M and Macrae F recruited the patients and wrote the manuscript; Bhullar M, Macrae F and Brown G designed the study methodology; Smith M conducted the genetic sequencing and interpretation of the genetic material; Sharpe K performed the statistical analysis of the data.</w:t>
      </w:r>
    </w:p>
    <w:p w:rsidR="00A938D2" w:rsidRPr="00710B70" w:rsidRDefault="00A938D2" w:rsidP="00710B70">
      <w:pPr>
        <w:spacing w:line="360" w:lineRule="auto"/>
        <w:jc w:val="both"/>
        <w:rPr>
          <w:rFonts w:ascii="Book Antiqua" w:hAnsi="Book Antiqua"/>
          <w:szCs w:val="24"/>
          <w:lang w:eastAsia="zh-CN"/>
        </w:rPr>
      </w:pPr>
    </w:p>
    <w:p w:rsidR="00466B5F" w:rsidRPr="00710B70" w:rsidRDefault="00466B5F" w:rsidP="00710B70">
      <w:pPr>
        <w:spacing w:line="360" w:lineRule="auto"/>
        <w:jc w:val="both"/>
        <w:rPr>
          <w:rFonts w:ascii="Book Antiqua" w:hAnsi="Book Antiqua"/>
          <w:b/>
          <w:szCs w:val="24"/>
          <w:lang w:eastAsia="zh-CN"/>
        </w:rPr>
      </w:pPr>
      <w:r w:rsidRPr="00710B70">
        <w:rPr>
          <w:rFonts w:ascii="Book Antiqua" w:hAnsi="Book Antiqua"/>
          <w:b/>
          <w:szCs w:val="24"/>
        </w:rPr>
        <w:t>Supported by</w:t>
      </w:r>
      <w:r w:rsidRPr="00710B70">
        <w:rPr>
          <w:rFonts w:ascii="Book Antiqua" w:hAnsi="Book Antiqua"/>
          <w:b/>
          <w:szCs w:val="24"/>
          <w:lang w:eastAsia="zh-CN"/>
        </w:rPr>
        <w:t xml:space="preserve"> </w:t>
      </w:r>
      <w:r w:rsidRPr="00710B70">
        <w:rPr>
          <w:rFonts w:ascii="Book Antiqua" w:hAnsi="Book Antiqua"/>
          <w:szCs w:val="24"/>
        </w:rPr>
        <w:t>Schering Plough</w:t>
      </w:r>
    </w:p>
    <w:p w:rsidR="00466B5F" w:rsidRPr="00710B70" w:rsidRDefault="00466B5F" w:rsidP="00710B70">
      <w:pPr>
        <w:spacing w:line="360" w:lineRule="auto"/>
        <w:jc w:val="both"/>
        <w:rPr>
          <w:rFonts w:ascii="Book Antiqua" w:hAnsi="Book Antiqua"/>
          <w:szCs w:val="24"/>
          <w:lang w:eastAsia="zh-CN"/>
        </w:rPr>
      </w:pPr>
    </w:p>
    <w:p w:rsidR="005E68A5" w:rsidRDefault="005E68A5" w:rsidP="00710B70">
      <w:pPr>
        <w:pStyle w:val="a5"/>
        <w:spacing w:line="360" w:lineRule="auto"/>
        <w:ind w:left="0"/>
        <w:jc w:val="both"/>
        <w:rPr>
          <w:rFonts w:ascii="Book Antiqua" w:hAnsi="Book Antiqua"/>
          <w:szCs w:val="24"/>
          <w:lang w:eastAsia="zh-CN"/>
        </w:rPr>
      </w:pPr>
      <w:r w:rsidRPr="00710B70">
        <w:rPr>
          <w:rFonts w:ascii="Book Antiqua" w:hAnsi="Book Antiqua"/>
          <w:b/>
          <w:szCs w:val="24"/>
        </w:rPr>
        <w:lastRenderedPageBreak/>
        <w:t>Correspondence to</w:t>
      </w:r>
      <w:r w:rsidRPr="00710B70">
        <w:rPr>
          <w:rFonts w:ascii="Book Antiqua" w:hAnsi="Book Antiqua"/>
          <w:szCs w:val="24"/>
        </w:rPr>
        <w:t xml:space="preserve">: </w:t>
      </w:r>
      <w:r w:rsidRPr="00710B70">
        <w:rPr>
          <w:rFonts w:ascii="Book Antiqua" w:hAnsi="Book Antiqua"/>
          <w:b/>
          <w:szCs w:val="24"/>
        </w:rPr>
        <w:t xml:space="preserve">Maneesha Bhullar, </w:t>
      </w:r>
      <w:r w:rsidR="00350F04">
        <w:rPr>
          <w:rFonts w:ascii="Book Antiqua" w:hAnsi="Book Antiqua" w:hint="eastAsia"/>
          <w:b/>
          <w:szCs w:val="24"/>
          <w:lang w:eastAsia="zh-CN"/>
        </w:rPr>
        <w:t>MBBS</w:t>
      </w:r>
      <w:r w:rsidR="002D38E1">
        <w:rPr>
          <w:rFonts w:ascii="Book Antiqua" w:hAnsi="Book Antiqua" w:hint="eastAsia"/>
          <w:b/>
          <w:szCs w:val="24"/>
          <w:lang w:eastAsia="zh-CN"/>
        </w:rPr>
        <w:t>, MedSc,</w:t>
      </w:r>
      <w:r w:rsidR="00350F04">
        <w:rPr>
          <w:rFonts w:ascii="Book Antiqua" w:hAnsi="Book Antiqua" w:hint="eastAsia"/>
          <w:b/>
          <w:szCs w:val="24"/>
          <w:lang w:eastAsia="zh-CN"/>
        </w:rPr>
        <w:t xml:space="preserve"> </w:t>
      </w:r>
      <w:r w:rsidRPr="00710B70">
        <w:rPr>
          <w:rFonts w:ascii="Book Antiqua" w:hAnsi="Book Antiqua"/>
          <w:szCs w:val="24"/>
        </w:rPr>
        <w:t xml:space="preserve">Department of Colorectal Medicine and Genetics, 3 Centre, The Royal Melbourne Hospital, Grattan St, Parkville 3052, VIC, Australia. </w:t>
      </w:r>
      <w:hyperlink r:id="rId9" w:history="1">
        <w:r w:rsidR="00B8177E" w:rsidRPr="00FE1C47">
          <w:rPr>
            <w:rStyle w:val="a6"/>
            <w:rFonts w:ascii="Book Antiqua" w:hAnsi="Book Antiqua"/>
            <w:szCs w:val="24"/>
          </w:rPr>
          <w:t>maneesha.bhullar@mh.org.au</w:t>
        </w:r>
      </w:hyperlink>
    </w:p>
    <w:p w:rsidR="00B8177E" w:rsidRPr="00710B70" w:rsidRDefault="00B8177E" w:rsidP="00710B70">
      <w:pPr>
        <w:pStyle w:val="a5"/>
        <w:spacing w:line="360" w:lineRule="auto"/>
        <w:ind w:left="0"/>
        <w:jc w:val="both"/>
        <w:rPr>
          <w:rFonts w:ascii="Book Antiqua" w:hAnsi="Book Antiqua"/>
          <w:szCs w:val="24"/>
          <w:lang w:eastAsia="zh-CN"/>
        </w:rPr>
      </w:pPr>
    </w:p>
    <w:p w:rsidR="005E68A5" w:rsidRPr="00710B70" w:rsidRDefault="005E68A5" w:rsidP="00710B70">
      <w:pPr>
        <w:spacing w:line="360" w:lineRule="auto"/>
        <w:jc w:val="both"/>
        <w:rPr>
          <w:rFonts w:ascii="Book Antiqua" w:hAnsi="Book Antiqua"/>
          <w:szCs w:val="24"/>
          <w:lang w:eastAsia="zh-CN"/>
        </w:rPr>
      </w:pPr>
      <w:r w:rsidRPr="00710B70">
        <w:rPr>
          <w:rFonts w:ascii="Book Antiqua" w:hAnsi="Book Antiqua"/>
          <w:b/>
          <w:color w:val="000000"/>
          <w:szCs w:val="24"/>
        </w:rPr>
        <w:t>Telephone:</w:t>
      </w:r>
      <w:r w:rsidR="00466B5F" w:rsidRPr="00710B70">
        <w:rPr>
          <w:rFonts w:ascii="Book Antiqua" w:hAnsi="Book Antiqua"/>
          <w:color w:val="000000"/>
          <w:szCs w:val="24"/>
        </w:rPr>
        <w:t xml:space="preserve"> +</w:t>
      </w:r>
      <w:r w:rsidR="009A3C2D" w:rsidRPr="00710B70">
        <w:rPr>
          <w:rFonts w:ascii="Book Antiqua" w:hAnsi="Book Antiqua"/>
          <w:szCs w:val="24"/>
        </w:rPr>
        <w:t>61</w:t>
      </w:r>
      <w:r w:rsidR="00466B5F" w:rsidRPr="00710B70">
        <w:rPr>
          <w:rFonts w:ascii="Book Antiqua" w:hAnsi="Book Antiqua"/>
          <w:szCs w:val="24"/>
          <w:lang w:eastAsia="zh-CN"/>
        </w:rPr>
        <w:t>-</w:t>
      </w:r>
      <w:r w:rsidR="009A3C2D" w:rsidRPr="00710B70">
        <w:rPr>
          <w:rFonts w:ascii="Book Antiqua" w:hAnsi="Book Antiqua"/>
          <w:szCs w:val="24"/>
        </w:rPr>
        <w:t>4-21205039</w:t>
      </w:r>
      <w:r w:rsidR="00466B5F" w:rsidRPr="00710B70">
        <w:rPr>
          <w:rFonts w:ascii="Book Antiqua" w:hAnsi="Book Antiqua"/>
          <w:szCs w:val="24"/>
          <w:lang w:eastAsia="zh-CN"/>
        </w:rPr>
        <w:t xml:space="preserve">        </w:t>
      </w:r>
      <w:r w:rsidR="005B72A4">
        <w:rPr>
          <w:rFonts w:ascii="Book Antiqua" w:hAnsi="Book Antiqua" w:hint="eastAsia"/>
          <w:szCs w:val="24"/>
          <w:lang w:eastAsia="zh-CN"/>
        </w:rPr>
        <w:t xml:space="preserve"> </w:t>
      </w:r>
      <w:r w:rsidR="005B72A4" w:rsidRPr="004C5CD7">
        <w:rPr>
          <w:rFonts w:ascii="Book Antiqua" w:hAnsi="Book Antiqua" w:hint="eastAsia"/>
          <w:b/>
          <w:szCs w:val="24"/>
          <w:lang w:eastAsia="zh-CN"/>
        </w:rPr>
        <w:t xml:space="preserve">   Fax</w:t>
      </w:r>
      <w:r w:rsidR="004C5CD7">
        <w:rPr>
          <w:rFonts w:ascii="Book Antiqua" w:hAnsi="Book Antiqua" w:hint="eastAsia"/>
          <w:szCs w:val="24"/>
          <w:lang w:eastAsia="zh-CN"/>
        </w:rPr>
        <w:t>:</w:t>
      </w:r>
      <w:r w:rsidR="003877C2">
        <w:rPr>
          <w:rFonts w:ascii="Book Antiqua" w:hAnsi="Book Antiqua"/>
          <w:szCs w:val="24"/>
          <w:lang w:eastAsia="zh-CN"/>
        </w:rPr>
        <w:t xml:space="preserve"> +61-4-67728130</w:t>
      </w:r>
    </w:p>
    <w:p w:rsidR="005E68A5" w:rsidRPr="00710B70" w:rsidRDefault="005E68A5" w:rsidP="00710B70">
      <w:pPr>
        <w:spacing w:line="360" w:lineRule="auto"/>
        <w:jc w:val="both"/>
        <w:rPr>
          <w:rFonts w:ascii="Book Antiqua" w:hAnsi="Book Antiqua"/>
          <w:color w:val="000000"/>
          <w:szCs w:val="24"/>
        </w:rPr>
      </w:pPr>
    </w:p>
    <w:p w:rsidR="000431E5" w:rsidRDefault="000431E5" w:rsidP="000431E5">
      <w:pPr>
        <w:spacing w:line="360" w:lineRule="auto"/>
        <w:rPr>
          <w:rFonts w:ascii="Book Antiqua" w:hAnsi="Book Antiqua" w:hint="eastAsia"/>
          <w:b/>
          <w:color w:val="000000"/>
          <w:lang w:eastAsia="zh-CN"/>
        </w:rPr>
      </w:pPr>
      <w:r w:rsidRPr="005C6A5F">
        <w:rPr>
          <w:rFonts w:ascii="Book Antiqua" w:hAnsi="Book Antiqua"/>
          <w:b/>
          <w:color w:val="000000"/>
        </w:rPr>
        <w:t xml:space="preserve">Received: </w:t>
      </w:r>
      <w:bookmarkStart w:id="0" w:name="OLE_LINK16"/>
      <w:bookmarkStart w:id="1" w:name="OLE_LINK17"/>
      <w:bookmarkStart w:id="2" w:name="OLE_LINK155"/>
      <w:bookmarkStart w:id="3" w:name="OLE_LINK105"/>
      <w:bookmarkStart w:id="4" w:name="OLE_LINK114"/>
      <w:bookmarkStart w:id="5" w:name="OLE_LINK27"/>
      <w:r w:rsidR="00E82DFC" w:rsidRPr="00421E83">
        <w:rPr>
          <w:rFonts w:ascii="Book Antiqua" w:hAnsi="Book Antiqua"/>
          <w:szCs w:val="24"/>
        </w:rPr>
        <w:t>April</w:t>
      </w:r>
      <w:bookmarkEnd w:id="0"/>
      <w:bookmarkEnd w:id="1"/>
      <w:bookmarkEnd w:id="2"/>
      <w:bookmarkEnd w:id="3"/>
      <w:bookmarkEnd w:id="4"/>
      <w:bookmarkEnd w:id="5"/>
      <w:r w:rsidR="00E82DFC">
        <w:rPr>
          <w:rFonts w:ascii="Book Antiqua" w:hAnsi="Book Antiqua" w:hint="eastAsia"/>
          <w:szCs w:val="24"/>
          <w:lang w:eastAsia="zh-CN"/>
        </w:rPr>
        <w:t xml:space="preserve"> 25, 2013             </w:t>
      </w:r>
      <w:bookmarkStart w:id="6" w:name="_GoBack"/>
      <w:bookmarkEnd w:id="6"/>
      <w:r>
        <w:rPr>
          <w:rFonts w:ascii="Book Antiqua" w:hAnsi="Book Antiqua" w:hint="eastAsia"/>
          <w:color w:val="000000"/>
        </w:rPr>
        <w:t xml:space="preserve">     </w:t>
      </w:r>
      <w:r w:rsidRPr="005C6A5F">
        <w:rPr>
          <w:rFonts w:ascii="Book Antiqua" w:hAnsi="Book Antiqua"/>
          <w:b/>
          <w:color w:val="000000"/>
        </w:rPr>
        <w:t xml:space="preserve">Revised: </w:t>
      </w:r>
      <w:bookmarkStart w:id="7" w:name="OLE_LINK154"/>
      <w:bookmarkStart w:id="8" w:name="OLE_LINK156"/>
      <w:r w:rsidR="00E82DFC" w:rsidRPr="00421E83">
        <w:rPr>
          <w:rFonts w:ascii="Book Antiqua" w:hAnsi="Book Antiqua"/>
          <w:szCs w:val="24"/>
        </w:rPr>
        <w:t>September</w:t>
      </w:r>
      <w:bookmarkEnd w:id="7"/>
      <w:bookmarkEnd w:id="8"/>
      <w:r w:rsidR="00E82DFC">
        <w:rPr>
          <w:rFonts w:ascii="Book Antiqua" w:hAnsi="Book Antiqua" w:hint="eastAsia"/>
          <w:szCs w:val="24"/>
          <w:lang w:eastAsia="zh-CN"/>
        </w:rPr>
        <w:t xml:space="preserve"> 12, 2013</w:t>
      </w:r>
    </w:p>
    <w:p w:rsidR="00F90BC1" w:rsidRPr="00C732A0" w:rsidRDefault="000431E5" w:rsidP="00F90BC1">
      <w:pPr>
        <w:rPr>
          <w:rFonts w:ascii="Book Antiqua" w:hAnsi="Book Antiqua"/>
          <w:szCs w:val="24"/>
        </w:rPr>
      </w:pPr>
      <w:r w:rsidRPr="005C6A5F">
        <w:rPr>
          <w:rFonts w:ascii="Book Antiqua" w:hAnsi="Book Antiqua"/>
          <w:b/>
          <w:color w:val="000000"/>
        </w:rPr>
        <w:t xml:space="preserve">Accepted: </w:t>
      </w:r>
      <w:bookmarkStart w:id="9" w:name="OLE_LINK1"/>
      <w:r w:rsidR="00F90BC1" w:rsidRPr="00C732A0">
        <w:rPr>
          <w:rFonts w:ascii="Book Antiqua" w:hAnsi="Book Antiqua"/>
          <w:szCs w:val="24"/>
        </w:rPr>
        <w:t>September 16, 2013</w:t>
      </w:r>
      <w:bookmarkEnd w:id="9"/>
    </w:p>
    <w:p w:rsidR="000431E5" w:rsidRPr="003408E1" w:rsidRDefault="000431E5" w:rsidP="000431E5">
      <w:pPr>
        <w:spacing w:line="360" w:lineRule="auto"/>
        <w:rPr>
          <w:rFonts w:ascii="Book Antiqua" w:hAnsi="Book Antiqua"/>
          <w:b/>
          <w:color w:val="000000"/>
        </w:rPr>
      </w:pPr>
    </w:p>
    <w:p w:rsidR="000431E5" w:rsidRPr="005C6A5F" w:rsidRDefault="000431E5" w:rsidP="000431E5">
      <w:pPr>
        <w:spacing w:line="360" w:lineRule="auto"/>
        <w:rPr>
          <w:rFonts w:ascii="Book Antiqua" w:hAnsi="Book Antiqua"/>
          <w:color w:val="000000"/>
        </w:rPr>
      </w:pPr>
      <w:r w:rsidRPr="005C6A5F">
        <w:rPr>
          <w:rFonts w:ascii="Book Antiqua" w:hAnsi="Book Antiqua"/>
          <w:b/>
          <w:color w:val="000000"/>
        </w:rPr>
        <w:t xml:space="preserve">Published online: </w:t>
      </w:r>
    </w:p>
    <w:p w:rsidR="005E68A5" w:rsidRPr="00710B70" w:rsidRDefault="005E68A5" w:rsidP="00710B70">
      <w:pPr>
        <w:spacing w:line="360" w:lineRule="auto"/>
        <w:jc w:val="both"/>
        <w:rPr>
          <w:rFonts w:ascii="Book Antiqua" w:hAnsi="Book Antiqua"/>
          <w:szCs w:val="24"/>
        </w:rPr>
      </w:pPr>
    </w:p>
    <w:p w:rsidR="005E68A5" w:rsidRPr="00710B70" w:rsidRDefault="005E68A5" w:rsidP="00710B70">
      <w:pPr>
        <w:spacing w:line="360" w:lineRule="auto"/>
        <w:jc w:val="both"/>
        <w:rPr>
          <w:rFonts w:ascii="Book Antiqua" w:hAnsi="Book Antiqua"/>
          <w:b/>
          <w:szCs w:val="24"/>
        </w:rPr>
      </w:pPr>
    </w:p>
    <w:p w:rsidR="00921E6B" w:rsidRPr="00710B70" w:rsidRDefault="00921E6B" w:rsidP="00710B70">
      <w:pPr>
        <w:spacing w:line="360" w:lineRule="auto"/>
        <w:jc w:val="both"/>
        <w:rPr>
          <w:rFonts w:ascii="Book Antiqua" w:hAnsi="Book Antiqua"/>
          <w:b/>
          <w:szCs w:val="24"/>
        </w:rPr>
      </w:pPr>
    </w:p>
    <w:p w:rsidR="00921E6B" w:rsidRPr="00710B70" w:rsidRDefault="00921E6B" w:rsidP="00710B70">
      <w:pPr>
        <w:spacing w:line="360" w:lineRule="auto"/>
        <w:jc w:val="both"/>
        <w:rPr>
          <w:rFonts w:ascii="Book Antiqua" w:hAnsi="Book Antiqua"/>
          <w:b/>
          <w:szCs w:val="24"/>
        </w:rPr>
      </w:pPr>
    </w:p>
    <w:p w:rsidR="00921E6B" w:rsidRPr="00710B70" w:rsidRDefault="00921E6B" w:rsidP="00710B70">
      <w:pPr>
        <w:spacing w:line="360" w:lineRule="auto"/>
        <w:jc w:val="both"/>
        <w:rPr>
          <w:rFonts w:ascii="Book Antiqua" w:hAnsi="Book Antiqua"/>
          <w:b/>
          <w:szCs w:val="24"/>
        </w:rPr>
      </w:pPr>
    </w:p>
    <w:p w:rsidR="00921E6B" w:rsidRPr="00710B70" w:rsidRDefault="00921E6B" w:rsidP="00710B70">
      <w:pPr>
        <w:spacing w:line="360" w:lineRule="auto"/>
        <w:jc w:val="both"/>
        <w:rPr>
          <w:rFonts w:ascii="Book Antiqua" w:hAnsi="Book Antiqua"/>
          <w:b/>
          <w:szCs w:val="24"/>
        </w:rPr>
      </w:pPr>
    </w:p>
    <w:p w:rsidR="005E68A5" w:rsidRPr="00710B70" w:rsidRDefault="005E68A5" w:rsidP="00710B70">
      <w:pPr>
        <w:spacing w:line="360" w:lineRule="auto"/>
        <w:jc w:val="both"/>
        <w:rPr>
          <w:rFonts w:ascii="Book Antiqua" w:hAnsi="Book Antiqua"/>
          <w:b/>
          <w:szCs w:val="24"/>
        </w:rPr>
      </w:pPr>
    </w:p>
    <w:p w:rsidR="005E68A5" w:rsidRPr="00710B70" w:rsidRDefault="005E68A5" w:rsidP="00710B70">
      <w:pPr>
        <w:spacing w:line="360" w:lineRule="auto"/>
        <w:jc w:val="both"/>
        <w:rPr>
          <w:rFonts w:ascii="Book Antiqua" w:hAnsi="Book Antiqua"/>
          <w:b/>
          <w:szCs w:val="24"/>
        </w:rPr>
      </w:pPr>
    </w:p>
    <w:p w:rsidR="005E68A5" w:rsidRPr="00710B70" w:rsidRDefault="005E68A5"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180A4D" w:rsidRPr="00710B70" w:rsidRDefault="00180A4D" w:rsidP="00710B70">
      <w:pPr>
        <w:spacing w:line="360" w:lineRule="auto"/>
        <w:jc w:val="both"/>
        <w:rPr>
          <w:rFonts w:ascii="Book Antiqua" w:hAnsi="Book Antiqua"/>
          <w:b/>
          <w:szCs w:val="24"/>
        </w:rPr>
      </w:pPr>
    </w:p>
    <w:p w:rsidR="00AB6152" w:rsidRPr="00710B70" w:rsidRDefault="00466B5F" w:rsidP="00710B70">
      <w:pPr>
        <w:spacing w:line="360" w:lineRule="auto"/>
        <w:jc w:val="both"/>
        <w:rPr>
          <w:rFonts w:ascii="Book Antiqua" w:hAnsi="Book Antiqua"/>
          <w:b/>
          <w:szCs w:val="24"/>
        </w:rPr>
      </w:pPr>
      <w:r w:rsidRPr="00710B70">
        <w:rPr>
          <w:rFonts w:ascii="Book Antiqua" w:hAnsi="Book Antiqua"/>
          <w:b/>
          <w:szCs w:val="24"/>
        </w:rPr>
        <w:lastRenderedPageBreak/>
        <w:t>Abstract</w:t>
      </w:r>
    </w:p>
    <w:p w:rsidR="00286159" w:rsidRPr="00710B70" w:rsidRDefault="00286159" w:rsidP="00710B70">
      <w:pPr>
        <w:spacing w:line="360" w:lineRule="auto"/>
        <w:jc w:val="both"/>
        <w:rPr>
          <w:rFonts w:ascii="Book Antiqua" w:hAnsi="Book Antiqua"/>
          <w:szCs w:val="24"/>
          <w:lang w:eastAsia="zh-CN"/>
        </w:rPr>
      </w:pPr>
      <w:r w:rsidRPr="00710B70">
        <w:rPr>
          <w:rFonts w:ascii="Book Antiqua" w:hAnsi="Book Antiqua"/>
          <w:b/>
          <w:szCs w:val="24"/>
          <w:lang w:eastAsia="zh-CN"/>
        </w:rPr>
        <w:t>AIM:</w:t>
      </w:r>
      <w:r w:rsidRPr="00710B70">
        <w:rPr>
          <w:rFonts w:ascii="Book Antiqua" w:hAnsi="Book Antiqua"/>
          <w:szCs w:val="24"/>
          <w:lang w:eastAsia="zh-CN"/>
        </w:rPr>
        <w:t xml:space="preserve"> </w:t>
      </w:r>
      <w:r w:rsidRPr="00710B70">
        <w:rPr>
          <w:rFonts w:ascii="Book Antiqua" w:hAnsi="Book Antiqua"/>
          <w:szCs w:val="24"/>
        </w:rPr>
        <w:t>T</w:t>
      </w:r>
      <w:r w:rsidR="0044006F" w:rsidRPr="00710B70">
        <w:rPr>
          <w:rFonts w:ascii="Book Antiqua" w:hAnsi="Book Antiqua"/>
          <w:szCs w:val="24"/>
        </w:rPr>
        <w:t>o i</w:t>
      </w:r>
      <w:r w:rsidR="00AB6152" w:rsidRPr="00710B70">
        <w:rPr>
          <w:rFonts w:ascii="Book Antiqua" w:hAnsi="Book Antiqua"/>
          <w:szCs w:val="24"/>
        </w:rPr>
        <w:t xml:space="preserve">nvestigate the association between mutations in </w:t>
      </w:r>
      <w:r w:rsidR="00161C69" w:rsidRPr="00161C69">
        <w:rPr>
          <w:rFonts w:ascii="Book Antiqua" w:hAnsi="Book Antiqua"/>
          <w:szCs w:val="24"/>
        </w:rPr>
        <w:t xml:space="preserve">Oligomerisation Domain 2/ Caspase Recruitment Domains 15 </w:t>
      </w:r>
      <w:r w:rsidR="00AB6152" w:rsidRPr="00710B70">
        <w:rPr>
          <w:rFonts w:ascii="Book Antiqua" w:hAnsi="Book Antiqua"/>
          <w:szCs w:val="24"/>
        </w:rPr>
        <w:t xml:space="preserve">and the natural history of </w:t>
      </w:r>
      <w:r w:rsidR="00C05775" w:rsidRPr="00710B70">
        <w:rPr>
          <w:rFonts w:ascii="Book Antiqua" w:hAnsi="Book Antiqua"/>
          <w:szCs w:val="24"/>
        </w:rPr>
        <w:t>Crohn’s disease (CD)</w:t>
      </w:r>
      <w:r w:rsidR="00AB6152" w:rsidRPr="00710B70">
        <w:rPr>
          <w:rFonts w:ascii="Book Antiqua" w:hAnsi="Book Antiqua"/>
          <w:szCs w:val="24"/>
        </w:rPr>
        <w:t xml:space="preserve"> to identify patients who would benefit from early aggressive medical intervention. </w:t>
      </w:r>
    </w:p>
    <w:p w:rsidR="00286159" w:rsidRPr="00710B70" w:rsidRDefault="00286159" w:rsidP="00710B70">
      <w:pPr>
        <w:spacing w:line="360" w:lineRule="auto"/>
        <w:jc w:val="both"/>
        <w:rPr>
          <w:rFonts w:ascii="Book Antiqua" w:hAnsi="Book Antiqua"/>
          <w:szCs w:val="24"/>
          <w:lang w:eastAsia="zh-CN"/>
        </w:rPr>
      </w:pPr>
    </w:p>
    <w:p w:rsidR="00D04292" w:rsidRDefault="00286159" w:rsidP="00710B70">
      <w:pPr>
        <w:spacing w:line="360" w:lineRule="auto"/>
        <w:jc w:val="both"/>
        <w:rPr>
          <w:rFonts w:ascii="Book Antiqua" w:hAnsi="Book Antiqua"/>
          <w:szCs w:val="24"/>
        </w:rPr>
      </w:pPr>
      <w:r w:rsidRPr="00710B70">
        <w:rPr>
          <w:rFonts w:ascii="Book Antiqua" w:hAnsi="Book Antiqua"/>
          <w:b/>
          <w:szCs w:val="24"/>
        </w:rPr>
        <w:t>METHODS</w:t>
      </w:r>
      <w:r w:rsidRPr="00710B70">
        <w:rPr>
          <w:rStyle w:val="Char4"/>
          <w:rFonts w:ascii="Book Antiqua" w:hAnsi="Book Antiqua"/>
          <w:szCs w:val="24"/>
          <w:lang w:eastAsia="zh-CN"/>
        </w:rPr>
        <w:t xml:space="preserve">: </w:t>
      </w:r>
      <w:r w:rsidR="0044006F" w:rsidRPr="00710B70">
        <w:rPr>
          <w:rStyle w:val="a9"/>
          <w:rFonts w:ascii="Book Antiqua" w:hAnsi="Book Antiqua"/>
          <w:sz w:val="24"/>
          <w:szCs w:val="24"/>
        </w:rPr>
        <w:t>W</w:t>
      </w:r>
      <w:r w:rsidR="00AB6152" w:rsidRPr="00710B70">
        <w:rPr>
          <w:rFonts w:ascii="Book Antiqua" w:hAnsi="Book Antiqua"/>
          <w:szCs w:val="24"/>
        </w:rPr>
        <w:t xml:space="preserve">e recruited thirty consecutive unrelated CD patients with a history of ileo-caecal or small bowel resection during the period 1980-2000; Fifteen patients of these had post-operative relapse that required further surgery and fifteen did not. </w:t>
      </w:r>
      <w:r w:rsidR="00D04292">
        <w:rPr>
          <w:rFonts w:ascii="Book Antiqua" w:hAnsi="Book Antiqua"/>
          <w:szCs w:val="24"/>
        </w:rPr>
        <w:t>F</w:t>
      </w:r>
      <w:r w:rsidR="00D04292" w:rsidRPr="00D04292">
        <w:rPr>
          <w:rFonts w:ascii="Book Antiqua" w:hAnsi="Book Antiqua"/>
          <w:szCs w:val="24"/>
        </w:rPr>
        <w:t xml:space="preserve">ull sequencing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D04292" w:rsidRPr="00D04292">
        <w:rPr>
          <w:rFonts w:ascii="Book Antiqua" w:hAnsi="Book Antiqua"/>
          <w:szCs w:val="24"/>
        </w:rPr>
        <w:t xml:space="preserve"> gene using dHPLC for exons 3, 5, 7, 10 and 12 and direct sequencing for exons 2, 4, 6, 8, 9 and 11</w:t>
      </w:r>
      <w:r w:rsidR="00D04292">
        <w:rPr>
          <w:rFonts w:ascii="Book Antiqua" w:hAnsi="Book Antiqua"/>
          <w:szCs w:val="24"/>
        </w:rPr>
        <w:t xml:space="preserve"> was conducted</w:t>
      </w:r>
      <w:r w:rsidR="00D04292" w:rsidRPr="00D04292">
        <w:rPr>
          <w:rFonts w:ascii="Book Antiqua" w:hAnsi="Book Antiqua"/>
          <w:szCs w:val="24"/>
        </w:rPr>
        <w:t xml:space="preserve">. CD patients categorized as carrying variants were anyone with at least 1 variant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D04292" w:rsidRPr="00D04292">
        <w:rPr>
          <w:rFonts w:ascii="Book Antiqua" w:hAnsi="Book Antiqua"/>
          <w:szCs w:val="24"/>
        </w:rPr>
        <w:t xml:space="preserve"> gene.</w:t>
      </w:r>
    </w:p>
    <w:p w:rsidR="00286159" w:rsidRPr="00710B70" w:rsidRDefault="00D04292" w:rsidP="00710B70">
      <w:pPr>
        <w:spacing w:line="360" w:lineRule="auto"/>
        <w:jc w:val="both"/>
        <w:rPr>
          <w:rFonts w:ascii="Book Antiqua" w:hAnsi="Book Antiqua"/>
          <w:szCs w:val="24"/>
          <w:lang w:eastAsia="zh-CN"/>
        </w:rPr>
      </w:pPr>
      <w:r w:rsidRPr="00710B70">
        <w:rPr>
          <w:rFonts w:ascii="Book Antiqua" w:hAnsi="Book Antiqua"/>
          <w:szCs w:val="24"/>
          <w:lang w:eastAsia="zh-CN"/>
        </w:rPr>
        <w:t xml:space="preserve"> </w:t>
      </w:r>
    </w:p>
    <w:p w:rsidR="00FF118E" w:rsidRPr="00710B70" w:rsidRDefault="00286159" w:rsidP="00710B70">
      <w:pPr>
        <w:spacing w:line="360" w:lineRule="auto"/>
        <w:jc w:val="both"/>
        <w:rPr>
          <w:rFonts w:ascii="Book Antiqua" w:hAnsi="Book Antiqua"/>
          <w:szCs w:val="24"/>
          <w:lang w:eastAsia="zh-CN"/>
        </w:rPr>
      </w:pPr>
      <w:r w:rsidRPr="00710B70">
        <w:rPr>
          <w:rFonts w:ascii="Book Antiqua" w:hAnsi="Book Antiqua"/>
          <w:b/>
          <w:szCs w:val="24"/>
        </w:rPr>
        <w:t>RESULTS</w:t>
      </w:r>
      <w:r w:rsidRPr="00710B70">
        <w:rPr>
          <w:rFonts w:ascii="Book Antiqua" w:hAnsi="Book Antiqua"/>
          <w:b/>
          <w:szCs w:val="24"/>
          <w:lang w:eastAsia="zh-CN"/>
        </w:rPr>
        <w:t>:</w:t>
      </w:r>
      <w:r w:rsidRPr="00710B70">
        <w:rPr>
          <w:rFonts w:ascii="Book Antiqua" w:hAnsi="Book Antiqua"/>
          <w:szCs w:val="24"/>
        </w:rPr>
        <w:t xml:space="preserve"> </w:t>
      </w:r>
      <w:r w:rsidR="00692090">
        <w:rPr>
          <w:rFonts w:ascii="Book Antiqua" w:hAnsi="Book Antiqua" w:hint="eastAsia"/>
          <w:szCs w:val="24"/>
          <w:lang w:eastAsia="zh-CN"/>
        </w:rPr>
        <w:t xml:space="preserve">About </w:t>
      </w:r>
      <w:r w:rsidR="00AB6152" w:rsidRPr="00710B70">
        <w:rPr>
          <w:rFonts w:ascii="Book Antiqua" w:hAnsi="Book Antiqua"/>
          <w:szCs w:val="24"/>
        </w:rPr>
        <w:t xml:space="preserve">13.3% of the cohort (four patients) carried at least one mutant allele of 3020insC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AB6152" w:rsidRPr="00710B70">
        <w:rPr>
          <w:rFonts w:ascii="Book Antiqua" w:hAnsi="Book Antiqua"/>
          <w:szCs w:val="24"/>
        </w:rPr>
        <w:t xml:space="preserve"> gene. </w:t>
      </w:r>
      <w:r w:rsidR="00D04292" w:rsidRPr="00D04292">
        <w:rPr>
          <w:rFonts w:ascii="Book Antiqua" w:hAnsi="Book Antiqua"/>
          <w:szCs w:val="24"/>
        </w:rPr>
        <w:t xml:space="preserve">There were 20 males and 10 females with a mean age of 43.3 years (Range 25-69 years). </w:t>
      </w:r>
      <w:r w:rsidR="00D04292">
        <w:rPr>
          <w:rFonts w:ascii="Book Antiqua" w:hAnsi="Book Antiqua"/>
          <w:szCs w:val="24"/>
        </w:rPr>
        <w:t xml:space="preserve">The </w:t>
      </w:r>
      <w:r w:rsidR="00D04292" w:rsidRPr="00D04292">
        <w:rPr>
          <w:rFonts w:ascii="Book Antiqua" w:hAnsi="Book Antiqua"/>
          <w:szCs w:val="24"/>
        </w:rPr>
        <w:t xml:space="preserve">mean follow up </w:t>
      </w:r>
      <w:r w:rsidR="00D04292">
        <w:rPr>
          <w:rFonts w:ascii="Book Antiqua" w:hAnsi="Book Antiqua"/>
          <w:szCs w:val="24"/>
        </w:rPr>
        <w:t>was</w:t>
      </w:r>
      <w:r w:rsidR="00D04292" w:rsidRPr="00D04292">
        <w:rPr>
          <w:rFonts w:ascii="Book Antiqua" w:hAnsi="Book Antiqua"/>
          <w:szCs w:val="24"/>
        </w:rPr>
        <w:t xml:space="preserve"> 199.6 months and a median of 189.5 months.</w:t>
      </w:r>
      <w:r w:rsidR="00D04292" w:rsidRPr="00D04292">
        <w:t xml:space="preserve"> </w:t>
      </w:r>
      <w:r w:rsidR="00D04292" w:rsidRPr="00D04292">
        <w:rPr>
          <w:rFonts w:ascii="Book Antiqua" w:hAnsi="Book Antiqua"/>
          <w:szCs w:val="24"/>
        </w:rPr>
        <w:t xml:space="preserve">16 sequence variations within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D04292" w:rsidRPr="00D04292">
        <w:rPr>
          <w:rFonts w:ascii="Book Antiqua" w:hAnsi="Book Antiqua"/>
          <w:szCs w:val="24"/>
        </w:rPr>
        <w:t xml:space="preserve"> gene were identified, with 9 of them occurring with an allele frequency of greater than 10 %. </w:t>
      </w:r>
      <w:r w:rsidR="00AB6152" w:rsidRPr="00710B70">
        <w:rPr>
          <w:rFonts w:ascii="Book Antiqua" w:hAnsi="Book Antiqua"/>
          <w:szCs w:val="24"/>
        </w:rPr>
        <w:t xml:space="preserve">In this study, there was a trend to suggest that patients with the </w:t>
      </w:r>
      <w:r w:rsidR="00A46CFF" w:rsidRPr="00710B70">
        <w:rPr>
          <w:rFonts w:ascii="Book Antiqua" w:hAnsi="Book Antiqua"/>
          <w:szCs w:val="24"/>
        </w:rPr>
        <w:t>3020insC</w:t>
      </w:r>
      <w:r w:rsidR="00AB6152" w:rsidRPr="00710B70">
        <w:rPr>
          <w:rFonts w:ascii="Book Antiqua" w:hAnsi="Book Antiqua"/>
          <w:szCs w:val="24"/>
        </w:rPr>
        <w:t xml:space="preserve"> mutation have a higher frequency of operations compared to those without the mutation. Patients with the 3020insC mutation had a significantly shorter time between the diagnosis of CD and initial surgery. This study included Australian patients of ethnically heterogenous background unlike previous studies conducted in different countries.</w:t>
      </w:r>
      <w:r w:rsidR="0044006F" w:rsidRPr="00710B70">
        <w:rPr>
          <w:rFonts w:ascii="Book Antiqua" w:hAnsi="Book Antiqua"/>
          <w:szCs w:val="24"/>
        </w:rPr>
        <w:t xml:space="preserve"> </w:t>
      </w:r>
    </w:p>
    <w:p w:rsidR="00FF118E" w:rsidRPr="00710B70" w:rsidRDefault="00FF118E" w:rsidP="00710B70">
      <w:pPr>
        <w:spacing w:line="360" w:lineRule="auto"/>
        <w:jc w:val="both"/>
        <w:rPr>
          <w:rFonts w:ascii="Book Antiqua" w:hAnsi="Book Antiqua"/>
          <w:szCs w:val="24"/>
          <w:lang w:eastAsia="zh-CN"/>
        </w:rPr>
      </w:pPr>
    </w:p>
    <w:p w:rsidR="00AB6152" w:rsidRDefault="00FF118E" w:rsidP="00710B70">
      <w:pPr>
        <w:spacing w:line="360" w:lineRule="auto"/>
        <w:jc w:val="both"/>
        <w:rPr>
          <w:rFonts w:ascii="Book Antiqua" w:hAnsi="Book Antiqua"/>
          <w:szCs w:val="24"/>
        </w:rPr>
      </w:pPr>
      <w:r w:rsidRPr="00710B70">
        <w:rPr>
          <w:rFonts w:ascii="Book Antiqua" w:hAnsi="Book Antiqua"/>
          <w:b/>
          <w:szCs w:val="24"/>
        </w:rPr>
        <w:t>CONCLUSION</w:t>
      </w:r>
      <w:r w:rsidRPr="00710B70">
        <w:rPr>
          <w:rFonts w:ascii="Book Antiqua" w:hAnsi="Book Antiqua"/>
          <w:b/>
          <w:szCs w:val="24"/>
          <w:lang w:eastAsia="zh-CN"/>
        </w:rPr>
        <w:t>:</w:t>
      </w:r>
      <w:r w:rsidRPr="00710B70">
        <w:rPr>
          <w:rFonts w:ascii="Book Antiqua" w:hAnsi="Book Antiqua"/>
          <w:szCs w:val="24"/>
        </w:rPr>
        <w:t xml:space="preserve"> T</w:t>
      </w:r>
      <w:r w:rsidR="00AB6152" w:rsidRPr="00710B70">
        <w:rPr>
          <w:rFonts w:ascii="Book Antiqua" w:hAnsi="Book Antiqua"/>
          <w:szCs w:val="24"/>
        </w:rPr>
        <w:t xml:space="preserve">hese findings suggest that patients carrying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AB6152" w:rsidRPr="00710B70">
        <w:rPr>
          <w:rFonts w:ascii="Book Antiqua" w:hAnsi="Book Antiqua"/>
          <w:szCs w:val="24"/>
        </w:rPr>
        <w:t xml:space="preserve"> mutations follow a rapid and more aggressive form of Crohn’s disease showing a </w:t>
      </w:r>
      <w:r w:rsidR="00AB6152" w:rsidRPr="00710B70">
        <w:rPr>
          <w:rFonts w:ascii="Book Antiqua" w:hAnsi="Book Antiqua"/>
          <w:szCs w:val="24"/>
        </w:rPr>
        <w:lastRenderedPageBreak/>
        <w:t xml:space="preserve">trend for multiple surgical interventions and significantly shorter time to early surgery. </w:t>
      </w:r>
    </w:p>
    <w:p w:rsidR="00D04292" w:rsidRPr="00710B70" w:rsidRDefault="00D04292" w:rsidP="00710B70">
      <w:pPr>
        <w:spacing w:line="360" w:lineRule="auto"/>
        <w:jc w:val="both"/>
        <w:rPr>
          <w:rFonts w:ascii="Book Antiqua" w:hAnsi="Book Antiqua"/>
          <w:szCs w:val="24"/>
        </w:rPr>
      </w:pPr>
    </w:p>
    <w:p w:rsidR="00F0452D" w:rsidRPr="00710B70" w:rsidRDefault="00F0452D" w:rsidP="00710B70">
      <w:pPr>
        <w:spacing w:line="360" w:lineRule="auto"/>
        <w:jc w:val="both"/>
        <w:rPr>
          <w:rFonts w:ascii="Book Antiqua" w:hAnsi="Book Antiqua"/>
          <w:color w:val="000000"/>
          <w:szCs w:val="24"/>
        </w:rPr>
      </w:pPr>
      <w:r w:rsidRPr="00710B70">
        <w:rPr>
          <w:rFonts w:ascii="Book Antiqua" w:hAnsi="Book Antiqua"/>
          <w:szCs w:val="24"/>
        </w:rPr>
        <w:t>© 2013 Baishideng. All rights reserved.</w:t>
      </w:r>
    </w:p>
    <w:p w:rsidR="00AB6152" w:rsidRPr="00710B70" w:rsidRDefault="00AB6152" w:rsidP="00710B70">
      <w:pPr>
        <w:spacing w:line="360" w:lineRule="auto"/>
        <w:jc w:val="both"/>
        <w:rPr>
          <w:rFonts w:ascii="Book Antiqua" w:hAnsi="Book Antiqua"/>
          <w:szCs w:val="24"/>
        </w:rPr>
      </w:pPr>
    </w:p>
    <w:p w:rsidR="00AB6152" w:rsidRPr="00710B70" w:rsidRDefault="00AB6152" w:rsidP="00710B70">
      <w:pPr>
        <w:spacing w:line="360" w:lineRule="auto"/>
        <w:jc w:val="both"/>
        <w:rPr>
          <w:rFonts w:ascii="Book Antiqua" w:hAnsi="Book Antiqua"/>
          <w:szCs w:val="24"/>
        </w:rPr>
      </w:pPr>
      <w:r w:rsidRPr="00710B70">
        <w:rPr>
          <w:rFonts w:ascii="Book Antiqua" w:eastAsia="Arial Unicode MS" w:hAnsi="Book Antiqua" w:cs="Arial Unicode MS"/>
          <w:b/>
          <w:szCs w:val="24"/>
        </w:rPr>
        <w:t>Key words</w:t>
      </w:r>
      <w:r w:rsidR="0044006F" w:rsidRPr="00710B70">
        <w:rPr>
          <w:rFonts w:ascii="Book Antiqua" w:eastAsia="Arial Unicode MS" w:hAnsi="Book Antiqua" w:cs="Arial Unicode MS"/>
          <w:b/>
          <w:szCs w:val="24"/>
        </w:rPr>
        <w:t xml:space="preserve">: </w:t>
      </w:r>
      <w:r w:rsidR="0044006F" w:rsidRPr="00710B70">
        <w:rPr>
          <w:rFonts w:ascii="Book Antiqua" w:eastAsia="Arial Unicode MS" w:hAnsi="Book Antiqua" w:cs="Arial Unicode MS"/>
          <w:szCs w:val="24"/>
        </w:rPr>
        <w:t>Inflammatory bowel disease</w:t>
      </w:r>
      <w:r w:rsidR="00F0452D" w:rsidRPr="00710B70">
        <w:rPr>
          <w:rFonts w:ascii="Book Antiqua" w:eastAsia="Arial Unicode MS" w:hAnsi="Book Antiqua" w:cs="Arial Unicode MS"/>
          <w:szCs w:val="24"/>
          <w:lang w:eastAsia="zh-CN"/>
        </w:rPr>
        <w:t>;</w:t>
      </w:r>
      <w:r w:rsidR="0044006F" w:rsidRPr="00710B70">
        <w:rPr>
          <w:rFonts w:ascii="Book Antiqua" w:eastAsia="Arial Unicode MS" w:hAnsi="Book Antiqua" w:cs="Arial Unicode MS"/>
          <w:szCs w:val="24"/>
        </w:rPr>
        <w:t xml:space="preserve"> </w:t>
      </w:r>
      <w:r w:rsidR="00161C69" w:rsidRPr="00161C69">
        <w:rPr>
          <w:rFonts w:ascii="Book Antiqua" w:eastAsia="Arial Unicode MS" w:hAnsi="Book Antiqua" w:cs="Arial Unicode MS"/>
          <w:szCs w:val="24"/>
        </w:rPr>
        <w:t>Oligomerisation Domain 2/ Caspase Recruitment Domains 15</w:t>
      </w:r>
      <w:r w:rsidR="00F0452D" w:rsidRPr="00710B70">
        <w:rPr>
          <w:rFonts w:ascii="Book Antiqua" w:eastAsia="Arial Unicode MS" w:hAnsi="Book Antiqua" w:cs="Arial Unicode MS"/>
          <w:szCs w:val="24"/>
          <w:lang w:eastAsia="zh-CN"/>
        </w:rPr>
        <w:t>;</w:t>
      </w:r>
      <w:r w:rsidR="0044006F" w:rsidRPr="00710B70">
        <w:rPr>
          <w:rFonts w:ascii="Book Antiqua" w:eastAsia="Arial Unicode MS" w:hAnsi="Book Antiqua" w:cs="Arial Unicode MS"/>
          <w:szCs w:val="24"/>
        </w:rPr>
        <w:t xml:space="preserve"> </w:t>
      </w:r>
      <w:r w:rsidR="00F0452D" w:rsidRPr="00710B70">
        <w:rPr>
          <w:rFonts w:ascii="Book Antiqua" w:eastAsia="Arial Unicode MS" w:hAnsi="Book Antiqua" w:cs="Arial Unicode MS"/>
          <w:szCs w:val="24"/>
        </w:rPr>
        <w:t>G</w:t>
      </w:r>
      <w:r w:rsidR="0044006F" w:rsidRPr="00710B70">
        <w:rPr>
          <w:rFonts w:ascii="Book Antiqua" w:eastAsia="Arial Unicode MS" w:hAnsi="Book Antiqua" w:cs="Arial Unicode MS"/>
          <w:szCs w:val="24"/>
        </w:rPr>
        <w:t>enotyping</w:t>
      </w:r>
      <w:r w:rsidR="00F0452D" w:rsidRPr="00710B70">
        <w:rPr>
          <w:rFonts w:ascii="Book Antiqua" w:eastAsia="Arial Unicode MS" w:hAnsi="Book Antiqua" w:cs="Arial Unicode MS"/>
          <w:szCs w:val="24"/>
          <w:lang w:eastAsia="zh-CN"/>
        </w:rPr>
        <w:t>;</w:t>
      </w:r>
      <w:r w:rsidR="0044006F" w:rsidRPr="00710B70">
        <w:rPr>
          <w:rFonts w:ascii="Book Antiqua" w:eastAsia="Arial Unicode MS" w:hAnsi="Book Antiqua" w:cs="Arial Unicode MS"/>
          <w:szCs w:val="24"/>
        </w:rPr>
        <w:t xml:space="preserve"> Crohn’s </w:t>
      </w:r>
      <w:r w:rsidR="00F0452D" w:rsidRPr="00710B70">
        <w:rPr>
          <w:rFonts w:ascii="Book Antiqua" w:eastAsia="Arial Unicode MS" w:hAnsi="Book Antiqua" w:cs="Arial Unicode MS"/>
          <w:szCs w:val="24"/>
        </w:rPr>
        <w:t>d</w:t>
      </w:r>
      <w:r w:rsidR="0044006F" w:rsidRPr="00710B70">
        <w:rPr>
          <w:rFonts w:ascii="Book Antiqua" w:eastAsia="Arial Unicode MS" w:hAnsi="Book Antiqua" w:cs="Arial Unicode MS"/>
          <w:szCs w:val="24"/>
        </w:rPr>
        <w:t>isease</w:t>
      </w:r>
      <w:r w:rsidR="00F0452D" w:rsidRPr="00710B70">
        <w:rPr>
          <w:rFonts w:ascii="Book Antiqua" w:eastAsia="Arial Unicode MS" w:hAnsi="Book Antiqua" w:cs="Arial Unicode MS"/>
          <w:szCs w:val="24"/>
          <w:lang w:eastAsia="zh-CN"/>
        </w:rPr>
        <w:t>;</w:t>
      </w:r>
      <w:r w:rsidR="0044006F" w:rsidRPr="00710B70">
        <w:rPr>
          <w:rFonts w:ascii="Book Antiqua" w:eastAsia="Arial Unicode MS" w:hAnsi="Book Antiqua" w:cs="Arial Unicode MS"/>
          <w:szCs w:val="24"/>
        </w:rPr>
        <w:t xml:space="preserve"> </w:t>
      </w:r>
      <w:r w:rsidR="00F0452D" w:rsidRPr="00710B70">
        <w:rPr>
          <w:rFonts w:ascii="Book Antiqua" w:eastAsia="Arial Unicode MS" w:hAnsi="Book Antiqua" w:cs="Arial Unicode MS"/>
          <w:szCs w:val="24"/>
        </w:rPr>
        <w:t>N</w:t>
      </w:r>
      <w:r w:rsidR="0044006F" w:rsidRPr="00710B70">
        <w:rPr>
          <w:rFonts w:ascii="Book Antiqua" w:eastAsia="Arial Unicode MS" w:hAnsi="Book Antiqua" w:cs="Arial Unicode MS"/>
          <w:szCs w:val="24"/>
        </w:rPr>
        <w:t>atural history</w:t>
      </w:r>
    </w:p>
    <w:p w:rsidR="00AB6152" w:rsidRPr="00710B70" w:rsidRDefault="00AB6152" w:rsidP="00710B70">
      <w:pPr>
        <w:spacing w:line="360" w:lineRule="auto"/>
        <w:jc w:val="both"/>
        <w:rPr>
          <w:rFonts w:ascii="Book Antiqua" w:hAnsi="Book Antiqua"/>
          <w:szCs w:val="24"/>
        </w:rPr>
      </w:pPr>
    </w:p>
    <w:p w:rsidR="0044006F" w:rsidRPr="00710B70" w:rsidRDefault="00AB6152" w:rsidP="00710B70">
      <w:pPr>
        <w:spacing w:line="360" w:lineRule="auto"/>
        <w:jc w:val="both"/>
        <w:rPr>
          <w:rFonts w:ascii="Book Antiqua" w:hAnsi="Book Antiqua"/>
          <w:szCs w:val="24"/>
        </w:rPr>
      </w:pPr>
      <w:bookmarkStart w:id="10" w:name="OLE_LINK101"/>
      <w:bookmarkStart w:id="11" w:name="OLE_LINK107"/>
      <w:r w:rsidRPr="00710B70">
        <w:rPr>
          <w:rFonts w:ascii="Book Antiqua" w:eastAsia="Arial Unicode MS" w:hAnsi="Book Antiqua" w:cs="Arial Unicode MS"/>
          <w:b/>
          <w:szCs w:val="24"/>
        </w:rPr>
        <w:t>Core tip:</w:t>
      </w:r>
      <w:bookmarkEnd w:id="10"/>
      <w:bookmarkEnd w:id="11"/>
      <w:r w:rsidR="0044006F" w:rsidRPr="00710B70">
        <w:rPr>
          <w:rFonts w:ascii="Book Antiqua" w:eastAsia="Arial Unicode MS" w:hAnsi="Book Antiqua" w:cs="Arial Unicode MS"/>
          <w:b/>
          <w:szCs w:val="24"/>
        </w:rPr>
        <w:t xml:space="preserve"> </w:t>
      </w:r>
      <w:r w:rsidR="0044006F" w:rsidRPr="00710B70">
        <w:rPr>
          <w:rFonts w:ascii="Book Antiqua" w:eastAsia="Arial Unicode MS" w:hAnsi="Book Antiqua" w:cs="Arial Unicode MS"/>
          <w:szCs w:val="24"/>
        </w:rPr>
        <w:t xml:space="preserve">This study conducted a full gene sequencing of </w:t>
      </w:r>
      <w:r w:rsidR="00691CE2" w:rsidRPr="00691CE2">
        <w:rPr>
          <w:rFonts w:ascii="Book Antiqua" w:hAnsi="Book Antiqua"/>
          <w:szCs w:val="24"/>
        </w:rPr>
        <w:t>Nucleotide-binding</w:t>
      </w:r>
      <w:r w:rsidR="00691CE2" w:rsidRPr="00691CE2">
        <w:rPr>
          <w:rFonts w:ascii="Book Antiqua" w:eastAsia="Arial Unicode MS" w:hAnsi="Book Antiqua" w:cs="Arial Unicode MS"/>
          <w:szCs w:val="24"/>
        </w:rPr>
        <w:t xml:space="preserve"> </w:t>
      </w:r>
      <w:r w:rsidR="00C94FBB" w:rsidRPr="00C94FBB">
        <w:rPr>
          <w:rFonts w:ascii="Book Antiqua" w:eastAsia="Arial Unicode MS" w:hAnsi="Book Antiqua" w:cs="Arial Unicode MS"/>
          <w:szCs w:val="24"/>
        </w:rPr>
        <w:t xml:space="preserve">Oligomerisation Domain 2/ Caspase Recruitment Domains 15 </w:t>
      </w:r>
      <w:r w:rsidR="00543AE9" w:rsidRPr="00710B70">
        <w:rPr>
          <w:rFonts w:ascii="Book Antiqua" w:hAnsi="Book Antiqua"/>
          <w:szCs w:val="24"/>
        </w:rPr>
        <w:t>(</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543AE9" w:rsidRPr="00710B70">
        <w:rPr>
          <w:rFonts w:ascii="Book Antiqua" w:hAnsi="Book Antiqua"/>
          <w:szCs w:val="24"/>
        </w:rPr>
        <w:t xml:space="preserve">) </w:t>
      </w:r>
      <w:r w:rsidR="0044006F" w:rsidRPr="00710B70">
        <w:rPr>
          <w:rFonts w:ascii="Book Antiqua" w:eastAsia="Arial Unicode MS" w:hAnsi="Book Antiqua" w:cs="Arial Unicode MS"/>
          <w:szCs w:val="24"/>
        </w:rPr>
        <w:t xml:space="preserve">within an Australian cohort of patient with </w:t>
      </w:r>
      <w:r w:rsidR="00C05775" w:rsidRPr="00710B70">
        <w:rPr>
          <w:rFonts w:ascii="Book Antiqua" w:hAnsi="Book Antiqua"/>
          <w:szCs w:val="24"/>
        </w:rPr>
        <w:t>Crohn’s disease (CD)</w:t>
      </w:r>
      <w:r w:rsidR="0044006F" w:rsidRPr="00710B70">
        <w:rPr>
          <w:rFonts w:ascii="Book Antiqua" w:eastAsia="Arial Unicode MS" w:hAnsi="Book Antiqua" w:cs="Arial Unicode MS"/>
          <w:szCs w:val="24"/>
        </w:rPr>
        <w:t>.</w:t>
      </w:r>
      <w:r w:rsidR="0044006F" w:rsidRPr="00710B70">
        <w:rPr>
          <w:rFonts w:ascii="Book Antiqua" w:hAnsi="Book Antiqua"/>
          <w:szCs w:val="24"/>
        </w:rPr>
        <w:t xml:space="preserve"> In this study, there was a trend to suggest that patients with the </w:t>
      </w:r>
      <w:r w:rsidR="00A46CFF" w:rsidRPr="00710B70">
        <w:rPr>
          <w:rFonts w:ascii="Book Antiqua" w:hAnsi="Book Antiqua"/>
          <w:szCs w:val="24"/>
        </w:rPr>
        <w:t>3020insC</w:t>
      </w:r>
      <w:r w:rsidR="0044006F" w:rsidRPr="00710B70">
        <w:rPr>
          <w:rFonts w:ascii="Book Antiqua" w:hAnsi="Book Antiqua"/>
          <w:szCs w:val="24"/>
        </w:rPr>
        <w:t xml:space="preserve"> mutation have a higher frequency of operations compared to those without the mutation. Patients with the </w:t>
      </w:r>
      <w:r w:rsidR="00A46CFF" w:rsidRPr="00710B70">
        <w:rPr>
          <w:rFonts w:ascii="Book Antiqua" w:hAnsi="Book Antiqua"/>
          <w:szCs w:val="24"/>
        </w:rPr>
        <w:t>3020insC</w:t>
      </w:r>
      <w:r w:rsidR="0044006F" w:rsidRPr="00710B70">
        <w:rPr>
          <w:rFonts w:ascii="Book Antiqua" w:hAnsi="Book Antiqua"/>
          <w:szCs w:val="24"/>
        </w:rPr>
        <w:t xml:space="preserve"> mutation had a significantly shorter time between the diagnosis of </w:t>
      </w:r>
      <w:r w:rsidR="00C05775" w:rsidRPr="00710B70">
        <w:rPr>
          <w:rFonts w:ascii="Book Antiqua" w:hAnsi="Book Antiqua"/>
          <w:szCs w:val="24"/>
        </w:rPr>
        <w:t>CD</w:t>
      </w:r>
      <w:r w:rsidR="0044006F" w:rsidRPr="00710B70">
        <w:rPr>
          <w:rFonts w:ascii="Book Antiqua" w:hAnsi="Book Antiqua"/>
          <w:szCs w:val="24"/>
        </w:rPr>
        <w:t xml:space="preserve"> and initial surgery. The clinical significance of understanding pathogenic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44006F" w:rsidRPr="00710B70">
        <w:rPr>
          <w:rFonts w:ascii="Book Antiqua" w:hAnsi="Book Antiqua"/>
          <w:szCs w:val="24"/>
        </w:rPr>
        <w:t xml:space="preserve"> mutations is to shift management to a top down approach whereby active medical therapy could be introduced at an early stage to impact on aggressive disease behaviour in mutation positive patients. </w:t>
      </w:r>
    </w:p>
    <w:p w:rsidR="00AB6152" w:rsidRPr="00710B70" w:rsidRDefault="00AB6152" w:rsidP="00710B70">
      <w:pPr>
        <w:spacing w:line="360" w:lineRule="auto"/>
        <w:jc w:val="both"/>
        <w:rPr>
          <w:rFonts w:ascii="Book Antiqua" w:hAnsi="Book Antiqua"/>
          <w:szCs w:val="24"/>
        </w:rPr>
      </w:pPr>
    </w:p>
    <w:p w:rsidR="00022B21" w:rsidRDefault="00022B21" w:rsidP="00022B21">
      <w:pPr>
        <w:spacing w:line="360" w:lineRule="auto"/>
        <w:jc w:val="both"/>
        <w:rPr>
          <w:rFonts w:ascii="Book Antiqua" w:hAnsi="Book Antiqua"/>
          <w:szCs w:val="24"/>
          <w:lang w:eastAsia="zh-CN"/>
        </w:rPr>
      </w:pPr>
      <w:r w:rsidRPr="00022B21">
        <w:rPr>
          <w:rFonts w:ascii="Book Antiqua" w:hAnsi="Book Antiqua"/>
          <w:szCs w:val="24"/>
        </w:rPr>
        <w:t>Bhullar</w:t>
      </w:r>
      <w:r w:rsidRPr="00022B21">
        <w:rPr>
          <w:rFonts w:ascii="Book Antiqua" w:hAnsi="Book Antiqua" w:hint="eastAsia"/>
          <w:szCs w:val="24"/>
          <w:lang w:eastAsia="zh-CN"/>
        </w:rPr>
        <w:t xml:space="preserve"> M</w:t>
      </w:r>
      <w:r w:rsidRPr="00022B21">
        <w:rPr>
          <w:rFonts w:ascii="Book Antiqua" w:hAnsi="Book Antiqua"/>
          <w:szCs w:val="24"/>
        </w:rPr>
        <w:t>, Macrae</w:t>
      </w:r>
      <w:r w:rsidRPr="00022B21">
        <w:rPr>
          <w:rFonts w:ascii="Book Antiqua" w:hAnsi="Book Antiqua" w:hint="eastAsia"/>
          <w:szCs w:val="24"/>
          <w:lang w:eastAsia="zh-CN"/>
        </w:rPr>
        <w:t xml:space="preserve"> F</w:t>
      </w:r>
      <w:r w:rsidRPr="00022B21">
        <w:rPr>
          <w:rFonts w:ascii="Book Antiqua" w:hAnsi="Book Antiqua"/>
          <w:szCs w:val="24"/>
        </w:rPr>
        <w:t>, Brown</w:t>
      </w:r>
      <w:r w:rsidRPr="00022B21">
        <w:rPr>
          <w:rFonts w:ascii="Book Antiqua" w:hAnsi="Book Antiqua" w:hint="eastAsia"/>
          <w:szCs w:val="24"/>
          <w:lang w:eastAsia="zh-CN"/>
        </w:rPr>
        <w:t xml:space="preserve"> G</w:t>
      </w:r>
      <w:r w:rsidRPr="00022B21">
        <w:rPr>
          <w:rFonts w:ascii="Book Antiqua" w:hAnsi="Book Antiqua"/>
          <w:szCs w:val="24"/>
        </w:rPr>
        <w:t>, Smith</w:t>
      </w:r>
      <w:r w:rsidRPr="00022B21">
        <w:rPr>
          <w:rFonts w:ascii="Book Antiqua" w:hAnsi="Book Antiqua" w:hint="eastAsia"/>
          <w:szCs w:val="24"/>
          <w:lang w:eastAsia="zh-CN"/>
        </w:rPr>
        <w:t xml:space="preserve"> M</w:t>
      </w:r>
      <w:r w:rsidRPr="00022B21">
        <w:rPr>
          <w:rFonts w:ascii="Book Antiqua" w:hAnsi="Book Antiqua"/>
          <w:szCs w:val="24"/>
        </w:rPr>
        <w:t xml:space="preserve">, Sharpe </w:t>
      </w:r>
      <w:r w:rsidRPr="00022B21">
        <w:rPr>
          <w:rFonts w:ascii="Book Antiqua" w:hAnsi="Book Antiqua" w:hint="eastAsia"/>
          <w:szCs w:val="24"/>
          <w:lang w:eastAsia="zh-CN"/>
        </w:rPr>
        <w:t xml:space="preserve">K. </w:t>
      </w:r>
      <w:r w:rsidRPr="00022B21">
        <w:rPr>
          <w:rFonts w:ascii="Book Antiqua" w:hAnsi="Book Antiqua"/>
          <w:szCs w:val="24"/>
        </w:rPr>
        <w:t>Prediction of Crohn’s</w:t>
      </w:r>
      <w:r w:rsidRPr="00710B70">
        <w:rPr>
          <w:rFonts w:ascii="Book Antiqua" w:hAnsi="Book Antiqua"/>
          <w:szCs w:val="24"/>
        </w:rPr>
        <w:t xml:space="preserve"> disease aggression through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sequencing in an Australian cohort</w:t>
      </w:r>
      <w:r>
        <w:rPr>
          <w:rFonts w:ascii="Book Antiqua" w:hAnsi="Book Antiqua" w:hint="eastAsia"/>
          <w:szCs w:val="24"/>
          <w:lang w:eastAsia="zh-CN"/>
        </w:rPr>
        <w:t>.</w:t>
      </w:r>
    </w:p>
    <w:p w:rsidR="00022B21" w:rsidRDefault="00022B21" w:rsidP="00022B21">
      <w:pPr>
        <w:spacing w:line="360" w:lineRule="auto"/>
        <w:jc w:val="both"/>
        <w:rPr>
          <w:rFonts w:ascii="Book Antiqua" w:hAnsi="Book Antiqua"/>
          <w:szCs w:val="24"/>
          <w:lang w:eastAsia="zh-CN"/>
        </w:rPr>
      </w:pPr>
    </w:p>
    <w:p w:rsidR="00022B21" w:rsidRPr="001A6525" w:rsidRDefault="00022B21" w:rsidP="00022B21">
      <w:pPr>
        <w:spacing w:line="360" w:lineRule="auto"/>
        <w:rPr>
          <w:rFonts w:ascii="Book Antiqua" w:hAnsi="Book Antiqua"/>
          <w:b/>
          <w:szCs w:val="24"/>
        </w:rPr>
      </w:pPr>
      <w:bookmarkStart w:id="12" w:name="OLE_LINK46"/>
      <w:bookmarkStart w:id="13" w:name="OLE_LINK47"/>
      <w:bookmarkStart w:id="14" w:name="OLE_LINK61"/>
      <w:bookmarkStart w:id="15" w:name="OLE_LINK84"/>
      <w:bookmarkStart w:id="16" w:name="OLE_LINK90"/>
      <w:bookmarkStart w:id="17" w:name="OLE_LINK104"/>
      <w:r w:rsidRPr="001A6525">
        <w:rPr>
          <w:rFonts w:ascii="Book Antiqua" w:hAnsi="Book Antiqua"/>
          <w:b/>
          <w:szCs w:val="24"/>
        </w:rPr>
        <w:t xml:space="preserve">Available from: URL: </w:t>
      </w:r>
    </w:p>
    <w:p w:rsidR="00022B21" w:rsidRPr="001A6525" w:rsidRDefault="00022B21" w:rsidP="00022B21">
      <w:pPr>
        <w:spacing w:line="360" w:lineRule="auto"/>
        <w:rPr>
          <w:rFonts w:ascii="Book Antiqua" w:hAnsi="Book Antiqua"/>
          <w:b/>
          <w:szCs w:val="24"/>
        </w:rPr>
      </w:pPr>
      <w:r w:rsidRPr="001A6525">
        <w:rPr>
          <w:rFonts w:ascii="Book Antiqua" w:hAnsi="Book Antiqua"/>
          <w:b/>
          <w:szCs w:val="24"/>
        </w:rPr>
        <w:t>DOI:</w:t>
      </w:r>
    </w:p>
    <w:bookmarkEnd w:id="12"/>
    <w:bookmarkEnd w:id="13"/>
    <w:bookmarkEnd w:id="14"/>
    <w:bookmarkEnd w:id="15"/>
    <w:bookmarkEnd w:id="16"/>
    <w:bookmarkEnd w:id="17"/>
    <w:p w:rsidR="00022B21" w:rsidRPr="00710B70" w:rsidRDefault="00022B21" w:rsidP="00022B21">
      <w:pPr>
        <w:spacing w:line="360" w:lineRule="auto"/>
        <w:jc w:val="both"/>
        <w:rPr>
          <w:rFonts w:ascii="Book Antiqua" w:hAnsi="Book Antiqua"/>
          <w:szCs w:val="24"/>
          <w:lang w:eastAsia="zh-CN"/>
        </w:rPr>
      </w:pPr>
    </w:p>
    <w:p w:rsidR="00022B21" w:rsidRPr="00710B70" w:rsidRDefault="00022B21" w:rsidP="00022B21">
      <w:pPr>
        <w:spacing w:line="360" w:lineRule="auto"/>
        <w:jc w:val="both"/>
        <w:rPr>
          <w:rFonts w:ascii="Book Antiqua" w:hAnsi="Book Antiqua"/>
          <w:b/>
          <w:szCs w:val="24"/>
          <w:lang w:eastAsia="zh-CN"/>
        </w:rPr>
      </w:pPr>
    </w:p>
    <w:p w:rsidR="00AB6152" w:rsidRPr="00022B21" w:rsidRDefault="00AB6152" w:rsidP="00710B70">
      <w:pPr>
        <w:spacing w:line="360" w:lineRule="auto"/>
        <w:jc w:val="both"/>
        <w:rPr>
          <w:rFonts w:ascii="Book Antiqua" w:hAnsi="Book Antiqua"/>
          <w:szCs w:val="24"/>
        </w:rPr>
      </w:pPr>
    </w:p>
    <w:p w:rsidR="00AB6152" w:rsidRDefault="00AB6152" w:rsidP="00710B70">
      <w:pPr>
        <w:spacing w:line="360" w:lineRule="auto"/>
        <w:jc w:val="both"/>
        <w:rPr>
          <w:rFonts w:ascii="Book Antiqua" w:hAnsi="Book Antiqua"/>
          <w:b/>
          <w:szCs w:val="24"/>
          <w:lang w:eastAsia="zh-CN"/>
        </w:rPr>
      </w:pPr>
    </w:p>
    <w:p w:rsidR="0065610C" w:rsidRDefault="0065610C" w:rsidP="00710B70">
      <w:pPr>
        <w:spacing w:line="360" w:lineRule="auto"/>
        <w:jc w:val="both"/>
        <w:rPr>
          <w:rFonts w:ascii="Book Antiqua" w:hAnsi="Book Antiqua"/>
          <w:b/>
          <w:szCs w:val="24"/>
          <w:lang w:eastAsia="zh-CN"/>
        </w:rPr>
      </w:pPr>
    </w:p>
    <w:p w:rsidR="005C3717" w:rsidRPr="00710B70" w:rsidRDefault="0065610C" w:rsidP="00710B70">
      <w:pPr>
        <w:spacing w:line="360" w:lineRule="auto"/>
        <w:jc w:val="both"/>
        <w:rPr>
          <w:rFonts w:ascii="Book Antiqua" w:hAnsi="Book Antiqua"/>
          <w:b/>
          <w:i/>
          <w:szCs w:val="24"/>
        </w:rPr>
      </w:pPr>
      <w:r w:rsidRPr="0065610C">
        <w:rPr>
          <w:rFonts w:ascii="Book Antiqua" w:hAnsi="Book Antiqua"/>
          <w:b/>
          <w:szCs w:val="24"/>
        </w:rPr>
        <w:lastRenderedPageBreak/>
        <w:t>INTRODUCTION</w:t>
      </w:r>
    </w:p>
    <w:p w:rsidR="005C3717" w:rsidRPr="00710B70" w:rsidRDefault="007024D8" w:rsidP="00710B70">
      <w:pPr>
        <w:spacing w:line="360" w:lineRule="auto"/>
        <w:jc w:val="both"/>
        <w:rPr>
          <w:rFonts w:ascii="Book Antiqua" w:hAnsi="Book Antiqua"/>
          <w:szCs w:val="24"/>
          <w:vertAlign w:val="superscript"/>
        </w:rPr>
      </w:pPr>
      <w:r w:rsidRPr="00710B70">
        <w:rPr>
          <w:rFonts w:ascii="Book Antiqua" w:hAnsi="Book Antiqua"/>
          <w:szCs w:val="24"/>
        </w:rPr>
        <w:t>T</w:t>
      </w:r>
      <w:r w:rsidR="005C3717" w:rsidRPr="00710B70">
        <w:rPr>
          <w:rFonts w:ascii="Book Antiqua" w:hAnsi="Book Antiqua"/>
          <w:szCs w:val="24"/>
        </w:rPr>
        <w:t xml:space="preserve">he pathogenesis of </w:t>
      </w:r>
      <w:r w:rsidR="00A92DCF" w:rsidRPr="00710B70">
        <w:rPr>
          <w:rFonts w:ascii="Book Antiqua" w:hAnsi="Book Antiqua"/>
          <w:szCs w:val="24"/>
        </w:rPr>
        <w:t xml:space="preserve">inflammatory bowel disease </w:t>
      </w:r>
      <w:r w:rsidR="00A92DCF">
        <w:rPr>
          <w:rFonts w:ascii="Book Antiqua" w:hAnsi="Book Antiqua" w:hint="eastAsia"/>
          <w:szCs w:val="24"/>
          <w:lang w:eastAsia="zh-CN"/>
        </w:rPr>
        <w:t>(</w:t>
      </w:r>
      <w:r w:rsidR="005C3717" w:rsidRPr="00710B70">
        <w:rPr>
          <w:rFonts w:ascii="Book Antiqua" w:hAnsi="Book Antiqua"/>
          <w:szCs w:val="24"/>
        </w:rPr>
        <w:t>IBD</w:t>
      </w:r>
      <w:r w:rsidR="00A92DCF">
        <w:rPr>
          <w:rFonts w:ascii="Book Antiqua" w:hAnsi="Book Antiqua" w:hint="eastAsia"/>
          <w:szCs w:val="24"/>
          <w:lang w:eastAsia="zh-CN"/>
        </w:rPr>
        <w:t>)</w:t>
      </w:r>
      <w:r w:rsidR="005C3717" w:rsidRPr="00710B70">
        <w:rPr>
          <w:rFonts w:ascii="Book Antiqua" w:hAnsi="Book Antiqua"/>
          <w:szCs w:val="24"/>
        </w:rPr>
        <w:t xml:space="preserve"> is complex and is thought to result from the interaction of environmental factors with genetic predisposition</w:t>
      </w:r>
      <w:r w:rsidR="0065610C" w:rsidRPr="0065610C">
        <w:rPr>
          <w:rFonts w:ascii="Book Antiqua" w:hAnsi="Book Antiqua"/>
          <w:szCs w:val="24"/>
          <w:vertAlign w:val="superscript"/>
        </w:rPr>
        <w:t>[</w:t>
      </w:r>
      <w:r w:rsidR="005E68A5" w:rsidRPr="00710B70">
        <w:rPr>
          <w:rFonts w:ascii="Book Antiqua" w:hAnsi="Book Antiqua"/>
          <w:szCs w:val="24"/>
          <w:vertAlign w:val="superscript"/>
        </w:rPr>
        <w:t>1]</w:t>
      </w:r>
      <w:r w:rsidR="005E68A5" w:rsidRPr="00710B70">
        <w:rPr>
          <w:rFonts w:ascii="Book Antiqua" w:hAnsi="Book Antiqua"/>
          <w:szCs w:val="24"/>
        </w:rPr>
        <w:t>.</w:t>
      </w:r>
      <w:r w:rsidR="005C3717" w:rsidRPr="00710B70">
        <w:rPr>
          <w:rFonts w:ascii="Book Antiqua" w:hAnsi="Book Antiqua"/>
          <w:szCs w:val="24"/>
        </w:rPr>
        <w:t xml:space="preserve"> Familial aggregation of the disease and studies of twins have strongly suggested that genetic factors contribute to IBD, especially Crohn’s disease</w:t>
      </w:r>
      <w:r w:rsidR="0065610C" w:rsidRPr="0065610C">
        <w:rPr>
          <w:rFonts w:ascii="Book Antiqua" w:hAnsi="Book Antiqua"/>
          <w:szCs w:val="24"/>
          <w:vertAlign w:val="superscript"/>
        </w:rPr>
        <w:t>[</w:t>
      </w:r>
      <w:r w:rsidR="005E68A5" w:rsidRPr="00710B70">
        <w:rPr>
          <w:rFonts w:ascii="Book Antiqua" w:hAnsi="Book Antiqua"/>
          <w:szCs w:val="24"/>
          <w:vertAlign w:val="superscript"/>
        </w:rPr>
        <w:t>2]</w:t>
      </w:r>
      <w:r w:rsidR="005C3717" w:rsidRPr="00710B70">
        <w:rPr>
          <w:rFonts w:ascii="Book Antiqua" w:hAnsi="Book Antiqua"/>
          <w:szCs w:val="24"/>
        </w:rPr>
        <w:t>- a hypothesis that was substantiated with the discovery of a susceptibility locus in the pericentromeric region of chromosome 16 called IBD-1</w:t>
      </w:r>
      <w:r w:rsidR="005E68A5" w:rsidRPr="00710B70">
        <w:rPr>
          <w:rFonts w:ascii="Book Antiqua" w:hAnsi="Book Antiqua"/>
          <w:szCs w:val="24"/>
          <w:vertAlign w:val="superscript"/>
        </w:rPr>
        <w:t>[3]</w:t>
      </w:r>
      <w:r w:rsidR="00A92DCF">
        <w:rPr>
          <w:rFonts w:ascii="Book Antiqua" w:hAnsi="Book Antiqua" w:hint="eastAsia"/>
          <w:szCs w:val="24"/>
          <w:lang w:eastAsia="zh-CN"/>
        </w:rPr>
        <w:t>.</w:t>
      </w:r>
      <w:r w:rsidR="005E68A5" w:rsidRPr="00710B70">
        <w:rPr>
          <w:rFonts w:ascii="Book Antiqua" w:hAnsi="Book Antiqua"/>
          <w:szCs w:val="24"/>
          <w:vertAlign w:val="superscript"/>
        </w:rPr>
        <w:t>.</w:t>
      </w:r>
      <w:r w:rsidR="00D7606C" w:rsidRPr="00710B70">
        <w:rPr>
          <w:rFonts w:ascii="Book Antiqua" w:hAnsi="Book Antiqua"/>
          <w:szCs w:val="24"/>
        </w:rPr>
        <w:t>Subsequently, two independen</w:t>
      </w:r>
      <w:r w:rsidR="005C3717" w:rsidRPr="00710B70">
        <w:rPr>
          <w:rFonts w:ascii="Book Antiqua" w:hAnsi="Book Antiqua"/>
          <w:szCs w:val="24"/>
        </w:rPr>
        <w:t xml:space="preserve">t research groups reported that the </w:t>
      </w:r>
      <w:r w:rsidR="00A52591" w:rsidRPr="00A52591">
        <w:rPr>
          <w:rFonts w:ascii="Book Antiqua" w:hAnsi="Book Antiqua"/>
          <w:szCs w:val="24"/>
        </w:rPr>
        <w:t>Nucleotide-binding</w:t>
      </w:r>
      <w:r w:rsidR="00A52591" w:rsidRPr="00E72AC6">
        <w:rPr>
          <w:rFonts w:ascii="Book Antiqua" w:hAnsi="Book Antiqua"/>
          <w:szCs w:val="24"/>
        </w:rPr>
        <w:t xml:space="preserve"> </w:t>
      </w:r>
      <w:r w:rsidR="008A65C2" w:rsidRPr="00E72AC6">
        <w:rPr>
          <w:rFonts w:ascii="Book Antiqua" w:hAnsi="Book Antiqua"/>
          <w:szCs w:val="24"/>
        </w:rPr>
        <w:t>Oligomerisation Domain 2/ Caspase Recruitment Domains 15</w:t>
      </w:r>
      <w:r w:rsidR="008A65C2" w:rsidRPr="00710B70">
        <w:rPr>
          <w:rFonts w:ascii="Book Antiqua" w:hAnsi="Book Antiqua"/>
          <w:b/>
          <w:szCs w:val="24"/>
        </w:rPr>
        <w:t xml:space="preserve"> </w:t>
      </w:r>
      <w:r w:rsidR="005C3717" w:rsidRPr="00710B70">
        <w:rPr>
          <w:rFonts w:ascii="Book Antiqua" w:hAnsi="Book Antiqua"/>
          <w:szCs w:val="24"/>
        </w:rPr>
        <w:t>(</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5C3717" w:rsidRPr="00710B70">
        <w:rPr>
          <w:rFonts w:ascii="Book Antiqua" w:hAnsi="Book Antiqua"/>
          <w:szCs w:val="24"/>
        </w:rPr>
        <w:t>) gene located on chromosome 16 within the IBD-1 region is associated with increased susceptibility to CD</w:t>
      </w:r>
      <w:r w:rsidR="0065610C" w:rsidRPr="0065610C">
        <w:rPr>
          <w:rFonts w:ascii="Book Antiqua" w:hAnsi="Book Antiqua"/>
          <w:szCs w:val="24"/>
          <w:vertAlign w:val="superscript"/>
        </w:rPr>
        <w:t>[</w:t>
      </w:r>
      <w:r w:rsidR="005E68A5" w:rsidRPr="00710B70">
        <w:rPr>
          <w:rFonts w:ascii="Book Antiqua" w:hAnsi="Book Antiqua"/>
          <w:szCs w:val="24"/>
          <w:vertAlign w:val="superscript"/>
        </w:rPr>
        <w:t>1,4]</w:t>
      </w:r>
      <w:r w:rsidR="005E68A5" w:rsidRPr="00710B70">
        <w:rPr>
          <w:rFonts w:ascii="Book Antiqua" w:hAnsi="Book Antiqua"/>
          <w:szCs w:val="24"/>
        </w:rPr>
        <w:t xml:space="preserve"> </w:t>
      </w:r>
      <w:r w:rsidR="005C3717" w:rsidRPr="00710B70">
        <w:rPr>
          <w:rFonts w:ascii="Book Antiqua" w:hAnsi="Book Antiqua"/>
          <w:szCs w:val="24"/>
        </w:rPr>
        <w:t xml:space="preserve">. </w:t>
      </w:r>
      <w:r w:rsidR="00D7606C" w:rsidRPr="00710B70">
        <w:rPr>
          <w:rFonts w:ascii="Book Antiqua" w:hAnsi="Book Antiqua"/>
          <w:szCs w:val="24"/>
        </w:rPr>
        <w:t>T</w:t>
      </w:r>
      <w:r w:rsidR="005C3717" w:rsidRPr="00710B70">
        <w:rPr>
          <w:rFonts w:ascii="Book Antiqua" w:hAnsi="Book Antiqua"/>
          <w:szCs w:val="24"/>
        </w:rPr>
        <w:t xml:space="preserve">his association was </w:t>
      </w:r>
      <w:r w:rsidR="00D7606C" w:rsidRPr="00710B70">
        <w:rPr>
          <w:rFonts w:ascii="Book Antiqua" w:hAnsi="Book Antiqua"/>
          <w:szCs w:val="24"/>
        </w:rPr>
        <w:t xml:space="preserve">later </w:t>
      </w:r>
      <w:r w:rsidR="005C3717" w:rsidRPr="00710B70">
        <w:rPr>
          <w:rFonts w:ascii="Book Antiqua" w:hAnsi="Book Antiqua"/>
          <w:szCs w:val="24"/>
        </w:rPr>
        <w:t>confirmed by other research groups</w:t>
      </w:r>
      <w:r w:rsidR="0065610C" w:rsidRPr="0065610C">
        <w:rPr>
          <w:rFonts w:ascii="Book Antiqua" w:hAnsi="Book Antiqua"/>
          <w:szCs w:val="24"/>
          <w:vertAlign w:val="superscript"/>
        </w:rPr>
        <w:t>[</w:t>
      </w:r>
      <w:r w:rsidR="005E68A5" w:rsidRPr="00710B70">
        <w:rPr>
          <w:rFonts w:ascii="Book Antiqua" w:hAnsi="Book Antiqua"/>
          <w:szCs w:val="24"/>
          <w:vertAlign w:val="superscript"/>
        </w:rPr>
        <w:t>5-13]</w:t>
      </w:r>
      <w:r w:rsidR="005C3717" w:rsidRPr="00710B70">
        <w:rPr>
          <w:rFonts w:ascii="Book Antiqua" w:hAnsi="Book Antiqua"/>
          <w:szCs w:val="24"/>
        </w:rPr>
        <w:t xml:space="preserve">. </w:t>
      </w:r>
    </w:p>
    <w:p w:rsidR="00A525E3" w:rsidRPr="00A92DCF" w:rsidRDefault="005C3717" w:rsidP="00A92DCF">
      <w:pPr>
        <w:spacing w:line="360" w:lineRule="auto"/>
        <w:ind w:firstLineChars="200" w:firstLine="480"/>
        <w:jc w:val="both"/>
        <w:rPr>
          <w:rFonts w:ascii="Book Antiqua" w:hAnsi="Book Antiqua"/>
          <w:szCs w:val="24"/>
          <w:lang w:eastAsia="zh-CN"/>
        </w:rPr>
      </w:pPr>
      <w:r w:rsidRPr="00710B70">
        <w:rPr>
          <w:rFonts w:ascii="Book Antiqua" w:hAnsi="Book Antiqua"/>
          <w:szCs w:val="24"/>
        </w:rPr>
        <w:t xml:space="preserve">Approximately 30% of Crohn’s patients carry one copy of a mutated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allele and about 17% of Crohn’s patients carry two mutated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alleles</w:t>
      </w:r>
      <w:r w:rsidR="00982B5D" w:rsidRPr="00710B70">
        <w:rPr>
          <w:rFonts w:ascii="Book Antiqua" w:hAnsi="Book Antiqua"/>
          <w:szCs w:val="24"/>
          <w:vertAlign w:val="superscript"/>
        </w:rPr>
        <w:fldChar w:fldCharType="begin"/>
      </w:r>
      <w:r w:rsidRPr="00710B70">
        <w:rPr>
          <w:rFonts w:ascii="Book Antiqua" w:hAnsi="Book Antiqua"/>
          <w:szCs w:val="24"/>
          <w:vertAlign w:val="superscript"/>
        </w:rPr>
        <w:instrText xml:space="preserve"> ADDIN EN.CITE &lt;EndNote&gt;&lt;Cite&gt;&lt;Author&gt;Bonen&lt;/Author&gt;&lt;Year&gt;2003&lt;/Year&gt;&lt;RecNum&gt;83&lt;/RecNum&gt;&lt;MDL&gt;&lt;REFERENCE_TYPE&gt;0&lt;/REFERENCE_TYPE&gt;&lt;REFNUM&gt;83&lt;/REFNUM&gt;&lt;ACCESSION_NUMBER&gt;12557156&lt;/ACCESSION_NUMBER&gt;&lt;AUTHORS&gt;&lt;AUTHOR&gt;Bonen, Denise K.&lt;/AUTHOR&gt;&lt;AUTHOR&gt;Cho, Judy H.&lt;/AUTHOR&gt;&lt;/AUTHORS&gt;&lt;AUTHOR_ADDRESS&gt;The Martin Boyer Laboratories, Gastroenterology Section, Department of Medicine, University of Chicago Hospitals, Illinois 60637, USA.&lt;/AUTHOR_ADDRESS&gt;&lt;TITLE&gt;The genetics of inflammatory bowel disease.[see comment]&lt;/TITLE&gt;&lt;SECONDARY_TITLE&gt;Gastroenterology&lt;/SECONDARY_TITLE&gt;&lt;VOLUME&gt;124&lt;/VOLUME&gt;&lt;NUMBER&gt;2&lt;/NUMBER&gt;&lt;PAGES&gt;521-36&lt;/PAGES&gt;&lt;YEAR&gt;2003&lt;/YEAR&gt;&lt;DATE&gt;Feb&lt;/DATE&gt;&lt;ALTERNATE_TITLE&gt;Gastroenterology&lt;/ALTERNATE_TITLE&gt;&lt;KEYWORDS&gt;&lt;KEYWORD&gt;Animals&lt;/KEYWORD&gt;&lt;KEYWORD&gt;Carrier Proteins/me [Metabolism]&lt;/KEYWORD&gt;&lt;KEYWORD&gt;Chromosome Mapping&lt;/KEYWORD&gt;&lt;KEYWORD&gt;Chronic Disease&lt;/KEYWORD&gt;&lt;KEYWORD&gt;Humans&lt;/KEYWORD&gt;&lt;KEYWORD&gt;Immune System/pp [Physiopathology]&lt;/KEYWORD&gt;&lt;KEYWORD&gt;Immunity&lt;/KEYWORD&gt;&lt;KEYWORD&gt;Inflammation/pp [Physiopathology]&lt;/KEYWORD&gt;&lt;KEYWORD&gt;Inflammatory Bowel Diseases/ep [Epidemiology]&lt;/KEYWORD&gt;&lt;KEYWORD&gt;*Inflammatory Bowel Diseases/ge [Genetics]&lt;/KEYWORD&gt;&lt;KEYWORD&gt;Inflammatory Bowel Diseases/pp [Physiopathology]&lt;/KEYWORD&gt;&lt;KEYWORD&gt;Intestinal Mucosa/im [Immunology]&lt;/KEYWORD&gt;&lt;KEYWORD&gt;*Intracellular Signaling Peptides and Proteins&lt;/KEYWORD&gt;&lt;KEYWORD&gt;Linkage (Genetics)&lt;/KEYWORD&gt;&lt;KEYWORD&gt;Tobacco Smoke Pollution/ae [Adverse Effects]&lt;/KEYWORD&gt;&lt;KEYWORD&gt;0 (CARD15 protein, human)&lt;/KEYWORD&gt;&lt;KEYWORD&gt;0 (Carrier Proteins)&lt;/KEYWORD&gt;&lt;KEYWORD&gt;0 (Intracellular Signaling Peptides and Proteins)&lt;/KEYWORD&gt;&lt;/KEYWORDS&gt;&lt;ISBN&gt;0016-5085&lt;/ISBN&gt;&lt;/MDL&gt;&lt;/Cite&gt;&lt;/EndNote&gt;</w:instrText>
      </w:r>
      <w:r w:rsidR="00982B5D" w:rsidRPr="00710B70">
        <w:rPr>
          <w:rFonts w:ascii="Book Antiqua" w:hAnsi="Book Antiqua"/>
          <w:szCs w:val="24"/>
          <w:vertAlign w:val="superscript"/>
        </w:rPr>
        <w:fldChar w:fldCharType="separate"/>
      </w:r>
      <w:r w:rsidR="005E68A5" w:rsidRPr="00710B70">
        <w:rPr>
          <w:rFonts w:ascii="Book Antiqua" w:hAnsi="Book Antiqua"/>
          <w:szCs w:val="24"/>
          <w:vertAlign w:val="superscript"/>
        </w:rPr>
        <w:t>[14]</w:t>
      </w:r>
      <w:r w:rsidR="00982B5D" w:rsidRPr="00710B70">
        <w:rPr>
          <w:rFonts w:ascii="Book Antiqua" w:hAnsi="Book Antiqua"/>
          <w:szCs w:val="24"/>
          <w:vertAlign w:val="superscript"/>
        </w:rPr>
        <w:fldChar w:fldCharType="end"/>
      </w:r>
      <w:r w:rsidR="00D7606C" w:rsidRPr="00710B70">
        <w:rPr>
          <w:rFonts w:ascii="Book Antiqua" w:hAnsi="Book Antiqua"/>
          <w:szCs w:val="24"/>
        </w:rPr>
        <w:t>, conferring</w:t>
      </w:r>
      <w:r w:rsidRPr="00710B70">
        <w:rPr>
          <w:rFonts w:ascii="Book Antiqua" w:hAnsi="Book Antiqua"/>
          <w:szCs w:val="24"/>
        </w:rPr>
        <w:t xml:space="preserve"> a 2 to 4 fold </w:t>
      </w:r>
      <w:r w:rsidR="00D7606C" w:rsidRPr="00710B70">
        <w:rPr>
          <w:rFonts w:ascii="Book Antiqua" w:hAnsi="Book Antiqua"/>
          <w:szCs w:val="24"/>
        </w:rPr>
        <w:t xml:space="preserve">and 20-40 fold </w:t>
      </w:r>
      <w:r w:rsidRPr="00710B70">
        <w:rPr>
          <w:rFonts w:ascii="Book Antiqua" w:hAnsi="Book Antiqua"/>
          <w:szCs w:val="24"/>
        </w:rPr>
        <w:t>i</w:t>
      </w:r>
      <w:r w:rsidR="00D7606C" w:rsidRPr="00710B70">
        <w:rPr>
          <w:rFonts w:ascii="Book Antiqua" w:hAnsi="Book Antiqua"/>
          <w:szCs w:val="24"/>
        </w:rPr>
        <w:t>ncreased risk of developing CD</w:t>
      </w:r>
      <w:r w:rsidR="00C339F9" w:rsidRPr="00710B70">
        <w:rPr>
          <w:rFonts w:ascii="Book Antiqua" w:hAnsi="Book Antiqua"/>
          <w:szCs w:val="24"/>
        </w:rPr>
        <w:t xml:space="preserve"> respectively</w:t>
      </w:r>
      <w:r w:rsidR="00D7606C" w:rsidRPr="00710B70">
        <w:rPr>
          <w:rFonts w:ascii="Book Antiqua" w:hAnsi="Book Antiqua"/>
          <w:szCs w:val="24"/>
        </w:rPr>
        <w:t xml:space="preserve">. </w:t>
      </w:r>
    </w:p>
    <w:p w:rsidR="00A525E3" w:rsidRPr="00710B70" w:rsidRDefault="005C3717" w:rsidP="00A92DCF">
      <w:pPr>
        <w:autoSpaceDE w:val="0"/>
        <w:autoSpaceDN w:val="0"/>
        <w:adjustRightInd w:val="0"/>
        <w:spacing w:line="360" w:lineRule="auto"/>
        <w:ind w:firstLineChars="250" w:firstLine="600"/>
        <w:jc w:val="both"/>
        <w:rPr>
          <w:rFonts w:ascii="Book Antiqua" w:hAnsi="Book Antiqua"/>
          <w:szCs w:val="24"/>
        </w:rPr>
      </w:pPr>
      <w:r w:rsidRPr="00710B70">
        <w:rPr>
          <w:rFonts w:ascii="Book Antiqua" w:hAnsi="Book Antiqua"/>
          <w:szCs w:val="24"/>
        </w:rPr>
        <w:t>Studies have demonstrated three mutations or sequence variants which exhibit the strongest association with the development of CD</w:t>
      </w:r>
      <w:r w:rsidR="0065610C" w:rsidRPr="0065610C">
        <w:rPr>
          <w:rFonts w:ascii="Book Antiqua" w:hAnsi="Book Antiqua"/>
          <w:szCs w:val="24"/>
          <w:vertAlign w:val="superscript"/>
        </w:rPr>
        <w:t>[</w:t>
      </w:r>
      <w:r w:rsidR="005E68A5" w:rsidRPr="00710B70">
        <w:rPr>
          <w:rFonts w:ascii="Book Antiqua" w:hAnsi="Book Antiqua"/>
          <w:szCs w:val="24"/>
          <w:vertAlign w:val="superscript"/>
        </w:rPr>
        <w:t>7]</w:t>
      </w:r>
      <w:r w:rsidRPr="00710B70">
        <w:rPr>
          <w:rFonts w:ascii="Book Antiqua" w:hAnsi="Book Antiqua"/>
          <w:szCs w:val="24"/>
        </w:rPr>
        <w:t xml:space="preserve">. </w:t>
      </w:r>
      <w:r w:rsidR="00D7606C" w:rsidRPr="00710B70">
        <w:rPr>
          <w:rFonts w:ascii="Book Antiqua" w:hAnsi="Book Antiqua"/>
          <w:szCs w:val="24"/>
        </w:rPr>
        <w:t xml:space="preserve">These are </w:t>
      </w:r>
      <w:r w:rsidR="00A92DCF">
        <w:rPr>
          <w:rFonts w:ascii="Book Antiqua" w:hAnsi="Book Antiqua"/>
          <w:szCs w:val="24"/>
          <w:lang w:eastAsia="zh-CN"/>
        </w:rPr>
        <w:t>“</w:t>
      </w:r>
      <w:r w:rsidR="00D7606C" w:rsidRPr="00710B70">
        <w:rPr>
          <w:rFonts w:ascii="Book Antiqua" w:hAnsi="Book Antiqua"/>
          <w:szCs w:val="24"/>
        </w:rPr>
        <w:t>3020insC</w:t>
      </w:r>
      <w:r w:rsidR="00A92DCF">
        <w:rPr>
          <w:rFonts w:ascii="Book Antiqua" w:hAnsi="Book Antiqua"/>
          <w:szCs w:val="24"/>
          <w:lang w:eastAsia="zh-CN"/>
        </w:rPr>
        <w:t>”</w:t>
      </w:r>
      <w:r w:rsidR="00D7606C" w:rsidRPr="00710B70">
        <w:rPr>
          <w:rFonts w:ascii="Book Antiqua" w:hAnsi="Book Antiqua"/>
          <w:szCs w:val="24"/>
        </w:rPr>
        <w:t xml:space="preserve"> on exon 11,</w:t>
      </w:r>
      <w:r w:rsidR="00D01677" w:rsidRPr="00710B70">
        <w:rPr>
          <w:rFonts w:ascii="Book Antiqua" w:hAnsi="Book Antiqua"/>
          <w:szCs w:val="24"/>
        </w:rPr>
        <w:t xml:space="preserve"> </w:t>
      </w:r>
      <w:r w:rsidR="00D7606C" w:rsidRPr="00710B70">
        <w:rPr>
          <w:rFonts w:ascii="Book Antiqua" w:hAnsi="Book Antiqua"/>
          <w:szCs w:val="24"/>
        </w:rPr>
        <w:t>which</w:t>
      </w:r>
      <w:r w:rsidRPr="00710B70">
        <w:rPr>
          <w:rFonts w:ascii="Book Antiqua" w:hAnsi="Book Antiqua"/>
          <w:szCs w:val="24"/>
        </w:rPr>
        <w:t xml:space="preserve"> </w:t>
      </w:r>
      <w:r w:rsidR="00A525E3" w:rsidRPr="00710B70">
        <w:rPr>
          <w:rFonts w:ascii="Book Antiqua" w:hAnsi="Book Antiqua"/>
          <w:szCs w:val="24"/>
        </w:rPr>
        <w:t>is a frameshift mutation</w:t>
      </w:r>
      <w:r w:rsidR="0065610C" w:rsidRPr="0065610C">
        <w:rPr>
          <w:rFonts w:ascii="Book Antiqua" w:hAnsi="Book Antiqua"/>
          <w:szCs w:val="24"/>
          <w:vertAlign w:val="superscript"/>
        </w:rPr>
        <w:t>[</w:t>
      </w:r>
      <w:r w:rsidR="005E68A5" w:rsidRPr="00710B70">
        <w:rPr>
          <w:rFonts w:ascii="Book Antiqua" w:hAnsi="Book Antiqua"/>
          <w:szCs w:val="24"/>
          <w:vertAlign w:val="superscript"/>
        </w:rPr>
        <w:t>15]</w:t>
      </w:r>
      <w:r w:rsidR="00D7606C" w:rsidRPr="00710B70">
        <w:rPr>
          <w:rFonts w:ascii="Book Antiqua" w:hAnsi="Book Antiqua"/>
          <w:szCs w:val="24"/>
        </w:rPr>
        <w:t xml:space="preserve">, and the </w:t>
      </w:r>
      <w:r w:rsidRPr="00710B70">
        <w:rPr>
          <w:rFonts w:ascii="Book Antiqua" w:hAnsi="Book Antiqua"/>
          <w:szCs w:val="24"/>
        </w:rPr>
        <w:t xml:space="preserve">missense mutations located on exons 4 and 8; these lead to the amino acid substitutions Arg702Trp and Gly908Arg respectively. </w:t>
      </w:r>
      <w:r w:rsidR="00A525E3" w:rsidRPr="00710B70">
        <w:rPr>
          <w:rFonts w:ascii="Book Antiqua" w:hAnsi="Book Antiqua"/>
          <w:szCs w:val="24"/>
        </w:rPr>
        <w:t xml:space="preserve">However, whilst it has been noted for 9 years that these mutations are associated with Crohn’s </w:t>
      </w:r>
      <w:r w:rsidR="00A92DCF" w:rsidRPr="00710B70">
        <w:rPr>
          <w:rFonts w:ascii="Book Antiqua" w:hAnsi="Book Antiqua"/>
          <w:szCs w:val="24"/>
        </w:rPr>
        <w:t>d</w:t>
      </w:r>
      <w:r w:rsidR="00A525E3" w:rsidRPr="00710B70">
        <w:rPr>
          <w:rFonts w:ascii="Book Antiqua" w:hAnsi="Book Antiqua"/>
          <w:szCs w:val="24"/>
        </w:rPr>
        <w:t xml:space="preserve">isease, the consequences of these mutations on their protein function is yet unknown. </w:t>
      </w:r>
    </w:p>
    <w:p w:rsidR="005C3717" w:rsidRPr="00710B70" w:rsidRDefault="005C3717" w:rsidP="00A92DCF">
      <w:pPr>
        <w:spacing w:line="360" w:lineRule="auto"/>
        <w:ind w:firstLineChars="250" w:firstLine="600"/>
        <w:jc w:val="both"/>
        <w:rPr>
          <w:rFonts w:ascii="Book Antiqua" w:hAnsi="Book Antiqua"/>
          <w:szCs w:val="24"/>
        </w:rPr>
      </w:pPr>
      <w:r w:rsidRPr="00710B70">
        <w:rPr>
          <w:rFonts w:ascii="Book Antiqua" w:hAnsi="Book Antiqua"/>
          <w:szCs w:val="24"/>
        </w:rPr>
        <w:t xml:space="preserve">The only consistent finding to date regarding the clinical impact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variants concerns disease localization</w:t>
      </w:r>
      <w:r w:rsidR="0065610C" w:rsidRPr="0065610C">
        <w:rPr>
          <w:rFonts w:ascii="Book Antiqua" w:hAnsi="Book Antiqua"/>
          <w:szCs w:val="24"/>
          <w:vertAlign w:val="superscript"/>
        </w:rPr>
        <w:t>[</w:t>
      </w:r>
      <w:r w:rsidR="005E68A5" w:rsidRPr="00710B70">
        <w:rPr>
          <w:rFonts w:ascii="Book Antiqua" w:hAnsi="Book Antiqua"/>
          <w:szCs w:val="24"/>
          <w:vertAlign w:val="superscript"/>
        </w:rPr>
        <w:t>6, 8, 10, 16-21]</w:t>
      </w:r>
      <w:r w:rsidRPr="00710B70">
        <w:rPr>
          <w:rFonts w:ascii="Book Antiqua" w:hAnsi="Book Antiqua"/>
          <w:szCs w:val="24"/>
        </w:rPr>
        <w:t>.</w:t>
      </w:r>
      <w:r w:rsidR="00C339F9" w:rsidRPr="00710B70">
        <w:rPr>
          <w:rFonts w:ascii="Book Antiqua" w:hAnsi="Book Antiqua"/>
          <w:szCs w:val="24"/>
        </w:rPr>
        <w:t xml:space="preserve"> </w:t>
      </w:r>
      <w:r w:rsidRPr="00710B70">
        <w:rPr>
          <w:rFonts w:ascii="Book Antiqua" w:hAnsi="Book Antiqua"/>
          <w:szCs w:val="24"/>
        </w:rPr>
        <w:t xml:space="preserve">Some studies have </w:t>
      </w:r>
      <w:r w:rsidR="00C339F9" w:rsidRPr="00710B70">
        <w:rPr>
          <w:rFonts w:ascii="Book Antiqua" w:hAnsi="Book Antiqua"/>
          <w:szCs w:val="24"/>
        </w:rPr>
        <w:t xml:space="preserve">also </w:t>
      </w:r>
      <w:r w:rsidRPr="00710B70">
        <w:rPr>
          <w:rFonts w:ascii="Book Antiqua" w:hAnsi="Book Antiqua"/>
          <w:szCs w:val="24"/>
        </w:rPr>
        <w:t xml:space="preserve">reported an association between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and fibrostenotic behaviour</w:t>
      </w:r>
      <w:r w:rsidR="0065610C" w:rsidRPr="0065610C">
        <w:rPr>
          <w:rFonts w:ascii="Book Antiqua" w:hAnsi="Book Antiqua"/>
          <w:szCs w:val="24"/>
          <w:vertAlign w:val="superscript"/>
        </w:rPr>
        <w:t>[</w:t>
      </w:r>
      <w:r w:rsidR="005E68A5" w:rsidRPr="00710B70">
        <w:rPr>
          <w:rFonts w:ascii="Book Antiqua" w:hAnsi="Book Antiqua"/>
          <w:szCs w:val="24"/>
          <w:vertAlign w:val="superscript"/>
        </w:rPr>
        <w:t>6, 11, 22]</w:t>
      </w:r>
      <w:r w:rsidRPr="00710B70">
        <w:rPr>
          <w:rFonts w:ascii="Book Antiqua" w:hAnsi="Book Antiqua"/>
          <w:szCs w:val="24"/>
        </w:rPr>
        <w:t xml:space="preserve">, whilst others have reported a higher incidence of fistulas in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variant patients</w:t>
      </w:r>
      <w:r w:rsidR="0065610C" w:rsidRPr="0065610C">
        <w:rPr>
          <w:rFonts w:ascii="Book Antiqua" w:hAnsi="Book Antiqua"/>
          <w:szCs w:val="24"/>
          <w:vertAlign w:val="superscript"/>
        </w:rPr>
        <w:t>[</w:t>
      </w:r>
      <w:r w:rsidR="005E68A5" w:rsidRPr="00710B70">
        <w:rPr>
          <w:rFonts w:ascii="Book Antiqua" w:hAnsi="Book Antiqua"/>
          <w:szCs w:val="24"/>
          <w:vertAlign w:val="superscript"/>
        </w:rPr>
        <w:t>11, 19, 22, 23]</w:t>
      </w:r>
      <w:r w:rsidRPr="00710B70">
        <w:rPr>
          <w:rFonts w:ascii="Book Antiqua" w:hAnsi="Book Antiqua"/>
          <w:szCs w:val="24"/>
        </w:rPr>
        <w:t xml:space="preserve">. The reasons for these </w:t>
      </w:r>
      <w:r w:rsidRPr="00710B70">
        <w:rPr>
          <w:rFonts w:ascii="Book Antiqua" w:hAnsi="Book Antiqua"/>
          <w:szCs w:val="24"/>
        </w:rPr>
        <w:lastRenderedPageBreak/>
        <w:t xml:space="preserve">observations are unknown but are important for further investigation as it will help in understanding the pathophysiology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w:t>
      </w:r>
    </w:p>
    <w:p w:rsidR="00C339F9" w:rsidRPr="00710B70" w:rsidRDefault="005C3717" w:rsidP="001A6E6C">
      <w:pPr>
        <w:spacing w:line="360" w:lineRule="auto"/>
        <w:ind w:firstLineChars="250" w:firstLine="600"/>
        <w:jc w:val="both"/>
        <w:rPr>
          <w:rFonts w:ascii="Book Antiqua" w:hAnsi="Book Antiqua"/>
          <w:szCs w:val="24"/>
        </w:rPr>
      </w:pPr>
      <w:r w:rsidRPr="00710B70">
        <w:rPr>
          <w:rFonts w:ascii="Book Antiqua" w:hAnsi="Book Antiqua"/>
          <w:szCs w:val="24"/>
        </w:rPr>
        <w:t xml:space="preserve">Several lines of evidence are compatible with a significant role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variants in determining an association with earlier age of disease onset</w:t>
      </w:r>
      <w:r w:rsidR="0065610C" w:rsidRPr="0065610C">
        <w:rPr>
          <w:rFonts w:ascii="Book Antiqua" w:hAnsi="Book Antiqua"/>
          <w:szCs w:val="24"/>
          <w:vertAlign w:val="superscript"/>
        </w:rPr>
        <w:t>[</w:t>
      </w:r>
      <w:r w:rsidR="005E68A5" w:rsidRPr="00710B70">
        <w:rPr>
          <w:rFonts w:ascii="Book Antiqua" w:hAnsi="Book Antiqua"/>
          <w:szCs w:val="24"/>
          <w:vertAlign w:val="superscript"/>
        </w:rPr>
        <w:t>6, 7, 20]</w:t>
      </w:r>
      <w:r w:rsidRPr="00710B70">
        <w:rPr>
          <w:rFonts w:ascii="Book Antiqua" w:hAnsi="Book Antiqua"/>
          <w:szCs w:val="24"/>
        </w:rPr>
        <w:t>. This is consistent with genetic evidence that a younger age of diagnosis identifies families with greater linkage to the IBD1 locus</w:t>
      </w:r>
      <w:r w:rsidR="0065610C" w:rsidRPr="0065610C">
        <w:rPr>
          <w:rFonts w:ascii="Book Antiqua" w:hAnsi="Book Antiqua"/>
          <w:szCs w:val="24"/>
          <w:vertAlign w:val="superscript"/>
        </w:rPr>
        <w:t>[</w:t>
      </w:r>
      <w:r w:rsidR="005E68A5" w:rsidRPr="00710B70">
        <w:rPr>
          <w:rFonts w:ascii="Book Antiqua" w:hAnsi="Book Antiqua"/>
          <w:szCs w:val="24"/>
          <w:vertAlign w:val="superscript"/>
        </w:rPr>
        <w:t>24]</w:t>
      </w:r>
      <w:r w:rsidRPr="00710B70">
        <w:rPr>
          <w:rFonts w:ascii="Book Antiqua" w:hAnsi="Book Antiqua"/>
          <w:szCs w:val="24"/>
        </w:rPr>
        <w:t xml:space="preserve">. </w:t>
      </w:r>
    </w:p>
    <w:p w:rsidR="005E68A5" w:rsidRPr="00710B70" w:rsidRDefault="005C3717" w:rsidP="001A6E6C">
      <w:pPr>
        <w:autoSpaceDE w:val="0"/>
        <w:autoSpaceDN w:val="0"/>
        <w:adjustRightInd w:val="0"/>
        <w:spacing w:line="360" w:lineRule="auto"/>
        <w:ind w:firstLineChars="300" w:firstLine="720"/>
        <w:jc w:val="both"/>
        <w:rPr>
          <w:rFonts w:ascii="Book Antiqua" w:hAnsi="Book Antiqua"/>
          <w:szCs w:val="24"/>
          <w:vertAlign w:val="superscript"/>
          <w:lang w:val="en-US"/>
        </w:rPr>
      </w:pPr>
      <w:r w:rsidRPr="00710B70">
        <w:rPr>
          <w:rFonts w:ascii="Book Antiqua" w:hAnsi="Book Antiqua"/>
          <w:szCs w:val="24"/>
        </w:rPr>
        <w:t xml:space="preserve">Currently, little is known about the association between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and the requirement for initial surgery and for surgical recurrences in CD. </w:t>
      </w:r>
      <w:r w:rsidR="00A525E3" w:rsidRPr="00710B70">
        <w:rPr>
          <w:rFonts w:ascii="Book Antiqua" w:hAnsi="Book Antiqua"/>
          <w:szCs w:val="24"/>
        </w:rPr>
        <w:t xml:space="preserve">Studies conducted to evaluate the direct association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A525E3" w:rsidRPr="00710B70">
        <w:rPr>
          <w:rFonts w:ascii="Book Antiqua" w:hAnsi="Book Antiqua"/>
          <w:szCs w:val="24"/>
        </w:rPr>
        <w:t xml:space="preserve"> mutations with surgical requirements have reported variable findings but generally there is support for prediction of subsequent requirements for surgery. Most of the published data have shown an increase</w:t>
      </w:r>
      <w:r w:rsidR="00C159A4">
        <w:rPr>
          <w:rFonts w:ascii="Book Antiqua" w:hAnsi="Book Antiqua"/>
          <w:szCs w:val="24"/>
        </w:rPr>
        <w:t xml:space="preserve">d association between </w:t>
      </w:r>
      <w:r w:rsidR="00C159A4" w:rsidRPr="00C159A4">
        <w:rPr>
          <w:rFonts w:ascii="Book Antiqua" w:hAnsi="Book Antiqua"/>
          <w:i/>
          <w:szCs w:val="24"/>
        </w:rPr>
        <w:t>NOD2</w:t>
      </w:r>
      <w:r w:rsidR="00C159A4">
        <w:rPr>
          <w:rFonts w:ascii="Book Antiqua" w:hAnsi="Book Antiqua"/>
          <w:szCs w:val="24"/>
        </w:rPr>
        <w:t>/</w:t>
      </w:r>
      <w:r w:rsidR="00C159A4" w:rsidRPr="00C159A4">
        <w:rPr>
          <w:rFonts w:ascii="Book Antiqua" w:hAnsi="Book Antiqua"/>
          <w:i/>
          <w:szCs w:val="24"/>
        </w:rPr>
        <w:t>CARD</w:t>
      </w:r>
      <w:r w:rsidR="00A525E3" w:rsidRPr="00C159A4">
        <w:rPr>
          <w:rFonts w:ascii="Book Antiqua" w:hAnsi="Book Antiqua"/>
          <w:i/>
          <w:szCs w:val="24"/>
        </w:rPr>
        <w:t>15</w:t>
      </w:r>
      <w:r w:rsidR="00A525E3" w:rsidRPr="00710B70">
        <w:rPr>
          <w:rFonts w:ascii="Book Antiqua" w:hAnsi="Book Antiqua"/>
          <w:szCs w:val="24"/>
        </w:rPr>
        <w:t xml:space="preserve"> mutations with ileal surgery, and the mutation with the strongest association was found to be the 3020insC mutation</w:t>
      </w:r>
      <w:r w:rsidR="0065610C" w:rsidRPr="0065610C">
        <w:rPr>
          <w:rFonts w:ascii="Book Antiqua" w:hAnsi="Book Antiqua"/>
          <w:szCs w:val="24"/>
          <w:vertAlign w:val="superscript"/>
        </w:rPr>
        <w:t>[</w:t>
      </w:r>
      <w:r w:rsidR="005E68A5" w:rsidRPr="00710B70">
        <w:rPr>
          <w:rFonts w:ascii="Book Antiqua" w:hAnsi="Book Antiqua"/>
          <w:szCs w:val="24"/>
          <w:vertAlign w:val="superscript"/>
        </w:rPr>
        <w:t>5, 19, 25</w:t>
      </w:r>
      <w:r w:rsidR="001A6E6C">
        <w:rPr>
          <w:rFonts w:ascii="Book Antiqua" w:hAnsi="Book Antiqua" w:hint="eastAsia"/>
          <w:szCs w:val="24"/>
          <w:vertAlign w:val="superscript"/>
          <w:lang w:eastAsia="zh-CN"/>
        </w:rPr>
        <w:t>-</w:t>
      </w:r>
      <w:r w:rsidR="005E68A5" w:rsidRPr="00710B70">
        <w:rPr>
          <w:rFonts w:ascii="Book Antiqua" w:hAnsi="Book Antiqua"/>
          <w:szCs w:val="24"/>
          <w:vertAlign w:val="superscript"/>
        </w:rPr>
        <w:t>28]</w:t>
      </w:r>
      <w:r w:rsidR="00A525E3" w:rsidRPr="00710B70">
        <w:rPr>
          <w:rFonts w:ascii="Book Antiqua" w:hAnsi="Book Antiqua"/>
          <w:szCs w:val="24"/>
        </w:rPr>
        <w:t xml:space="preserve">. </w:t>
      </w:r>
      <w:r w:rsidR="00A525E3" w:rsidRPr="00710B70">
        <w:rPr>
          <w:rFonts w:ascii="Book Antiqua" w:hAnsi="Book Antiqua"/>
          <w:szCs w:val="24"/>
          <w:lang w:val="en-US"/>
        </w:rPr>
        <w:t>In three independent studies, one carried out in Germany</w:t>
      </w:r>
      <w:r w:rsidR="005E68A5" w:rsidRPr="00710B70">
        <w:rPr>
          <w:rFonts w:ascii="Book Antiqua" w:hAnsi="Book Antiqua"/>
          <w:szCs w:val="24"/>
          <w:vertAlign w:val="superscript"/>
          <w:lang w:val="en-US"/>
        </w:rPr>
        <w:t>[20]</w:t>
      </w:r>
      <w:r w:rsidR="005E68A5" w:rsidRPr="00710B70">
        <w:rPr>
          <w:rFonts w:ascii="Book Antiqua" w:hAnsi="Book Antiqua"/>
          <w:szCs w:val="24"/>
          <w:lang w:val="en-US"/>
        </w:rPr>
        <w:t>,</w:t>
      </w:r>
      <w:r w:rsidR="00D01677" w:rsidRPr="00710B70">
        <w:rPr>
          <w:rFonts w:ascii="Book Antiqua" w:hAnsi="Book Antiqua"/>
          <w:szCs w:val="24"/>
          <w:lang w:val="en-US"/>
        </w:rPr>
        <w:t xml:space="preserve"> </w:t>
      </w:r>
      <w:r w:rsidR="00A525E3" w:rsidRPr="00710B70">
        <w:rPr>
          <w:rFonts w:ascii="Book Antiqua" w:hAnsi="Book Antiqua"/>
          <w:szCs w:val="24"/>
          <w:lang w:val="en-US"/>
        </w:rPr>
        <w:t>another in Spain</w:t>
      </w:r>
      <w:r w:rsidR="0065610C" w:rsidRPr="0065610C">
        <w:rPr>
          <w:rFonts w:ascii="Book Antiqua" w:hAnsi="Book Antiqua"/>
          <w:szCs w:val="24"/>
          <w:vertAlign w:val="superscript"/>
          <w:lang w:val="en-US"/>
        </w:rPr>
        <w:t>[</w:t>
      </w:r>
      <w:r w:rsidR="005E68A5" w:rsidRPr="00710B70">
        <w:rPr>
          <w:rFonts w:ascii="Book Antiqua" w:hAnsi="Book Antiqua"/>
          <w:szCs w:val="24"/>
          <w:vertAlign w:val="superscript"/>
          <w:lang w:val="en-US"/>
        </w:rPr>
        <w:t>21]</w:t>
      </w:r>
      <w:r w:rsidR="00A525E3" w:rsidRPr="00710B70">
        <w:rPr>
          <w:rFonts w:ascii="Book Antiqua" w:hAnsi="Book Antiqua"/>
          <w:szCs w:val="24"/>
          <w:lang w:val="en-US"/>
        </w:rPr>
        <w:t xml:space="preserve"> another in Italy</w:t>
      </w:r>
      <w:r w:rsidR="0065610C" w:rsidRPr="0065610C">
        <w:rPr>
          <w:rFonts w:ascii="Book Antiqua" w:hAnsi="Book Antiqua"/>
          <w:szCs w:val="24"/>
          <w:vertAlign w:val="superscript"/>
          <w:lang w:val="en-US"/>
        </w:rPr>
        <w:t>[</w:t>
      </w:r>
      <w:r w:rsidR="005E68A5" w:rsidRPr="00710B70">
        <w:rPr>
          <w:rFonts w:ascii="Book Antiqua" w:hAnsi="Book Antiqua"/>
          <w:szCs w:val="24"/>
          <w:vertAlign w:val="superscript"/>
          <w:lang w:val="en-US"/>
        </w:rPr>
        <w:t>29]</w:t>
      </w:r>
      <w:r w:rsidR="00A525E3" w:rsidRPr="00710B70">
        <w:rPr>
          <w:rFonts w:ascii="Book Antiqua" w:hAnsi="Book Antiqua"/>
          <w:szCs w:val="24"/>
          <w:lang w:val="en-US"/>
        </w:rPr>
        <w:t xml:space="preserve">, patients with mutations of the gene presented an increased risk of repeated surgery, and such surgery was required earlier. These findings were even reinforced within the </w:t>
      </w:r>
      <w:r w:rsidR="00024230" w:rsidRPr="00710B70">
        <w:rPr>
          <w:rFonts w:ascii="Book Antiqua" w:hAnsi="Book Antiqua"/>
          <w:szCs w:val="24"/>
          <w:lang w:val="en-US"/>
        </w:rPr>
        <w:t>pediatric</w:t>
      </w:r>
      <w:r w:rsidR="00A525E3" w:rsidRPr="00710B70">
        <w:rPr>
          <w:rFonts w:ascii="Book Antiqua" w:hAnsi="Book Antiqua"/>
          <w:szCs w:val="24"/>
          <w:lang w:val="en-US"/>
        </w:rPr>
        <w:t xml:space="preserve"> population whereby 2 studies have demonstrated that </w:t>
      </w:r>
      <w:r w:rsidR="00620902" w:rsidRPr="00620902">
        <w:rPr>
          <w:rFonts w:ascii="Book Antiqua" w:hAnsi="Book Antiqua"/>
          <w:i/>
          <w:szCs w:val="24"/>
          <w:lang w:val="en-US"/>
        </w:rPr>
        <w:t>NOD2</w:t>
      </w:r>
      <w:r w:rsidR="00C159A4" w:rsidRPr="00C159A4">
        <w:rPr>
          <w:rFonts w:ascii="Book Antiqua" w:hAnsi="Book Antiqua"/>
          <w:szCs w:val="24"/>
          <w:lang w:val="en-US"/>
        </w:rPr>
        <w:t>/</w:t>
      </w:r>
      <w:r w:rsidR="00620902" w:rsidRPr="00620902">
        <w:rPr>
          <w:rFonts w:ascii="Book Antiqua" w:hAnsi="Book Antiqua"/>
          <w:i/>
          <w:szCs w:val="24"/>
          <w:lang w:val="en-US"/>
        </w:rPr>
        <w:t>CARD15</w:t>
      </w:r>
      <w:r w:rsidR="00A525E3" w:rsidRPr="00710B70">
        <w:rPr>
          <w:rFonts w:ascii="Book Antiqua" w:hAnsi="Book Antiqua"/>
          <w:szCs w:val="24"/>
          <w:lang w:val="en-US"/>
        </w:rPr>
        <w:t xml:space="preserve"> mutations were a predictor of earlier age of surgery within a pediatric population</w:t>
      </w:r>
      <w:r w:rsidR="0065610C" w:rsidRPr="0065610C">
        <w:rPr>
          <w:rFonts w:ascii="Book Antiqua" w:hAnsi="Book Antiqua"/>
          <w:szCs w:val="24"/>
          <w:vertAlign w:val="superscript"/>
          <w:lang w:val="en-US"/>
        </w:rPr>
        <w:t>[</w:t>
      </w:r>
      <w:r w:rsidR="005E68A5" w:rsidRPr="00710B70">
        <w:rPr>
          <w:rFonts w:ascii="Book Antiqua" w:hAnsi="Book Antiqua"/>
          <w:szCs w:val="24"/>
          <w:vertAlign w:val="superscript"/>
          <w:lang w:val="en-US"/>
        </w:rPr>
        <w:t>30, 31]</w:t>
      </w:r>
      <w:r w:rsidR="005E68A5" w:rsidRPr="00710B70">
        <w:rPr>
          <w:rFonts w:ascii="Book Antiqua" w:hAnsi="Book Antiqua"/>
          <w:szCs w:val="24"/>
          <w:lang w:val="en-US"/>
        </w:rPr>
        <w:t>.</w:t>
      </w:r>
    </w:p>
    <w:p w:rsidR="005C3717" w:rsidRPr="00710B70" w:rsidRDefault="005C3717" w:rsidP="001A6E6C">
      <w:pPr>
        <w:spacing w:line="360" w:lineRule="auto"/>
        <w:ind w:firstLineChars="300" w:firstLine="720"/>
        <w:jc w:val="both"/>
        <w:rPr>
          <w:rFonts w:ascii="Book Antiqua" w:hAnsi="Book Antiqua"/>
          <w:szCs w:val="24"/>
        </w:rPr>
      </w:pPr>
      <w:r w:rsidRPr="00710B70">
        <w:rPr>
          <w:rFonts w:ascii="Book Antiqua" w:hAnsi="Book Antiqua"/>
          <w:szCs w:val="24"/>
        </w:rPr>
        <w:t xml:space="preserve">Perhaps the greatest shortcoming, though, is that all associations between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and the requirement of surgery have been based only on the analysis of the three most common mutations within the gene.  </w:t>
      </w:r>
      <w:r w:rsidR="00A525E3" w:rsidRPr="00710B70">
        <w:rPr>
          <w:rFonts w:ascii="Book Antiqua" w:hAnsi="Book Antiqua"/>
          <w:szCs w:val="24"/>
        </w:rPr>
        <w:t xml:space="preserve">One of the research studies only evaluated the most common insertion mutation. </w:t>
      </w:r>
      <w:r w:rsidRPr="00710B70">
        <w:rPr>
          <w:rFonts w:ascii="Book Antiqua" w:hAnsi="Book Antiqua"/>
          <w:szCs w:val="24"/>
        </w:rPr>
        <w:t xml:space="preserve">None of these studies have fully sequenced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The current study was designed with the intention of fully sequencing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in all recruited patients to establish the frequency of variant alleles and unravel other mutations in the aforementioned gene. </w:t>
      </w:r>
      <w:r w:rsidR="007024D8" w:rsidRPr="00710B70">
        <w:rPr>
          <w:rFonts w:ascii="Book Antiqua" w:hAnsi="Book Antiqua"/>
          <w:szCs w:val="24"/>
        </w:rPr>
        <w:t xml:space="preserve">With that, this research aimed </w:t>
      </w:r>
      <w:r w:rsidRPr="00710B70">
        <w:rPr>
          <w:rFonts w:ascii="Book Antiqua" w:hAnsi="Book Antiqua"/>
          <w:szCs w:val="24"/>
        </w:rPr>
        <w:t xml:space="preserve">to determine if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in CD patients are able to predict disease </w:t>
      </w:r>
      <w:r w:rsidRPr="00710B70">
        <w:rPr>
          <w:rFonts w:ascii="Book Antiqua" w:hAnsi="Book Antiqua"/>
          <w:szCs w:val="24"/>
        </w:rPr>
        <w:lastRenderedPageBreak/>
        <w:t xml:space="preserve">progression including the need for early surgery as well as post-operative relapse requiring re-operation, with a view to predict those who may need early interventions to prevent a relapse from occurring. Full sequencing in itself will provide unique information with regard to the distribution spectrum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within the ethnically heterogen</w:t>
      </w:r>
      <w:r w:rsidR="00F9066B" w:rsidRPr="00710B70">
        <w:rPr>
          <w:rFonts w:ascii="Book Antiqua" w:hAnsi="Book Antiqua"/>
          <w:szCs w:val="24"/>
        </w:rPr>
        <w:t>e</w:t>
      </w:r>
      <w:r w:rsidRPr="00710B70">
        <w:rPr>
          <w:rFonts w:ascii="Book Antiqua" w:hAnsi="Book Antiqua"/>
          <w:szCs w:val="24"/>
        </w:rPr>
        <w:t>ous Australian population.</w:t>
      </w:r>
    </w:p>
    <w:p w:rsidR="005C3717" w:rsidRPr="00710B70" w:rsidRDefault="005C3717" w:rsidP="00710B70">
      <w:pPr>
        <w:tabs>
          <w:tab w:val="left" w:pos="6381"/>
        </w:tabs>
        <w:spacing w:line="360" w:lineRule="auto"/>
        <w:jc w:val="both"/>
        <w:rPr>
          <w:rFonts w:ascii="Book Antiqua" w:hAnsi="Book Antiqua"/>
          <w:b/>
          <w:szCs w:val="24"/>
        </w:rPr>
      </w:pPr>
    </w:p>
    <w:p w:rsidR="001A6E6C" w:rsidRPr="00D26319" w:rsidRDefault="001A6E6C" w:rsidP="001A6E6C">
      <w:pPr>
        <w:spacing w:line="360" w:lineRule="auto"/>
        <w:rPr>
          <w:rFonts w:ascii="Book Antiqua" w:hAnsi="Book Antiqua"/>
          <w:b/>
        </w:rPr>
      </w:pPr>
      <w:r w:rsidRPr="00D26319">
        <w:rPr>
          <w:rFonts w:ascii="Book Antiqua" w:hAnsi="Book Antiqua"/>
          <w:b/>
        </w:rPr>
        <w:t>MATERIALS AND METHODS</w:t>
      </w:r>
    </w:p>
    <w:p w:rsidR="005C3717" w:rsidRPr="00710B70" w:rsidRDefault="005C3717" w:rsidP="00710B70">
      <w:pPr>
        <w:spacing w:line="360" w:lineRule="auto"/>
        <w:jc w:val="both"/>
        <w:rPr>
          <w:rFonts w:ascii="Book Antiqua" w:hAnsi="Book Antiqua"/>
          <w:szCs w:val="24"/>
        </w:rPr>
      </w:pPr>
      <w:r w:rsidRPr="00710B70">
        <w:rPr>
          <w:rFonts w:ascii="Book Antiqua" w:hAnsi="Book Antiqua"/>
          <w:szCs w:val="24"/>
        </w:rPr>
        <w:t xml:space="preserve"> The study was approved by the Human Resource Ethics Committee at The Royal Melbourne Hospital</w:t>
      </w:r>
      <w:r w:rsidR="00D7606C" w:rsidRPr="00710B70">
        <w:rPr>
          <w:rFonts w:ascii="Book Antiqua" w:hAnsi="Book Antiqua"/>
          <w:szCs w:val="24"/>
        </w:rPr>
        <w:t xml:space="preserve"> and followed consent and privacy procedures</w:t>
      </w:r>
      <w:r w:rsidRPr="00710B70">
        <w:rPr>
          <w:rFonts w:ascii="Book Antiqua" w:hAnsi="Book Antiqua"/>
          <w:szCs w:val="24"/>
        </w:rPr>
        <w:t>.</w:t>
      </w:r>
    </w:p>
    <w:p w:rsidR="005C3717" w:rsidRPr="00710B70" w:rsidRDefault="00C339F9" w:rsidP="001A6E6C">
      <w:pPr>
        <w:spacing w:line="360" w:lineRule="auto"/>
        <w:ind w:firstLineChars="250" w:firstLine="600"/>
        <w:jc w:val="both"/>
        <w:rPr>
          <w:rFonts w:ascii="Book Antiqua" w:hAnsi="Book Antiqua"/>
          <w:szCs w:val="24"/>
        </w:rPr>
      </w:pPr>
      <w:r w:rsidRPr="00710B70">
        <w:rPr>
          <w:rFonts w:ascii="Book Antiqua" w:hAnsi="Book Antiqua"/>
          <w:szCs w:val="24"/>
        </w:rPr>
        <w:t>Thirty</w:t>
      </w:r>
      <w:r w:rsidR="005C3717" w:rsidRPr="00710B70">
        <w:rPr>
          <w:rFonts w:ascii="Book Antiqua" w:hAnsi="Book Antiqua"/>
          <w:szCs w:val="24"/>
        </w:rPr>
        <w:t xml:space="preserve"> unrelated Crohn’s disease pa</w:t>
      </w:r>
      <w:r w:rsidR="00A525E3" w:rsidRPr="00710B70">
        <w:rPr>
          <w:rFonts w:ascii="Book Antiqua" w:hAnsi="Book Antiqua"/>
          <w:szCs w:val="24"/>
        </w:rPr>
        <w:t xml:space="preserve">tients were ascertained </w:t>
      </w:r>
      <w:r w:rsidR="00024230" w:rsidRPr="00710B70">
        <w:rPr>
          <w:rFonts w:ascii="Book Antiqua" w:hAnsi="Book Antiqua"/>
          <w:szCs w:val="24"/>
        </w:rPr>
        <w:t xml:space="preserve">consecutively </w:t>
      </w:r>
      <w:r w:rsidR="005C3717" w:rsidRPr="00710B70">
        <w:rPr>
          <w:rFonts w:ascii="Book Antiqua" w:hAnsi="Book Antiqua"/>
          <w:szCs w:val="24"/>
        </w:rPr>
        <w:t xml:space="preserve">through a search of The Royal Melbourne medical records and private records of RMH consultants, filtering on patients with a history of ileo-caecal or small bowel resections during the time period of 1980-2000. The diagnosis of CD was based on standard clinical, radiological and histological criteria. </w:t>
      </w:r>
    </w:p>
    <w:p w:rsidR="005C3717" w:rsidRPr="00710B70" w:rsidRDefault="005C3717" w:rsidP="001A6E6C">
      <w:pPr>
        <w:spacing w:line="360" w:lineRule="auto"/>
        <w:ind w:firstLineChars="250" w:firstLine="600"/>
        <w:jc w:val="both"/>
        <w:rPr>
          <w:rFonts w:ascii="Book Antiqua" w:hAnsi="Book Antiqua"/>
          <w:szCs w:val="24"/>
        </w:rPr>
      </w:pPr>
      <w:r w:rsidRPr="00710B70">
        <w:rPr>
          <w:rFonts w:ascii="Book Antiqua" w:hAnsi="Book Antiqua"/>
          <w:szCs w:val="24"/>
        </w:rPr>
        <w:t>The patients were divided into two main groups:</w:t>
      </w:r>
      <w:r w:rsidR="001A6E6C">
        <w:rPr>
          <w:rFonts w:ascii="Book Antiqua" w:hAnsi="Book Antiqua" w:hint="eastAsia"/>
          <w:szCs w:val="24"/>
          <w:lang w:eastAsia="zh-CN"/>
        </w:rPr>
        <w:t xml:space="preserve"> (1) </w:t>
      </w:r>
      <w:r w:rsidR="00B64AF3" w:rsidRPr="00710B70">
        <w:rPr>
          <w:rFonts w:ascii="Book Antiqua" w:hAnsi="Book Antiqua"/>
          <w:szCs w:val="24"/>
        </w:rPr>
        <w:t>Fifteen</w:t>
      </w:r>
      <w:r w:rsidRPr="00710B70">
        <w:rPr>
          <w:rFonts w:ascii="Book Antiqua" w:hAnsi="Book Antiqua"/>
          <w:szCs w:val="24"/>
        </w:rPr>
        <w:t xml:space="preserve"> patients who had post-operative relapse that required surgical interventions</w:t>
      </w:r>
      <w:r w:rsidR="001A6E6C">
        <w:rPr>
          <w:rFonts w:ascii="Book Antiqua" w:hAnsi="Book Antiqua" w:hint="eastAsia"/>
          <w:szCs w:val="24"/>
          <w:lang w:eastAsia="zh-CN"/>
        </w:rPr>
        <w:t xml:space="preserve">; and (2) </w:t>
      </w:r>
      <w:r w:rsidR="00B64AF3" w:rsidRPr="00710B70">
        <w:rPr>
          <w:rFonts w:ascii="Book Antiqua" w:hAnsi="Book Antiqua"/>
          <w:szCs w:val="24"/>
        </w:rPr>
        <w:t xml:space="preserve">Fifteen </w:t>
      </w:r>
      <w:r w:rsidRPr="00710B70">
        <w:rPr>
          <w:rFonts w:ascii="Book Antiqua" w:hAnsi="Book Antiqua"/>
          <w:szCs w:val="24"/>
        </w:rPr>
        <w:t>patients who did not have post-operative relapse that required surgical interventions, composing the control group</w:t>
      </w:r>
    </w:p>
    <w:p w:rsidR="005C3717" w:rsidRPr="00710B70" w:rsidRDefault="005C3717" w:rsidP="001A6E6C">
      <w:pPr>
        <w:spacing w:line="360" w:lineRule="auto"/>
        <w:ind w:firstLineChars="250" w:firstLine="600"/>
        <w:jc w:val="both"/>
        <w:rPr>
          <w:rFonts w:ascii="Book Antiqua" w:hAnsi="Book Antiqua"/>
          <w:szCs w:val="24"/>
        </w:rPr>
      </w:pPr>
      <w:r w:rsidRPr="00710B70">
        <w:rPr>
          <w:rFonts w:ascii="Book Antiqua" w:hAnsi="Book Antiqua"/>
          <w:szCs w:val="24"/>
        </w:rPr>
        <w:t xml:space="preserve">We defined surgery as an active procedural intervention including bowel resection, stricturoplasty and balloon dilatation of strictures. We included patients only with a history of ileo-caecal or small bowel resections as their initial type of surgery, as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have been associated with this group of patients, and we wanted to enrich our genotyped population with mutation carriers. </w:t>
      </w:r>
    </w:p>
    <w:p w:rsidR="00B64AF3" w:rsidRPr="00710B70" w:rsidRDefault="005C3717" w:rsidP="001A6E6C">
      <w:pPr>
        <w:spacing w:line="360" w:lineRule="auto"/>
        <w:ind w:firstLineChars="200" w:firstLine="480"/>
        <w:jc w:val="both"/>
        <w:rPr>
          <w:rFonts w:ascii="Book Antiqua" w:hAnsi="Book Antiqua"/>
          <w:szCs w:val="24"/>
        </w:rPr>
      </w:pPr>
      <w:r w:rsidRPr="00710B70">
        <w:rPr>
          <w:rFonts w:ascii="Book Antiqua" w:hAnsi="Book Antiqua"/>
          <w:szCs w:val="24"/>
        </w:rPr>
        <w:t xml:space="preserve">Although the recruited patients underwent initial small bowel or ileo-caecal resection(s), we did not exclude patients with disease involvement in other parts of the digestive tract. The location of disease was recorded from information </w:t>
      </w:r>
      <w:r w:rsidRPr="00710B70">
        <w:rPr>
          <w:rFonts w:ascii="Book Antiqua" w:hAnsi="Book Antiqua"/>
          <w:szCs w:val="24"/>
        </w:rPr>
        <w:lastRenderedPageBreak/>
        <w:t>obtained in radiological, endoscopic and histological examination, and updated in association with later consultations.</w:t>
      </w:r>
    </w:p>
    <w:p w:rsidR="005C3717" w:rsidRPr="00710B70" w:rsidRDefault="005C3717" w:rsidP="001A6E6C">
      <w:pPr>
        <w:spacing w:line="360" w:lineRule="auto"/>
        <w:ind w:firstLineChars="250" w:firstLine="600"/>
        <w:jc w:val="both"/>
        <w:rPr>
          <w:rFonts w:ascii="Book Antiqua" w:hAnsi="Book Antiqua"/>
          <w:szCs w:val="24"/>
        </w:rPr>
      </w:pPr>
      <w:r w:rsidRPr="00710B70">
        <w:rPr>
          <w:rFonts w:ascii="Book Antiqua" w:hAnsi="Book Antiqua"/>
          <w:szCs w:val="24"/>
        </w:rPr>
        <w:t>Indication for the requirement of surgical interventions (initial or subsequent surgeries) was based according to clinical judgement of the caring consultant and/or surgeon according to clinical presentation, pre-operative diagnostic findings and intra-operative findings</w:t>
      </w:r>
      <w:r w:rsidR="00D7606C" w:rsidRPr="00710B70">
        <w:rPr>
          <w:rFonts w:ascii="Book Antiqua" w:hAnsi="Book Antiqua"/>
          <w:szCs w:val="24"/>
        </w:rPr>
        <w:t xml:space="preserve"> without access to genotyping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Inconsistency in surgical decision making was minimized because the overwhelming majority of surgical procedures were done by the same integrated surgical team.</w:t>
      </w:r>
    </w:p>
    <w:p w:rsidR="005C3717" w:rsidRPr="00710B70" w:rsidRDefault="005C3717" w:rsidP="001A6E6C">
      <w:pPr>
        <w:spacing w:line="360" w:lineRule="auto"/>
        <w:ind w:firstLineChars="300" w:firstLine="720"/>
        <w:jc w:val="both"/>
        <w:rPr>
          <w:rFonts w:ascii="Book Antiqua" w:hAnsi="Book Antiqua"/>
          <w:szCs w:val="24"/>
        </w:rPr>
      </w:pPr>
      <w:r w:rsidRPr="00710B70">
        <w:rPr>
          <w:rFonts w:ascii="Book Antiqua" w:hAnsi="Book Antiqua"/>
          <w:szCs w:val="24"/>
        </w:rPr>
        <w:t>The indications for surgical interventions composed 5 main groups:</w:t>
      </w:r>
      <w:r w:rsidR="001A6E6C">
        <w:rPr>
          <w:rFonts w:ascii="Book Antiqua" w:hAnsi="Book Antiqua" w:hint="eastAsia"/>
          <w:szCs w:val="24"/>
          <w:lang w:eastAsia="zh-CN"/>
        </w:rPr>
        <w:t xml:space="preserve"> (1</w:t>
      </w:r>
      <w:r w:rsidRPr="00710B70">
        <w:rPr>
          <w:rFonts w:ascii="Book Antiqua" w:hAnsi="Book Antiqua"/>
          <w:szCs w:val="24"/>
        </w:rPr>
        <w:t xml:space="preserve">) </w:t>
      </w:r>
      <w:r w:rsidR="00B64AF3" w:rsidRPr="00710B70">
        <w:rPr>
          <w:rFonts w:ascii="Book Antiqua" w:hAnsi="Book Antiqua"/>
          <w:szCs w:val="24"/>
        </w:rPr>
        <w:t>f</w:t>
      </w:r>
      <w:r w:rsidRPr="00710B70">
        <w:rPr>
          <w:rFonts w:ascii="Book Antiqua" w:hAnsi="Book Antiqua"/>
          <w:szCs w:val="24"/>
        </w:rPr>
        <w:t>ailed medical treatment</w:t>
      </w:r>
      <w:r w:rsidR="001A6E6C">
        <w:rPr>
          <w:rFonts w:ascii="Book Antiqua" w:hAnsi="Book Antiqua" w:hint="eastAsia"/>
          <w:szCs w:val="24"/>
          <w:lang w:eastAsia="zh-CN"/>
        </w:rPr>
        <w:t>;</w:t>
      </w:r>
      <w:r w:rsidRPr="00710B70">
        <w:rPr>
          <w:rFonts w:ascii="Book Antiqua" w:hAnsi="Book Antiqua"/>
          <w:szCs w:val="24"/>
        </w:rPr>
        <w:t xml:space="preserve"> </w:t>
      </w:r>
      <w:r w:rsidR="001A6E6C">
        <w:rPr>
          <w:rFonts w:ascii="Book Antiqua" w:hAnsi="Book Antiqua" w:hint="eastAsia"/>
          <w:szCs w:val="24"/>
          <w:lang w:eastAsia="zh-CN"/>
        </w:rPr>
        <w:t>(2</w:t>
      </w:r>
      <w:r w:rsidRPr="00710B70">
        <w:rPr>
          <w:rFonts w:ascii="Book Antiqua" w:hAnsi="Book Antiqua"/>
          <w:szCs w:val="24"/>
        </w:rPr>
        <w:t xml:space="preserve">) </w:t>
      </w:r>
      <w:r w:rsidR="007024D8" w:rsidRPr="00710B70">
        <w:rPr>
          <w:rFonts w:ascii="Book Antiqua" w:hAnsi="Book Antiqua"/>
          <w:szCs w:val="24"/>
        </w:rPr>
        <w:t xml:space="preserve">symptomatic </w:t>
      </w:r>
      <w:r w:rsidRPr="00710B70">
        <w:rPr>
          <w:rFonts w:ascii="Book Antiqua" w:hAnsi="Book Antiqua"/>
          <w:szCs w:val="24"/>
        </w:rPr>
        <w:t>stricturing disease if persistent intestinal obstruction was found on radiological, endoscopic, clinical or intra-operative findings</w:t>
      </w:r>
      <w:r w:rsidR="001A6E6C">
        <w:rPr>
          <w:rFonts w:ascii="Book Antiqua" w:hAnsi="Book Antiqua" w:hint="eastAsia"/>
          <w:szCs w:val="24"/>
          <w:lang w:eastAsia="zh-CN"/>
        </w:rPr>
        <w:t>;</w:t>
      </w:r>
      <w:r w:rsidRPr="00710B70">
        <w:rPr>
          <w:rFonts w:ascii="Book Antiqua" w:hAnsi="Book Antiqua"/>
          <w:szCs w:val="24"/>
        </w:rPr>
        <w:t xml:space="preserve"> </w:t>
      </w:r>
      <w:r w:rsidR="001A6E6C">
        <w:rPr>
          <w:rFonts w:ascii="Book Antiqua" w:hAnsi="Book Antiqua" w:hint="eastAsia"/>
          <w:szCs w:val="24"/>
          <w:lang w:eastAsia="zh-CN"/>
        </w:rPr>
        <w:t>(3</w:t>
      </w:r>
      <w:r w:rsidRPr="00710B70">
        <w:rPr>
          <w:rFonts w:ascii="Book Antiqua" w:hAnsi="Book Antiqua"/>
          <w:szCs w:val="24"/>
        </w:rPr>
        <w:t xml:space="preserve">) perforating disease if </w:t>
      </w:r>
      <w:r w:rsidR="007024D8" w:rsidRPr="00710B70">
        <w:rPr>
          <w:rFonts w:ascii="Book Antiqua" w:hAnsi="Book Antiqua"/>
          <w:szCs w:val="24"/>
        </w:rPr>
        <w:t xml:space="preserve">complicated </w:t>
      </w:r>
      <w:r w:rsidRPr="00710B70">
        <w:rPr>
          <w:rFonts w:ascii="Book Antiqua" w:hAnsi="Book Antiqua"/>
          <w:szCs w:val="24"/>
        </w:rPr>
        <w:t>enterocutaneous fistulae,  intra-abdominal fistulae or acute free perforations were present</w:t>
      </w:r>
      <w:r w:rsidR="001A6E6C">
        <w:rPr>
          <w:rFonts w:ascii="Book Antiqua" w:hAnsi="Book Antiqua" w:hint="eastAsia"/>
          <w:szCs w:val="24"/>
          <w:lang w:eastAsia="zh-CN"/>
        </w:rPr>
        <w:t>;</w:t>
      </w:r>
      <w:r w:rsidRPr="00710B70">
        <w:rPr>
          <w:rFonts w:ascii="Book Antiqua" w:hAnsi="Book Antiqua"/>
          <w:szCs w:val="24"/>
        </w:rPr>
        <w:t xml:space="preserve"> </w:t>
      </w:r>
      <w:r w:rsidR="001A6E6C">
        <w:rPr>
          <w:rFonts w:ascii="Book Antiqua" w:hAnsi="Book Antiqua" w:hint="eastAsia"/>
          <w:szCs w:val="24"/>
          <w:lang w:eastAsia="zh-CN"/>
        </w:rPr>
        <w:t>(4</w:t>
      </w:r>
      <w:r w:rsidRPr="00710B70">
        <w:rPr>
          <w:rFonts w:ascii="Book Antiqua" w:hAnsi="Book Antiqua"/>
          <w:szCs w:val="24"/>
        </w:rPr>
        <w:t>) the presence of intra-abdominal abscesses</w:t>
      </w:r>
      <w:r w:rsidR="001A6E6C">
        <w:rPr>
          <w:rFonts w:ascii="Book Antiqua" w:hAnsi="Book Antiqua" w:hint="eastAsia"/>
          <w:szCs w:val="24"/>
          <w:lang w:eastAsia="zh-CN"/>
        </w:rPr>
        <w:t>;</w:t>
      </w:r>
      <w:r w:rsidRPr="00710B70">
        <w:rPr>
          <w:rFonts w:ascii="Book Antiqua" w:hAnsi="Book Antiqua"/>
          <w:szCs w:val="24"/>
        </w:rPr>
        <w:t xml:space="preserve"> and </w:t>
      </w:r>
      <w:r w:rsidR="001A6E6C">
        <w:rPr>
          <w:rFonts w:ascii="Book Antiqua" w:hAnsi="Book Antiqua" w:hint="eastAsia"/>
          <w:szCs w:val="24"/>
          <w:lang w:eastAsia="zh-CN"/>
        </w:rPr>
        <w:t>(5</w:t>
      </w:r>
      <w:r w:rsidRPr="00710B70">
        <w:rPr>
          <w:rFonts w:ascii="Book Antiqua" w:hAnsi="Book Antiqua"/>
          <w:szCs w:val="24"/>
        </w:rPr>
        <w:t>) others, including cancer, haemorrhage, toxic dilation.</w:t>
      </w:r>
    </w:p>
    <w:p w:rsidR="005C3717" w:rsidRPr="00710B70" w:rsidRDefault="005C3717" w:rsidP="001A6E6C">
      <w:pPr>
        <w:spacing w:line="360" w:lineRule="auto"/>
        <w:ind w:firstLineChars="350" w:firstLine="840"/>
        <w:jc w:val="both"/>
        <w:rPr>
          <w:rFonts w:ascii="Book Antiqua" w:hAnsi="Book Antiqua"/>
          <w:szCs w:val="24"/>
        </w:rPr>
      </w:pPr>
      <w:r w:rsidRPr="00710B70">
        <w:rPr>
          <w:rFonts w:ascii="Book Antiqua" w:hAnsi="Book Antiqua"/>
          <w:szCs w:val="24"/>
        </w:rPr>
        <w:t>Group 2 patients were selected from patients who had one or more subsequent surgeries following the initial resection for the recurrence of CD, with the requirement for surgery being consistent with the indications described above. Surgical procedures as a result of complications of the previous surgery, incomplete/abandoned surgery, ileostomy, colostomy</w:t>
      </w:r>
      <w:r w:rsidR="00B64AF3" w:rsidRPr="00710B70">
        <w:rPr>
          <w:rFonts w:ascii="Book Antiqua" w:hAnsi="Book Antiqua"/>
          <w:szCs w:val="24"/>
        </w:rPr>
        <w:t xml:space="preserve"> and </w:t>
      </w:r>
      <w:r w:rsidRPr="00710B70">
        <w:rPr>
          <w:rFonts w:ascii="Book Antiqua" w:hAnsi="Book Antiqua"/>
          <w:szCs w:val="24"/>
        </w:rPr>
        <w:t>CD-unrelated surgery were not included in interventions analysed in the series. The number o</w:t>
      </w:r>
      <w:r w:rsidR="00B64AF3" w:rsidRPr="00710B70">
        <w:rPr>
          <w:rFonts w:ascii="Book Antiqua" w:hAnsi="Book Antiqua"/>
          <w:szCs w:val="24"/>
        </w:rPr>
        <w:t>f subsequent surgeries undertaken</w:t>
      </w:r>
      <w:r w:rsidRPr="00710B70">
        <w:rPr>
          <w:rFonts w:ascii="Book Antiqua" w:hAnsi="Book Antiqua"/>
          <w:szCs w:val="24"/>
        </w:rPr>
        <w:t xml:space="preserve"> and the time between the surgeries were recorded. </w:t>
      </w:r>
    </w:p>
    <w:p w:rsidR="005C3717" w:rsidRPr="00710B70" w:rsidRDefault="00D7606C" w:rsidP="001A6E6C">
      <w:pPr>
        <w:spacing w:line="360" w:lineRule="auto"/>
        <w:ind w:firstLineChars="300" w:firstLine="720"/>
        <w:jc w:val="both"/>
        <w:rPr>
          <w:rFonts w:ascii="Book Antiqua" w:hAnsi="Book Antiqua"/>
          <w:szCs w:val="24"/>
        </w:rPr>
      </w:pPr>
      <w:r w:rsidRPr="00710B70">
        <w:rPr>
          <w:rFonts w:ascii="Book Antiqua" w:hAnsi="Book Antiqua"/>
          <w:szCs w:val="24"/>
        </w:rPr>
        <w:t>Disease behaviour was based</w:t>
      </w:r>
      <w:r w:rsidR="00B64AF3" w:rsidRPr="00710B70">
        <w:rPr>
          <w:rFonts w:ascii="Book Antiqua" w:hAnsi="Book Antiqua"/>
          <w:szCs w:val="24"/>
        </w:rPr>
        <w:t xml:space="preserve"> </w:t>
      </w:r>
      <w:r w:rsidR="005C3717" w:rsidRPr="00710B70">
        <w:rPr>
          <w:rFonts w:ascii="Book Antiqua" w:hAnsi="Book Antiqua"/>
          <w:szCs w:val="24"/>
        </w:rPr>
        <w:t xml:space="preserve">on the Vienna classification: </w:t>
      </w:r>
      <w:r w:rsidR="001A6E6C">
        <w:rPr>
          <w:rFonts w:ascii="Book Antiqua" w:hAnsi="Book Antiqua" w:hint="eastAsia"/>
          <w:szCs w:val="24"/>
          <w:lang w:eastAsia="zh-CN"/>
        </w:rPr>
        <w:t>(1</w:t>
      </w:r>
      <w:r w:rsidR="005C3717" w:rsidRPr="00710B70">
        <w:rPr>
          <w:rFonts w:ascii="Book Antiqua" w:hAnsi="Book Antiqua"/>
          <w:szCs w:val="24"/>
        </w:rPr>
        <w:t>) perforating for enterocutaneous/intra-abdominal fistulae, abscesses and inflammatory masses</w:t>
      </w:r>
      <w:r w:rsidR="001A6E6C">
        <w:rPr>
          <w:rFonts w:ascii="Book Antiqua" w:hAnsi="Book Antiqua" w:hint="eastAsia"/>
          <w:szCs w:val="24"/>
          <w:lang w:eastAsia="zh-CN"/>
        </w:rPr>
        <w:t>;</w:t>
      </w:r>
      <w:r w:rsidR="005C3717" w:rsidRPr="00710B70">
        <w:rPr>
          <w:rFonts w:ascii="Book Antiqua" w:hAnsi="Book Antiqua"/>
          <w:szCs w:val="24"/>
        </w:rPr>
        <w:t xml:space="preserve"> </w:t>
      </w:r>
      <w:r w:rsidR="001A6E6C">
        <w:rPr>
          <w:rFonts w:ascii="Book Antiqua" w:hAnsi="Book Antiqua" w:hint="eastAsia"/>
          <w:szCs w:val="24"/>
          <w:lang w:eastAsia="zh-CN"/>
        </w:rPr>
        <w:t>(2</w:t>
      </w:r>
      <w:r w:rsidR="005C3717" w:rsidRPr="00710B70">
        <w:rPr>
          <w:rFonts w:ascii="Book Antiqua" w:hAnsi="Book Antiqua"/>
          <w:szCs w:val="24"/>
        </w:rPr>
        <w:t>) stricturing for narrowing of the intestinal lumen from fibrostenotic lesions</w:t>
      </w:r>
      <w:r w:rsidR="001A6E6C">
        <w:rPr>
          <w:rFonts w:ascii="Book Antiqua" w:hAnsi="Book Antiqua" w:hint="eastAsia"/>
          <w:szCs w:val="24"/>
          <w:lang w:eastAsia="zh-CN"/>
        </w:rPr>
        <w:t>;</w:t>
      </w:r>
      <w:r w:rsidR="005C3717" w:rsidRPr="00710B70">
        <w:rPr>
          <w:rFonts w:ascii="Book Antiqua" w:hAnsi="Book Antiqua"/>
          <w:szCs w:val="24"/>
        </w:rPr>
        <w:t xml:space="preserve"> and </w:t>
      </w:r>
      <w:r w:rsidR="001A6E6C">
        <w:rPr>
          <w:rFonts w:ascii="Book Antiqua" w:hAnsi="Book Antiqua" w:hint="eastAsia"/>
          <w:szCs w:val="24"/>
          <w:lang w:eastAsia="zh-CN"/>
        </w:rPr>
        <w:t>(3</w:t>
      </w:r>
      <w:r w:rsidR="005C3717" w:rsidRPr="00710B70">
        <w:rPr>
          <w:rFonts w:ascii="Book Antiqua" w:hAnsi="Book Antiqua"/>
          <w:szCs w:val="24"/>
        </w:rPr>
        <w:t xml:space="preserve">) inflammatory for the rest of CD patients. The </w:t>
      </w:r>
      <w:r w:rsidR="007B33DA" w:rsidRPr="00710B70">
        <w:rPr>
          <w:rFonts w:ascii="Book Antiqua" w:hAnsi="Book Antiqua"/>
          <w:szCs w:val="24"/>
        </w:rPr>
        <w:t>Crohn’s Disease Activity Index</w:t>
      </w:r>
      <w:r w:rsidR="007B33DA">
        <w:rPr>
          <w:rFonts w:ascii="Book Antiqua" w:hAnsi="Book Antiqua" w:hint="eastAsia"/>
          <w:szCs w:val="24"/>
          <w:lang w:eastAsia="zh-CN"/>
        </w:rPr>
        <w:t xml:space="preserve"> </w:t>
      </w:r>
      <w:r w:rsidR="005C3717" w:rsidRPr="00710B70">
        <w:rPr>
          <w:rFonts w:ascii="Book Antiqua" w:hAnsi="Book Antiqua"/>
          <w:szCs w:val="24"/>
        </w:rPr>
        <w:t>was noted if present in the medical records.</w:t>
      </w:r>
    </w:p>
    <w:p w:rsidR="005C3717" w:rsidRPr="00710B70" w:rsidRDefault="005C3717" w:rsidP="001A6E6C">
      <w:pPr>
        <w:spacing w:line="360" w:lineRule="auto"/>
        <w:ind w:firstLineChars="250" w:firstLine="600"/>
        <w:jc w:val="both"/>
        <w:rPr>
          <w:rFonts w:ascii="Book Antiqua" w:hAnsi="Book Antiqua"/>
          <w:szCs w:val="24"/>
        </w:rPr>
      </w:pPr>
      <w:r w:rsidRPr="00710B70">
        <w:rPr>
          <w:rFonts w:ascii="Book Antiqua" w:hAnsi="Book Antiqua"/>
          <w:szCs w:val="24"/>
        </w:rPr>
        <w:lastRenderedPageBreak/>
        <w:t xml:space="preserve">Family history is of significance if one first or second degree relative has CD. Smoking habit refers to smoking behaviour in July 2005 as reported by the patient, with patients being divided into 3 groups: current smokers, non-smokers (patients who never smoked) and ex-smokers (patients who had given up smoking at least 1 year </w:t>
      </w:r>
      <w:r w:rsidR="00B64AF3" w:rsidRPr="00710B70">
        <w:rPr>
          <w:rFonts w:ascii="Book Antiqua" w:hAnsi="Book Antiqua"/>
          <w:szCs w:val="24"/>
        </w:rPr>
        <w:t>prior</w:t>
      </w:r>
      <w:r w:rsidRPr="00710B70">
        <w:rPr>
          <w:rFonts w:ascii="Book Antiqua" w:hAnsi="Book Antiqua"/>
          <w:szCs w:val="24"/>
        </w:rPr>
        <w:t>). Extra-intestinal manifestations were defined as follows: Type 1 p</w:t>
      </w:r>
      <w:r w:rsidR="00B64AF3" w:rsidRPr="00710B70">
        <w:rPr>
          <w:rFonts w:ascii="Book Antiqua" w:hAnsi="Book Antiqua"/>
          <w:szCs w:val="24"/>
        </w:rPr>
        <w:t>eripheral arthralgia/arthritis,primary sclerosing c</w:t>
      </w:r>
      <w:r w:rsidRPr="00710B70">
        <w:rPr>
          <w:rFonts w:ascii="Book Antiqua" w:hAnsi="Book Antiqua"/>
          <w:szCs w:val="24"/>
        </w:rPr>
        <w:t>holangitis, affections of the skin (pyoderma gangrenosum) or eye (iritis, uveitis</w:t>
      </w:r>
      <w:r w:rsidR="00992F29">
        <w:rPr>
          <w:rFonts w:ascii="Book Antiqua" w:hAnsi="Book Antiqua" w:hint="eastAsia"/>
          <w:szCs w:val="24"/>
          <w:lang w:eastAsia="zh-CN"/>
        </w:rPr>
        <w:t>,</w:t>
      </w:r>
      <w:r w:rsidRPr="00710B70">
        <w:rPr>
          <w:rFonts w:ascii="Book Antiqua" w:hAnsi="Book Antiqua"/>
          <w:szCs w:val="24"/>
        </w:rPr>
        <w:t xml:space="preserve"> </w:t>
      </w:r>
      <w:r w:rsidRPr="001A6E6C">
        <w:rPr>
          <w:rFonts w:ascii="Book Antiqua" w:hAnsi="Book Antiqua"/>
          <w:i/>
          <w:szCs w:val="24"/>
        </w:rPr>
        <w:t>etc</w:t>
      </w:r>
      <w:r w:rsidR="00984615">
        <w:rPr>
          <w:rFonts w:ascii="Book Antiqua" w:hAnsi="Book Antiqua" w:hint="eastAsia"/>
          <w:i/>
          <w:szCs w:val="24"/>
          <w:lang w:eastAsia="zh-CN"/>
        </w:rPr>
        <w:t>.</w:t>
      </w:r>
      <w:r w:rsidRPr="00710B70">
        <w:rPr>
          <w:rFonts w:ascii="Book Antiqua" w:hAnsi="Book Antiqua"/>
          <w:szCs w:val="24"/>
        </w:rPr>
        <w:t xml:space="preserve">). </w:t>
      </w:r>
    </w:p>
    <w:p w:rsidR="005C3717" w:rsidRPr="00710B70" w:rsidRDefault="005C3717" w:rsidP="001A6E6C">
      <w:pPr>
        <w:spacing w:line="360" w:lineRule="auto"/>
        <w:ind w:firstLineChars="250" w:firstLine="600"/>
        <w:jc w:val="both"/>
        <w:rPr>
          <w:rFonts w:ascii="Book Antiqua" w:hAnsi="Book Antiqua"/>
          <w:szCs w:val="24"/>
        </w:rPr>
      </w:pPr>
      <w:r w:rsidRPr="00710B70">
        <w:rPr>
          <w:rFonts w:ascii="Book Antiqua" w:hAnsi="Book Antiqua"/>
          <w:szCs w:val="24"/>
        </w:rPr>
        <w:t xml:space="preserve">The medical history of the patient was </w:t>
      </w:r>
      <w:r w:rsidR="00B64AF3" w:rsidRPr="00710B70">
        <w:rPr>
          <w:rFonts w:ascii="Book Antiqua" w:hAnsi="Book Antiqua"/>
          <w:szCs w:val="24"/>
        </w:rPr>
        <w:t xml:space="preserve">collected through retrospective review of </w:t>
      </w:r>
      <w:r w:rsidRPr="00710B70">
        <w:rPr>
          <w:rFonts w:ascii="Book Antiqua" w:hAnsi="Book Antiqua"/>
          <w:szCs w:val="24"/>
        </w:rPr>
        <w:t>medical records and updated during later consultations and/or by phone. The clinical and demographical data were collected in concordance to an established regio</w:t>
      </w:r>
      <w:r w:rsidR="00D7606C" w:rsidRPr="00710B70">
        <w:rPr>
          <w:rFonts w:ascii="Book Antiqua" w:hAnsi="Book Antiqua"/>
          <w:szCs w:val="24"/>
        </w:rPr>
        <w:t>nal database</w:t>
      </w:r>
      <w:r w:rsidRPr="00710B70">
        <w:rPr>
          <w:rFonts w:ascii="Book Antiqua" w:hAnsi="Book Antiqua"/>
          <w:szCs w:val="24"/>
        </w:rPr>
        <w:t>. The demographic</w:t>
      </w:r>
      <w:r w:rsidR="00B64AF3" w:rsidRPr="00710B70">
        <w:rPr>
          <w:rFonts w:ascii="Book Antiqua" w:hAnsi="Book Antiqua"/>
          <w:szCs w:val="24"/>
        </w:rPr>
        <w:t xml:space="preserve"> data included</w:t>
      </w:r>
      <w:r w:rsidRPr="00710B70">
        <w:rPr>
          <w:rFonts w:ascii="Book Antiqua" w:hAnsi="Book Antiqua"/>
          <w:szCs w:val="24"/>
        </w:rPr>
        <w:t xml:space="preserve"> age, gender, race, smokin</w:t>
      </w:r>
      <w:r w:rsidR="00B64AF3" w:rsidRPr="00710B70">
        <w:rPr>
          <w:rFonts w:ascii="Book Antiqua" w:hAnsi="Book Antiqua"/>
          <w:szCs w:val="24"/>
        </w:rPr>
        <w:t>g habits, family history of IBD and</w:t>
      </w:r>
      <w:r w:rsidRPr="00710B70">
        <w:rPr>
          <w:rFonts w:ascii="Book Antiqua" w:hAnsi="Book Antiqua"/>
          <w:szCs w:val="24"/>
        </w:rPr>
        <w:t xml:space="preserve"> dietary his</w:t>
      </w:r>
      <w:r w:rsidR="00B64AF3" w:rsidRPr="00710B70">
        <w:rPr>
          <w:rFonts w:ascii="Book Antiqua" w:hAnsi="Book Antiqua"/>
          <w:szCs w:val="24"/>
        </w:rPr>
        <w:t>tory. The clinical data included</w:t>
      </w:r>
      <w:r w:rsidRPr="00710B70">
        <w:rPr>
          <w:rFonts w:ascii="Book Antiqua" w:hAnsi="Book Antiqua"/>
          <w:szCs w:val="24"/>
        </w:rPr>
        <w:t xml:space="preserve"> disease phenotype, age of onset, age at initial and subsequent surgical interventions, date and type of surgery, location of disease, disease phenotype, extra-intestinal manifestations, and intra and post-operative complications.</w:t>
      </w:r>
    </w:p>
    <w:p w:rsidR="005C3717" w:rsidRPr="00710B70" w:rsidRDefault="005C3717" w:rsidP="001A6E6C">
      <w:pPr>
        <w:spacing w:line="360" w:lineRule="auto"/>
        <w:ind w:firstLineChars="300" w:firstLine="720"/>
        <w:jc w:val="both"/>
        <w:rPr>
          <w:rFonts w:ascii="Book Antiqua" w:hAnsi="Book Antiqua"/>
          <w:szCs w:val="24"/>
        </w:rPr>
      </w:pPr>
      <w:r w:rsidRPr="00710B70">
        <w:rPr>
          <w:rFonts w:ascii="Book Antiqua" w:hAnsi="Book Antiqua"/>
          <w:szCs w:val="24"/>
        </w:rPr>
        <w:t xml:space="preserve">A sample of blood was collected from all patients for the full sequencing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using dHPLC for exons 3, 5, 7, 10 and 12 and direct sequencing for exons 2, 4, 6, 8, 9 and 11</w:t>
      </w:r>
      <w:r w:rsidR="00B64AF3" w:rsidRPr="00710B70">
        <w:rPr>
          <w:rFonts w:ascii="Book Antiqua" w:hAnsi="Book Antiqua"/>
          <w:szCs w:val="24"/>
        </w:rPr>
        <w:t xml:space="preserve">. </w:t>
      </w:r>
      <w:r w:rsidRPr="00710B70">
        <w:rPr>
          <w:rFonts w:ascii="Book Antiqua" w:hAnsi="Book Antiqua"/>
          <w:szCs w:val="24"/>
        </w:rPr>
        <w:t xml:space="preserve">The investigators who determined the genotypes were blinded to the clinical characteristics of the patients. CD patients categorized as carrying variants were anyone with at least 1 variant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w:t>
      </w:r>
    </w:p>
    <w:p w:rsidR="005C3717" w:rsidRPr="00710B70" w:rsidRDefault="005C3717" w:rsidP="001A6E6C">
      <w:pPr>
        <w:spacing w:line="360" w:lineRule="auto"/>
        <w:ind w:firstLineChars="250" w:firstLine="600"/>
        <w:jc w:val="both"/>
        <w:rPr>
          <w:rFonts w:ascii="Book Antiqua" w:hAnsi="Book Antiqua"/>
          <w:color w:val="FF0000"/>
          <w:szCs w:val="24"/>
        </w:rPr>
      </w:pPr>
      <w:r w:rsidRPr="00710B70">
        <w:rPr>
          <w:rFonts w:ascii="Book Antiqua" w:hAnsi="Book Antiqua"/>
          <w:szCs w:val="24"/>
        </w:rPr>
        <w:t>Analysis was carried out using Minitab or R statistics package. Categorical variables were compared using Fishers exact test. Continuous variables were analysed using Student t-test (and some non-parametric equivalents, namely the Mann-Whitney test). The Mann-Whitney test was often used as the distribution of data was often skewed and this test is a distribution-free test.  All P values were two sided, and a value of less than 0.05 was considered to be a statistically significant difference.</w:t>
      </w:r>
    </w:p>
    <w:p w:rsidR="00B64AF3" w:rsidRPr="00710B70" w:rsidRDefault="0025058F" w:rsidP="00710B70">
      <w:pPr>
        <w:spacing w:line="360" w:lineRule="auto"/>
        <w:jc w:val="both"/>
        <w:rPr>
          <w:rFonts w:ascii="Book Antiqua" w:hAnsi="Book Antiqua"/>
          <w:szCs w:val="24"/>
        </w:rPr>
      </w:pPr>
      <w:r w:rsidRPr="00710B70">
        <w:rPr>
          <w:rFonts w:ascii="Book Antiqua" w:hAnsi="Book Antiqua"/>
          <w:szCs w:val="24"/>
        </w:rPr>
        <w:t xml:space="preserve">         </w:t>
      </w:r>
    </w:p>
    <w:p w:rsidR="0025058F" w:rsidRPr="00710B70" w:rsidRDefault="0025058F" w:rsidP="00710B70">
      <w:pPr>
        <w:spacing w:line="360" w:lineRule="auto"/>
        <w:jc w:val="both"/>
        <w:rPr>
          <w:rFonts w:ascii="Book Antiqua" w:hAnsi="Book Antiqua"/>
          <w:b/>
          <w:szCs w:val="24"/>
        </w:rPr>
      </w:pPr>
      <w:r w:rsidRPr="00710B70">
        <w:rPr>
          <w:rFonts w:ascii="Book Antiqua" w:hAnsi="Book Antiqua"/>
          <w:b/>
          <w:szCs w:val="24"/>
        </w:rPr>
        <w:lastRenderedPageBreak/>
        <w:t>RESULTS</w:t>
      </w:r>
    </w:p>
    <w:p w:rsidR="005C3717" w:rsidRPr="00710B70" w:rsidRDefault="005C3717" w:rsidP="00710B70">
      <w:pPr>
        <w:spacing w:line="360" w:lineRule="auto"/>
        <w:jc w:val="both"/>
        <w:rPr>
          <w:rFonts w:ascii="Book Antiqua" w:hAnsi="Book Antiqua"/>
          <w:szCs w:val="24"/>
        </w:rPr>
      </w:pPr>
      <w:r w:rsidRPr="00710B70">
        <w:rPr>
          <w:rFonts w:ascii="Book Antiqua" w:hAnsi="Book Antiqua"/>
          <w:szCs w:val="24"/>
        </w:rPr>
        <w:t xml:space="preserve">This cohort of 30 patients were CD patients with a history of ileo-caecal or small bowel resection during the time period of 1980-2000. Group 1 consisted of 15 patients who had post-operative relapses requiring further surgery and Group 2 consisted of 15 patients who did not require further surgery. There were 20 males and 10 females with a mean age of 43.3 years (Range 25-69 years). All patients were followed up until December 2005, with a mean follow up of 199.6 </w:t>
      </w:r>
      <w:r w:rsidR="000966DA">
        <w:rPr>
          <w:rFonts w:ascii="Book Antiqua" w:hAnsi="Book Antiqua"/>
          <w:szCs w:val="24"/>
        </w:rPr>
        <w:t>mo</w:t>
      </w:r>
      <w:r w:rsidRPr="00710B70">
        <w:rPr>
          <w:rFonts w:ascii="Book Antiqua" w:hAnsi="Book Antiqua"/>
          <w:szCs w:val="24"/>
        </w:rPr>
        <w:t xml:space="preserve"> and a median of 189.5 </w:t>
      </w:r>
      <w:r w:rsidR="000966DA">
        <w:rPr>
          <w:rFonts w:ascii="Book Antiqua" w:hAnsi="Book Antiqua"/>
          <w:szCs w:val="24"/>
        </w:rPr>
        <w:t>mo</w:t>
      </w:r>
      <w:r w:rsidRPr="00710B70">
        <w:rPr>
          <w:rFonts w:ascii="Book Antiqua" w:hAnsi="Book Antiqua"/>
          <w:szCs w:val="24"/>
        </w:rPr>
        <w:t>. 9 patients (30%) were current smokers, 3 (10%) were ex-smokers and 18 (70%) were non-smokers. There was no evidence of an association between smoking behaviour and disease progression. None of the patients reported a family history of CD in a first or second degree relative.</w:t>
      </w:r>
    </w:p>
    <w:p w:rsidR="005C3717" w:rsidRPr="00710B70" w:rsidRDefault="005C3717" w:rsidP="00C05775">
      <w:pPr>
        <w:spacing w:line="360" w:lineRule="auto"/>
        <w:ind w:firstLineChars="150" w:firstLine="360"/>
        <w:jc w:val="both"/>
        <w:rPr>
          <w:rFonts w:ascii="Book Antiqua" w:hAnsi="Book Antiqua"/>
          <w:szCs w:val="24"/>
        </w:rPr>
      </w:pPr>
      <w:r w:rsidRPr="00710B70">
        <w:rPr>
          <w:rFonts w:ascii="Book Antiqua" w:hAnsi="Book Antiqua"/>
          <w:szCs w:val="24"/>
        </w:rPr>
        <w:t xml:space="preserve">In total, 16 sequence variations within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were identified, with 9 of them occurring with an allele frequency of greater than 10 %. The sequence variations are S178S nt534C&gt;G (Exon 2), IVS2-25G&gt;T (</w:t>
      </w:r>
      <w:r w:rsidR="00B64AF3" w:rsidRPr="00710B70">
        <w:rPr>
          <w:rFonts w:ascii="Book Antiqua" w:hAnsi="Book Antiqua"/>
          <w:szCs w:val="24"/>
        </w:rPr>
        <w:t>E</w:t>
      </w:r>
      <w:r w:rsidRPr="00710B70">
        <w:rPr>
          <w:rFonts w:ascii="Book Antiqua" w:hAnsi="Book Antiqua"/>
          <w:szCs w:val="24"/>
        </w:rPr>
        <w:t>xon</w:t>
      </w:r>
      <w:r w:rsidR="00B64AF3" w:rsidRPr="00710B70">
        <w:rPr>
          <w:rFonts w:ascii="Book Antiqua" w:hAnsi="Book Antiqua"/>
          <w:szCs w:val="24"/>
        </w:rPr>
        <w:t xml:space="preserve"> </w:t>
      </w:r>
      <w:r w:rsidRPr="00710B70">
        <w:rPr>
          <w:rFonts w:ascii="Book Antiqua" w:hAnsi="Book Antiqua"/>
          <w:szCs w:val="24"/>
        </w:rPr>
        <w:t>2), P268S nt 802C&gt;T (Exon 4), R702W nt 2104C&gt;T (Exon 4), R459R nt 1377C&gt;T (Exon4), R587R nt 1761 T&gt;G (Exon 4), L248R nt 743T&gt;G (Exon 4), R703C nt 2107C&gt;T (Exon 4), T294T nt882 T&gt;A (Exon 4), A611A nt 1833 C&gt;T (Exon 4), IVS4+10 A&gt;C (Exon 4), IVS5+27G&gt;A (Exon 5), IVS4-43C&gt;T (Exon 5), G908R nt 2722G&gt;C (Exon 8), V955l nt 2863G&gt;A (Exon 9), 3020insC (Exon 11). Of these mutations, IVS2-25G G&gt;T on Exon 2 has not been previously reported.</w:t>
      </w:r>
    </w:p>
    <w:p w:rsidR="005C3717" w:rsidRPr="00710B70" w:rsidRDefault="005C3717" w:rsidP="00C05775">
      <w:pPr>
        <w:spacing w:line="360" w:lineRule="auto"/>
        <w:ind w:firstLineChars="250" w:firstLine="600"/>
        <w:jc w:val="both"/>
        <w:rPr>
          <w:rFonts w:ascii="Book Antiqua" w:hAnsi="Book Antiqua"/>
          <w:szCs w:val="24"/>
        </w:rPr>
      </w:pPr>
      <w:r w:rsidRPr="00710B70">
        <w:rPr>
          <w:rFonts w:ascii="Book Antiqua" w:hAnsi="Book Antiqua"/>
          <w:szCs w:val="24"/>
        </w:rPr>
        <w:t xml:space="preserve">In total, 8 patients (26.6% of the CD patients) carried at least one known pathogenic mutation within </w:t>
      </w:r>
      <w:r w:rsidR="00B64AF3" w:rsidRPr="00710B70">
        <w:rPr>
          <w:rFonts w:ascii="Book Antiqua" w:hAnsi="Book Antiqua"/>
          <w:szCs w:val="24"/>
        </w:rPr>
        <w:t xml:space="preserve">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located on chromosome 16</w:t>
      </w:r>
      <w:r w:rsidRPr="007309B5">
        <w:rPr>
          <w:rFonts w:ascii="Book Antiqua" w:hAnsi="Book Antiqua"/>
          <w:szCs w:val="24"/>
        </w:rPr>
        <w:t xml:space="preserve"> </w:t>
      </w:r>
      <w:r w:rsidR="00C05775" w:rsidRPr="007309B5">
        <w:rPr>
          <w:rFonts w:ascii="Book Antiqua" w:hAnsi="Book Antiqua"/>
          <w:szCs w:val="24"/>
        </w:rPr>
        <w:t>(Figure 1</w:t>
      </w:r>
      <w:r w:rsidR="00DB14DE" w:rsidRPr="007309B5">
        <w:rPr>
          <w:rFonts w:ascii="Book Antiqua" w:hAnsi="Book Antiqua"/>
          <w:szCs w:val="24"/>
        </w:rPr>
        <w:t>)</w:t>
      </w:r>
      <w:r w:rsidRPr="007309B5">
        <w:rPr>
          <w:rFonts w:ascii="Book Antiqua" w:hAnsi="Book Antiqua"/>
          <w:szCs w:val="24"/>
        </w:rPr>
        <w:t>.</w:t>
      </w:r>
      <w:r w:rsidRPr="00710B70">
        <w:rPr>
          <w:rFonts w:ascii="Book Antiqua" w:hAnsi="Book Antiqua"/>
          <w:szCs w:val="24"/>
        </w:rPr>
        <w:t xml:space="preserve"> The allele frequencies for the pathogenic mutations R702 W (Exon4), G908R (Exon 8) and 3020insC (Exon 11) were 16.7%, 3% and 13.3%. One of the patients was a simple homozygo</w:t>
      </w:r>
      <w:r w:rsidR="00B64AF3" w:rsidRPr="00710B70">
        <w:rPr>
          <w:rFonts w:ascii="Book Antiqua" w:hAnsi="Book Antiqua"/>
          <w:szCs w:val="24"/>
        </w:rPr>
        <w:t>te</w:t>
      </w:r>
      <w:r w:rsidRPr="00710B70">
        <w:rPr>
          <w:rFonts w:ascii="Book Antiqua" w:hAnsi="Book Antiqua"/>
          <w:szCs w:val="24"/>
        </w:rPr>
        <w:t xml:space="preserve">, 2 patients were compound heterozygotes (R702W and 3020insC) and (G908R and 3020insC) and the remainder 5 patients were simple heterozygotes.  </w:t>
      </w:r>
    </w:p>
    <w:p w:rsidR="005C3717" w:rsidRPr="00710B70" w:rsidRDefault="005C3717" w:rsidP="00C05775">
      <w:pPr>
        <w:spacing w:line="360" w:lineRule="auto"/>
        <w:ind w:firstLineChars="300" w:firstLine="720"/>
        <w:jc w:val="both"/>
        <w:rPr>
          <w:rFonts w:ascii="Book Antiqua" w:hAnsi="Book Antiqua"/>
          <w:szCs w:val="24"/>
        </w:rPr>
      </w:pPr>
      <w:r w:rsidRPr="00710B70">
        <w:rPr>
          <w:rFonts w:ascii="Book Antiqua" w:hAnsi="Book Antiqua"/>
          <w:szCs w:val="24"/>
        </w:rPr>
        <w:t xml:space="preserve">There were 12 patients with the P268S sequence variation. 9 of these patients were heterozygous for the P268S variation and 3 were homozygous. All </w:t>
      </w:r>
      <w:r w:rsidRPr="00710B70">
        <w:rPr>
          <w:rFonts w:ascii="Book Antiqua" w:hAnsi="Book Antiqua"/>
          <w:szCs w:val="24"/>
        </w:rPr>
        <w:lastRenderedPageBreak/>
        <w:t>8 patients with the pathogenic mutations possessed the P268S variant and both the patients who were compound heterozygotes for the pathogenic mutations were also homoz</w:t>
      </w:r>
      <w:r w:rsidR="00A46CFF">
        <w:rPr>
          <w:rFonts w:ascii="Book Antiqua" w:hAnsi="Book Antiqua"/>
          <w:szCs w:val="24"/>
        </w:rPr>
        <w:t xml:space="preserve">ygous for the P268S variation. </w:t>
      </w:r>
      <w:r w:rsidRPr="00710B70">
        <w:rPr>
          <w:rFonts w:ascii="Book Antiqua" w:hAnsi="Book Antiqua"/>
          <w:szCs w:val="24"/>
        </w:rPr>
        <w:t>The P268S change was not found to independently reduce the time between surgery and diagnosis (</w:t>
      </w:r>
      <w:r w:rsidR="00C05775" w:rsidRPr="00C05775">
        <w:rPr>
          <w:rFonts w:ascii="Book Antiqua" w:hAnsi="Book Antiqua"/>
          <w:i/>
          <w:szCs w:val="24"/>
        </w:rPr>
        <w:t>P</w:t>
      </w:r>
      <w:r w:rsidRPr="00710B70">
        <w:rPr>
          <w:rFonts w:ascii="Book Antiqua" w:hAnsi="Book Antiqua"/>
          <w:szCs w:val="24"/>
        </w:rPr>
        <w:t xml:space="preserve"> value</w:t>
      </w:r>
      <w:r w:rsidR="00C05775">
        <w:rPr>
          <w:rFonts w:ascii="Book Antiqua" w:hAnsi="Book Antiqua" w:hint="eastAsia"/>
          <w:szCs w:val="24"/>
          <w:lang w:eastAsia="zh-CN"/>
        </w:rPr>
        <w:t xml:space="preserve"> </w:t>
      </w:r>
      <w:r w:rsidRPr="00710B70">
        <w:rPr>
          <w:rFonts w:ascii="Book Antiqua" w:hAnsi="Book Antiqua"/>
          <w:szCs w:val="24"/>
        </w:rPr>
        <w:t>=</w:t>
      </w:r>
      <w:r w:rsidR="00C05775">
        <w:rPr>
          <w:rFonts w:ascii="Book Antiqua" w:hAnsi="Book Antiqua" w:hint="eastAsia"/>
          <w:szCs w:val="24"/>
          <w:lang w:eastAsia="zh-CN"/>
        </w:rPr>
        <w:t xml:space="preserve"> 0</w:t>
      </w:r>
      <w:r w:rsidRPr="00710B70">
        <w:rPr>
          <w:rFonts w:ascii="Book Antiqua" w:hAnsi="Book Antiqua"/>
          <w:szCs w:val="24"/>
        </w:rPr>
        <w:t>.067).</w:t>
      </w:r>
    </w:p>
    <w:p w:rsidR="005C3717" w:rsidRPr="00710B70" w:rsidRDefault="005C3717" w:rsidP="00C05775">
      <w:pPr>
        <w:spacing w:line="360" w:lineRule="auto"/>
        <w:ind w:firstLineChars="300" w:firstLine="720"/>
        <w:jc w:val="both"/>
        <w:rPr>
          <w:rFonts w:ascii="Book Antiqua" w:hAnsi="Book Antiqua"/>
          <w:szCs w:val="24"/>
        </w:rPr>
      </w:pPr>
      <w:r w:rsidRPr="00710B70">
        <w:rPr>
          <w:rFonts w:ascii="Book Antiqua" w:hAnsi="Book Antiqua"/>
          <w:szCs w:val="24"/>
        </w:rPr>
        <w:t xml:space="preserve">Patients with any pathogenic mutation showed a trend to a higher frequency of operations. According to the Mann-Whitney test performed, we found that patients without any pathogenic mutation had a median of 0.79 surgical interventions per 100 </w:t>
      </w:r>
      <w:r w:rsidR="000966DA">
        <w:rPr>
          <w:rFonts w:ascii="Book Antiqua" w:hAnsi="Book Antiqua"/>
          <w:szCs w:val="24"/>
        </w:rPr>
        <w:t>mo</w:t>
      </w:r>
      <w:r w:rsidRPr="00710B70">
        <w:rPr>
          <w:rFonts w:ascii="Book Antiqua" w:hAnsi="Book Antiqua"/>
          <w:szCs w:val="24"/>
        </w:rPr>
        <w:t xml:space="preserve"> whilst those with any pathogenic mutation had 1.09 surgical interventions per 100 </w:t>
      </w:r>
      <w:r w:rsidR="000966DA">
        <w:rPr>
          <w:rFonts w:ascii="Book Antiqua" w:hAnsi="Book Antiqua"/>
          <w:szCs w:val="24"/>
        </w:rPr>
        <w:t>mo</w:t>
      </w:r>
      <w:r w:rsidR="004C3A0D" w:rsidRPr="00710B70">
        <w:rPr>
          <w:rFonts w:ascii="Book Antiqua" w:hAnsi="Book Antiqua"/>
          <w:szCs w:val="24"/>
        </w:rPr>
        <w:t xml:space="preserve">. However, this was not </w:t>
      </w:r>
      <w:r w:rsidRPr="00710B70">
        <w:rPr>
          <w:rFonts w:ascii="Book Antiqua" w:hAnsi="Book Antiqua"/>
          <w:szCs w:val="24"/>
        </w:rPr>
        <w:t>statistically substantiated (</w:t>
      </w:r>
      <w:r w:rsidR="00C05775" w:rsidRPr="00C05775">
        <w:rPr>
          <w:rFonts w:ascii="Book Antiqua" w:hAnsi="Book Antiqua"/>
          <w:i/>
          <w:szCs w:val="24"/>
        </w:rPr>
        <w:t>P</w:t>
      </w:r>
      <w:r w:rsidRPr="00710B70">
        <w:rPr>
          <w:rFonts w:ascii="Book Antiqua" w:hAnsi="Book Antiqua"/>
          <w:szCs w:val="24"/>
        </w:rPr>
        <w:t>-value</w:t>
      </w:r>
      <w:r w:rsidR="00A46CFF">
        <w:rPr>
          <w:rFonts w:ascii="Book Antiqua" w:hAnsi="Book Antiqua" w:hint="eastAsia"/>
          <w:szCs w:val="24"/>
          <w:lang w:eastAsia="zh-CN"/>
        </w:rPr>
        <w:t xml:space="preserve"> </w:t>
      </w:r>
      <w:r w:rsidRPr="00710B70">
        <w:rPr>
          <w:rFonts w:ascii="Book Antiqua" w:hAnsi="Book Antiqua"/>
          <w:szCs w:val="24"/>
        </w:rPr>
        <w:t>= 0.096). Among the remainder of the mutation negative patients, 12 patients had 1 surgical intervention, 5 patients had 2 surgical interventions, 3 patients had 3 surgical interventions and only 1 patient had 4 and 5 surgical interventions</w:t>
      </w:r>
      <w:r w:rsidRPr="00401423">
        <w:rPr>
          <w:rFonts w:ascii="Book Antiqua" w:hAnsi="Book Antiqua"/>
          <w:szCs w:val="24"/>
        </w:rPr>
        <w:t xml:space="preserve"> (Table 1). </w:t>
      </w:r>
      <w:r w:rsidRPr="00710B70">
        <w:rPr>
          <w:rFonts w:ascii="Book Antiqua" w:hAnsi="Book Antiqua"/>
          <w:szCs w:val="24"/>
        </w:rPr>
        <w:t xml:space="preserve">As all the patients had different lengths of follow-up time, we assessed the number of operations per 100 </w:t>
      </w:r>
      <w:r w:rsidR="000966DA">
        <w:rPr>
          <w:rFonts w:ascii="Book Antiqua" w:hAnsi="Book Antiqua"/>
          <w:szCs w:val="24"/>
        </w:rPr>
        <w:t>mo</w:t>
      </w:r>
      <w:r w:rsidRPr="00710B70">
        <w:rPr>
          <w:rFonts w:ascii="Book Antiqua" w:hAnsi="Book Antiqua"/>
          <w:szCs w:val="24"/>
        </w:rPr>
        <w:t xml:space="preserve"> in relation to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 to investigate </w:t>
      </w:r>
      <w:r w:rsidR="0025058F" w:rsidRPr="00710B70">
        <w:rPr>
          <w:rFonts w:ascii="Book Antiqua" w:hAnsi="Book Antiqua"/>
          <w:szCs w:val="24"/>
        </w:rPr>
        <w:t xml:space="preserve">whether </w:t>
      </w:r>
      <w:r w:rsidRPr="00710B70">
        <w:rPr>
          <w:rFonts w:ascii="Book Antiqua" w:hAnsi="Book Antiqua"/>
          <w:szCs w:val="24"/>
        </w:rPr>
        <w:t>the mutation predi</w:t>
      </w:r>
      <w:r w:rsidR="0025058F" w:rsidRPr="00710B70">
        <w:rPr>
          <w:rFonts w:ascii="Book Antiqua" w:hAnsi="Book Antiqua"/>
          <w:szCs w:val="24"/>
        </w:rPr>
        <w:t>cted</w:t>
      </w:r>
      <w:r w:rsidRPr="00710B70">
        <w:rPr>
          <w:rFonts w:ascii="Book Antiqua" w:hAnsi="Book Antiqua"/>
          <w:szCs w:val="24"/>
        </w:rPr>
        <w:t xml:space="preserve"> patients </w:t>
      </w:r>
      <w:r w:rsidR="0025058F" w:rsidRPr="00710B70">
        <w:rPr>
          <w:rFonts w:ascii="Book Antiqua" w:hAnsi="Book Antiqua"/>
          <w:szCs w:val="24"/>
        </w:rPr>
        <w:t>a</w:t>
      </w:r>
      <w:r w:rsidRPr="00710B70">
        <w:rPr>
          <w:rFonts w:ascii="Book Antiqua" w:hAnsi="Book Antiqua"/>
          <w:szCs w:val="24"/>
        </w:rPr>
        <w:t xml:space="preserve">t a higher risk of operation than those without. </w:t>
      </w:r>
    </w:p>
    <w:p w:rsidR="005C3717" w:rsidRPr="00710B70" w:rsidRDefault="005C3717" w:rsidP="000966DA">
      <w:pPr>
        <w:spacing w:line="360" w:lineRule="auto"/>
        <w:ind w:firstLineChars="300" w:firstLine="720"/>
        <w:jc w:val="both"/>
        <w:rPr>
          <w:rFonts w:ascii="Book Antiqua" w:hAnsi="Book Antiqua"/>
          <w:szCs w:val="24"/>
        </w:rPr>
      </w:pPr>
      <w:r w:rsidRPr="00710B70">
        <w:rPr>
          <w:rFonts w:ascii="Book Antiqua" w:hAnsi="Book Antiqua"/>
          <w:szCs w:val="24"/>
        </w:rPr>
        <w:t>Patients with any pathogenic mutation had a significantly reduced time between th</w:t>
      </w:r>
      <w:r w:rsidR="0025058F" w:rsidRPr="00710B70">
        <w:rPr>
          <w:rFonts w:ascii="Book Antiqua" w:hAnsi="Book Antiqua"/>
          <w:szCs w:val="24"/>
        </w:rPr>
        <w:t xml:space="preserve">eir diagnosis of CD and </w:t>
      </w:r>
      <w:r w:rsidRPr="00710B70">
        <w:rPr>
          <w:rFonts w:ascii="Book Antiqua" w:hAnsi="Book Antiqua"/>
          <w:szCs w:val="24"/>
        </w:rPr>
        <w:t>initial surgery. The effect was even more pronounced with the 3020insC mutation, with 3 out of 4 mutation positive patients requiring their first resection almost immediately after CD diagnos</w:t>
      </w:r>
      <w:r w:rsidR="0025058F" w:rsidRPr="00710B70">
        <w:rPr>
          <w:rFonts w:ascii="Book Antiqua" w:hAnsi="Book Antiqua"/>
          <w:szCs w:val="24"/>
        </w:rPr>
        <w:t>is. The mean time between age at</w:t>
      </w:r>
      <w:r w:rsidRPr="00710B70">
        <w:rPr>
          <w:rFonts w:ascii="Book Antiqua" w:hAnsi="Book Antiqua"/>
          <w:szCs w:val="24"/>
        </w:rPr>
        <w:t xml:space="preserve"> diagnosis and 1</w:t>
      </w:r>
      <w:r w:rsidRPr="00710B70">
        <w:rPr>
          <w:rFonts w:ascii="Book Antiqua" w:hAnsi="Book Antiqua"/>
          <w:szCs w:val="24"/>
          <w:vertAlign w:val="superscript"/>
        </w:rPr>
        <w:t>st</w:t>
      </w:r>
      <w:r w:rsidRPr="00710B70">
        <w:rPr>
          <w:rFonts w:ascii="Book Antiqua" w:hAnsi="Book Antiqua"/>
          <w:szCs w:val="24"/>
        </w:rPr>
        <w:t xml:space="preserve"> surgical resection for patients with any pathogenic mutation was 0.5 </w:t>
      </w:r>
      <w:r w:rsidR="000966DA">
        <w:rPr>
          <w:rFonts w:ascii="Book Antiqua" w:hAnsi="Book Antiqua"/>
          <w:szCs w:val="24"/>
        </w:rPr>
        <w:t>mo</w:t>
      </w:r>
      <w:r w:rsidRPr="00710B70">
        <w:rPr>
          <w:rFonts w:ascii="Book Antiqua" w:hAnsi="Book Antiqua"/>
          <w:szCs w:val="24"/>
        </w:rPr>
        <w:t xml:space="preserve"> compared to a median time of 48.5 </w:t>
      </w:r>
      <w:r w:rsidR="000966DA">
        <w:rPr>
          <w:rFonts w:ascii="Book Antiqua" w:hAnsi="Book Antiqua"/>
          <w:szCs w:val="24"/>
        </w:rPr>
        <w:t>mo</w:t>
      </w:r>
      <w:r w:rsidRPr="00710B70">
        <w:rPr>
          <w:rFonts w:ascii="Book Antiqua" w:hAnsi="Book Antiqua"/>
          <w:szCs w:val="24"/>
        </w:rPr>
        <w:t xml:space="preserve"> for patients who were negative for a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pathogenic mutation (</w:t>
      </w:r>
      <w:r w:rsidR="00401423" w:rsidRPr="00401423">
        <w:rPr>
          <w:rFonts w:ascii="Book Antiqua" w:hAnsi="Book Antiqua"/>
          <w:i/>
          <w:szCs w:val="24"/>
        </w:rPr>
        <w:t>P</w:t>
      </w:r>
      <w:r w:rsidRPr="00710B70">
        <w:rPr>
          <w:rFonts w:ascii="Book Antiqua" w:hAnsi="Book Antiqua"/>
          <w:szCs w:val="24"/>
        </w:rPr>
        <w:t>-value</w:t>
      </w:r>
      <w:r w:rsidR="004B3AA8">
        <w:rPr>
          <w:rFonts w:ascii="Book Antiqua" w:hAnsi="Book Antiqua" w:hint="eastAsia"/>
          <w:szCs w:val="24"/>
          <w:lang w:eastAsia="zh-CN"/>
        </w:rPr>
        <w:t xml:space="preserve"> </w:t>
      </w:r>
      <w:r w:rsidRPr="00710B70">
        <w:rPr>
          <w:rFonts w:ascii="Book Antiqua" w:hAnsi="Book Antiqua"/>
          <w:szCs w:val="24"/>
        </w:rPr>
        <w:t xml:space="preserve">= 0.027). The mean </w:t>
      </w:r>
      <w:r w:rsidR="004C3A0D" w:rsidRPr="00710B70">
        <w:rPr>
          <w:rFonts w:ascii="Book Antiqua" w:hAnsi="Book Antiqua"/>
          <w:szCs w:val="24"/>
        </w:rPr>
        <w:t xml:space="preserve">time between </w:t>
      </w:r>
      <w:r w:rsidRPr="00710B70">
        <w:rPr>
          <w:rFonts w:ascii="Book Antiqua" w:hAnsi="Book Antiqua"/>
          <w:szCs w:val="24"/>
        </w:rPr>
        <w:t xml:space="preserve">time of diagnosis </w:t>
      </w:r>
      <w:r w:rsidR="004C3A0D" w:rsidRPr="00710B70">
        <w:rPr>
          <w:rFonts w:ascii="Book Antiqua" w:hAnsi="Book Antiqua"/>
          <w:szCs w:val="24"/>
        </w:rPr>
        <w:t xml:space="preserve">and surgery </w:t>
      </w:r>
      <w:r w:rsidRPr="00710B70">
        <w:rPr>
          <w:rFonts w:ascii="Book Antiqua" w:hAnsi="Book Antiqua"/>
          <w:szCs w:val="24"/>
        </w:rPr>
        <w:t xml:space="preserve">for patients with a 3020insC mutation was 2.25 </w:t>
      </w:r>
      <w:r w:rsidR="000966DA">
        <w:rPr>
          <w:rFonts w:ascii="Book Antiqua" w:hAnsi="Book Antiqua"/>
          <w:szCs w:val="24"/>
        </w:rPr>
        <w:t>mo</w:t>
      </w:r>
      <w:r w:rsidRPr="00710B70">
        <w:rPr>
          <w:rFonts w:ascii="Book Antiqua" w:hAnsi="Book Antiqua"/>
          <w:szCs w:val="24"/>
        </w:rPr>
        <w:t xml:space="preserve">, with a median of 0.5 </w:t>
      </w:r>
      <w:r w:rsidR="000966DA">
        <w:rPr>
          <w:rFonts w:ascii="Book Antiqua" w:hAnsi="Book Antiqua"/>
          <w:szCs w:val="24"/>
        </w:rPr>
        <w:t>mo</w:t>
      </w:r>
      <w:r w:rsidRPr="00710B70">
        <w:rPr>
          <w:rFonts w:ascii="Book Antiqua" w:hAnsi="Book Antiqua"/>
          <w:szCs w:val="24"/>
        </w:rPr>
        <w:t xml:space="preserve"> whereas for patients with R702W or G908R mutation, the median was 12 </w:t>
      </w:r>
      <w:r w:rsidR="000966DA">
        <w:rPr>
          <w:rFonts w:ascii="Book Antiqua" w:hAnsi="Book Antiqua"/>
          <w:szCs w:val="24"/>
        </w:rPr>
        <w:t>mo</w:t>
      </w:r>
      <w:r w:rsidRPr="00710B70">
        <w:rPr>
          <w:rFonts w:ascii="Book Antiqua" w:hAnsi="Book Antiqua"/>
          <w:szCs w:val="24"/>
        </w:rPr>
        <w:t xml:space="preserve">. The distribution of the patients, both positive and negative for the 3020insC mutation was skewed </w:t>
      </w:r>
      <w:r w:rsidRPr="00A46CFF">
        <w:rPr>
          <w:rFonts w:ascii="Book Antiqua" w:hAnsi="Book Antiqua"/>
          <w:szCs w:val="24"/>
        </w:rPr>
        <w:t xml:space="preserve">(Figure </w:t>
      </w:r>
      <w:r w:rsidR="0025058F" w:rsidRPr="00A46CFF">
        <w:rPr>
          <w:rFonts w:ascii="Book Antiqua" w:hAnsi="Book Antiqua"/>
          <w:szCs w:val="24"/>
        </w:rPr>
        <w:t>2</w:t>
      </w:r>
      <w:r w:rsidRPr="00A46CFF">
        <w:rPr>
          <w:rFonts w:ascii="Book Antiqua" w:hAnsi="Book Antiqua"/>
          <w:szCs w:val="24"/>
        </w:rPr>
        <w:t>),</w:t>
      </w:r>
      <w:r w:rsidRPr="00710B70">
        <w:rPr>
          <w:rFonts w:ascii="Book Antiqua" w:hAnsi="Book Antiqua"/>
          <w:szCs w:val="24"/>
        </w:rPr>
        <w:t xml:space="preserve"> as expected. </w:t>
      </w:r>
    </w:p>
    <w:p w:rsidR="004C3A0D" w:rsidRPr="00710B70" w:rsidRDefault="005C3717" w:rsidP="00A46CFF">
      <w:pPr>
        <w:spacing w:line="360" w:lineRule="auto"/>
        <w:ind w:firstLineChars="250" w:firstLine="600"/>
        <w:jc w:val="both"/>
        <w:rPr>
          <w:rFonts w:ascii="Book Antiqua" w:hAnsi="Book Antiqua"/>
          <w:szCs w:val="24"/>
        </w:rPr>
      </w:pPr>
      <w:r w:rsidRPr="00710B70">
        <w:rPr>
          <w:rFonts w:ascii="Book Antiqua" w:hAnsi="Book Antiqua"/>
          <w:szCs w:val="24"/>
        </w:rPr>
        <w:lastRenderedPageBreak/>
        <w:t xml:space="preserve">We analysed the phenotypic characteristics presented by all 30 CD patients to determine if a positive 3020insC mutation is associated with clinical variables that could serve as predictors of patients </w:t>
      </w:r>
      <w:r w:rsidR="0025058F" w:rsidRPr="00710B70">
        <w:rPr>
          <w:rFonts w:ascii="Book Antiqua" w:hAnsi="Book Antiqua"/>
          <w:szCs w:val="24"/>
        </w:rPr>
        <w:t>a</w:t>
      </w:r>
      <w:r w:rsidRPr="00710B70">
        <w:rPr>
          <w:rFonts w:ascii="Book Antiqua" w:hAnsi="Book Antiqua"/>
          <w:szCs w:val="24"/>
        </w:rPr>
        <w:t xml:space="preserve">t high risk of disease relapse and re-operation. These clinical phenotypes include disease behaviour, location of disease, number of diseased locations and extra-intestinal manifestations of CD </w:t>
      </w:r>
      <w:r w:rsidRPr="00A46CFF">
        <w:rPr>
          <w:rFonts w:ascii="Book Antiqua" w:hAnsi="Book Antiqua"/>
          <w:szCs w:val="24"/>
        </w:rPr>
        <w:t xml:space="preserve">(Table </w:t>
      </w:r>
      <w:r w:rsidR="0025058F" w:rsidRPr="00A46CFF">
        <w:rPr>
          <w:rFonts w:ascii="Book Antiqua" w:hAnsi="Book Antiqua"/>
          <w:szCs w:val="24"/>
        </w:rPr>
        <w:t>2</w:t>
      </w:r>
      <w:r w:rsidRPr="00A46CFF">
        <w:rPr>
          <w:rFonts w:ascii="Book Antiqua" w:hAnsi="Book Antiqua"/>
          <w:szCs w:val="24"/>
        </w:rPr>
        <w:t>). T</w:t>
      </w:r>
      <w:r w:rsidR="0025058F" w:rsidRPr="00A46CFF">
        <w:rPr>
          <w:rFonts w:ascii="Book Antiqua" w:hAnsi="Book Antiqua"/>
          <w:szCs w:val="24"/>
        </w:rPr>
        <w:t>he data on clinical features were</w:t>
      </w:r>
      <w:r w:rsidRPr="00A46CFF">
        <w:rPr>
          <w:rFonts w:ascii="Book Antiqua" w:hAnsi="Book Antiqua"/>
          <w:szCs w:val="24"/>
        </w:rPr>
        <w:t xml:space="preserve"> recorded from time of diagnosis to</w:t>
      </w:r>
      <w:r w:rsidRPr="00710B70">
        <w:rPr>
          <w:rFonts w:ascii="Book Antiqua" w:hAnsi="Book Antiqua"/>
          <w:szCs w:val="24"/>
        </w:rPr>
        <w:t xml:space="preserve"> December 2005. </w:t>
      </w:r>
      <w:r w:rsidR="0025058F" w:rsidRPr="00710B70">
        <w:rPr>
          <w:rFonts w:ascii="Book Antiqua" w:hAnsi="Book Antiqua"/>
          <w:szCs w:val="24"/>
        </w:rPr>
        <w:t>In our series, t</w:t>
      </w:r>
      <w:r w:rsidRPr="00710B70">
        <w:rPr>
          <w:rFonts w:ascii="Book Antiqua" w:hAnsi="Book Antiqua"/>
          <w:szCs w:val="24"/>
        </w:rPr>
        <w:t>here was no significant association between a positive pathogenic mutation and any of the aforement</w:t>
      </w:r>
      <w:r w:rsidR="004C3A0D" w:rsidRPr="00710B70">
        <w:rPr>
          <w:rFonts w:ascii="Book Antiqua" w:hAnsi="Book Antiqua"/>
          <w:szCs w:val="24"/>
        </w:rPr>
        <w:t xml:space="preserve">ioned clinical features with a </w:t>
      </w:r>
      <w:r w:rsidR="00A46CFF" w:rsidRPr="00A46CFF">
        <w:rPr>
          <w:rFonts w:ascii="Book Antiqua" w:hAnsi="Book Antiqua"/>
          <w:i/>
          <w:szCs w:val="24"/>
        </w:rPr>
        <w:t>P</w:t>
      </w:r>
      <w:r w:rsidRPr="00710B70">
        <w:rPr>
          <w:rFonts w:ascii="Book Antiqua" w:hAnsi="Book Antiqua"/>
          <w:szCs w:val="24"/>
        </w:rPr>
        <w:t>-value &lt; 0.05.</w:t>
      </w:r>
      <w:r w:rsidR="004C3A0D" w:rsidRPr="00710B70">
        <w:rPr>
          <w:rFonts w:ascii="Book Antiqua" w:hAnsi="Book Antiqua"/>
          <w:szCs w:val="24"/>
        </w:rPr>
        <w:t xml:space="preserve"> Also, biallelic carriers did not have more aggre</w:t>
      </w:r>
      <w:r w:rsidR="0025058F" w:rsidRPr="00710B70">
        <w:rPr>
          <w:rFonts w:ascii="Book Antiqua" w:hAnsi="Book Antiqua"/>
          <w:szCs w:val="24"/>
        </w:rPr>
        <w:t>s</w:t>
      </w:r>
      <w:r w:rsidR="004C3A0D" w:rsidRPr="00710B70">
        <w:rPr>
          <w:rFonts w:ascii="Book Antiqua" w:hAnsi="Book Antiqua"/>
          <w:szCs w:val="24"/>
        </w:rPr>
        <w:t>sive behaviour than mono allelic carriers.</w:t>
      </w:r>
      <w:r w:rsidRPr="00710B70">
        <w:rPr>
          <w:rFonts w:ascii="Book Antiqua" w:hAnsi="Book Antiqua"/>
          <w:szCs w:val="24"/>
        </w:rPr>
        <w:t xml:space="preserve"> </w:t>
      </w:r>
    </w:p>
    <w:p w:rsidR="005C3717" w:rsidRPr="00710B70" w:rsidRDefault="005C3717" w:rsidP="00A46CFF">
      <w:pPr>
        <w:spacing w:line="360" w:lineRule="auto"/>
        <w:ind w:firstLineChars="250" w:firstLine="600"/>
        <w:jc w:val="both"/>
        <w:rPr>
          <w:rFonts w:ascii="Book Antiqua" w:hAnsi="Book Antiqua"/>
          <w:szCs w:val="24"/>
        </w:rPr>
      </w:pPr>
      <w:r w:rsidRPr="00710B70">
        <w:rPr>
          <w:rFonts w:ascii="Book Antiqua" w:hAnsi="Book Antiqua"/>
          <w:szCs w:val="24"/>
        </w:rPr>
        <w:t xml:space="preserve">Interestingly, </w:t>
      </w:r>
      <w:r w:rsidR="0025058F" w:rsidRPr="00710B70">
        <w:rPr>
          <w:rFonts w:ascii="Book Antiqua" w:hAnsi="Book Antiqua"/>
          <w:szCs w:val="24"/>
        </w:rPr>
        <w:t>though not statistically significant,</w:t>
      </w:r>
      <w:r w:rsidRPr="00710B70">
        <w:rPr>
          <w:rFonts w:ascii="Book Antiqua" w:hAnsi="Book Antiqua"/>
          <w:szCs w:val="24"/>
        </w:rPr>
        <w:t xml:space="preserve"> all eight gene positive patients had stricturing disease behaviour. None of the 3020insC mutation positive patients had extra-intestinal manifestations. Three patients without the mutation displayed extra-intestinal manifestations. These were arthritis, marginal keratitis and Sweets syndrome. </w:t>
      </w:r>
    </w:p>
    <w:p w:rsidR="00883BBE" w:rsidRPr="00710B70" w:rsidRDefault="00883BBE" w:rsidP="00710B70">
      <w:pPr>
        <w:tabs>
          <w:tab w:val="left" w:pos="2310"/>
        </w:tabs>
        <w:spacing w:line="360" w:lineRule="auto"/>
        <w:jc w:val="both"/>
        <w:rPr>
          <w:rFonts w:ascii="Book Antiqua" w:hAnsi="Book Antiqua"/>
          <w:szCs w:val="24"/>
        </w:rPr>
      </w:pPr>
    </w:p>
    <w:p w:rsidR="00721C41" w:rsidRPr="00710B70" w:rsidRDefault="00721C41" w:rsidP="00710B70">
      <w:pPr>
        <w:tabs>
          <w:tab w:val="left" w:pos="2310"/>
        </w:tabs>
        <w:spacing w:line="360" w:lineRule="auto"/>
        <w:jc w:val="both"/>
        <w:rPr>
          <w:rFonts w:ascii="Book Antiqua" w:hAnsi="Book Antiqua"/>
          <w:b/>
          <w:szCs w:val="24"/>
        </w:rPr>
      </w:pPr>
      <w:r w:rsidRPr="00710B70">
        <w:rPr>
          <w:rFonts w:ascii="Book Antiqua" w:hAnsi="Book Antiqua"/>
          <w:b/>
          <w:szCs w:val="24"/>
        </w:rPr>
        <w:t>DISCUSSION</w:t>
      </w:r>
    </w:p>
    <w:p w:rsidR="005C3717" w:rsidRPr="00710B70" w:rsidRDefault="005C3717" w:rsidP="00710B70">
      <w:pPr>
        <w:spacing w:line="360" w:lineRule="auto"/>
        <w:jc w:val="both"/>
        <w:rPr>
          <w:rFonts w:ascii="Book Antiqua" w:hAnsi="Book Antiqua"/>
          <w:szCs w:val="24"/>
        </w:rPr>
      </w:pPr>
      <w:r w:rsidRPr="00710B70">
        <w:rPr>
          <w:rFonts w:ascii="Book Antiqua" w:hAnsi="Book Antiqua"/>
          <w:szCs w:val="24"/>
        </w:rPr>
        <w:t xml:space="preserve">In this study, it was found that a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 predicted initial disease aggressiveness in CD with mutation positive patients having a significantly reduced time </w:t>
      </w:r>
      <w:r w:rsidR="00544C2C" w:rsidRPr="00710B70">
        <w:rPr>
          <w:rFonts w:ascii="Book Antiqua" w:hAnsi="Book Antiqua"/>
          <w:szCs w:val="24"/>
        </w:rPr>
        <w:t>between the</w:t>
      </w:r>
      <w:r w:rsidRPr="00710B70">
        <w:rPr>
          <w:rFonts w:ascii="Book Antiqua" w:hAnsi="Book Antiqua"/>
          <w:szCs w:val="24"/>
        </w:rPr>
        <w:t xml:space="preserve"> diagnosis of CD and initial surgery. There was also a trend to suggest that patients with the pathogenic mutations have a higher frequency of operations compared to those without the mutation.  These findings were particularly significant in the presence of the 3020insC mutation. If confirmatory studies establish these relationships, active medical therapy could be introduced at an early stage to impact on aggressive disease behaviour. </w:t>
      </w:r>
    </w:p>
    <w:p w:rsidR="00C0425D" w:rsidRPr="00710B70" w:rsidRDefault="00C0425D" w:rsidP="00042CDF">
      <w:pPr>
        <w:spacing w:line="360" w:lineRule="auto"/>
        <w:ind w:firstLineChars="250" w:firstLine="600"/>
        <w:jc w:val="both"/>
        <w:rPr>
          <w:rFonts w:ascii="Book Antiqua" w:hAnsi="Book Antiqua"/>
          <w:szCs w:val="24"/>
        </w:rPr>
      </w:pPr>
      <w:r w:rsidRPr="00710B70">
        <w:rPr>
          <w:rFonts w:ascii="Book Antiqua" w:hAnsi="Book Antiqua"/>
          <w:szCs w:val="24"/>
        </w:rPr>
        <w:t xml:space="preserve">There was a statistically significant association between the pathogenic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and the requirement for early surgical intervention. Patients with the mutation had a significantly reduced time between their diagnosis and 1</w:t>
      </w:r>
      <w:r w:rsidRPr="00710B70">
        <w:rPr>
          <w:rFonts w:ascii="Book Antiqua" w:hAnsi="Book Antiqua"/>
          <w:szCs w:val="24"/>
          <w:vertAlign w:val="superscript"/>
        </w:rPr>
        <w:t>st</w:t>
      </w:r>
      <w:r w:rsidRPr="00710B70">
        <w:rPr>
          <w:rFonts w:ascii="Book Antiqua" w:hAnsi="Book Antiqua"/>
          <w:szCs w:val="24"/>
        </w:rPr>
        <w:t xml:space="preserve"> surgical resection. This association was found to be more </w:t>
      </w:r>
      <w:r w:rsidRPr="00710B70">
        <w:rPr>
          <w:rFonts w:ascii="Book Antiqua" w:hAnsi="Book Antiqua"/>
          <w:szCs w:val="24"/>
        </w:rPr>
        <w:lastRenderedPageBreak/>
        <w:t xml:space="preserve">significant in patients with the 3020insC mutation. In fact, 3 out of 4 patients with the 3020insC mutation required their first surgical resection immediately after diagnosis. This data would suggest that that the mutation </w:t>
      </w:r>
      <w:r w:rsidR="00544C2C" w:rsidRPr="00710B70">
        <w:rPr>
          <w:rFonts w:ascii="Book Antiqua" w:hAnsi="Book Antiqua"/>
          <w:szCs w:val="24"/>
        </w:rPr>
        <w:t>leads to a</w:t>
      </w:r>
      <w:r w:rsidRPr="00710B70">
        <w:rPr>
          <w:rFonts w:ascii="Book Antiqua" w:hAnsi="Book Antiqua"/>
          <w:szCs w:val="24"/>
        </w:rPr>
        <w:t xml:space="preserve"> more aggressive form of dise</w:t>
      </w:r>
      <w:r w:rsidR="00544C2C" w:rsidRPr="00710B70">
        <w:rPr>
          <w:rFonts w:ascii="Book Antiqua" w:hAnsi="Book Antiqua"/>
          <w:szCs w:val="24"/>
        </w:rPr>
        <w:t xml:space="preserve">ase, which rapidly progresses </w:t>
      </w:r>
      <w:r w:rsidRPr="00710B70">
        <w:rPr>
          <w:rFonts w:ascii="Book Antiqua" w:hAnsi="Book Antiqua"/>
          <w:szCs w:val="24"/>
        </w:rPr>
        <w:t xml:space="preserve">requiring early surgical intervention.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seem to act by either impairing the regulatory immune response (allowing patients to be vulnerable to infections that set off CD at an earlier age) or initiating an enhancement of the effector limb of the immune response to bacterial invasion (acting as an initiating factor in early onset CD). In the same way, the mutation could cause a more rapid and aggressive clinical course of disease because either an impaired immune response is unable to adequately contain the bacterial invasion or the mutation itself is fuelling the exc</w:t>
      </w:r>
      <w:r w:rsidR="00F76150">
        <w:rPr>
          <w:rFonts w:ascii="Book Antiqua" w:hAnsi="Book Antiqua"/>
          <w:szCs w:val="24"/>
        </w:rPr>
        <w:t xml:space="preserve">essive inflammatory response. </w:t>
      </w:r>
      <w:r w:rsidRPr="00710B70">
        <w:rPr>
          <w:rFonts w:ascii="Book Antiqua" w:hAnsi="Book Antiqua"/>
          <w:szCs w:val="24"/>
        </w:rPr>
        <w:t xml:space="preserve">The 3020insC mutation is a frameshift mutation resulting in the truncation of the protein in the leucine rich repeat region, which is the main region implicated in the immune regulation pathway, which </w:t>
      </w:r>
      <w:r w:rsidR="00544C2C" w:rsidRPr="00710B70">
        <w:rPr>
          <w:rFonts w:ascii="Book Antiqua" w:hAnsi="Book Antiqua"/>
          <w:szCs w:val="24"/>
        </w:rPr>
        <w:t xml:space="preserve">may </w:t>
      </w:r>
      <w:r w:rsidRPr="00710B70">
        <w:rPr>
          <w:rFonts w:ascii="Book Antiqua" w:hAnsi="Book Antiqua"/>
          <w:szCs w:val="24"/>
        </w:rPr>
        <w:t>explain why the 3020insC mutation leads to an even more aggressive progression of disease compared to the other 2 pathogenic mutations.</w:t>
      </w:r>
    </w:p>
    <w:p w:rsidR="00C0425D" w:rsidRPr="00710B70" w:rsidRDefault="00C0425D" w:rsidP="00042CDF">
      <w:pPr>
        <w:spacing w:line="360" w:lineRule="auto"/>
        <w:ind w:firstLineChars="250" w:firstLine="600"/>
        <w:jc w:val="both"/>
        <w:rPr>
          <w:rFonts w:ascii="Book Antiqua" w:hAnsi="Book Antiqua"/>
          <w:szCs w:val="24"/>
        </w:rPr>
      </w:pPr>
      <w:r w:rsidRPr="00710B70">
        <w:rPr>
          <w:rFonts w:ascii="Book Antiqua" w:hAnsi="Book Antiqua"/>
          <w:szCs w:val="24"/>
        </w:rPr>
        <w:t>We then assessed the association between gene status and the pattern of disease</w:t>
      </w:r>
      <w:r w:rsidR="00544C2C" w:rsidRPr="00710B70">
        <w:rPr>
          <w:rFonts w:ascii="Book Antiqua" w:hAnsi="Book Antiqua"/>
          <w:szCs w:val="24"/>
        </w:rPr>
        <w:t>,</w:t>
      </w:r>
      <w:r w:rsidRPr="00710B70">
        <w:rPr>
          <w:rFonts w:ascii="Book Antiqua" w:hAnsi="Book Antiqua"/>
          <w:szCs w:val="24"/>
        </w:rPr>
        <w:t xml:space="preserve"> as previous studies have reported that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are associated with fibrostenosing disease. Our current results are inconclusive to date in analysing the relationship between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and the behaviour of the disease. Interestingly, however, all mutation positive patients have a</w:t>
      </w:r>
      <w:r w:rsidR="00F9066B" w:rsidRPr="00710B70">
        <w:rPr>
          <w:rFonts w:ascii="Book Antiqua" w:hAnsi="Book Antiqua"/>
          <w:szCs w:val="24"/>
        </w:rPr>
        <w:t xml:space="preserve"> s</w:t>
      </w:r>
      <w:r w:rsidRPr="00710B70">
        <w:rPr>
          <w:rFonts w:ascii="Book Antiqua" w:hAnsi="Book Antiqua"/>
          <w:szCs w:val="24"/>
        </w:rPr>
        <w:t xml:space="preserve">tricturing disease behaviour, either alone or in combination with a perforating and/or inflammatory pattern, irrespective of the nature of the indication for their initial surgery. This means that our finding is consistent with previously reported data, though it has not been statistically substantiated </w:t>
      </w:r>
      <w:r w:rsidR="00544C2C" w:rsidRPr="00710B70">
        <w:rPr>
          <w:rFonts w:ascii="Book Antiqua" w:hAnsi="Book Antiqua"/>
          <w:szCs w:val="24"/>
        </w:rPr>
        <w:t xml:space="preserve">possible </w:t>
      </w:r>
      <w:r w:rsidRPr="00710B70">
        <w:rPr>
          <w:rFonts w:ascii="Book Antiqua" w:hAnsi="Book Antiqua"/>
          <w:szCs w:val="24"/>
        </w:rPr>
        <w:t xml:space="preserve">due to </w:t>
      </w:r>
      <w:r w:rsidR="00544C2C" w:rsidRPr="00710B70">
        <w:rPr>
          <w:rFonts w:ascii="Book Antiqua" w:hAnsi="Book Antiqua"/>
          <w:szCs w:val="24"/>
        </w:rPr>
        <w:t xml:space="preserve">the </w:t>
      </w:r>
      <w:r w:rsidRPr="00710B70">
        <w:rPr>
          <w:rFonts w:ascii="Book Antiqua" w:hAnsi="Book Antiqua"/>
          <w:szCs w:val="24"/>
        </w:rPr>
        <w:t xml:space="preserve">small sample size. </w:t>
      </w:r>
    </w:p>
    <w:p w:rsidR="00F9066B" w:rsidRPr="00710B70" w:rsidRDefault="00F9066B" w:rsidP="00042CDF">
      <w:pPr>
        <w:spacing w:line="360" w:lineRule="auto"/>
        <w:ind w:firstLineChars="200" w:firstLine="480"/>
        <w:jc w:val="both"/>
        <w:rPr>
          <w:rFonts w:ascii="Book Antiqua" w:hAnsi="Book Antiqua"/>
          <w:szCs w:val="24"/>
        </w:rPr>
      </w:pPr>
      <w:r w:rsidRPr="00710B70">
        <w:rPr>
          <w:rFonts w:ascii="Book Antiqua" w:hAnsi="Book Antiqua"/>
          <w:szCs w:val="24"/>
        </w:rPr>
        <w:t xml:space="preserve">Following </w:t>
      </w:r>
      <w:r w:rsidR="00544C2C" w:rsidRPr="00710B70">
        <w:rPr>
          <w:rFonts w:ascii="Book Antiqua" w:hAnsi="Book Antiqua"/>
          <w:szCs w:val="24"/>
        </w:rPr>
        <w:t xml:space="preserve">the </w:t>
      </w:r>
      <w:r w:rsidRPr="00710B70">
        <w:rPr>
          <w:rFonts w:ascii="Book Antiqua" w:hAnsi="Book Antiqua"/>
          <w:szCs w:val="24"/>
        </w:rPr>
        <w:t>clinical observation that one third of patients need re-operation after initial surgery</w:t>
      </w:r>
      <w:r w:rsidR="0065610C" w:rsidRPr="0065610C">
        <w:rPr>
          <w:rFonts w:ascii="Book Antiqua" w:hAnsi="Book Antiqua"/>
          <w:szCs w:val="24"/>
          <w:vertAlign w:val="superscript"/>
        </w:rPr>
        <w:t>[</w:t>
      </w:r>
      <w:r w:rsidR="005E68A5" w:rsidRPr="00710B70">
        <w:rPr>
          <w:rFonts w:ascii="Book Antiqua" w:hAnsi="Book Antiqua"/>
          <w:szCs w:val="24"/>
          <w:vertAlign w:val="superscript"/>
        </w:rPr>
        <w:t>21]</w:t>
      </w:r>
      <w:r w:rsidRPr="00710B70">
        <w:rPr>
          <w:rFonts w:ascii="Book Antiqua" w:hAnsi="Book Antiqua"/>
          <w:szCs w:val="24"/>
        </w:rPr>
        <w:t>, we question</w:t>
      </w:r>
      <w:r w:rsidR="00544C2C" w:rsidRPr="00710B70">
        <w:rPr>
          <w:rFonts w:ascii="Book Antiqua" w:hAnsi="Book Antiqua"/>
          <w:szCs w:val="24"/>
        </w:rPr>
        <w:t>ed</w:t>
      </w:r>
      <w:r w:rsidRPr="00710B70">
        <w:rPr>
          <w:rFonts w:ascii="Book Antiqua" w:hAnsi="Book Antiqua"/>
          <w:szCs w:val="24"/>
        </w:rPr>
        <w:t xml:space="preserve"> whether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 was responsible for post operative relapses requiring further </w:t>
      </w:r>
      <w:r w:rsidR="00544C2C" w:rsidRPr="00710B70">
        <w:rPr>
          <w:rFonts w:ascii="Book Antiqua" w:hAnsi="Book Antiqua"/>
          <w:szCs w:val="24"/>
        </w:rPr>
        <w:t>surgery</w:t>
      </w:r>
      <w:r w:rsidRPr="00710B70">
        <w:rPr>
          <w:rFonts w:ascii="Book Antiqua" w:hAnsi="Book Antiqua"/>
          <w:szCs w:val="24"/>
        </w:rPr>
        <w:t xml:space="preserve">. </w:t>
      </w:r>
      <w:r w:rsidRPr="00710B70">
        <w:rPr>
          <w:rFonts w:ascii="Book Antiqua" w:hAnsi="Book Antiqua"/>
          <w:szCs w:val="24"/>
        </w:rPr>
        <w:lastRenderedPageBreak/>
        <w:t xml:space="preserve">A Spanish study published after the commencement of this research found that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are a predictive risk factor for surgical requirement due to</w:t>
      </w:r>
      <w:r w:rsidR="00A525E3" w:rsidRPr="00710B70">
        <w:rPr>
          <w:rFonts w:ascii="Book Antiqua" w:hAnsi="Book Antiqua"/>
          <w:szCs w:val="24"/>
        </w:rPr>
        <w:t xml:space="preserve"> stricturing lesions</w:t>
      </w:r>
      <w:r w:rsidR="0065610C" w:rsidRPr="0065610C">
        <w:rPr>
          <w:rFonts w:ascii="Book Antiqua" w:hAnsi="Book Antiqua"/>
          <w:szCs w:val="24"/>
          <w:vertAlign w:val="superscript"/>
        </w:rPr>
        <w:t>[</w:t>
      </w:r>
      <w:r w:rsidR="005E68A5" w:rsidRPr="00710B70">
        <w:rPr>
          <w:rFonts w:ascii="Book Antiqua" w:hAnsi="Book Antiqua"/>
          <w:szCs w:val="24"/>
          <w:vertAlign w:val="superscript"/>
        </w:rPr>
        <w:t>21]</w:t>
      </w:r>
      <w:r w:rsidR="00544C2C" w:rsidRPr="00710B70">
        <w:rPr>
          <w:rFonts w:ascii="Book Antiqua" w:hAnsi="Book Antiqua"/>
          <w:szCs w:val="24"/>
        </w:rPr>
        <w:t>. The</w:t>
      </w:r>
      <w:r w:rsidRPr="00710B70">
        <w:rPr>
          <w:rFonts w:ascii="Book Antiqua" w:hAnsi="Book Antiqua"/>
          <w:szCs w:val="24"/>
        </w:rPr>
        <w:t xml:space="preserve"> proposed mechanism is that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mutations predispose to stricturing and fibrotic lesions, and t</w:t>
      </w:r>
      <w:r w:rsidR="00544C2C" w:rsidRPr="00710B70">
        <w:rPr>
          <w:rFonts w:ascii="Book Antiqua" w:hAnsi="Book Antiqua"/>
          <w:szCs w:val="24"/>
        </w:rPr>
        <w:t>hese altered repair</w:t>
      </w:r>
      <w:r w:rsidRPr="00710B70">
        <w:rPr>
          <w:rFonts w:ascii="Book Antiqua" w:hAnsi="Book Antiqua"/>
          <w:szCs w:val="24"/>
        </w:rPr>
        <w:t xml:space="preserve"> mechanisms at the site of surgery would lead to earlier surgical recurrences, irrespective of the cause </w:t>
      </w:r>
      <w:r w:rsidR="00544C2C" w:rsidRPr="00710B70">
        <w:rPr>
          <w:rFonts w:ascii="Book Antiqua" w:hAnsi="Book Antiqua"/>
          <w:szCs w:val="24"/>
        </w:rPr>
        <w:t>of</w:t>
      </w:r>
      <w:r w:rsidRPr="00710B70">
        <w:rPr>
          <w:rFonts w:ascii="Book Antiqua" w:hAnsi="Book Antiqua"/>
          <w:szCs w:val="24"/>
        </w:rPr>
        <w:t xml:space="preserve"> initial surgery. </w:t>
      </w:r>
      <w:r w:rsidR="00AF392B" w:rsidRPr="00710B70">
        <w:rPr>
          <w:rFonts w:ascii="Book Antiqua" w:hAnsi="Book Antiqua"/>
          <w:szCs w:val="24"/>
        </w:rPr>
        <w:t>It is also controversial whether the relationship between the CARD15 variants and both stenosing phenotype and increased need for surgery in CD patients is a true association or only reflects the high proportion of ileal CD developing bowel stenosis and, therefore, requiring surgery</w:t>
      </w:r>
      <w:r w:rsidR="0065610C" w:rsidRPr="0065610C">
        <w:rPr>
          <w:rFonts w:ascii="Book Antiqua" w:hAnsi="Book Antiqua"/>
          <w:szCs w:val="24"/>
          <w:vertAlign w:val="superscript"/>
        </w:rPr>
        <w:t>[</w:t>
      </w:r>
      <w:r w:rsidR="00AF392B" w:rsidRPr="00710B70">
        <w:rPr>
          <w:rFonts w:ascii="Book Antiqua" w:hAnsi="Book Antiqua"/>
          <w:szCs w:val="24"/>
          <w:vertAlign w:val="superscript"/>
        </w:rPr>
        <w:t>32]</w:t>
      </w:r>
      <w:r w:rsidR="00AF392B" w:rsidRPr="00710B70">
        <w:rPr>
          <w:rFonts w:ascii="Book Antiqua" w:hAnsi="Book Antiqua"/>
          <w:szCs w:val="24"/>
        </w:rPr>
        <w:t xml:space="preserve">. </w:t>
      </w:r>
      <w:r w:rsidRPr="00710B70">
        <w:rPr>
          <w:rFonts w:ascii="Book Antiqua" w:hAnsi="Book Antiqua"/>
          <w:szCs w:val="24"/>
        </w:rPr>
        <w:t xml:space="preserve">In our sample population, we found that patients with a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pathogenic mutation had a higher frequency of operations than those without the mutation. This difference however was not statistically significant (</w:t>
      </w:r>
      <w:r w:rsidR="00042CDF" w:rsidRPr="00042CDF">
        <w:rPr>
          <w:rFonts w:ascii="Book Antiqua" w:hAnsi="Book Antiqua"/>
          <w:i/>
          <w:szCs w:val="24"/>
        </w:rPr>
        <w:t>P</w:t>
      </w:r>
      <w:r w:rsidRPr="00710B70">
        <w:rPr>
          <w:rFonts w:ascii="Book Antiqua" w:hAnsi="Book Antiqua"/>
          <w:szCs w:val="24"/>
        </w:rPr>
        <w:t>-value</w:t>
      </w:r>
      <w:r w:rsidR="00042CDF">
        <w:rPr>
          <w:rFonts w:ascii="Book Antiqua" w:hAnsi="Book Antiqua" w:hint="eastAsia"/>
          <w:szCs w:val="24"/>
          <w:lang w:eastAsia="zh-CN"/>
        </w:rPr>
        <w:t xml:space="preserve"> </w:t>
      </w:r>
      <w:r w:rsidRPr="00710B70">
        <w:rPr>
          <w:rFonts w:ascii="Book Antiqua" w:hAnsi="Book Antiqua"/>
          <w:szCs w:val="24"/>
        </w:rPr>
        <w:t xml:space="preserve">= 0.096) but </w:t>
      </w:r>
      <w:r w:rsidR="00544C2C" w:rsidRPr="00710B70">
        <w:rPr>
          <w:rFonts w:ascii="Book Antiqua" w:hAnsi="Book Antiqua"/>
          <w:szCs w:val="24"/>
        </w:rPr>
        <w:t>showed</w:t>
      </w:r>
      <w:r w:rsidRPr="00710B70">
        <w:rPr>
          <w:rFonts w:ascii="Book Antiqua" w:hAnsi="Book Antiqua"/>
          <w:szCs w:val="24"/>
        </w:rPr>
        <w:t xml:space="preserve"> a trend to more</w:t>
      </w:r>
      <w:r w:rsidR="00544C2C" w:rsidRPr="00710B70">
        <w:rPr>
          <w:rFonts w:ascii="Book Antiqua" w:hAnsi="Book Antiqua"/>
          <w:szCs w:val="24"/>
        </w:rPr>
        <w:t xml:space="preserve"> operations in </w:t>
      </w:r>
      <w:r w:rsidRPr="00710B70">
        <w:rPr>
          <w:rFonts w:ascii="Book Antiqua" w:hAnsi="Book Antiqua"/>
          <w:szCs w:val="24"/>
        </w:rPr>
        <w:t xml:space="preserve">mutation carriers. One limitation of the Spanish study is that it only analysed 23 patients who had subsequent surgery. Also, none of the recruited patients had more than 2 surgical resections. Although some of our patients have had up to 5 operations, our study is also limited by a small sample size. The lack of statistical significance in our study for this parameter of multiplicity of operations could therefore be explained by a Type II error. </w:t>
      </w:r>
    </w:p>
    <w:p w:rsidR="00C0425D" w:rsidRPr="00710B70" w:rsidRDefault="00544C2C" w:rsidP="00042CDF">
      <w:pPr>
        <w:spacing w:line="360" w:lineRule="auto"/>
        <w:ind w:firstLineChars="200" w:firstLine="480"/>
        <w:jc w:val="both"/>
        <w:rPr>
          <w:rFonts w:ascii="Book Antiqua" w:hAnsi="Book Antiqua"/>
          <w:szCs w:val="24"/>
        </w:rPr>
      </w:pPr>
      <w:r w:rsidRPr="00710B70">
        <w:rPr>
          <w:rFonts w:ascii="Book Antiqua" w:hAnsi="Book Antiqua"/>
          <w:szCs w:val="24"/>
        </w:rPr>
        <w:t>These findings</w:t>
      </w:r>
      <w:r w:rsidR="00C0425D" w:rsidRPr="00710B70">
        <w:rPr>
          <w:rFonts w:ascii="Book Antiqua" w:hAnsi="Book Antiqua"/>
          <w:szCs w:val="24"/>
        </w:rPr>
        <w:t xml:space="preserve"> add strength to the argument supporting the use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C0425D" w:rsidRPr="00710B70">
        <w:rPr>
          <w:rFonts w:ascii="Book Antiqua" w:hAnsi="Book Antiqua"/>
          <w:szCs w:val="24"/>
        </w:rPr>
        <w:t xml:space="preserve"> genotyping as a prognostic tool in stratifying CD patients with a high risk of initial or subsequent operations. The ability to predict the natural hi</w:t>
      </w:r>
      <w:r w:rsidRPr="00710B70">
        <w:rPr>
          <w:rFonts w:ascii="Book Antiqua" w:hAnsi="Book Antiqua"/>
          <w:szCs w:val="24"/>
        </w:rPr>
        <w:t>story of high risk patients could</w:t>
      </w:r>
      <w:r w:rsidR="00C0425D" w:rsidRPr="00710B70">
        <w:rPr>
          <w:rFonts w:ascii="Book Antiqua" w:hAnsi="Book Antiqua"/>
          <w:szCs w:val="24"/>
        </w:rPr>
        <w:t xml:space="preserve"> prove useful in the application of top-down therapy, which may not just prevent complications but also modify the natural history of the disease</w:t>
      </w:r>
      <w:r w:rsidR="0065610C" w:rsidRPr="0065610C">
        <w:rPr>
          <w:rFonts w:ascii="Book Antiqua" w:hAnsi="Book Antiqua"/>
          <w:szCs w:val="24"/>
          <w:vertAlign w:val="superscript"/>
        </w:rPr>
        <w:t>[</w:t>
      </w:r>
      <w:r w:rsidR="005E68A5" w:rsidRPr="00710B70">
        <w:rPr>
          <w:rFonts w:ascii="Book Antiqua" w:hAnsi="Book Antiqua"/>
          <w:szCs w:val="24"/>
          <w:vertAlign w:val="superscript"/>
        </w:rPr>
        <w:t>3</w:t>
      </w:r>
      <w:r w:rsidR="00AF392B" w:rsidRPr="00710B70">
        <w:rPr>
          <w:rFonts w:ascii="Book Antiqua" w:hAnsi="Book Antiqua"/>
          <w:szCs w:val="24"/>
          <w:vertAlign w:val="superscript"/>
        </w:rPr>
        <w:t>3</w:t>
      </w:r>
      <w:r w:rsidR="00A63285" w:rsidRPr="00710B70">
        <w:rPr>
          <w:rFonts w:ascii="Book Antiqua" w:hAnsi="Book Antiqua"/>
          <w:szCs w:val="24"/>
          <w:vertAlign w:val="superscript"/>
        </w:rPr>
        <w:t>, 34</w:t>
      </w:r>
      <w:r w:rsidR="005E68A5" w:rsidRPr="00710B70">
        <w:rPr>
          <w:rFonts w:ascii="Book Antiqua" w:hAnsi="Book Antiqua"/>
          <w:szCs w:val="24"/>
          <w:vertAlign w:val="superscript"/>
        </w:rPr>
        <w:t>]</w:t>
      </w:r>
      <w:r w:rsidR="00C0425D" w:rsidRPr="00710B70">
        <w:rPr>
          <w:rFonts w:ascii="Book Antiqua" w:hAnsi="Book Antiqua"/>
          <w:szCs w:val="24"/>
        </w:rPr>
        <w:t xml:space="preserve">. </w:t>
      </w:r>
      <w:r w:rsidRPr="00710B70">
        <w:rPr>
          <w:rFonts w:ascii="Book Antiqua" w:hAnsi="Book Antiqua"/>
          <w:szCs w:val="24"/>
        </w:rPr>
        <w:t>E</w:t>
      </w:r>
      <w:r w:rsidR="00C0425D" w:rsidRPr="00710B70">
        <w:rPr>
          <w:rFonts w:ascii="Book Antiqua" w:hAnsi="Book Antiqua"/>
          <w:szCs w:val="24"/>
        </w:rPr>
        <w:t>ven if preventative therapy is ineffective, these high risk patients sh</w:t>
      </w:r>
      <w:r w:rsidRPr="00710B70">
        <w:rPr>
          <w:rFonts w:ascii="Book Antiqua" w:hAnsi="Book Antiqua"/>
          <w:szCs w:val="24"/>
        </w:rPr>
        <w:t>ould be managed with close colla</w:t>
      </w:r>
      <w:r w:rsidR="00C0425D" w:rsidRPr="00710B70">
        <w:rPr>
          <w:rFonts w:ascii="Book Antiqua" w:hAnsi="Book Antiqua"/>
          <w:szCs w:val="24"/>
        </w:rPr>
        <w:t>b</w:t>
      </w:r>
      <w:r w:rsidRPr="00710B70">
        <w:rPr>
          <w:rFonts w:ascii="Book Antiqua" w:hAnsi="Book Antiqua"/>
          <w:szCs w:val="24"/>
        </w:rPr>
        <w:t>o</w:t>
      </w:r>
      <w:r w:rsidR="00C0425D" w:rsidRPr="00710B70">
        <w:rPr>
          <w:rFonts w:ascii="Book Antiqua" w:hAnsi="Book Antiqua"/>
          <w:szCs w:val="24"/>
        </w:rPr>
        <w:t>ration between physi</w:t>
      </w:r>
      <w:r w:rsidR="00F9066B" w:rsidRPr="00710B70">
        <w:rPr>
          <w:rFonts w:ascii="Book Antiqua" w:hAnsi="Book Antiqua"/>
          <w:szCs w:val="24"/>
        </w:rPr>
        <w:t>ci</w:t>
      </w:r>
      <w:r w:rsidR="00C0425D" w:rsidRPr="00710B70">
        <w:rPr>
          <w:rFonts w:ascii="Book Antiqua" w:hAnsi="Book Antiqua"/>
          <w:szCs w:val="24"/>
        </w:rPr>
        <w:t xml:space="preserve">ans and surgeons. Most clinicians are not willing to adopt </w:t>
      </w:r>
      <w:r w:rsidRPr="00710B70">
        <w:rPr>
          <w:rFonts w:ascii="Book Antiqua" w:hAnsi="Book Antiqua"/>
          <w:szCs w:val="24"/>
        </w:rPr>
        <w:t>unrestricted top-down a</w:t>
      </w:r>
      <w:r w:rsidR="00C0425D" w:rsidRPr="00710B70">
        <w:rPr>
          <w:rFonts w:ascii="Book Antiqua" w:hAnsi="Book Antiqua"/>
          <w:szCs w:val="24"/>
        </w:rPr>
        <w:t>pproach because a substantial proportion of patients never develop aggres</w:t>
      </w:r>
      <w:r w:rsidR="00F9066B" w:rsidRPr="00710B70">
        <w:rPr>
          <w:rFonts w:ascii="Book Antiqua" w:hAnsi="Book Antiqua"/>
          <w:szCs w:val="24"/>
        </w:rPr>
        <w:t>s</w:t>
      </w:r>
      <w:r w:rsidR="00C0425D" w:rsidRPr="00710B70">
        <w:rPr>
          <w:rFonts w:ascii="Book Antiqua" w:hAnsi="Book Antiqua"/>
          <w:szCs w:val="24"/>
        </w:rPr>
        <w:t>ive disease requ</w:t>
      </w:r>
      <w:r w:rsidR="00F9066B" w:rsidRPr="00710B70">
        <w:rPr>
          <w:rFonts w:ascii="Book Antiqua" w:hAnsi="Book Antiqua"/>
          <w:szCs w:val="24"/>
        </w:rPr>
        <w:t>i</w:t>
      </w:r>
      <w:r w:rsidR="00C0425D" w:rsidRPr="00710B70">
        <w:rPr>
          <w:rFonts w:ascii="Book Antiqua" w:hAnsi="Book Antiqua"/>
          <w:szCs w:val="24"/>
        </w:rPr>
        <w:t xml:space="preserve">ring biological therapy. </w:t>
      </w:r>
      <w:r w:rsidRPr="00710B70">
        <w:rPr>
          <w:rFonts w:ascii="Book Antiqua" w:hAnsi="Book Antiqua"/>
          <w:szCs w:val="24"/>
        </w:rPr>
        <w:t>The</w:t>
      </w:r>
      <w:r w:rsidR="00C0425D" w:rsidRPr="00710B70">
        <w:rPr>
          <w:rFonts w:ascii="Book Antiqua" w:hAnsi="Book Antiqua"/>
          <w:szCs w:val="24"/>
        </w:rPr>
        <w:t xml:space="preserve"> </w:t>
      </w:r>
      <w:r w:rsidR="00F9066B" w:rsidRPr="00710B70">
        <w:rPr>
          <w:rFonts w:ascii="Book Antiqua" w:hAnsi="Book Antiqua"/>
          <w:szCs w:val="24"/>
        </w:rPr>
        <w:t>ability</w:t>
      </w:r>
      <w:r w:rsidR="00C0425D" w:rsidRPr="00710B70">
        <w:rPr>
          <w:rFonts w:ascii="Book Antiqua" w:hAnsi="Book Antiqua"/>
          <w:szCs w:val="24"/>
        </w:rPr>
        <w:t xml:space="preserve"> to predict those that </w:t>
      </w:r>
      <w:r w:rsidRPr="00710B70">
        <w:rPr>
          <w:rFonts w:ascii="Book Antiqua" w:hAnsi="Book Antiqua"/>
          <w:szCs w:val="24"/>
        </w:rPr>
        <w:t>will</w:t>
      </w:r>
      <w:r w:rsidR="00C0425D" w:rsidRPr="00710B70">
        <w:rPr>
          <w:rFonts w:ascii="Book Antiqua" w:hAnsi="Book Antiqua"/>
          <w:szCs w:val="24"/>
        </w:rPr>
        <w:t xml:space="preserve"> would </w:t>
      </w:r>
      <w:r w:rsidR="00C0425D" w:rsidRPr="00710B70">
        <w:rPr>
          <w:rFonts w:ascii="Book Antiqua" w:hAnsi="Book Antiqua"/>
          <w:szCs w:val="24"/>
        </w:rPr>
        <w:lastRenderedPageBreak/>
        <w:t>be a great asset in the management of IBD given the effective</w:t>
      </w:r>
      <w:r w:rsidR="005C6FF0" w:rsidRPr="00710B70">
        <w:rPr>
          <w:rFonts w:ascii="Book Antiqua" w:hAnsi="Book Antiqua"/>
          <w:szCs w:val="24"/>
        </w:rPr>
        <w:t xml:space="preserve">ness </w:t>
      </w:r>
      <w:r w:rsidR="00F9066B" w:rsidRPr="00710B70">
        <w:rPr>
          <w:rFonts w:ascii="Book Antiqua" w:hAnsi="Book Antiqua"/>
          <w:szCs w:val="24"/>
        </w:rPr>
        <w:t>described by Oldenburg and Hommes</w:t>
      </w:r>
      <w:r w:rsidR="0065610C" w:rsidRPr="0065610C">
        <w:rPr>
          <w:rFonts w:ascii="Book Antiqua" w:hAnsi="Book Antiqua"/>
          <w:szCs w:val="24"/>
          <w:vertAlign w:val="superscript"/>
        </w:rPr>
        <w:t>[</w:t>
      </w:r>
      <w:r w:rsidR="00AF392B" w:rsidRPr="00710B70">
        <w:rPr>
          <w:rFonts w:ascii="Book Antiqua" w:hAnsi="Book Antiqua"/>
          <w:szCs w:val="24"/>
          <w:vertAlign w:val="superscript"/>
        </w:rPr>
        <w:t>33</w:t>
      </w:r>
      <w:r w:rsidR="005E68A5" w:rsidRPr="00710B70">
        <w:rPr>
          <w:rFonts w:ascii="Book Antiqua" w:hAnsi="Book Antiqua"/>
          <w:szCs w:val="24"/>
          <w:vertAlign w:val="superscript"/>
        </w:rPr>
        <w:t>]</w:t>
      </w:r>
      <w:r w:rsidR="00C0425D" w:rsidRPr="00710B70">
        <w:rPr>
          <w:rFonts w:ascii="Book Antiqua" w:hAnsi="Book Antiqua"/>
          <w:szCs w:val="24"/>
        </w:rPr>
        <w:t>. This is in contrast to the conventional practi</w:t>
      </w:r>
      <w:r w:rsidR="005C6FF0" w:rsidRPr="00710B70">
        <w:rPr>
          <w:rFonts w:ascii="Book Antiqua" w:hAnsi="Book Antiqua"/>
          <w:szCs w:val="24"/>
        </w:rPr>
        <w:t>c</w:t>
      </w:r>
      <w:r w:rsidR="00C0425D" w:rsidRPr="00710B70">
        <w:rPr>
          <w:rFonts w:ascii="Book Antiqua" w:hAnsi="Book Antiqua"/>
          <w:szCs w:val="24"/>
        </w:rPr>
        <w:t>e of starting with less invasive inte</w:t>
      </w:r>
      <w:r w:rsidR="005C6FF0" w:rsidRPr="00710B70">
        <w:rPr>
          <w:rFonts w:ascii="Book Antiqua" w:hAnsi="Book Antiqua"/>
          <w:szCs w:val="24"/>
        </w:rPr>
        <w:t xml:space="preserve">rventions and working </w:t>
      </w:r>
      <w:r w:rsidR="00C0425D" w:rsidRPr="00710B70">
        <w:rPr>
          <w:rFonts w:ascii="Book Antiqua" w:hAnsi="Book Antiqua"/>
          <w:szCs w:val="24"/>
        </w:rPr>
        <w:t xml:space="preserve">up the therapeutic ladder, which in the long term may subject the patient to unnecessary and invasive investigations, medications and procedures. Genotyping may prove to have a place in contributing to what </w:t>
      </w:r>
      <w:r w:rsidR="00F9066B" w:rsidRPr="00710B70">
        <w:rPr>
          <w:rFonts w:ascii="Book Antiqua" w:hAnsi="Book Antiqua"/>
          <w:szCs w:val="24"/>
        </w:rPr>
        <w:t xml:space="preserve">often is a quite complex decision-making </w:t>
      </w:r>
      <w:r w:rsidR="00C0425D" w:rsidRPr="00710B70">
        <w:rPr>
          <w:rFonts w:ascii="Book Antiqua" w:hAnsi="Book Antiqua"/>
          <w:szCs w:val="24"/>
        </w:rPr>
        <w:t>especially since genetic-based classifications are stable compared to exclusive use of phenotypic characteristics which are subject to change over time.</w:t>
      </w:r>
    </w:p>
    <w:p w:rsidR="00A525E3" w:rsidRPr="00710B70" w:rsidRDefault="00F9066B" w:rsidP="00042CDF">
      <w:pPr>
        <w:spacing w:line="360" w:lineRule="auto"/>
        <w:ind w:firstLineChars="300" w:firstLine="720"/>
        <w:jc w:val="both"/>
        <w:rPr>
          <w:rFonts w:ascii="Book Antiqua" w:hAnsi="Book Antiqua"/>
          <w:szCs w:val="24"/>
        </w:rPr>
      </w:pPr>
      <w:r w:rsidRPr="00710B70">
        <w:rPr>
          <w:rFonts w:ascii="Book Antiqua" w:hAnsi="Book Antiqua"/>
          <w:szCs w:val="24"/>
        </w:rPr>
        <w:t xml:space="preserve">However, it remains to be determined whether full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sequencing during the diagnosis of CD will be clinically useful and cost effective. Most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sequence variations identified in this study are rare and have not been found to influence the natural history of the disease. Our studies do suggest a place for at least the mutational analysis of the most common pathogenic mutations which can be done cheaply. </w:t>
      </w:r>
      <w:r w:rsidR="00AF392B" w:rsidRPr="00710B70">
        <w:rPr>
          <w:rFonts w:ascii="Book Antiqua" w:hAnsi="Book Antiqua"/>
          <w:szCs w:val="24"/>
        </w:rPr>
        <w:t xml:space="preserve">From here, it would be useful to analyse whether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AF392B" w:rsidRPr="00710B70">
        <w:rPr>
          <w:rFonts w:ascii="Book Antiqua" w:hAnsi="Book Antiqua"/>
          <w:szCs w:val="24"/>
        </w:rPr>
        <w:t xml:space="preserve"> mutations are able to predict response to therapy, particular biologics. Currently, there are no </w:t>
      </w:r>
      <w:r w:rsidR="00620902" w:rsidRPr="00620902">
        <w:rPr>
          <w:rStyle w:val="highlight"/>
          <w:rFonts w:ascii="Book Antiqua" w:hAnsi="Book Antiqua"/>
          <w:i/>
          <w:szCs w:val="24"/>
        </w:rPr>
        <w:t>NOD2</w:t>
      </w:r>
      <w:r w:rsidR="00C159A4" w:rsidRPr="00C159A4">
        <w:rPr>
          <w:rStyle w:val="highlight"/>
          <w:rFonts w:ascii="Book Antiqua" w:hAnsi="Book Antiqua"/>
          <w:szCs w:val="24"/>
        </w:rPr>
        <w:t>/</w:t>
      </w:r>
      <w:r w:rsidR="00620902" w:rsidRPr="00620902">
        <w:rPr>
          <w:rStyle w:val="highlight"/>
          <w:rFonts w:ascii="Book Antiqua" w:hAnsi="Book Antiqua"/>
          <w:i/>
          <w:szCs w:val="24"/>
        </w:rPr>
        <w:t>CARD15</w:t>
      </w:r>
      <w:r w:rsidR="00AF392B" w:rsidRPr="00710B70">
        <w:rPr>
          <w:rFonts w:ascii="Book Antiqua" w:hAnsi="Book Antiqua"/>
          <w:szCs w:val="24"/>
        </w:rPr>
        <w:t xml:space="preserve"> mutations that predict which patients might have sustained remission and which will relapse rapidly after stopping infliximab</w:t>
      </w:r>
      <w:r w:rsidR="0065610C" w:rsidRPr="0065610C">
        <w:rPr>
          <w:rFonts w:ascii="Book Antiqua" w:hAnsi="Book Antiqua"/>
          <w:szCs w:val="24"/>
          <w:vertAlign w:val="superscript"/>
        </w:rPr>
        <w:t>[</w:t>
      </w:r>
      <w:r w:rsidR="00AF392B" w:rsidRPr="00710B70">
        <w:rPr>
          <w:rFonts w:ascii="Book Antiqua" w:hAnsi="Book Antiqua"/>
          <w:szCs w:val="24"/>
          <w:vertAlign w:val="superscript"/>
        </w:rPr>
        <w:t>3</w:t>
      </w:r>
      <w:r w:rsidR="00A63285" w:rsidRPr="00710B70">
        <w:rPr>
          <w:rFonts w:ascii="Book Antiqua" w:hAnsi="Book Antiqua"/>
          <w:szCs w:val="24"/>
          <w:vertAlign w:val="superscript"/>
        </w:rPr>
        <w:t>5</w:t>
      </w:r>
      <w:r w:rsidR="00AF392B" w:rsidRPr="00710B70">
        <w:rPr>
          <w:rFonts w:ascii="Book Antiqua" w:hAnsi="Book Antiqua"/>
          <w:szCs w:val="24"/>
          <w:vertAlign w:val="superscript"/>
        </w:rPr>
        <w:t xml:space="preserve">] </w:t>
      </w:r>
      <w:r w:rsidR="00AF392B" w:rsidRPr="00710B70">
        <w:rPr>
          <w:rFonts w:ascii="Book Antiqua" w:hAnsi="Book Antiqua"/>
          <w:szCs w:val="24"/>
        </w:rPr>
        <w:t>.</w:t>
      </w:r>
    </w:p>
    <w:p w:rsidR="00A525E3" w:rsidRPr="00710B70" w:rsidRDefault="00A525E3" w:rsidP="00042CDF">
      <w:pPr>
        <w:autoSpaceDE w:val="0"/>
        <w:autoSpaceDN w:val="0"/>
        <w:adjustRightInd w:val="0"/>
        <w:spacing w:line="360" w:lineRule="auto"/>
        <w:ind w:firstLineChars="200" w:firstLine="480"/>
        <w:jc w:val="both"/>
        <w:rPr>
          <w:rFonts w:ascii="Book Antiqua" w:hAnsi="Book Antiqua"/>
          <w:szCs w:val="24"/>
          <w:lang w:val="en-US"/>
        </w:rPr>
      </w:pPr>
      <w:r w:rsidRPr="00710B70">
        <w:rPr>
          <w:rFonts w:ascii="Book Antiqua" w:hAnsi="Book Antiqua"/>
          <w:szCs w:val="24"/>
        </w:rPr>
        <w:t>Furthermore, t</w:t>
      </w:r>
      <w:r w:rsidRPr="00710B70">
        <w:rPr>
          <w:rFonts w:ascii="Book Antiqua" w:hAnsi="Book Antiqua"/>
          <w:szCs w:val="24"/>
          <w:lang w:val="en-US"/>
        </w:rPr>
        <w:t xml:space="preserve">his study is of significant importance in highlighting the Australian population of Crohn’s patients who are ethically heterogenous and genetically diverse. </w:t>
      </w:r>
      <w:r w:rsidRPr="00710B70">
        <w:rPr>
          <w:rFonts w:ascii="Book Antiqua" w:hAnsi="Book Antiqua"/>
          <w:szCs w:val="24"/>
        </w:rPr>
        <w:t xml:space="preserve">In the present study, we observed allele frequencies of 13.3%, 3% and 16.7% for the 3020insC, G908R mutation and R702R mutations respectively. </w:t>
      </w:r>
      <w:r w:rsidR="00746E43" w:rsidRPr="00710B70">
        <w:rPr>
          <w:rFonts w:ascii="Book Antiqua" w:hAnsi="Book Antiqua"/>
          <w:szCs w:val="24"/>
        </w:rPr>
        <w:t>We</w:t>
      </w:r>
      <w:r w:rsidR="00A63285" w:rsidRPr="00710B70">
        <w:rPr>
          <w:rFonts w:ascii="Book Antiqua" w:hAnsi="Book Antiqua"/>
          <w:szCs w:val="24"/>
        </w:rPr>
        <w:t xml:space="preserve"> were the first </w:t>
      </w:r>
      <w:r w:rsidRPr="00710B70">
        <w:rPr>
          <w:rFonts w:ascii="Book Antiqua" w:hAnsi="Book Antiqua"/>
          <w:szCs w:val="24"/>
        </w:rPr>
        <w:t xml:space="preserve">Australian study to conduct a full genotype sequencing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We now know that there is great ethnic and geographical differences in the prevelance of NOD2/CARD 15 mutations. </w:t>
      </w:r>
      <w:r w:rsidRPr="00710B70">
        <w:rPr>
          <w:rFonts w:ascii="Book Antiqua" w:hAnsi="Book Antiqua"/>
          <w:szCs w:val="24"/>
          <w:lang w:val="en-US"/>
        </w:rPr>
        <w:t>The multicenter study published by Lesage et al.</w:t>
      </w:r>
      <w:r w:rsidR="0065610C" w:rsidRPr="0065610C">
        <w:rPr>
          <w:rFonts w:ascii="Book Antiqua" w:hAnsi="Book Antiqua"/>
          <w:szCs w:val="24"/>
          <w:vertAlign w:val="superscript"/>
          <w:lang w:val="en-US"/>
        </w:rPr>
        <w:t>[</w:t>
      </w:r>
      <w:r w:rsidR="005E68A5" w:rsidRPr="00710B70">
        <w:rPr>
          <w:rFonts w:ascii="Book Antiqua" w:hAnsi="Book Antiqua"/>
          <w:szCs w:val="24"/>
          <w:vertAlign w:val="superscript"/>
          <w:lang w:val="en-US"/>
        </w:rPr>
        <w:t>6]</w:t>
      </w:r>
      <w:r w:rsidRPr="00710B70">
        <w:rPr>
          <w:rFonts w:ascii="Book Antiqua" w:hAnsi="Book Antiqua"/>
          <w:szCs w:val="24"/>
          <w:lang w:val="en-US"/>
        </w:rPr>
        <w:t>, which included several European countries, reported a mutation carrier frequency of 50%. These findings have been replicated by other European studies .In Great Britain, the carrier frequency was found to be 38.5%</w:t>
      </w:r>
      <w:r w:rsidR="0065610C" w:rsidRPr="0065610C">
        <w:rPr>
          <w:rFonts w:ascii="Book Antiqua" w:hAnsi="Book Antiqua"/>
          <w:szCs w:val="24"/>
          <w:vertAlign w:val="superscript"/>
          <w:lang w:val="en-US"/>
        </w:rPr>
        <w:t>[</w:t>
      </w:r>
      <w:r w:rsidR="00024230" w:rsidRPr="00710B70">
        <w:rPr>
          <w:rFonts w:ascii="Book Antiqua" w:hAnsi="Book Antiqua"/>
          <w:szCs w:val="24"/>
          <w:vertAlign w:val="superscript"/>
          <w:lang w:val="en-US"/>
        </w:rPr>
        <w:t>7]</w:t>
      </w:r>
      <w:r w:rsidRPr="00710B70">
        <w:rPr>
          <w:rFonts w:ascii="Book Antiqua" w:hAnsi="Book Antiqua"/>
          <w:szCs w:val="24"/>
          <w:lang w:val="en-US"/>
        </w:rPr>
        <w:t>,</w:t>
      </w:r>
      <w:r w:rsidRPr="00710B70">
        <w:rPr>
          <w:rFonts w:ascii="Book Antiqua" w:hAnsi="Book Antiqua"/>
          <w:i/>
          <w:iCs/>
          <w:szCs w:val="24"/>
          <w:lang w:val="en-US"/>
        </w:rPr>
        <w:t xml:space="preserve"> </w:t>
      </w:r>
      <w:r w:rsidRPr="00710B70">
        <w:rPr>
          <w:rFonts w:ascii="Book Antiqua" w:hAnsi="Book Antiqua"/>
          <w:szCs w:val="24"/>
          <w:lang w:val="en-US"/>
        </w:rPr>
        <w:t>46.3% in Belgium</w:t>
      </w:r>
      <w:r w:rsidR="0065610C" w:rsidRPr="0065610C">
        <w:rPr>
          <w:rFonts w:ascii="Book Antiqua" w:hAnsi="Book Antiqua"/>
          <w:szCs w:val="24"/>
          <w:vertAlign w:val="superscript"/>
          <w:lang w:val="en-US"/>
        </w:rPr>
        <w:t>[</w:t>
      </w:r>
      <w:r w:rsidR="00024230" w:rsidRPr="00710B70">
        <w:rPr>
          <w:rFonts w:ascii="Book Antiqua" w:hAnsi="Book Antiqua"/>
          <w:szCs w:val="24"/>
          <w:vertAlign w:val="superscript"/>
          <w:lang w:val="en-US"/>
        </w:rPr>
        <w:t>3</w:t>
      </w:r>
      <w:r w:rsidR="00A63285" w:rsidRPr="00710B70">
        <w:rPr>
          <w:rFonts w:ascii="Book Antiqua" w:hAnsi="Book Antiqua"/>
          <w:szCs w:val="24"/>
          <w:vertAlign w:val="superscript"/>
          <w:lang w:val="en-US"/>
        </w:rPr>
        <w:t>6</w:t>
      </w:r>
      <w:r w:rsidR="00024230" w:rsidRPr="00710B70">
        <w:rPr>
          <w:rFonts w:ascii="Book Antiqua" w:hAnsi="Book Antiqua"/>
          <w:szCs w:val="24"/>
          <w:vertAlign w:val="superscript"/>
          <w:lang w:val="en-US"/>
        </w:rPr>
        <w:t>]</w:t>
      </w:r>
      <w:r w:rsidRPr="00710B70">
        <w:rPr>
          <w:rFonts w:ascii="Book Antiqua" w:hAnsi="Book Antiqua"/>
          <w:szCs w:val="24"/>
          <w:lang w:val="en-US"/>
        </w:rPr>
        <w:t>, 38.2% in Italy</w:t>
      </w:r>
      <w:r w:rsidR="0065610C" w:rsidRPr="0065610C">
        <w:rPr>
          <w:rFonts w:ascii="Book Antiqua" w:hAnsi="Book Antiqua"/>
          <w:szCs w:val="24"/>
          <w:vertAlign w:val="superscript"/>
          <w:lang w:val="en-US"/>
        </w:rPr>
        <w:t>[</w:t>
      </w:r>
      <w:r w:rsidR="00024230" w:rsidRPr="00710B70">
        <w:rPr>
          <w:rFonts w:ascii="Book Antiqua" w:hAnsi="Book Antiqua"/>
          <w:szCs w:val="24"/>
          <w:vertAlign w:val="superscript"/>
          <w:lang w:val="en-US"/>
        </w:rPr>
        <w:t>25]</w:t>
      </w:r>
      <w:r w:rsidR="00024230" w:rsidRPr="00710B70">
        <w:rPr>
          <w:rFonts w:ascii="Book Antiqua" w:hAnsi="Book Antiqua"/>
          <w:szCs w:val="24"/>
          <w:lang w:val="en-US"/>
        </w:rPr>
        <w:t xml:space="preserve"> </w:t>
      </w:r>
      <w:r w:rsidRPr="00710B70">
        <w:rPr>
          <w:rFonts w:ascii="Book Antiqua" w:hAnsi="Book Antiqua"/>
          <w:szCs w:val="24"/>
          <w:lang w:val="en-US"/>
        </w:rPr>
        <w:t xml:space="preserve">, </w:t>
      </w:r>
      <w:r w:rsidRPr="00710B70">
        <w:rPr>
          <w:rFonts w:ascii="Book Antiqua" w:hAnsi="Book Antiqua"/>
          <w:szCs w:val="24"/>
          <w:lang w:val="en-US"/>
        </w:rPr>
        <w:lastRenderedPageBreak/>
        <w:t>38% in France</w:t>
      </w:r>
      <w:r w:rsidR="0065610C" w:rsidRPr="0065610C">
        <w:rPr>
          <w:rFonts w:ascii="Book Antiqua" w:hAnsi="Book Antiqua"/>
          <w:szCs w:val="24"/>
          <w:vertAlign w:val="superscript"/>
          <w:lang w:val="en-US"/>
        </w:rPr>
        <w:t>[</w:t>
      </w:r>
      <w:r w:rsidR="00024230" w:rsidRPr="00710B70">
        <w:rPr>
          <w:rFonts w:ascii="Book Antiqua" w:hAnsi="Book Antiqua"/>
          <w:szCs w:val="24"/>
          <w:vertAlign w:val="superscript"/>
          <w:lang w:val="en-US"/>
        </w:rPr>
        <w:t>3</w:t>
      </w:r>
      <w:r w:rsidR="00A63285" w:rsidRPr="00710B70">
        <w:rPr>
          <w:rFonts w:ascii="Book Antiqua" w:hAnsi="Book Antiqua"/>
          <w:szCs w:val="24"/>
          <w:vertAlign w:val="superscript"/>
          <w:lang w:val="en-US"/>
        </w:rPr>
        <w:t>7</w:t>
      </w:r>
      <w:r w:rsidR="00024230" w:rsidRPr="00710B70">
        <w:rPr>
          <w:rFonts w:ascii="Book Antiqua" w:hAnsi="Book Antiqua"/>
          <w:szCs w:val="24"/>
          <w:vertAlign w:val="superscript"/>
          <w:lang w:val="en-US"/>
        </w:rPr>
        <w:t>]</w:t>
      </w:r>
      <w:r w:rsidRPr="00710B70">
        <w:rPr>
          <w:rFonts w:ascii="Book Antiqua" w:hAnsi="Book Antiqua"/>
          <w:szCs w:val="24"/>
          <w:lang w:val="en-US"/>
        </w:rPr>
        <w:t>,</w:t>
      </w:r>
      <w:r w:rsidR="00024230" w:rsidRPr="00710B70">
        <w:rPr>
          <w:rFonts w:ascii="Book Antiqua" w:hAnsi="Book Antiqua"/>
          <w:szCs w:val="24"/>
          <w:lang w:val="en-US"/>
        </w:rPr>
        <w:t xml:space="preserve"> </w:t>
      </w:r>
      <w:r w:rsidRPr="00710B70">
        <w:rPr>
          <w:rFonts w:ascii="Book Antiqua" w:hAnsi="Book Antiqua"/>
          <w:szCs w:val="24"/>
          <w:lang w:val="en-US"/>
        </w:rPr>
        <w:t>and 36.5% in Germany</w:t>
      </w:r>
      <w:r w:rsidR="0065610C" w:rsidRPr="0065610C">
        <w:rPr>
          <w:rFonts w:ascii="Book Antiqua" w:hAnsi="Book Antiqua"/>
          <w:szCs w:val="24"/>
          <w:vertAlign w:val="superscript"/>
          <w:lang w:val="en-US"/>
        </w:rPr>
        <w:t>[</w:t>
      </w:r>
      <w:r w:rsidR="00024230" w:rsidRPr="00710B70">
        <w:rPr>
          <w:rFonts w:ascii="Book Antiqua" w:hAnsi="Book Antiqua"/>
          <w:szCs w:val="24"/>
          <w:vertAlign w:val="superscript"/>
          <w:lang w:val="en-US"/>
        </w:rPr>
        <w:t>20]</w:t>
      </w:r>
      <w:r w:rsidRPr="00710B70">
        <w:rPr>
          <w:rFonts w:ascii="Book Antiqua" w:hAnsi="Book Antiqua"/>
          <w:szCs w:val="24"/>
          <w:lang w:val="en-US"/>
        </w:rPr>
        <w:t>. Conversely, there was a lack of mutant variants in the Asian populations of Japan</w:t>
      </w:r>
      <w:r w:rsidR="0065610C" w:rsidRPr="0065610C">
        <w:rPr>
          <w:rFonts w:ascii="Book Antiqua" w:hAnsi="Book Antiqua"/>
          <w:szCs w:val="24"/>
          <w:vertAlign w:val="superscript"/>
          <w:lang w:val="en-US"/>
        </w:rPr>
        <w:t>[</w:t>
      </w:r>
      <w:r w:rsidR="00AF392B" w:rsidRPr="00710B70">
        <w:rPr>
          <w:rFonts w:ascii="Book Antiqua" w:hAnsi="Book Antiqua"/>
          <w:szCs w:val="24"/>
          <w:vertAlign w:val="superscript"/>
          <w:lang w:val="en-US"/>
        </w:rPr>
        <w:t>3</w:t>
      </w:r>
      <w:r w:rsidR="00A63285" w:rsidRPr="00710B70">
        <w:rPr>
          <w:rFonts w:ascii="Book Antiqua" w:hAnsi="Book Antiqua"/>
          <w:szCs w:val="24"/>
          <w:vertAlign w:val="superscript"/>
          <w:lang w:val="en-US"/>
        </w:rPr>
        <w:t>8</w:t>
      </w:r>
      <w:r w:rsidR="00024230" w:rsidRPr="00710B70">
        <w:rPr>
          <w:rFonts w:ascii="Book Antiqua" w:hAnsi="Book Antiqua"/>
          <w:szCs w:val="24"/>
          <w:vertAlign w:val="superscript"/>
          <w:lang w:val="en-US"/>
        </w:rPr>
        <w:t>]</w:t>
      </w:r>
      <w:r w:rsidRPr="00710B70">
        <w:rPr>
          <w:rFonts w:ascii="Book Antiqua" w:hAnsi="Book Antiqua"/>
          <w:szCs w:val="24"/>
          <w:lang w:val="en-US"/>
        </w:rPr>
        <w:t>, Korea</w:t>
      </w:r>
      <w:r w:rsidR="0065610C" w:rsidRPr="0065610C">
        <w:rPr>
          <w:rFonts w:ascii="Book Antiqua" w:hAnsi="Book Antiqua"/>
          <w:szCs w:val="24"/>
          <w:vertAlign w:val="superscript"/>
          <w:lang w:val="en-US"/>
        </w:rPr>
        <w:t>[</w:t>
      </w:r>
      <w:r w:rsidR="00024230" w:rsidRPr="00710B70">
        <w:rPr>
          <w:rFonts w:ascii="Book Antiqua" w:hAnsi="Book Antiqua"/>
          <w:szCs w:val="24"/>
          <w:vertAlign w:val="superscript"/>
          <w:lang w:val="en-US"/>
        </w:rPr>
        <w:t>3</w:t>
      </w:r>
      <w:r w:rsidR="00A63285" w:rsidRPr="00710B70">
        <w:rPr>
          <w:rFonts w:ascii="Book Antiqua" w:hAnsi="Book Antiqua"/>
          <w:szCs w:val="24"/>
          <w:vertAlign w:val="superscript"/>
          <w:lang w:val="en-US"/>
        </w:rPr>
        <w:t>9</w:t>
      </w:r>
      <w:r w:rsidR="00024230" w:rsidRPr="00710B70">
        <w:rPr>
          <w:rFonts w:ascii="Book Antiqua" w:hAnsi="Book Antiqua"/>
          <w:szCs w:val="24"/>
          <w:vertAlign w:val="superscript"/>
          <w:lang w:val="en-US"/>
        </w:rPr>
        <w:t>]</w:t>
      </w:r>
      <w:r w:rsidRPr="00710B70">
        <w:rPr>
          <w:rFonts w:ascii="Book Antiqua" w:hAnsi="Book Antiqua"/>
          <w:szCs w:val="24"/>
          <w:lang w:val="en-US"/>
        </w:rPr>
        <w:t>, China</w:t>
      </w:r>
      <w:r w:rsidR="0065610C" w:rsidRPr="0065610C">
        <w:rPr>
          <w:rFonts w:ascii="Book Antiqua" w:hAnsi="Book Antiqua"/>
          <w:szCs w:val="24"/>
          <w:vertAlign w:val="superscript"/>
          <w:lang w:val="en-US"/>
        </w:rPr>
        <w:t>[</w:t>
      </w:r>
      <w:r w:rsidR="00A63285" w:rsidRPr="00710B70">
        <w:rPr>
          <w:rFonts w:ascii="Book Antiqua" w:hAnsi="Book Antiqua"/>
          <w:szCs w:val="24"/>
          <w:vertAlign w:val="superscript"/>
          <w:lang w:val="en-US"/>
        </w:rPr>
        <w:t xml:space="preserve">40, </w:t>
      </w:r>
      <w:r w:rsidR="00AF392B" w:rsidRPr="00710B70">
        <w:rPr>
          <w:rFonts w:ascii="Book Antiqua" w:hAnsi="Book Antiqua"/>
          <w:szCs w:val="24"/>
          <w:vertAlign w:val="superscript"/>
          <w:lang w:val="en-US"/>
        </w:rPr>
        <w:t>4</w:t>
      </w:r>
      <w:r w:rsidR="00A63285" w:rsidRPr="00710B70">
        <w:rPr>
          <w:rFonts w:ascii="Book Antiqua" w:hAnsi="Book Antiqua"/>
          <w:szCs w:val="24"/>
          <w:vertAlign w:val="superscript"/>
          <w:lang w:val="en-US"/>
        </w:rPr>
        <w:t>1</w:t>
      </w:r>
      <w:r w:rsidR="00024230" w:rsidRPr="00710B70">
        <w:rPr>
          <w:rFonts w:ascii="Book Antiqua" w:hAnsi="Book Antiqua"/>
          <w:szCs w:val="24"/>
          <w:vertAlign w:val="superscript"/>
          <w:lang w:val="en-US"/>
        </w:rPr>
        <w:t>]</w:t>
      </w:r>
      <w:r w:rsidRPr="00710B70">
        <w:rPr>
          <w:rFonts w:ascii="Book Antiqua" w:hAnsi="Book Antiqua"/>
          <w:szCs w:val="24"/>
          <w:lang w:val="en-US"/>
        </w:rPr>
        <w:t xml:space="preserve"> and India</w:t>
      </w:r>
      <w:r w:rsidR="0065610C" w:rsidRPr="0065610C">
        <w:rPr>
          <w:rFonts w:ascii="Book Antiqua" w:hAnsi="Book Antiqua"/>
          <w:szCs w:val="24"/>
          <w:vertAlign w:val="superscript"/>
          <w:lang w:val="en-US"/>
        </w:rPr>
        <w:t>[</w:t>
      </w:r>
      <w:r w:rsidR="00AF392B" w:rsidRPr="00710B70">
        <w:rPr>
          <w:rFonts w:ascii="Book Antiqua" w:hAnsi="Book Antiqua"/>
          <w:szCs w:val="24"/>
          <w:vertAlign w:val="superscript"/>
          <w:lang w:val="en-US"/>
        </w:rPr>
        <w:t>4</w:t>
      </w:r>
      <w:r w:rsidR="00A63285" w:rsidRPr="00710B70">
        <w:rPr>
          <w:rFonts w:ascii="Book Antiqua" w:hAnsi="Book Antiqua"/>
          <w:szCs w:val="24"/>
          <w:vertAlign w:val="superscript"/>
          <w:lang w:val="en-US"/>
        </w:rPr>
        <w:t>2</w:t>
      </w:r>
      <w:r w:rsidR="00024230" w:rsidRPr="00710B70">
        <w:rPr>
          <w:rFonts w:ascii="Book Antiqua" w:hAnsi="Book Antiqua"/>
          <w:szCs w:val="24"/>
          <w:vertAlign w:val="superscript"/>
          <w:lang w:val="en-US"/>
        </w:rPr>
        <w:t>]</w:t>
      </w:r>
      <w:r w:rsidRPr="00710B70">
        <w:rPr>
          <w:rFonts w:ascii="Book Antiqua" w:hAnsi="Book Antiqua"/>
          <w:szCs w:val="24"/>
          <w:lang w:val="en-US"/>
        </w:rPr>
        <w:t xml:space="preserve">. </w:t>
      </w:r>
      <w:r w:rsidR="00AF392B" w:rsidRPr="00710B70">
        <w:rPr>
          <w:rFonts w:ascii="Book Antiqua" w:hAnsi="Book Antiqua"/>
          <w:szCs w:val="24"/>
          <w:lang w:val="en-US"/>
        </w:rPr>
        <w:t xml:space="preserve">In one Malaysian study, </w:t>
      </w:r>
      <w:r w:rsidR="00AF392B" w:rsidRPr="00710B70">
        <w:rPr>
          <w:rFonts w:ascii="Book Antiqua" w:hAnsi="Book Antiqua"/>
          <w:szCs w:val="24"/>
        </w:rPr>
        <w:t xml:space="preserve">none of the Malaysian patients with CD carried any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AF392B" w:rsidRPr="00710B70">
        <w:rPr>
          <w:rFonts w:ascii="Book Antiqua" w:hAnsi="Book Antiqua"/>
          <w:szCs w:val="24"/>
        </w:rPr>
        <w:t xml:space="preserve"> pathogenic mutations</w:t>
      </w:r>
      <w:r w:rsidR="0065610C" w:rsidRPr="0065610C">
        <w:rPr>
          <w:rFonts w:ascii="Book Antiqua" w:hAnsi="Book Antiqua"/>
          <w:szCs w:val="24"/>
          <w:vertAlign w:val="superscript"/>
        </w:rPr>
        <w:t>[</w:t>
      </w:r>
      <w:r w:rsidR="00AF392B" w:rsidRPr="00710B70">
        <w:rPr>
          <w:rFonts w:ascii="Book Antiqua" w:hAnsi="Book Antiqua"/>
          <w:szCs w:val="24"/>
          <w:vertAlign w:val="superscript"/>
        </w:rPr>
        <w:t>4</w:t>
      </w:r>
      <w:r w:rsidR="00A63285" w:rsidRPr="00710B70">
        <w:rPr>
          <w:rFonts w:ascii="Book Antiqua" w:hAnsi="Book Antiqua"/>
          <w:szCs w:val="24"/>
          <w:vertAlign w:val="superscript"/>
        </w:rPr>
        <w:t>3</w:t>
      </w:r>
      <w:r w:rsidR="00AF392B" w:rsidRPr="00710B70">
        <w:rPr>
          <w:rFonts w:ascii="Book Antiqua" w:hAnsi="Book Antiqua"/>
          <w:szCs w:val="24"/>
          <w:vertAlign w:val="superscript"/>
        </w:rPr>
        <w:t>,4</w:t>
      </w:r>
      <w:r w:rsidR="00A63285" w:rsidRPr="00710B70">
        <w:rPr>
          <w:rFonts w:ascii="Book Antiqua" w:hAnsi="Book Antiqua"/>
          <w:szCs w:val="24"/>
          <w:vertAlign w:val="superscript"/>
        </w:rPr>
        <w:t>4</w:t>
      </w:r>
      <w:r w:rsidR="00AF392B" w:rsidRPr="00710B70">
        <w:rPr>
          <w:rFonts w:ascii="Book Antiqua" w:hAnsi="Book Antiqua"/>
          <w:szCs w:val="24"/>
          <w:vertAlign w:val="superscript"/>
        </w:rPr>
        <w:t>]</w:t>
      </w:r>
      <w:r w:rsidR="00AF392B" w:rsidRPr="00710B70">
        <w:rPr>
          <w:rFonts w:ascii="Book Antiqua" w:hAnsi="Book Antiqua"/>
          <w:szCs w:val="24"/>
        </w:rPr>
        <w:t>.</w:t>
      </w:r>
    </w:p>
    <w:p w:rsidR="005C3717" w:rsidRPr="00710B70" w:rsidRDefault="00A525E3" w:rsidP="00042CDF">
      <w:pPr>
        <w:autoSpaceDE w:val="0"/>
        <w:autoSpaceDN w:val="0"/>
        <w:adjustRightInd w:val="0"/>
        <w:spacing w:line="360" w:lineRule="auto"/>
        <w:ind w:firstLineChars="300" w:firstLine="720"/>
        <w:jc w:val="both"/>
        <w:rPr>
          <w:rFonts w:ascii="Book Antiqua" w:hAnsi="Book Antiqua"/>
          <w:szCs w:val="24"/>
        </w:rPr>
      </w:pPr>
      <w:r w:rsidRPr="00710B70">
        <w:rPr>
          <w:rFonts w:ascii="Book Antiqua" w:hAnsi="Book Antiqua"/>
          <w:szCs w:val="24"/>
        </w:rPr>
        <w:t>We would e</w:t>
      </w:r>
      <w:r w:rsidR="005C3717" w:rsidRPr="00710B70">
        <w:rPr>
          <w:rFonts w:ascii="Book Antiqua" w:hAnsi="Book Antiqua"/>
          <w:szCs w:val="24"/>
        </w:rPr>
        <w:t xml:space="preserve">xpect the frequencies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5C3717" w:rsidRPr="00710B70">
        <w:rPr>
          <w:rFonts w:ascii="Book Antiqua" w:hAnsi="Book Antiqua"/>
          <w:szCs w:val="24"/>
        </w:rPr>
        <w:t xml:space="preserve"> risk alleles found in our patients to be higher than in other studies due to the enrichment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5C3717" w:rsidRPr="00710B70">
        <w:rPr>
          <w:rFonts w:ascii="Book Antiqua" w:hAnsi="Book Antiqua"/>
          <w:szCs w:val="24"/>
        </w:rPr>
        <w:t xml:space="preserve"> variants within our cohort of patients with small bowel and ileo-caecal disease, both of which are disease locations associated with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5C3717" w:rsidRPr="00710B70">
        <w:rPr>
          <w:rFonts w:ascii="Book Antiqua" w:hAnsi="Book Antiqua"/>
          <w:szCs w:val="24"/>
        </w:rPr>
        <w:t xml:space="preserve"> mutations. Furthermore, all patients in this cohort have had at least one surgical resection and have more severe disease (with surgery being a marker of severity), another clinical feature suggested to be a result of NOD2 mutations. </w:t>
      </w:r>
    </w:p>
    <w:p w:rsidR="005C3717" w:rsidRDefault="005C3717" w:rsidP="00042CDF">
      <w:pPr>
        <w:spacing w:line="360" w:lineRule="auto"/>
        <w:ind w:firstLineChars="250" w:firstLine="600"/>
        <w:jc w:val="both"/>
        <w:rPr>
          <w:rFonts w:ascii="Book Antiqua" w:hAnsi="Book Antiqua"/>
          <w:szCs w:val="24"/>
          <w:lang w:val="en-US" w:eastAsia="zh-CN"/>
        </w:rPr>
      </w:pPr>
      <w:r w:rsidRPr="00710B70">
        <w:rPr>
          <w:rFonts w:ascii="Book Antiqua" w:hAnsi="Book Antiqua"/>
          <w:szCs w:val="24"/>
        </w:rPr>
        <w:t xml:space="preserve">In our study, the presence of a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 especially the 3020insC mutation</w:t>
      </w:r>
      <w:r w:rsidR="005C6FF0" w:rsidRPr="00710B70">
        <w:rPr>
          <w:rFonts w:ascii="Book Antiqua" w:hAnsi="Book Antiqua"/>
          <w:szCs w:val="24"/>
        </w:rPr>
        <w:t>,</w:t>
      </w:r>
      <w:r w:rsidRPr="00710B70">
        <w:rPr>
          <w:rFonts w:ascii="Book Antiqua" w:hAnsi="Book Antiqua"/>
          <w:szCs w:val="24"/>
        </w:rPr>
        <w:t xml:space="preserve"> predicted a more aggressive form of disease which rapidly </w:t>
      </w:r>
      <w:r w:rsidR="005C6FF0" w:rsidRPr="00710B70">
        <w:rPr>
          <w:rFonts w:ascii="Book Antiqua" w:hAnsi="Book Antiqua"/>
          <w:szCs w:val="24"/>
        </w:rPr>
        <w:t>progressed</w:t>
      </w:r>
      <w:r w:rsidRPr="00710B70">
        <w:rPr>
          <w:rFonts w:ascii="Book Antiqua" w:hAnsi="Book Antiqua"/>
          <w:szCs w:val="24"/>
        </w:rPr>
        <w:t xml:space="preserve"> </w:t>
      </w:r>
      <w:r w:rsidR="005C6FF0" w:rsidRPr="00710B70">
        <w:rPr>
          <w:rFonts w:ascii="Book Antiqua" w:hAnsi="Book Antiqua"/>
          <w:szCs w:val="24"/>
        </w:rPr>
        <w:t xml:space="preserve">and </w:t>
      </w:r>
      <w:r w:rsidRPr="00710B70">
        <w:rPr>
          <w:rFonts w:ascii="Book Antiqua" w:hAnsi="Book Antiqua"/>
          <w:szCs w:val="24"/>
        </w:rPr>
        <w:t>s</w:t>
      </w:r>
      <w:r w:rsidRPr="00710B70">
        <w:rPr>
          <w:rFonts w:ascii="Book Antiqua" w:hAnsi="Book Antiqua"/>
          <w:szCs w:val="24"/>
          <w:lang w:val="en-US"/>
        </w:rPr>
        <w:t>howed a trend towards the need for multiple surgical interventions</w:t>
      </w:r>
      <w:r w:rsidRPr="00710B70">
        <w:rPr>
          <w:rFonts w:ascii="Book Antiqua" w:hAnsi="Book Antiqua"/>
          <w:szCs w:val="24"/>
        </w:rPr>
        <w:t xml:space="preserve"> and</w:t>
      </w:r>
      <w:r w:rsidRPr="00710B70">
        <w:rPr>
          <w:rFonts w:ascii="Book Antiqua" w:hAnsi="Book Antiqua"/>
          <w:szCs w:val="24"/>
          <w:lang w:val="en-US"/>
        </w:rPr>
        <w:t xml:space="preserve"> a significantly shorter time to surgery after diagnosis. Full sequencing may not be relevant for clinical management based on current information, but our results do suggest a place for initial genotyping of the 3 pathogenic mutations.  Further confirmatory studies may suggest that a top-down therapy approach </w:t>
      </w:r>
      <w:r w:rsidR="005C6FF0" w:rsidRPr="00710B70">
        <w:rPr>
          <w:rFonts w:ascii="Book Antiqua" w:hAnsi="Book Antiqua"/>
          <w:szCs w:val="24"/>
          <w:lang w:val="en-US"/>
        </w:rPr>
        <w:t>coul</w:t>
      </w:r>
      <w:r w:rsidRPr="00710B70">
        <w:rPr>
          <w:rFonts w:ascii="Book Antiqua" w:hAnsi="Book Antiqua"/>
          <w:szCs w:val="24"/>
          <w:lang w:val="en-US"/>
        </w:rPr>
        <w:t xml:space="preserve">d be considered in mutation </w:t>
      </w:r>
      <w:r w:rsidR="005C6FF0" w:rsidRPr="00710B70">
        <w:rPr>
          <w:rFonts w:ascii="Book Antiqua" w:hAnsi="Book Antiqua"/>
          <w:szCs w:val="24"/>
          <w:lang w:val="en-US"/>
        </w:rPr>
        <w:t>positive</w:t>
      </w:r>
      <w:r w:rsidRPr="00710B70">
        <w:rPr>
          <w:rFonts w:ascii="Book Antiqua" w:hAnsi="Book Antiqua"/>
          <w:szCs w:val="24"/>
          <w:lang w:val="en-US"/>
        </w:rPr>
        <w:t>.  There is substantial optimism</w:t>
      </w:r>
      <w:r w:rsidR="005C6FF0" w:rsidRPr="00710B70">
        <w:rPr>
          <w:rFonts w:ascii="Book Antiqua" w:hAnsi="Book Antiqua"/>
          <w:szCs w:val="24"/>
          <w:lang w:val="en-US"/>
        </w:rPr>
        <w:t xml:space="preserve"> that </w:t>
      </w:r>
      <w:r w:rsidR="00620902" w:rsidRPr="00620902">
        <w:rPr>
          <w:rFonts w:ascii="Book Antiqua" w:hAnsi="Book Antiqua"/>
          <w:i/>
          <w:szCs w:val="24"/>
          <w:lang w:val="en-US"/>
        </w:rPr>
        <w:t>NOD2</w:t>
      </w:r>
      <w:r w:rsidR="00C159A4" w:rsidRPr="00C159A4">
        <w:rPr>
          <w:rFonts w:ascii="Book Antiqua" w:hAnsi="Book Antiqua"/>
          <w:szCs w:val="24"/>
          <w:lang w:val="en-US"/>
        </w:rPr>
        <w:t>/</w:t>
      </w:r>
      <w:r w:rsidR="00620902" w:rsidRPr="00620902">
        <w:rPr>
          <w:rFonts w:ascii="Book Antiqua" w:hAnsi="Book Antiqua"/>
          <w:i/>
          <w:szCs w:val="24"/>
          <w:lang w:val="en-US"/>
        </w:rPr>
        <w:t>CARD15</w:t>
      </w:r>
      <w:r w:rsidR="005C6FF0" w:rsidRPr="00710B70">
        <w:rPr>
          <w:rFonts w:ascii="Book Antiqua" w:hAnsi="Book Antiqua"/>
          <w:szCs w:val="24"/>
          <w:lang w:val="en-US"/>
        </w:rPr>
        <w:t xml:space="preserve"> genotyping could</w:t>
      </w:r>
      <w:r w:rsidRPr="00710B70">
        <w:rPr>
          <w:rFonts w:ascii="Book Antiqua" w:hAnsi="Book Antiqua"/>
          <w:szCs w:val="24"/>
          <w:lang w:val="en-US"/>
        </w:rPr>
        <w:t xml:space="preserve"> be used in the development of clinical paradigms in the management of Crohn’s disease, especially guiding the need for more aggressive medical therapy or surgical intervention after diagnosis of CD.</w:t>
      </w:r>
    </w:p>
    <w:p w:rsidR="00A46AD1" w:rsidRPr="00710B70" w:rsidRDefault="00A46AD1" w:rsidP="00042CDF">
      <w:pPr>
        <w:spacing w:line="360" w:lineRule="auto"/>
        <w:ind w:firstLineChars="250" w:firstLine="600"/>
        <w:jc w:val="both"/>
        <w:rPr>
          <w:rFonts w:ascii="Book Antiqua" w:hAnsi="Book Antiqua"/>
          <w:szCs w:val="24"/>
          <w:lang w:val="en-US" w:eastAsia="zh-CN"/>
        </w:rPr>
      </w:pPr>
    </w:p>
    <w:p w:rsidR="00C6669D" w:rsidRPr="00710B70" w:rsidRDefault="00C6669D" w:rsidP="00710B70">
      <w:pPr>
        <w:spacing w:line="360" w:lineRule="auto"/>
        <w:jc w:val="both"/>
        <w:rPr>
          <w:rFonts w:ascii="Book Antiqua" w:hAnsi="Book Antiqua"/>
          <w:szCs w:val="24"/>
        </w:rPr>
      </w:pPr>
      <w:bookmarkStart w:id="18" w:name="OLE_LINK14"/>
      <w:bookmarkStart w:id="19" w:name="OLE_LINK15"/>
      <w:bookmarkStart w:id="20" w:name="OLE_LINK23"/>
      <w:bookmarkStart w:id="21" w:name="OLE_LINK119"/>
      <w:r w:rsidRPr="00710B70">
        <w:rPr>
          <w:rFonts w:ascii="Book Antiqua" w:hAnsi="Book Antiqua"/>
          <w:b/>
          <w:szCs w:val="24"/>
        </w:rPr>
        <w:t>COMMENTS</w:t>
      </w:r>
    </w:p>
    <w:bookmarkEnd w:id="18"/>
    <w:bookmarkEnd w:id="19"/>
    <w:bookmarkEnd w:id="20"/>
    <w:bookmarkEnd w:id="21"/>
    <w:p w:rsidR="00746E43" w:rsidRPr="00710B70" w:rsidRDefault="00042CDF" w:rsidP="00710B70">
      <w:pPr>
        <w:spacing w:line="360" w:lineRule="auto"/>
        <w:jc w:val="both"/>
        <w:rPr>
          <w:rFonts w:ascii="Book Antiqua" w:hAnsi="Book Antiqua"/>
          <w:b/>
          <w:szCs w:val="24"/>
          <w:lang w:val="en-US"/>
        </w:rPr>
      </w:pPr>
      <w:r w:rsidRPr="00A11756">
        <w:rPr>
          <w:rFonts w:ascii="Book Antiqua" w:hAnsi="Book Antiqua"/>
          <w:b/>
          <w:bCs/>
          <w:i/>
          <w:szCs w:val="21"/>
        </w:rPr>
        <w:t>Background</w:t>
      </w:r>
    </w:p>
    <w:p w:rsidR="00EA0775" w:rsidRPr="00224DA3" w:rsidRDefault="00EA0775" w:rsidP="00224DA3">
      <w:pPr>
        <w:spacing w:line="360" w:lineRule="auto"/>
        <w:jc w:val="both"/>
        <w:rPr>
          <w:rFonts w:ascii="Book Antiqua" w:hAnsi="Book Antiqua"/>
          <w:szCs w:val="24"/>
        </w:rPr>
      </w:pPr>
      <w:r w:rsidRPr="00224DA3">
        <w:rPr>
          <w:rFonts w:ascii="Book Antiqua" w:hAnsi="Book Antiqua"/>
          <w:szCs w:val="24"/>
        </w:rPr>
        <w:t xml:space="preserve">Despite advances in the understanding of the pathogenesis of Crohn’s </w:t>
      </w:r>
      <w:r w:rsidR="00BC7F2F" w:rsidRPr="00224DA3">
        <w:rPr>
          <w:rFonts w:ascii="Book Antiqua" w:hAnsi="Book Antiqua"/>
          <w:szCs w:val="24"/>
        </w:rPr>
        <w:t>d</w:t>
      </w:r>
      <w:r w:rsidRPr="00224DA3">
        <w:rPr>
          <w:rFonts w:ascii="Book Antiqua" w:hAnsi="Book Antiqua"/>
          <w:szCs w:val="24"/>
        </w:rPr>
        <w:t>isease</w:t>
      </w:r>
      <w:r w:rsidR="00BC7F2F">
        <w:rPr>
          <w:rFonts w:ascii="Book Antiqua" w:hAnsi="Book Antiqua" w:hint="eastAsia"/>
          <w:szCs w:val="24"/>
          <w:lang w:eastAsia="zh-CN"/>
        </w:rPr>
        <w:t xml:space="preserve"> (CD)</w:t>
      </w:r>
      <w:r w:rsidRPr="00224DA3">
        <w:rPr>
          <w:rFonts w:ascii="Book Antiqua" w:hAnsi="Book Antiqua"/>
          <w:szCs w:val="24"/>
        </w:rPr>
        <w:t xml:space="preserve">, little is known about the influence of the </w:t>
      </w:r>
      <w:r w:rsidR="004C3E3F" w:rsidRPr="007309B5">
        <w:rPr>
          <w:rFonts w:ascii="Book Antiqua" w:hAnsi="Book Antiqua"/>
          <w:szCs w:val="24"/>
        </w:rPr>
        <w:t xml:space="preserve">Nucleotide-binding </w:t>
      </w:r>
      <w:r w:rsidR="004C3E3F" w:rsidRPr="007309B5">
        <w:rPr>
          <w:rFonts w:ascii="Book Antiqua" w:hAnsi="Book Antiqua"/>
          <w:szCs w:val="24"/>
        </w:rPr>
        <w:lastRenderedPageBreak/>
        <w:t>Oligomerisation Domain 2/ Caspase Recruitment Domains 15</w:t>
      </w:r>
      <w:r w:rsidR="004C3E3F" w:rsidRPr="007309B5">
        <w:rPr>
          <w:rFonts w:ascii="Book Antiqua" w:hAnsi="Book Antiqua" w:hint="eastAsia"/>
          <w:szCs w:val="24"/>
          <w:lang w:eastAsia="zh-CN"/>
        </w:rPr>
        <w:t xml:space="preserv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4C3E3F" w:rsidRPr="007309B5">
        <w:rPr>
          <w:rFonts w:ascii="Book Antiqua" w:hAnsi="Book Antiqua" w:hint="eastAsia"/>
          <w:szCs w:val="24"/>
          <w:lang w:eastAsia="zh-CN"/>
        </w:rPr>
        <w:t>)</w:t>
      </w:r>
      <w:r w:rsidRPr="00224DA3">
        <w:rPr>
          <w:rFonts w:ascii="Book Antiqua" w:hAnsi="Book Antiqua"/>
          <w:szCs w:val="24"/>
        </w:rPr>
        <w:t xml:space="preserve"> gene on the natural history of the disease with regard to the requirement for initial or subsequent surgery.  </w:t>
      </w:r>
    </w:p>
    <w:p w:rsidR="00042CDF" w:rsidRDefault="00042CDF" w:rsidP="00710B70">
      <w:pPr>
        <w:spacing w:line="360" w:lineRule="auto"/>
        <w:jc w:val="both"/>
        <w:rPr>
          <w:rFonts w:ascii="Book Antiqua" w:hAnsi="Book Antiqua"/>
          <w:b/>
          <w:szCs w:val="21"/>
          <w:lang w:eastAsia="zh-CN"/>
        </w:rPr>
      </w:pPr>
    </w:p>
    <w:p w:rsidR="00042CDF" w:rsidRDefault="00042CDF" w:rsidP="00710B70">
      <w:pPr>
        <w:spacing w:line="360" w:lineRule="auto"/>
        <w:jc w:val="both"/>
        <w:rPr>
          <w:rFonts w:ascii="Book Antiqua" w:hAnsi="Book Antiqua"/>
          <w:szCs w:val="24"/>
          <w:lang w:eastAsia="zh-CN"/>
        </w:rPr>
      </w:pPr>
      <w:r w:rsidRPr="00A11756">
        <w:rPr>
          <w:rFonts w:ascii="Book Antiqua" w:hAnsi="Book Antiqua"/>
          <w:b/>
          <w:bCs/>
          <w:i/>
          <w:szCs w:val="21"/>
        </w:rPr>
        <w:t>Innovations and breakthroughs</w:t>
      </w:r>
    </w:p>
    <w:p w:rsidR="00AF392B" w:rsidRDefault="00AF392B" w:rsidP="00710B70">
      <w:pPr>
        <w:spacing w:line="360" w:lineRule="auto"/>
        <w:jc w:val="both"/>
        <w:rPr>
          <w:rFonts w:ascii="Book Antiqua" w:hAnsi="Book Antiqua"/>
          <w:szCs w:val="24"/>
          <w:lang w:eastAsia="zh-CN"/>
        </w:rPr>
      </w:pPr>
      <w:r w:rsidRPr="00710B70">
        <w:rPr>
          <w:rFonts w:ascii="Book Antiqua" w:hAnsi="Book Antiqua"/>
          <w:szCs w:val="24"/>
        </w:rPr>
        <w:t xml:space="preserve">Most research studies conducted tend to carry out gene sequencing for the known pathogenic mutations, mainly due to cost limitations. This study was the first Australian study to conduct a full gene sequence of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to try to identify novel mutations that may have a pathogenic role. The study was rewarded with new sequence variations of which there were 12 patients with a P268S sequence variation. 9 of these patients were heterozygous for the P268S variation and 3 were homozygous. Whilst not previously identified, the P268S change was not found to independently reduce the time between surgery and diagnosis (</w:t>
      </w:r>
      <w:r w:rsidR="00EA0775" w:rsidRPr="00EA0775">
        <w:rPr>
          <w:rFonts w:ascii="Book Antiqua" w:hAnsi="Book Antiqua"/>
          <w:i/>
          <w:szCs w:val="24"/>
        </w:rPr>
        <w:t>P</w:t>
      </w:r>
      <w:r w:rsidRPr="00710B70">
        <w:rPr>
          <w:rFonts w:ascii="Book Antiqua" w:hAnsi="Book Antiqua"/>
          <w:szCs w:val="24"/>
        </w:rPr>
        <w:t xml:space="preserve"> value= </w:t>
      </w:r>
      <w:r w:rsidR="009A3C2D" w:rsidRPr="00710B70">
        <w:rPr>
          <w:rFonts w:ascii="Book Antiqua" w:hAnsi="Book Antiqua"/>
          <w:szCs w:val="24"/>
        </w:rPr>
        <w:t>0</w:t>
      </w:r>
      <w:r w:rsidRPr="00710B70">
        <w:rPr>
          <w:rFonts w:ascii="Book Antiqua" w:hAnsi="Book Antiqua"/>
          <w:szCs w:val="24"/>
        </w:rPr>
        <w:t xml:space="preserve">.067). It remains to be determined whether full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sequencing during the diagnosis of CD will be clinically useful and cost effective. Most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sequence variations identified in this study are rare and have not been found to influence the natural history of the disease.</w:t>
      </w:r>
    </w:p>
    <w:p w:rsidR="00042CDF" w:rsidRPr="00710B70" w:rsidRDefault="00042CDF" w:rsidP="00710B70">
      <w:pPr>
        <w:spacing w:line="360" w:lineRule="auto"/>
        <w:jc w:val="both"/>
        <w:rPr>
          <w:rFonts w:ascii="Book Antiqua" w:hAnsi="Book Antiqua"/>
          <w:szCs w:val="24"/>
          <w:lang w:eastAsia="zh-CN"/>
        </w:rPr>
      </w:pPr>
    </w:p>
    <w:p w:rsidR="00042CDF" w:rsidRDefault="00042CDF" w:rsidP="00710B70">
      <w:pPr>
        <w:autoSpaceDE w:val="0"/>
        <w:autoSpaceDN w:val="0"/>
        <w:adjustRightInd w:val="0"/>
        <w:spacing w:line="360" w:lineRule="auto"/>
        <w:jc w:val="both"/>
        <w:rPr>
          <w:rFonts w:ascii="Book Antiqua" w:hAnsi="Book Antiqua"/>
          <w:szCs w:val="24"/>
          <w:lang w:eastAsia="zh-CN"/>
        </w:rPr>
      </w:pPr>
      <w:r w:rsidRPr="00A11756">
        <w:rPr>
          <w:rFonts w:ascii="Book Antiqua" w:hAnsi="Book Antiqua"/>
          <w:b/>
          <w:bCs/>
          <w:i/>
          <w:szCs w:val="21"/>
        </w:rPr>
        <w:t>Applications</w:t>
      </w:r>
    </w:p>
    <w:p w:rsidR="00AF392B" w:rsidRPr="00042CDF" w:rsidRDefault="00AF392B" w:rsidP="00042CDF">
      <w:pPr>
        <w:autoSpaceDE w:val="0"/>
        <w:autoSpaceDN w:val="0"/>
        <w:adjustRightInd w:val="0"/>
        <w:spacing w:line="360" w:lineRule="auto"/>
        <w:jc w:val="both"/>
        <w:rPr>
          <w:rFonts w:ascii="Book Antiqua" w:hAnsi="Book Antiqua"/>
          <w:szCs w:val="24"/>
          <w:lang w:val="en-US" w:eastAsia="zh-CN"/>
        </w:rPr>
      </w:pPr>
      <w:r w:rsidRPr="00710B70">
        <w:rPr>
          <w:rFonts w:ascii="Book Antiqua" w:hAnsi="Book Antiqua"/>
          <w:szCs w:val="24"/>
        </w:rPr>
        <w:t xml:space="preserve">In this study, it was found that a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mutation predicted initial disease aggressiveness in CD with mutation positive patients having a significantly reduced time between the diagnosis of CD and initial surgery. There was also a trend to suggest that patients with the pathogenic mutations have a higher frequency of operations compared </w:t>
      </w:r>
      <w:r w:rsidR="00EA0775">
        <w:rPr>
          <w:rFonts w:ascii="Book Antiqua" w:hAnsi="Book Antiqua"/>
          <w:szCs w:val="24"/>
        </w:rPr>
        <w:t xml:space="preserve">to those without the mutation. </w:t>
      </w:r>
      <w:r w:rsidRPr="00710B70">
        <w:rPr>
          <w:rFonts w:ascii="Book Antiqua" w:hAnsi="Book Antiqua"/>
          <w:szCs w:val="24"/>
        </w:rPr>
        <w:t xml:space="preserve">These findings were particularly significant in the presence of the 3020insC mutation. </w:t>
      </w:r>
    </w:p>
    <w:p w:rsidR="00AF392B" w:rsidRPr="00710B70" w:rsidRDefault="00AF392B" w:rsidP="00710B70">
      <w:pPr>
        <w:spacing w:line="360" w:lineRule="auto"/>
        <w:jc w:val="both"/>
        <w:rPr>
          <w:rFonts w:ascii="Book Antiqua" w:hAnsi="Book Antiqua"/>
          <w:szCs w:val="24"/>
        </w:rPr>
      </w:pPr>
    </w:p>
    <w:p w:rsidR="00EA0775" w:rsidRDefault="00EA0775" w:rsidP="00710B70">
      <w:pPr>
        <w:spacing w:line="360" w:lineRule="auto"/>
        <w:jc w:val="both"/>
        <w:rPr>
          <w:rFonts w:ascii="Book Antiqua" w:hAnsi="Book Antiqua"/>
          <w:szCs w:val="24"/>
          <w:lang w:eastAsia="zh-CN"/>
        </w:rPr>
      </w:pPr>
      <w:r w:rsidRPr="00A11756">
        <w:rPr>
          <w:rFonts w:ascii="Book Antiqua" w:hAnsi="Book Antiqua"/>
          <w:b/>
          <w:bCs/>
          <w:i/>
          <w:szCs w:val="21"/>
        </w:rPr>
        <w:t>Peer review</w:t>
      </w:r>
    </w:p>
    <w:p w:rsidR="00AF392B" w:rsidRDefault="00224DA3" w:rsidP="00710B70">
      <w:pPr>
        <w:spacing w:line="360" w:lineRule="auto"/>
        <w:jc w:val="both"/>
        <w:rPr>
          <w:rFonts w:ascii="Book Antiqua" w:hAnsi="Book Antiqua"/>
          <w:szCs w:val="24"/>
          <w:lang w:eastAsia="zh-CN"/>
        </w:rPr>
      </w:pPr>
      <w:r w:rsidRPr="00224DA3">
        <w:rPr>
          <w:rFonts w:ascii="Book Antiqua" w:hAnsi="Book Antiqua"/>
          <w:szCs w:val="24"/>
        </w:rPr>
        <w:lastRenderedPageBreak/>
        <w:t xml:space="preserve">This </w:t>
      </w:r>
      <w:r w:rsidR="0050696D">
        <w:rPr>
          <w:rFonts w:ascii="Book Antiqua" w:hAnsi="Book Antiqua" w:hint="eastAsia"/>
          <w:szCs w:val="24"/>
          <w:lang w:eastAsia="zh-CN"/>
        </w:rPr>
        <w:t xml:space="preserve">is </w:t>
      </w:r>
      <w:r w:rsidRPr="00224DA3">
        <w:rPr>
          <w:rFonts w:ascii="Book Antiqua" w:hAnsi="Book Antiqua"/>
          <w:szCs w:val="24"/>
        </w:rPr>
        <w:t xml:space="preserve">an interesting manuscript. This study identify a new mutation INV2-25G in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224DA3">
        <w:rPr>
          <w:rFonts w:ascii="Book Antiqua" w:hAnsi="Book Antiqua"/>
          <w:szCs w:val="24"/>
        </w:rPr>
        <w:t xml:space="preserve"> gene, which is reported previously.</w:t>
      </w:r>
    </w:p>
    <w:p w:rsidR="003E56DE" w:rsidRDefault="003E56DE" w:rsidP="00710B70">
      <w:pPr>
        <w:spacing w:line="360" w:lineRule="auto"/>
        <w:jc w:val="both"/>
        <w:rPr>
          <w:rFonts w:ascii="Book Antiqua" w:hAnsi="Book Antiqua"/>
          <w:szCs w:val="24"/>
          <w:lang w:eastAsia="zh-CN"/>
        </w:rPr>
      </w:pPr>
    </w:p>
    <w:p w:rsidR="003E56DE" w:rsidRPr="00710B70" w:rsidRDefault="003E56DE" w:rsidP="00710B70">
      <w:pPr>
        <w:spacing w:line="360" w:lineRule="auto"/>
        <w:jc w:val="both"/>
        <w:rPr>
          <w:rFonts w:ascii="Book Antiqua" w:hAnsi="Book Antiqua"/>
          <w:szCs w:val="24"/>
          <w:lang w:eastAsia="zh-CN"/>
        </w:rPr>
      </w:pPr>
    </w:p>
    <w:p w:rsidR="00F9066B" w:rsidRPr="00710B70" w:rsidRDefault="00F9066B" w:rsidP="00710B70">
      <w:pPr>
        <w:spacing w:line="360" w:lineRule="auto"/>
        <w:jc w:val="both"/>
        <w:rPr>
          <w:rFonts w:ascii="Book Antiqua" w:hAnsi="Book Antiqua"/>
          <w:b/>
          <w:szCs w:val="24"/>
          <w:lang w:val="en-US"/>
        </w:rPr>
      </w:pPr>
      <w:r w:rsidRPr="00710B70">
        <w:rPr>
          <w:rFonts w:ascii="Book Antiqua" w:hAnsi="Book Antiqua"/>
          <w:b/>
          <w:szCs w:val="24"/>
          <w:lang w:val="en-US"/>
        </w:rPr>
        <w:t>REFERENCES</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w:t>
      </w:r>
      <w:r w:rsidRPr="00AF06D7">
        <w:rPr>
          <w:rFonts w:ascii="Book Antiqua" w:hAnsi="Book Antiqua" w:cs="宋体"/>
          <w:szCs w:val="24"/>
        </w:rPr>
        <w:t> </w:t>
      </w:r>
      <w:r w:rsidRPr="007D2A99">
        <w:rPr>
          <w:rFonts w:ascii="Book Antiqua" w:hAnsi="Book Antiqua" w:cs="宋体"/>
          <w:b/>
          <w:bCs/>
          <w:szCs w:val="24"/>
        </w:rPr>
        <w:t>Fiocchi C</w:t>
      </w:r>
      <w:r w:rsidRPr="007D2A99">
        <w:rPr>
          <w:rFonts w:ascii="Book Antiqua" w:hAnsi="Book Antiqua" w:cs="宋体"/>
          <w:szCs w:val="24"/>
        </w:rPr>
        <w:t>. Inflammatory bowel disease: etiology and pathogenesis.</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1998;</w:t>
      </w:r>
      <w:r w:rsidRPr="00AF06D7">
        <w:rPr>
          <w:rFonts w:ascii="Book Antiqua" w:hAnsi="Book Antiqua" w:cs="宋体"/>
          <w:szCs w:val="24"/>
        </w:rPr>
        <w:t> </w:t>
      </w:r>
      <w:r w:rsidRPr="007D2A99">
        <w:rPr>
          <w:rFonts w:ascii="Book Antiqua" w:hAnsi="Book Antiqua" w:cs="宋体"/>
          <w:b/>
          <w:bCs/>
          <w:szCs w:val="24"/>
        </w:rPr>
        <w:t>115</w:t>
      </w:r>
      <w:r w:rsidRPr="007D2A99">
        <w:rPr>
          <w:rFonts w:ascii="Book Antiqua" w:hAnsi="Book Antiqua" w:cs="宋体"/>
          <w:szCs w:val="24"/>
        </w:rPr>
        <w:t>: 182-205 [PMID: 9649475 DOI: 10.1016/S0016-5085(98)70381-6]</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w:t>
      </w:r>
      <w:r w:rsidRPr="00AF06D7">
        <w:rPr>
          <w:rFonts w:ascii="Book Antiqua" w:hAnsi="Book Antiqua" w:cs="宋体"/>
          <w:szCs w:val="24"/>
        </w:rPr>
        <w:t> </w:t>
      </w:r>
      <w:r w:rsidRPr="007D2A99">
        <w:rPr>
          <w:rFonts w:ascii="Book Antiqua" w:hAnsi="Book Antiqua" w:cs="宋体"/>
          <w:b/>
          <w:bCs/>
          <w:szCs w:val="24"/>
        </w:rPr>
        <w:t>Hugot JP</w:t>
      </w:r>
      <w:r w:rsidRPr="007D2A99">
        <w:rPr>
          <w:rFonts w:ascii="Book Antiqua" w:hAnsi="Book Antiqua" w:cs="宋体"/>
          <w:szCs w:val="24"/>
        </w:rPr>
        <w:t>, Laurent-Puig P, Gower-Rousseau C, Olson JM, Lee JC, Beaugerie L, Naom I, Dupas JL, Van Gossum A, Orholm M, Bonaiti-Pellie C, Weissenbach J, Mathew CG, Lennard-Jones JE, Cortot A, Colombel JF, Thomas G. Mapping of a susceptibility locus for Crohn's disease on chromosome 16.</w:t>
      </w:r>
      <w:r w:rsidRPr="00AF06D7">
        <w:rPr>
          <w:rFonts w:ascii="Book Antiqua" w:hAnsi="Book Antiqua" w:cs="宋体"/>
          <w:szCs w:val="24"/>
        </w:rPr>
        <w:t> </w:t>
      </w:r>
      <w:r w:rsidRPr="007D2A99">
        <w:rPr>
          <w:rFonts w:ascii="Book Antiqua" w:hAnsi="Book Antiqua" w:cs="宋体"/>
          <w:i/>
          <w:iCs/>
          <w:szCs w:val="24"/>
        </w:rPr>
        <w:t>Nature</w:t>
      </w:r>
      <w:r w:rsidRPr="00AF06D7">
        <w:rPr>
          <w:rFonts w:ascii="Book Antiqua" w:hAnsi="Book Antiqua" w:cs="宋体"/>
          <w:szCs w:val="24"/>
        </w:rPr>
        <w:t> </w:t>
      </w:r>
      <w:r w:rsidRPr="007D2A99">
        <w:rPr>
          <w:rFonts w:ascii="Book Antiqua" w:hAnsi="Book Antiqua" w:cs="宋体"/>
          <w:szCs w:val="24"/>
        </w:rPr>
        <w:t>1996;</w:t>
      </w:r>
      <w:r w:rsidRPr="00AF06D7">
        <w:rPr>
          <w:rFonts w:ascii="Book Antiqua" w:hAnsi="Book Antiqua" w:cs="宋体"/>
          <w:szCs w:val="24"/>
        </w:rPr>
        <w:t> </w:t>
      </w:r>
      <w:r w:rsidRPr="007D2A99">
        <w:rPr>
          <w:rFonts w:ascii="Book Antiqua" w:hAnsi="Book Antiqua" w:cs="宋体"/>
          <w:b/>
          <w:bCs/>
          <w:szCs w:val="24"/>
        </w:rPr>
        <w:t>379</w:t>
      </w:r>
      <w:r w:rsidRPr="007D2A99">
        <w:rPr>
          <w:rFonts w:ascii="Book Antiqua" w:hAnsi="Book Antiqua" w:cs="宋体"/>
          <w:szCs w:val="24"/>
        </w:rPr>
        <w:t>: 821-823 [PMID: 8587604 DOI: 10.1038/379821a0]</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w:t>
      </w:r>
      <w:r w:rsidRPr="00AF06D7">
        <w:rPr>
          <w:rFonts w:ascii="Book Antiqua" w:hAnsi="Book Antiqua" w:cs="宋体"/>
          <w:szCs w:val="24"/>
        </w:rPr>
        <w:t> </w:t>
      </w:r>
      <w:r w:rsidRPr="007D2A99">
        <w:rPr>
          <w:rFonts w:ascii="Book Antiqua" w:hAnsi="Book Antiqua" w:cs="宋体"/>
          <w:b/>
          <w:bCs/>
          <w:szCs w:val="24"/>
        </w:rPr>
        <w:t>Ogura Y</w:t>
      </w:r>
      <w:r w:rsidRPr="007D2A99">
        <w:rPr>
          <w:rFonts w:ascii="Book Antiqua" w:hAnsi="Book Antiqua" w:cs="宋体"/>
          <w:szCs w:val="24"/>
        </w:rPr>
        <w:t>, Bonen DK, Inohara N, Nicolae DL, Chen FF, Ramos R, Britton H, Moran T, Karaliuskas R, Duerr RH, Achkar JP, Brant SR, Bayless TM, Kirschner BS, Hanauer SB, Nuñez G, Cho JH. A frameshift mutation in NOD2 associated with susceptibility to Crohn's disease.</w:t>
      </w:r>
      <w:r w:rsidRPr="00AF06D7">
        <w:rPr>
          <w:rFonts w:ascii="Book Antiqua" w:hAnsi="Book Antiqua" w:cs="宋体"/>
          <w:szCs w:val="24"/>
        </w:rPr>
        <w:t> </w:t>
      </w:r>
      <w:r w:rsidRPr="007D2A99">
        <w:rPr>
          <w:rFonts w:ascii="Book Antiqua" w:hAnsi="Book Antiqua" w:cs="宋体"/>
          <w:i/>
          <w:iCs/>
          <w:szCs w:val="24"/>
        </w:rPr>
        <w:t>Nature</w:t>
      </w:r>
      <w:r w:rsidRPr="00AF06D7">
        <w:rPr>
          <w:rFonts w:ascii="Book Antiqua" w:hAnsi="Book Antiqua" w:cs="宋体"/>
          <w:szCs w:val="24"/>
        </w:rPr>
        <w:t> </w:t>
      </w:r>
      <w:r w:rsidRPr="007D2A99">
        <w:rPr>
          <w:rFonts w:ascii="Book Antiqua" w:hAnsi="Book Antiqua" w:cs="宋体"/>
          <w:szCs w:val="24"/>
        </w:rPr>
        <w:t>2001;</w:t>
      </w:r>
      <w:r w:rsidRPr="00AF06D7">
        <w:rPr>
          <w:rFonts w:ascii="Book Antiqua" w:hAnsi="Book Antiqua" w:cs="宋体"/>
          <w:szCs w:val="24"/>
        </w:rPr>
        <w:t> </w:t>
      </w:r>
      <w:r w:rsidRPr="007D2A99">
        <w:rPr>
          <w:rFonts w:ascii="Book Antiqua" w:hAnsi="Book Antiqua" w:cs="宋体"/>
          <w:b/>
          <w:bCs/>
          <w:szCs w:val="24"/>
        </w:rPr>
        <w:t>411</w:t>
      </w:r>
      <w:r w:rsidRPr="007D2A99">
        <w:rPr>
          <w:rFonts w:ascii="Book Antiqua" w:hAnsi="Book Antiqua" w:cs="宋体"/>
          <w:szCs w:val="24"/>
        </w:rPr>
        <w:t>: 603-606 [PMID: 11385577 DOI: 10.1038/35079114]</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4</w:t>
      </w:r>
      <w:r w:rsidRPr="00AF06D7">
        <w:rPr>
          <w:rFonts w:ascii="Book Antiqua" w:hAnsi="Book Antiqua" w:cs="宋体"/>
          <w:szCs w:val="24"/>
        </w:rPr>
        <w:t> </w:t>
      </w:r>
      <w:r w:rsidRPr="007D2A99">
        <w:rPr>
          <w:rFonts w:ascii="Book Antiqua" w:hAnsi="Book Antiqua" w:cs="宋体"/>
          <w:b/>
          <w:bCs/>
          <w:szCs w:val="24"/>
        </w:rPr>
        <w:t>Hugot JP</w:t>
      </w:r>
      <w:r w:rsidRPr="007D2A99">
        <w:rPr>
          <w:rFonts w:ascii="Book Antiqua" w:hAnsi="Book Antiqua" w:cs="宋体"/>
          <w:szCs w:val="24"/>
        </w:rPr>
        <w:t>, Chamaillard M, Zouali H, Lesage S, Cézard JP, Belaiche J, Almer S, Tysk C, O'Morain CA, Gassull M, Binder V, Finkel Y, Cortot A, Modigliani R, Laurent-Puig P, Gower-Rousseau C, Macry J, Colombel JF, Sahbatou M, Thomas G. Association of NOD2 leucine-rich repeat variants with susceptibility to Crohn's disease.</w:t>
      </w:r>
      <w:r w:rsidRPr="00AF06D7">
        <w:rPr>
          <w:rFonts w:ascii="Book Antiqua" w:hAnsi="Book Antiqua" w:cs="宋体"/>
          <w:szCs w:val="24"/>
        </w:rPr>
        <w:t> </w:t>
      </w:r>
      <w:r w:rsidRPr="007D2A99">
        <w:rPr>
          <w:rFonts w:ascii="Book Antiqua" w:hAnsi="Book Antiqua" w:cs="宋体"/>
          <w:i/>
          <w:iCs/>
          <w:szCs w:val="24"/>
        </w:rPr>
        <w:t>Nature</w:t>
      </w:r>
      <w:r w:rsidRPr="00AF06D7">
        <w:rPr>
          <w:rFonts w:ascii="Book Antiqua" w:hAnsi="Book Antiqua" w:cs="宋体"/>
          <w:szCs w:val="24"/>
        </w:rPr>
        <w:t> </w:t>
      </w:r>
      <w:r w:rsidRPr="007D2A99">
        <w:rPr>
          <w:rFonts w:ascii="Book Antiqua" w:hAnsi="Book Antiqua" w:cs="宋体"/>
          <w:szCs w:val="24"/>
        </w:rPr>
        <w:t>2001;</w:t>
      </w:r>
      <w:r w:rsidRPr="00AF06D7">
        <w:rPr>
          <w:rFonts w:ascii="Book Antiqua" w:hAnsi="Book Antiqua" w:cs="宋体"/>
          <w:szCs w:val="24"/>
        </w:rPr>
        <w:t> </w:t>
      </w:r>
      <w:r w:rsidRPr="007D2A99">
        <w:rPr>
          <w:rFonts w:ascii="Book Antiqua" w:hAnsi="Book Antiqua" w:cs="宋体"/>
          <w:b/>
          <w:bCs/>
          <w:szCs w:val="24"/>
        </w:rPr>
        <w:t>411</w:t>
      </w:r>
      <w:r w:rsidRPr="007D2A99">
        <w:rPr>
          <w:rFonts w:ascii="Book Antiqua" w:hAnsi="Book Antiqua" w:cs="宋体"/>
          <w:szCs w:val="24"/>
        </w:rPr>
        <w:t>: 599-603 [PMID: 11385576 DOI: 10.1038/35079107]</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5</w:t>
      </w:r>
      <w:r w:rsidRPr="00AF06D7">
        <w:rPr>
          <w:rFonts w:ascii="Book Antiqua" w:hAnsi="Book Antiqua" w:cs="宋体"/>
          <w:szCs w:val="24"/>
        </w:rPr>
        <w:t> </w:t>
      </w:r>
      <w:r w:rsidRPr="007D2A99">
        <w:rPr>
          <w:rFonts w:ascii="Book Antiqua" w:hAnsi="Book Antiqua" w:cs="宋体"/>
          <w:b/>
          <w:bCs/>
          <w:szCs w:val="24"/>
        </w:rPr>
        <w:t>Hampe J</w:t>
      </w:r>
      <w:r w:rsidRPr="007D2A99">
        <w:rPr>
          <w:rFonts w:ascii="Book Antiqua" w:hAnsi="Book Antiqua" w:cs="宋体"/>
          <w:szCs w:val="24"/>
        </w:rPr>
        <w:t xml:space="preserve">, Cuthbert A, Croucher PJ, Mirza MM, Mascheretti S, Fisher S, Frenzel H, King K, Hasselmeyer A, MacPherson AJ, Bridger S, van Deventer S, Forbes A, Nikolaus S, Lennard-Jones JE, Foelsch UR, Krawczak M, Lewis C, Schreiber S, Mathew CG. Association between insertion mutation in NOD2 gene and Crohn's </w:t>
      </w:r>
      <w:r w:rsidRPr="007D2A99">
        <w:rPr>
          <w:rFonts w:ascii="Book Antiqua" w:hAnsi="Book Antiqua" w:cs="宋体"/>
          <w:szCs w:val="24"/>
        </w:rPr>
        <w:lastRenderedPageBreak/>
        <w:t>disease in German and British populations.</w:t>
      </w:r>
      <w:r w:rsidRPr="00AF06D7">
        <w:rPr>
          <w:rFonts w:ascii="Book Antiqua" w:hAnsi="Book Antiqua" w:cs="宋体"/>
          <w:szCs w:val="24"/>
        </w:rPr>
        <w:t> </w:t>
      </w:r>
      <w:r w:rsidRPr="007D2A99">
        <w:rPr>
          <w:rFonts w:ascii="Book Antiqua" w:hAnsi="Book Antiqua" w:cs="宋体"/>
          <w:i/>
          <w:iCs/>
          <w:szCs w:val="24"/>
        </w:rPr>
        <w:t>Lancet</w:t>
      </w:r>
      <w:r w:rsidRPr="00AF06D7">
        <w:rPr>
          <w:rFonts w:ascii="Book Antiqua" w:hAnsi="Book Antiqua" w:cs="宋体"/>
          <w:szCs w:val="24"/>
        </w:rPr>
        <w:t> </w:t>
      </w:r>
      <w:r w:rsidRPr="007D2A99">
        <w:rPr>
          <w:rFonts w:ascii="Book Antiqua" w:hAnsi="Book Antiqua" w:cs="宋体"/>
          <w:szCs w:val="24"/>
        </w:rPr>
        <w:t>2001;</w:t>
      </w:r>
      <w:r w:rsidRPr="00AF06D7">
        <w:rPr>
          <w:rFonts w:ascii="Book Antiqua" w:hAnsi="Book Antiqua" w:cs="宋体"/>
          <w:szCs w:val="24"/>
        </w:rPr>
        <w:t> </w:t>
      </w:r>
      <w:r w:rsidRPr="007D2A99">
        <w:rPr>
          <w:rFonts w:ascii="Book Antiqua" w:hAnsi="Book Antiqua" w:cs="宋体"/>
          <w:b/>
          <w:bCs/>
          <w:szCs w:val="24"/>
        </w:rPr>
        <w:t>357</w:t>
      </w:r>
      <w:r w:rsidRPr="007D2A99">
        <w:rPr>
          <w:rFonts w:ascii="Book Antiqua" w:hAnsi="Book Antiqua" w:cs="宋体"/>
          <w:szCs w:val="24"/>
        </w:rPr>
        <w:t>: 1925-1928 [PMID: 11425413 DOI: 10.1016/S0140-6736(00)05063-7]</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6</w:t>
      </w:r>
      <w:r w:rsidRPr="00AF06D7">
        <w:rPr>
          <w:rFonts w:ascii="Book Antiqua" w:hAnsi="Book Antiqua" w:cs="宋体"/>
          <w:szCs w:val="24"/>
        </w:rPr>
        <w:t> </w:t>
      </w:r>
      <w:r w:rsidRPr="007D2A99">
        <w:rPr>
          <w:rFonts w:ascii="Book Antiqua" w:hAnsi="Book Antiqua" w:cs="宋体"/>
          <w:b/>
          <w:bCs/>
          <w:szCs w:val="24"/>
        </w:rPr>
        <w:t>Lesage S</w:t>
      </w:r>
      <w:r w:rsidRPr="007D2A99">
        <w:rPr>
          <w:rFonts w:ascii="Book Antiqua" w:hAnsi="Book Antiqua" w:cs="宋体"/>
          <w:szCs w:val="24"/>
        </w:rPr>
        <w:t>, Zouali H, Cézard JP, Colombel JF, Belaiche J, Almer S, Tysk C, O'Morain C, Gassull M, Binder V, Finkel Y, Modigliani R, Gower-Rousseau C, Macry J, Merlin F, Chamaillard M, Jannot AS, Thomas G, Hugot JP. CARD15/NOD2 mutational analysis and genotype-phenotype correlation in 612 patients with inflammatory bowel disease.</w:t>
      </w:r>
      <w:r w:rsidRPr="00AF06D7">
        <w:rPr>
          <w:rFonts w:ascii="Book Antiqua" w:hAnsi="Book Antiqua" w:cs="宋体"/>
          <w:szCs w:val="24"/>
        </w:rPr>
        <w:t> </w:t>
      </w:r>
      <w:r w:rsidRPr="007D2A99">
        <w:rPr>
          <w:rFonts w:ascii="Book Antiqua" w:hAnsi="Book Antiqua" w:cs="宋体"/>
          <w:i/>
          <w:iCs/>
          <w:szCs w:val="24"/>
        </w:rPr>
        <w:t>Am J Hum Genet</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70</w:t>
      </w:r>
      <w:r w:rsidRPr="007D2A99">
        <w:rPr>
          <w:rFonts w:ascii="Book Antiqua" w:hAnsi="Book Antiqua" w:cs="宋体"/>
          <w:szCs w:val="24"/>
        </w:rPr>
        <w:t>: 845-857 [PMID: 11875755 DOI: 10.1086/339432]</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7</w:t>
      </w:r>
      <w:r w:rsidRPr="00AF06D7">
        <w:rPr>
          <w:rFonts w:ascii="Book Antiqua" w:hAnsi="Book Antiqua" w:cs="宋体"/>
          <w:szCs w:val="24"/>
        </w:rPr>
        <w:t> </w:t>
      </w:r>
      <w:r w:rsidRPr="007D2A99">
        <w:rPr>
          <w:rFonts w:ascii="Book Antiqua" w:hAnsi="Book Antiqua" w:cs="宋体"/>
          <w:b/>
          <w:bCs/>
          <w:szCs w:val="24"/>
        </w:rPr>
        <w:t>Ahmad T</w:t>
      </w:r>
      <w:r w:rsidRPr="007D2A99">
        <w:rPr>
          <w:rFonts w:ascii="Book Antiqua" w:hAnsi="Book Antiqua" w:cs="宋体"/>
          <w:szCs w:val="24"/>
        </w:rPr>
        <w:t>, Armuzzi A, Bunce M, Mulcahy-Hawes K, Marshall SE, Orchard TR, Crawshaw J, Large O, de Silva A, Cook JT, Barnardo M, Cullen S, Welsh KI, Jewell DP. The molecular classification of the clinical manifestations of Crohn's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122</w:t>
      </w:r>
      <w:r w:rsidRPr="007D2A99">
        <w:rPr>
          <w:rFonts w:ascii="Book Antiqua" w:hAnsi="Book Antiqua" w:cs="宋体"/>
          <w:szCs w:val="24"/>
        </w:rPr>
        <w:t>: 854-866 [PMID: 11910336 DOI: 10.1053/gast.2002.32413]</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8</w:t>
      </w:r>
      <w:r w:rsidRPr="00AF06D7">
        <w:rPr>
          <w:rFonts w:ascii="Book Antiqua" w:hAnsi="Book Antiqua" w:cs="宋体"/>
          <w:szCs w:val="24"/>
        </w:rPr>
        <w:t> </w:t>
      </w:r>
      <w:r w:rsidRPr="007D2A99">
        <w:rPr>
          <w:rFonts w:ascii="Book Antiqua" w:hAnsi="Book Antiqua" w:cs="宋体"/>
          <w:b/>
          <w:bCs/>
          <w:szCs w:val="24"/>
        </w:rPr>
        <w:t>Cuthbert AP</w:t>
      </w:r>
      <w:r w:rsidRPr="007D2A99">
        <w:rPr>
          <w:rFonts w:ascii="Book Antiqua" w:hAnsi="Book Antiqua" w:cs="宋体"/>
          <w:szCs w:val="24"/>
        </w:rPr>
        <w:t>, Fisher SA, Mirza MM, King K, Hampe J, Croucher PJ, Mascheretti S, Sanderson J, Forbes A, Mansfield J, Schreiber S, Lewis CM, Mathew CG. The contribution of NOD2 gene mutations to the risk and site of disease in inflammatory bowel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122</w:t>
      </w:r>
      <w:r w:rsidRPr="007D2A99">
        <w:rPr>
          <w:rFonts w:ascii="Book Antiqua" w:hAnsi="Book Antiqua" w:cs="宋体"/>
          <w:szCs w:val="24"/>
        </w:rPr>
        <w:t>: 867-874 [PMID: 11910337 DOI: 10.1053/gast.2002.32415]</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9</w:t>
      </w:r>
      <w:r w:rsidRPr="00AF06D7">
        <w:rPr>
          <w:rFonts w:ascii="Book Antiqua" w:hAnsi="Book Antiqua" w:cs="宋体"/>
          <w:szCs w:val="24"/>
        </w:rPr>
        <w:t> </w:t>
      </w:r>
      <w:r w:rsidRPr="007D2A99">
        <w:rPr>
          <w:rFonts w:ascii="Book Antiqua" w:hAnsi="Book Antiqua" w:cs="宋体"/>
          <w:b/>
          <w:bCs/>
          <w:szCs w:val="24"/>
        </w:rPr>
        <w:t>Murillo L</w:t>
      </w:r>
      <w:r w:rsidRPr="007D2A99">
        <w:rPr>
          <w:rFonts w:ascii="Book Antiqua" w:hAnsi="Book Antiqua" w:cs="宋体"/>
          <w:szCs w:val="24"/>
        </w:rPr>
        <w:t>, Crusius JB, van Bodegraven AA, Alizadeh BZ, Peña AS. CARD15 gene and the classification of Crohn's disease.</w:t>
      </w:r>
      <w:r w:rsidRPr="00AF06D7">
        <w:rPr>
          <w:rFonts w:ascii="Book Antiqua" w:hAnsi="Book Antiqua" w:cs="宋体"/>
          <w:szCs w:val="24"/>
        </w:rPr>
        <w:t> </w:t>
      </w:r>
      <w:r w:rsidRPr="007D2A99">
        <w:rPr>
          <w:rFonts w:ascii="Book Antiqua" w:hAnsi="Book Antiqua" w:cs="宋体"/>
          <w:i/>
          <w:iCs/>
          <w:szCs w:val="24"/>
        </w:rPr>
        <w:t>Immunogenetics</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54</w:t>
      </w:r>
      <w:r w:rsidRPr="007D2A99">
        <w:rPr>
          <w:rFonts w:ascii="Book Antiqua" w:hAnsi="Book Antiqua" w:cs="宋体"/>
          <w:szCs w:val="24"/>
        </w:rPr>
        <w:t>: 59-61 [PMID: 11976792 DOI: 10.1007/s00251-002-0440-1]</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10</w:t>
      </w:r>
      <w:r w:rsidRPr="00AF06D7">
        <w:rPr>
          <w:rFonts w:ascii="Book Antiqua" w:hAnsi="Book Antiqua" w:cs="宋体"/>
          <w:szCs w:val="24"/>
        </w:rPr>
        <w:t> </w:t>
      </w:r>
      <w:r w:rsidRPr="007D2A99">
        <w:rPr>
          <w:rFonts w:ascii="Book Antiqua" w:hAnsi="Book Antiqua" w:cs="宋体"/>
          <w:b/>
          <w:bCs/>
          <w:szCs w:val="24"/>
        </w:rPr>
        <w:t>Vermeire S</w:t>
      </w:r>
      <w:r w:rsidRPr="007D2A99">
        <w:rPr>
          <w:rFonts w:ascii="Book Antiqua" w:hAnsi="Book Antiqua" w:cs="宋体"/>
          <w:szCs w:val="24"/>
        </w:rPr>
        <w:t>, Wild G, Kocher K, Cousineau J, Dufresne L, Bitton A, Langelier D, Pare P, Lapointe G, Cohen A, Daly MJ, Rioux JD. CARD15 genetic variation in a Quebec population: prevalence, genotype-phenotype relationship, and haplotype structure.</w:t>
      </w:r>
      <w:r w:rsidRPr="00AF06D7">
        <w:rPr>
          <w:rFonts w:ascii="Book Antiqua" w:hAnsi="Book Antiqua" w:cs="宋体"/>
          <w:szCs w:val="24"/>
        </w:rPr>
        <w:t> </w:t>
      </w:r>
      <w:r w:rsidRPr="007D2A99">
        <w:rPr>
          <w:rFonts w:ascii="Book Antiqua" w:hAnsi="Book Antiqua" w:cs="宋体"/>
          <w:i/>
          <w:iCs/>
          <w:szCs w:val="24"/>
        </w:rPr>
        <w:t>Am J Hum Genet</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71</w:t>
      </w:r>
      <w:r w:rsidRPr="007D2A99">
        <w:rPr>
          <w:rFonts w:ascii="Book Antiqua" w:hAnsi="Book Antiqua" w:cs="宋体"/>
          <w:szCs w:val="24"/>
        </w:rPr>
        <w:t>: 74-83 [PMID: 12019468 DOI: 10.1086/341124]</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11</w:t>
      </w:r>
      <w:r w:rsidRPr="00AF06D7">
        <w:rPr>
          <w:rFonts w:ascii="Book Antiqua" w:hAnsi="Book Antiqua" w:cs="宋体"/>
          <w:szCs w:val="24"/>
        </w:rPr>
        <w:t> </w:t>
      </w:r>
      <w:r w:rsidRPr="007D2A99">
        <w:rPr>
          <w:rFonts w:ascii="Book Antiqua" w:hAnsi="Book Antiqua" w:cs="宋体"/>
          <w:b/>
          <w:bCs/>
          <w:szCs w:val="24"/>
        </w:rPr>
        <w:t>Radlmayr M</w:t>
      </w:r>
      <w:r w:rsidRPr="007D2A99">
        <w:rPr>
          <w:rFonts w:ascii="Book Antiqua" w:hAnsi="Book Antiqua" w:cs="宋体"/>
          <w:szCs w:val="24"/>
        </w:rPr>
        <w:t>, Török HP, Martin K, Folwaczny C. The c-insertion mutation of the NOD2 gene is associated with fistulizing and fibrostenotic phenotypes in Crohn's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122</w:t>
      </w:r>
      <w:r w:rsidRPr="007D2A99">
        <w:rPr>
          <w:rFonts w:ascii="Book Antiqua" w:hAnsi="Book Antiqua" w:cs="宋体"/>
          <w:szCs w:val="24"/>
        </w:rPr>
        <w:t>: 2091-2092 [PMID: 12055616 DOI: 10.1053/gast.2002.34020]</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lastRenderedPageBreak/>
        <w:t>12</w:t>
      </w:r>
      <w:r w:rsidRPr="00AF06D7">
        <w:rPr>
          <w:rFonts w:ascii="Book Antiqua" w:hAnsi="Book Antiqua" w:cs="宋体"/>
          <w:szCs w:val="24"/>
        </w:rPr>
        <w:t> </w:t>
      </w:r>
      <w:r w:rsidRPr="007D2A99">
        <w:rPr>
          <w:rFonts w:ascii="Book Antiqua" w:hAnsi="Book Antiqua" w:cs="宋体"/>
          <w:b/>
          <w:bCs/>
          <w:szCs w:val="24"/>
        </w:rPr>
        <w:t>Bonen DK</w:t>
      </w:r>
      <w:r w:rsidRPr="007D2A99">
        <w:rPr>
          <w:rFonts w:ascii="Book Antiqua" w:hAnsi="Book Antiqua" w:cs="宋体"/>
          <w:szCs w:val="24"/>
        </w:rPr>
        <w:t>, Ogura Y, Nicolae DL, Inohara N, Saab L, Tanabe T, Chen FF, Foster SJ, Duerr RH, Brant SR, Cho JH, Nuñez G. Crohn's disease-associated NOD2 variants share a signaling defect in response to lipopolysaccharide and peptidoglycan.</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2003;</w:t>
      </w:r>
      <w:r w:rsidRPr="00AF06D7">
        <w:rPr>
          <w:rFonts w:ascii="Book Antiqua" w:hAnsi="Book Antiqua" w:cs="宋体"/>
          <w:szCs w:val="24"/>
        </w:rPr>
        <w:t> </w:t>
      </w:r>
      <w:r w:rsidRPr="007D2A99">
        <w:rPr>
          <w:rFonts w:ascii="Book Antiqua" w:hAnsi="Book Antiqua" w:cs="宋体"/>
          <w:b/>
          <w:bCs/>
          <w:szCs w:val="24"/>
        </w:rPr>
        <w:t>124</w:t>
      </w:r>
      <w:r w:rsidRPr="007D2A99">
        <w:rPr>
          <w:rFonts w:ascii="Book Antiqua" w:hAnsi="Book Antiqua" w:cs="宋体"/>
          <w:szCs w:val="24"/>
        </w:rPr>
        <w:t>: 140-146 [PMID: 12512038 DOI: 10.1053/gast.2003.50019]</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13</w:t>
      </w:r>
      <w:r w:rsidRPr="00AF06D7">
        <w:rPr>
          <w:rFonts w:ascii="Book Antiqua" w:hAnsi="Book Antiqua" w:cs="宋体"/>
          <w:szCs w:val="24"/>
        </w:rPr>
        <w:t> </w:t>
      </w:r>
      <w:r w:rsidRPr="007D2A99">
        <w:rPr>
          <w:rFonts w:ascii="Book Antiqua" w:hAnsi="Book Antiqua" w:cs="宋体"/>
          <w:b/>
          <w:bCs/>
          <w:szCs w:val="24"/>
        </w:rPr>
        <w:t>Cavanaugh JA</w:t>
      </w:r>
      <w:r w:rsidRPr="007D2A99">
        <w:rPr>
          <w:rFonts w:ascii="Book Antiqua" w:hAnsi="Book Antiqua" w:cs="宋体"/>
          <w:szCs w:val="24"/>
        </w:rPr>
        <w:t>, Adams KE, Quak EJ, Bryce ME, O'Callaghan NJ, Rodgers HJ, Magarry GR, Butler WJ, Eaden JA, Roberts-Thomson IC, Pavli P, Wilson SR, Callen DF. CARD15/NOD2 risk alleles in the development of Crohn's disease in the Australian population.</w:t>
      </w:r>
      <w:r w:rsidRPr="00AF06D7">
        <w:rPr>
          <w:rFonts w:ascii="Book Antiqua" w:hAnsi="Book Antiqua" w:cs="宋体"/>
          <w:szCs w:val="24"/>
        </w:rPr>
        <w:t> </w:t>
      </w:r>
      <w:r w:rsidRPr="007D2A99">
        <w:rPr>
          <w:rFonts w:ascii="Book Antiqua" w:hAnsi="Book Antiqua" w:cs="宋体"/>
          <w:i/>
          <w:iCs/>
          <w:szCs w:val="24"/>
        </w:rPr>
        <w:t>Ann Hum Genet</w:t>
      </w:r>
      <w:r w:rsidRPr="00AF06D7">
        <w:rPr>
          <w:rFonts w:ascii="Book Antiqua" w:hAnsi="Book Antiqua" w:cs="宋体"/>
          <w:szCs w:val="24"/>
        </w:rPr>
        <w:t> </w:t>
      </w:r>
      <w:r w:rsidRPr="007D2A99">
        <w:rPr>
          <w:rFonts w:ascii="Book Antiqua" w:hAnsi="Book Antiqua" w:cs="宋体"/>
          <w:szCs w:val="24"/>
        </w:rPr>
        <w:t>2003;</w:t>
      </w:r>
      <w:r w:rsidRPr="00AF06D7">
        <w:rPr>
          <w:rFonts w:ascii="Book Antiqua" w:hAnsi="Book Antiqua" w:cs="宋体"/>
          <w:szCs w:val="24"/>
        </w:rPr>
        <w:t> </w:t>
      </w:r>
      <w:r w:rsidRPr="007D2A99">
        <w:rPr>
          <w:rFonts w:ascii="Book Antiqua" w:hAnsi="Book Antiqua" w:cs="宋体"/>
          <w:b/>
          <w:bCs/>
          <w:szCs w:val="24"/>
        </w:rPr>
        <w:t>67</w:t>
      </w:r>
      <w:r w:rsidRPr="007D2A99">
        <w:rPr>
          <w:rFonts w:ascii="Book Antiqua" w:hAnsi="Book Antiqua" w:cs="宋体"/>
          <w:szCs w:val="24"/>
        </w:rPr>
        <w:t>: 35-41 [PMID: 12556233 DOI: 10.1046/j.1469-1809.2003.00006.x]</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14</w:t>
      </w:r>
      <w:r w:rsidRPr="00AF06D7">
        <w:rPr>
          <w:rFonts w:ascii="Book Antiqua" w:hAnsi="Book Antiqua" w:cs="宋体"/>
          <w:szCs w:val="24"/>
        </w:rPr>
        <w:t> </w:t>
      </w:r>
      <w:r w:rsidRPr="007D2A99">
        <w:rPr>
          <w:rFonts w:ascii="Book Antiqua" w:hAnsi="Book Antiqua" w:cs="宋体"/>
          <w:b/>
          <w:bCs/>
          <w:szCs w:val="24"/>
        </w:rPr>
        <w:t>Bonen DK</w:t>
      </w:r>
      <w:r w:rsidRPr="007D2A99">
        <w:rPr>
          <w:rFonts w:ascii="Book Antiqua" w:hAnsi="Book Antiqua" w:cs="宋体"/>
          <w:szCs w:val="24"/>
        </w:rPr>
        <w:t>, Cho JH. The genetics of inflammatory bowel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2003;</w:t>
      </w:r>
      <w:r w:rsidRPr="00AF06D7">
        <w:rPr>
          <w:rFonts w:ascii="Book Antiqua" w:hAnsi="Book Antiqua" w:cs="宋体"/>
          <w:szCs w:val="24"/>
        </w:rPr>
        <w:t> </w:t>
      </w:r>
      <w:r w:rsidRPr="007D2A99">
        <w:rPr>
          <w:rFonts w:ascii="Book Antiqua" w:hAnsi="Book Antiqua" w:cs="宋体"/>
          <w:b/>
          <w:bCs/>
          <w:szCs w:val="24"/>
        </w:rPr>
        <w:t>124</w:t>
      </w:r>
      <w:r w:rsidRPr="007D2A99">
        <w:rPr>
          <w:rFonts w:ascii="Book Antiqua" w:hAnsi="Book Antiqua" w:cs="宋体"/>
          <w:szCs w:val="24"/>
        </w:rPr>
        <w:t>: 521-536 [PMID: 12557156 DOI: 10.1053/gast.2003.50045]</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15</w:t>
      </w:r>
      <w:r w:rsidRPr="00AF06D7">
        <w:rPr>
          <w:rFonts w:ascii="Book Antiqua" w:hAnsi="Book Antiqua" w:cs="宋体"/>
          <w:szCs w:val="24"/>
        </w:rPr>
        <w:t> </w:t>
      </w:r>
      <w:r w:rsidRPr="007D2A99">
        <w:rPr>
          <w:rFonts w:ascii="Book Antiqua" w:hAnsi="Book Antiqua" w:cs="宋体"/>
          <w:b/>
          <w:bCs/>
          <w:szCs w:val="24"/>
        </w:rPr>
        <w:t>Economou M</w:t>
      </w:r>
      <w:r w:rsidRPr="007D2A99">
        <w:rPr>
          <w:rFonts w:ascii="Book Antiqua" w:hAnsi="Book Antiqua" w:cs="宋体"/>
          <w:szCs w:val="24"/>
        </w:rPr>
        <w:t>, Trikalinos TA, Loizou KT, Tsianos EV, Ioannidis JP. Differential effects of NOD2 variants on Crohn's disease risk and phenotype in diverse populations: a metaanalysis.</w:t>
      </w:r>
      <w:r w:rsidRPr="00AF06D7">
        <w:rPr>
          <w:rFonts w:ascii="Book Antiqua" w:hAnsi="Book Antiqua" w:cs="宋体"/>
          <w:szCs w:val="24"/>
        </w:rPr>
        <w:t> </w:t>
      </w:r>
      <w:r w:rsidRPr="007D2A99">
        <w:rPr>
          <w:rFonts w:ascii="Book Antiqua" w:hAnsi="Book Antiqua" w:cs="宋体"/>
          <w:i/>
          <w:iCs/>
          <w:szCs w:val="24"/>
        </w:rPr>
        <w:t>Am J Gastroenterol</w:t>
      </w:r>
      <w:r w:rsidRPr="00AF06D7">
        <w:rPr>
          <w:rFonts w:ascii="Book Antiqua" w:hAnsi="Book Antiqua" w:cs="宋体"/>
          <w:szCs w:val="24"/>
        </w:rPr>
        <w:t> </w:t>
      </w:r>
      <w:r w:rsidRPr="007D2A99">
        <w:rPr>
          <w:rFonts w:ascii="Book Antiqua" w:hAnsi="Book Antiqua" w:cs="宋体"/>
          <w:szCs w:val="24"/>
        </w:rPr>
        <w:t>2004;</w:t>
      </w:r>
      <w:r w:rsidRPr="00AF06D7">
        <w:rPr>
          <w:rFonts w:ascii="Book Antiqua" w:hAnsi="Book Antiqua" w:cs="宋体"/>
          <w:szCs w:val="24"/>
        </w:rPr>
        <w:t> </w:t>
      </w:r>
      <w:r w:rsidRPr="007D2A99">
        <w:rPr>
          <w:rFonts w:ascii="Book Antiqua" w:hAnsi="Book Antiqua" w:cs="宋体"/>
          <w:b/>
          <w:bCs/>
          <w:szCs w:val="24"/>
        </w:rPr>
        <w:t>99</w:t>
      </w:r>
      <w:r w:rsidRPr="007D2A99">
        <w:rPr>
          <w:rFonts w:ascii="Book Antiqua" w:hAnsi="Book Antiqua" w:cs="宋体"/>
          <w:szCs w:val="24"/>
        </w:rPr>
        <w:t>: 2393-2404 [PMID: 15571588 DOI: 10.1111/j.1572-0241.2004.40304.x]</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16</w:t>
      </w:r>
      <w:r w:rsidRPr="00AF06D7">
        <w:rPr>
          <w:rFonts w:ascii="Book Antiqua" w:hAnsi="Book Antiqua" w:cs="宋体"/>
          <w:szCs w:val="24"/>
        </w:rPr>
        <w:t> </w:t>
      </w:r>
      <w:r w:rsidRPr="007D2A99">
        <w:rPr>
          <w:rFonts w:ascii="Book Antiqua" w:hAnsi="Book Antiqua" w:cs="宋体"/>
          <w:b/>
          <w:bCs/>
          <w:szCs w:val="24"/>
        </w:rPr>
        <w:t>Bayless TM</w:t>
      </w:r>
      <w:r w:rsidRPr="007D2A99">
        <w:rPr>
          <w:rFonts w:ascii="Book Antiqua" w:hAnsi="Book Antiqua" w:cs="宋体"/>
          <w:szCs w:val="24"/>
        </w:rPr>
        <w:t>, Tokayer AZ, Polito JM, Quaskey SA, Mellits ED, Harris ML. Crohn's disease: concordance for site and clinical type in affected family members--potential hereditary influences.</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1996;</w:t>
      </w:r>
      <w:r w:rsidRPr="00AF06D7">
        <w:rPr>
          <w:rFonts w:ascii="Book Antiqua" w:hAnsi="Book Antiqua" w:cs="宋体"/>
          <w:szCs w:val="24"/>
        </w:rPr>
        <w:t> </w:t>
      </w:r>
      <w:r w:rsidRPr="007D2A99">
        <w:rPr>
          <w:rFonts w:ascii="Book Antiqua" w:hAnsi="Book Antiqua" w:cs="宋体"/>
          <w:b/>
          <w:bCs/>
          <w:szCs w:val="24"/>
        </w:rPr>
        <w:t>111</w:t>
      </w:r>
      <w:r w:rsidRPr="007D2A99">
        <w:rPr>
          <w:rFonts w:ascii="Book Antiqua" w:hAnsi="Book Antiqua" w:cs="宋体"/>
          <w:szCs w:val="24"/>
        </w:rPr>
        <w:t>: 573-579 [PMID: 8780559 DOI: 10.1053/gast.1996.v111.pm8780559]</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17</w:t>
      </w:r>
      <w:r w:rsidRPr="00AF06D7">
        <w:rPr>
          <w:rFonts w:ascii="Book Antiqua" w:hAnsi="Book Antiqua" w:cs="宋体"/>
          <w:szCs w:val="24"/>
        </w:rPr>
        <w:t> </w:t>
      </w:r>
      <w:r w:rsidRPr="007D2A99">
        <w:rPr>
          <w:rFonts w:ascii="Book Antiqua" w:hAnsi="Book Antiqua" w:cs="宋体"/>
          <w:b/>
          <w:bCs/>
          <w:szCs w:val="24"/>
        </w:rPr>
        <w:t>Polito JM</w:t>
      </w:r>
      <w:r w:rsidRPr="007D2A99">
        <w:rPr>
          <w:rFonts w:ascii="Book Antiqua" w:hAnsi="Book Antiqua" w:cs="宋体"/>
          <w:szCs w:val="24"/>
        </w:rPr>
        <w:t>, Childs B, Mellits ED, Tokayer AZ, Harris ML, Bayless TM. Crohn's disease: influence of age at diagnosis on site and clinical type of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1996;</w:t>
      </w:r>
      <w:r w:rsidRPr="00AF06D7">
        <w:rPr>
          <w:rFonts w:ascii="Book Antiqua" w:hAnsi="Book Antiqua" w:cs="宋体"/>
          <w:szCs w:val="24"/>
        </w:rPr>
        <w:t> </w:t>
      </w:r>
      <w:r w:rsidRPr="007D2A99">
        <w:rPr>
          <w:rFonts w:ascii="Book Antiqua" w:hAnsi="Book Antiqua" w:cs="宋体"/>
          <w:b/>
          <w:bCs/>
          <w:szCs w:val="24"/>
        </w:rPr>
        <w:t>111</w:t>
      </w:r>
      <w:r w:rsidRPr="007D2A99">
        <w:rPr>
          <w:rFonts w:ascii="Book Antiqua" w:hAnsi="Book Antiqua" w:cs="宋体"/>
          <w:szCs w:val="24"/>
        </w:rPr>
        <w:t>: 580-586 [PMID: 8780560]</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18</w:t>
      </w:r>
      <w:r w:rsidRPr="00AF06D7">
        <w:rPr>
          <w:rFonts w:ascii="Book Antiqua" w:hAnsi="Book Antiqua" w:cs="宋体"/>
          <w:szCs w:val="24"/>
        </w:rPr>
        <w:t> </w:t>
      </w:r>
      <w:r w:rsidRPr="007D2A99">
        <w:rPr>
          <w:rFonts w:ascii="Book Antiqua" w:hAnsi="Book Antiqua" w:cs="宋体"/>
          <w:b/>
          <w:bCs/>
          <w:szCs w:val="24"/>
        </w:rPr>
        <w:t>Laghi L</w:t>
      </w:r>
      <w:r w:rsidRPr="007D2A99">
        <w:rPr>
          <w:rFonts w:ascii="Book Antiqua" w:hAnsi="Book Antiqua" w:cs="宋体"/>
          <w:szCs w:val="24"/>
        </w:rPr>
        <w:t>, Costa S, Saibeni S, Bianchi P, Omodei P, Carrara A, Spina L, Contessini Avesani E, Vecchi M, De Franchis R, Malesci A. Carriage of CARD15 variants and smoking as risk factors for resective surgery in patients with Crohn's ileal disease.</w:t>
      </w:r>
      <w:r w:rsidRPr="00AF06D7">
        <w:rPr>
          <w:rFonts w:ascii="Book Antiqua" w:hAnsi="Book Antiqua" w:cs="宋体"/>
          <w:szCs w:val="24"/>
        </w:rPr>
        <w:t> </w:t>
      </w:r>
      <w:r w:rsidRPr="007D2A99">
        <w:rPr>
          <w:rFonts w:ascii="Book Antiqua" w:hAnsi="Book Antiqua" w:cs="宋体"/>
          <w:i/>
          <w:iCs/>
          <w:szCs w:val="24"/>
        </w:rPr>
        <w:t>Aliment Pharmacol Ther</w:t>
      </w:r>
      <w:r w:rsidRPr="00AF06D7">
        <w:rPr>
          <w:rFonts w:ascii="Book Antiqua" w:hAnsi="Book Antiqua" w:cs="宋体"/>
          <w:szCs w:val="24"/>
        </w:rPr>
        <w:t> </w:t>
      </w:r>
      <w:r w:rsidRPr="007D2A99">
        <w:rPr>
          <w:rFonts w:ascii="Book Antiqua" w:hAnsi="Book Antiqua" w:cs="宋体"/>
          <w:szCs w:val="24"/>
        </w:rPr>
        <w:t>2005;</w:t>
      </w:r>
      <w:r w:rsidRPr="00AF06D7">
        <w:rPr>
          <w:rFonts w:ascii="Book Antiqua" w:hAnsi="Book Antiqua" w:cs="宋体"/>
          <w:szCs w:val="24"/>
        </w:rPr>
        <w:t> </w:t>
      </w:r>
      <w:r w:rsidRPr="007D2A99">
        <w:rPr>
          <w:rFonts w:ascii="Book Antiqua" w:hAnsi="Book Antiqua" w:cs="宋体"/>
          <w:b/>
          <w:bCs/>
          <w:szCs w:val="24"/>
        </w:rPr>
        <w:t>22</w:t>
      </w:r>
      <w:r w:rsidRPr="007D2A99">
        <w:rPr>
          <w:rFonts w:ascii="Book Antiqua" w:hAnsi="Book Antiqua" w:cs="宋体"/>
          <w:szCs w:val="24"/>
        </w:rPr>
        <w:t>: 557-564 [PMID: 16167972]</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lastRenderedPageBreak/>
        <w:t>19</w:t>
      </w:r>
      <w:r w:rsidRPr="00AF06D7">
        <w:rPr>
          <w:rFonts w:ascii="Book Antiqua" w:hAnsi="Book Antiqua" w:cs="宋体"/>
          <w:szCs w:val="24"/>
        </w:rPr>
        <w:t> </w:t>
      </w:r>
      <w:r w:rsidRPr="007D2A99">
        <w:rPr>
          <w:rFonts w:ascii="Book Antiqua" w:hAnsi="Book Antiqua" w:cs="宋体"/>
          <w:b/>
          <w:bCs/>
          <w:szCs w:val="24"/>
        </w:rPr>
        <w:t>Heliö T</w:t>
      </w:r>
      <w:r w:rsidRPr="007D2A99">
        <w:rPr>
          <w:rFonts w:ascii="Book Antiqua" w:hAnsi="Book Antiqua" w:cs="宋体"/>
          <w:szCs w:val="24"/>
        </w:rPr>
        <w:t>, Halme L, Lappalainen M, Fodstad H, Paavola-Sakki P, Turunen U, Färkkilä M, Krusius T, Kontula K. CARD15/NOD2 gene variants are associated with familially occurring and complicated forms of Crohn's disease.</w:t>
      </w:r>
      <w:r w:rsidRPr="00AF06D7">
        <w:rPr>
          <w:rFonts w:ascii="Book Antiqua" w:hAnsi="Book Antiqua" w:cs="宋体"/>
          <w:szCs w:val="24"/>
        </w:rPr>
        <w:t> </w:t>
      </w:r>
      <w:r w:rsidRPr="007D2A99">
        <w:rPr>
          <w:rFonts w:ascii="Book Antiqua" w:hAnsi="Book Antiqua" w:cs="宋体"/>
          <w:i/>
          <w:iCs/>
          <w:szCs w:val="24"/>
        </w:rPr>
        <w:t>Gut</w:t>
      </w:r>
      <w:r w:rsidRPr="00AF06D7">
        <w:rPr>
          <w:rFonts w:ascii="Book Antiqua" w:hAnsi="Book Antiqua" w:cs="宋体"/>
          <w:szCs w:val="24"/>
        </w:rPr>
        <w:t> </w:t>
      </w:r>
      <w:r w:rsidRPr="007D2A99">
        <w:rPr>
          <w:rFonts w:ascii="Book Antiqua" w:hAnsi="Book Antiqua" w:cs="宋体"/>
          <w:szCs w:val="24"/>
        </w:rPr>
        <w:t>2003;</w:t>
      </w:r>
      <w:r w:rsidRPr="00AF06D7">
        <w:rPr>
          <w:rFonts w:ascii="Book Antiqua" w:hAnsi="Book Antiqua" w:cs="宋体"/>
          <w:szCs w:val="24"/>
        </w:rPr>
        <w:t> </w:t>
      </w:r>
      <w:r w:rsidRPr="007D2A99">
        <w:rPr>
          <w:rFonts w:ascii="Book Antiqua" w:hAnsi="Book Antiqua" w:cs="宋体"/>
          <w:b/>
          <w:bCs/>
          <w:szCs w:val="24"/>
        </w:rPr>
        <w:t>52</w:t>
      </w:r>
      <w:r w:rsidRPr="007D2A99">
        <w:rPr>
          <w:rFonts w:ascii="Book Antiqua" w:hAnsi="Book Antiqua" w:cs="宋体"/>
          <w:szCs w:val="24"/>
        </w:rPr>
        <w:t>: 558-562 [PMID: 12631669 DOI: 10.1136/gut.52.4.558]</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20</w:t>
      </w:r>
      <w:r w:rsidRPr="00AF06D7">
        <w:rPr>
          <w:rFonts w:ascii="Book Antiqua" w:hAnsi="Book Antiqua" w:cs="宋体"/>
          <w:szCs w:val="24"/>
        </w:rPr>
        <w:t> </w:t>
      </w:r>
      <w:r w:rsidRPr="007D2A99">
        <w:rPr>
          <w:rFonts w:ascii="Book Antiqua" w:hAnsi="Book Antiqua" w:cs="宋体"/>
          <w:b/>
          <w:bCs/>
          <w:szCs w:val="24"/>
        </w:rPr>
        <w:t>Büning C</w:t>
      </w:r>
      <w:r w:rsidRPr="007D2A99">
        <w:rPr>
          <w:rFonts w:ascii="Book Antiqua" w:hAnsi="Book Antiqua" w:cs="宋体"/>
          <w:szCs w:val="24"/>
        </w:rPr>
        <w:t xml:space="preserve">, Genschel J, Bühner S, Krüger S, Kling K, Dignass A, Baier P, Bochow B, Ockenga J, Schmidt HH, Lochs H. Mutations in the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gene in Crohn's disease are associated with ileocecal resection and are a risk factor for reoperation.</w:t>
      </w:r>
      <w:r w:rsidRPr="00AF06D7">
        <w:rPr>
          <w:rFonts w:ascii="Book Antiqua" w:hAnsi="Book Antiqua" w:cs="宋体"/>
          <w:szCs w:val="24"/>
        </w:rPr>
        <w:t> </w:t>
      </w:r>
      <w:r w:rsidRPr="007D2A99">
        <w:rPr>
          <w:rFonts w:ascii="Book Antiqua" w:hAnsi="Book Antiqua" w:cs="宋体"/>
          <w:i/>
          <w:iCs/>
          <w:szCs w:val="24"/>
        </w:rPr>
        <w:t>Aliment Pharmacol Ther</w:t>
      </w:r>
      <w:r w:rsidRPr="00AF06D7">
        <w:rPr>
          <w:rFonts w:ascii="Book Antiqua" w:hAnsi="Book Antiqua" w:cs="宋体"/>
          <w:szCs w:val="24"/>
        </w:rPr>
        <w:t> </w:t>
      </w:r>
      <w:r w:rsidRPr="007D2A99">
        <w:rPr>
          <w:rFonts w:ascii="Book Antiqua" w:hAnsi="Book Antiqua" w:cs="宋体"/>
          <w:szCs w:val="24"/>
        </w:rPr>
        <w:t>2004;</w:t>
      </w:r>
      <w:r w:rsidRPr="00AF06D7">
        <w:rPr>
          <w:rFonts w:ascii="Book Antiqua" w:hAnsi="Book Antiqua" w:cs="宋体"/>
          <w:szCs w:val="24"/>
        </w:rPr>
        <w:t> </w:t>
      </w:r>
      <w:r w:rsidRPr="007D2A99">
        <w:rPr>
          <w:rFonts w:ascii="Book Antiqua" w:hAnsi="Book Antiqua" w:cs="宋体"/>
          <w:b/>
          <w:bCs/>
          <w:szCs w:val="24"/>
        </w:rPr>
        <w:t>19</w:t>
      </w:r>
      <w:r w:rsidRPr="007D2A99">
        <w:rPr>
          <w:rFonts w:ascii="Book Antiqua" w:hAnsi="Book Antiqua" w:cs="宋体"/>
          <w:szCs w:val="24"/>
        </w:rPr>
        <w:t>: 1073-1078 [PMID: 15142196 DOI: 10.1111/j.1365-2036.2004.01967.x]</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21</w:t>
      </w:r>
      <w:r w:rsidRPr="00AF06D7">
        <w:rPr>
          <w:rFonts w:ascii="Book Antiqua" w:hAnsi="Book Antiqua" w:cs="宋体"/>
          <w:szCs w:val="24"/>
        </w:rPr>
        <w:t> </w:t>
      </w:r>
      <w:r w:rsidRPr="007D2A99">
        <w:rPr>
          <w:rFonts w:ascii="Book Antiqua" w:hAnsi="Book Antiqua" w:cs="宋体"/>
          <w:b/>
          <w:bCs/>
          <w:szCs w:val="24"/>
        </w:rPr>
        <w:t>Alvarez-Lobos M</w:t>
      </w:r>
      <w:r w:rsidRPr="007D2A99">
        <w:rPr>
          <w:rFonts w:ascii="Book Antiqua" w:hAnsi="Book Antiqua" w:cs="宋体"/>
          <w:szCs w:val="24"/>
        </w:rPr>
        <w:t xml:space="preserve">, Arostegui JI, Sans M, Tassies D, Plaza S, Delgado S, Lacy AM, Pique JM, Yagüe J, Panés J. Crohn's disease patients carrying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gene variants have an increased and early need for first surgery due to stricturing disease and higher rate of surgical recurrence.</w:t>
      </w:r>
      <w:r w:rsidRPr="00AF06D7">
        <w:rPr>
          <w:rFonts w:ascii="Book Antiqua" w:hAnsi="Book Antiqua" w:cs="宋体"/>
          <w:szCs w:val="24"/>
        </w:rPr>
        <w:t> </w:t>
      </w:r>
      <w:r w:rsidRPr="007D2A99">
        <w:rPr>
          <w:rFonts w:ascii="Book Antiqua" w:hAnsi="Book Antiqua" w:cs="宋体"/>
          <w:i/>
          <w:iCs/>
          <w:szCs w:val="24"/>
        </w:rPr>
        <w:t>Ann Surg</w:t>
      </w:r>
      <w:r w:rsidRPr="00AF06D7">
        <w:rPr>
          <w:rFonts w:ascii="Book Antiqua" w:hAnsi="Book Antiqua" w:cs="宋体"/>
          <w:szCs w:val="24"/>
        </w:rPr>
        <w:t> </w:t>
      </w:r>
      <w:r w:rsidRPr="007D2A99">
        <w:rPr>
          <w:rFonts w:ascii="Book Antiqua" w:hAnsi="Book Antiqua" w:cs="宋体"/>
          <w:szCs w:val="24"/>
        </w:rPr>
        <w:t>2005;</w:t>
      </w:r>
      <w:r w:rsidRPr="00AF06D7">
        <w:rPr>
          <w:rFonts w:ascii="Book Antiqua" w:hAnsi="Book Antiqua" w:cs="宋体"/>
          <w:szCs w:val="24"/>
        </w:rPr>
        <w:t> </w:t>
      </w:r>
      <w:r w:rsidRPr="007D2A99">
        <w:rPr>
          <w:rFonts w:ascii="Book Antiqua" w:hAnsi="Book Antiqua" w:cs="宋体"/>
          <w:b/>
          <w:bCs/>
          <w:szCs w:val="24"/>
        </w:rPr>
        <w:t>242</w:t>
      </w:r>
      <w:r w:rsidRPr="007D2A99">
        <w:rPr>
          <w:rFonts w:ascii="Book Antiqua" w:hAnsi="Book Antiqua" w:cs="宋体"/>
          <w:szCs w:val="24"/>
        </w:rPr>
        <w:t>: 693-700 [PMID: 16244543 DOI: 10.1097/01.sla.0000186173.14696.ea]</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22</w:t>
      </w:r>
      <w:r w:rsidRPr="00AF06D7">
        <w:rPr>
          <w:rFonts w:ascii="Book Antiqua" w:hAnsi="Book Antiqua" w:cs="宋体"/>
          <w:szCs w:val="24"/>
        </w:rPr>
        <w:t> </w:t>
      </w:r>
      <w:r w:rsidRPr="007D2A99">
        <w:rPr>
          <w:rFonts w:ascii="Book Antiqua" w:hAnsi="Book Antiqua" w:cs="宋体"/>
          <w:b/>
          <w:bCs/>
          <w:szCs w:val="24"/>
        </w:rPr>
        <w:t>Abreu MT</w:t>
      </w:r>
      <w:r w:rsidRPr="007D2A99">
        <w:rPr>
          <w:rFonts w:ascii="Book Antiqua" w:hAnsi="Book Antiqua" w:cs="宋体"/>
          <w:szCs w:val="24"/>
        </w:rPr>
        <w:t>, Taylor KD, Lin YC, Hang T, Gaiennie J, Landers CJ, Vasiliauskas EA, Kam LY, Rojany M, Papadakis KA, Rotter JI, Targan SR, Yang H. Mutations in NOD2 are associated with fibrostenosing disease in patients with Crohn's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123</w:t>
      </w:r>
      <w:r w:rsidRPr="007D2A99">
        <w:rPr>
          <w:rFonts w:ascii="Book Antiqua" w:hAnsi="Book Antiqua" w:cs="宋体"/>
          <w:szCs w:val="24"/>
        </w:rPr>
        <w:t>: 679-688 [PMID: 12198692 DOI: 10.1053/gast.2002.35393]</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23</w:t>
      </w:r>
      <w:r w:rsidRPr="00AF06D7">
        <w:rPr>
          <w:rFonts w:ascii="Book Antiqua" w:hAnsi="Book Antiqua" w:cs="宋体"/>
          <w:szCs w:val="24"/>
        </w:rPr>
        <w:t> </w:t>
      </w:r>
      <w:r w:rsidRPr="007D2A99">
        <w:rPr>
          <w:rFonts w:ascii="Book Antiqua" w:hAnsi="Book Antiqua" w:cs="宋体"/>
          <w:b/>
          <w:bCs/>
          <w:szCs w:val="24"/>
        </w:rPr>
        <w:t>Hampe J</w:t>
      </w:r>
      <w:r w:rsidRPr="007D2A99">
        <w:rPr>
          <w:rFonts w:ascii="Book Antiqua" w:hAnsi="Book Antiqua" w:cs="宋体"/>
          <w:szCs w:val="24"/>
        </w:rPr>
        <w:t>, Grebe J, Nikolaus S, Solberg C, Croucher PJ, Mascheretti S, Jahnsen J, Moum B, Klump B, Krawczak M, Mirza MM, Foelsch UR, Vatn M, Schreiber S. Association of NOD2 (CARD 15) genotype with clinical course of Crohn's disease: a cohort study.</w:t>
      </w:r>
      <w:r w:rsidRPr="00AF06D7">
        <w:rPr>
          <w:rFonts w:ascii="Book Antiqua" w:hAnsi="Book Antiqua" w:cs="宋体"/>
          <w:szCs w:val="24"/>
        </w:rPr>
        <w:t> </w:t>
      </w:r>
      <w:r w:rsidRPr="007D2A99">
        <w:rPr>
          <w:rFonts w:ascii="Book Antiqua" w:hAnsi="Book Antiqua" w:cs="宋体"/>
          <w:i/>
          <w:iCs/>
          <w:szCs w:val="24"/>
        </w:rPr>
        <w:t>Lancet</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359</w:t>
      </w:r>
      <w:r w:rsidRPr="007D2A99">
        <w:rPr>
          <w:rFonts w:ascii="Book Antiqua" w:hAnsi="Book Antiqua" w:cs="宋体"/>
          <w:szCs w:val="24"/>
        </w:rPr>
        <w:t>: 1661-1665 [PMID: 12020527 DOI: 10.1016/S0140-6736(02)08590-2]</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24</w:t>
      </w:r>
      <w:r w:rsidRPr="00AF06D7">
        <w:rPr>
          <w:rFonts w:ascii="Book Antiqua" w:hAnsi="Book Antiqua" w:cs="宋体"/>
          <w:szCs w:val="24"/>
        </w:rPr>
        <w:t> </w:t>
      </w:r>
      <w:r w:rsidRPr="007D2A99">
        <w:rPr>
          <w:rFonts w:ascii="Book Antiqua" w:hAnsi="Book Antiqua" w:cs="宋体"/>
          <w:b/>
          <w:bCs/>
          <w:szCs w:val="24"/>
        </w:rPr>
        <w:t>Brant SR</w:t>
      </w:r>
      <w:r w:rsidRPr="007D2A99">
        <w:rPr>
          <w:rFonts w:ascii="Book Antiqua" w:hAnsi="Book Antiqua" w:cs="宋体"/>
          <w:szCs w:val="24"/>
        </w:rPr>
        <w:t xml:space="preserve">, Panhuysen CI, Bailey-Wilson JE, Rohal PM, Lee S, Mann J, Ravenhill G, Kirschner BS, Hanauer SB, Cho JH, Bayless TM. Linkage heterogeneity for the IBD1 locus in Crohn's disease pedigrees by disease onset </w:t>
      </w:r>
      <w:r w:rsidRPr="007D2A99">
        <w:rPr>
          <w:rFonts w:ascii="Book Antiqua" w:hAnsi="Book Antiqua" w:cs="宋体"/>
          <w:szCs w:val="24"/>
        </w:rPr>
        <w:lastRenderedPageBreak/>
        <w:t>and severity.</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2000;</w:t>
      </w:r>
      <w:r w:rsidRPr="00AF06D7">
        <w:rPr>
          <w:rFonts w:ascii="Book Antiqua" w:hAnsi="Book Antiqua" w:cs="宋体"/>
          <w:szCs w:val="24"/>
        </w:rPr>
        <w:t> </w:t>
      </w:r>
      <w:r w:rsidRPr="007D2A99">
        <w:rPr>
          <w:rFonts w:ascii="Book Antiqua" w:hAnsi="Book Antiqua" w:cs="宋体"/>
          <w:b/>
          <w:bCs/>
          <w:szCs w:val="24"/>
        </w:rPr>
        <w:t>119</w:t>
      </w:r>
      <w:r w:rsidRPr="007D2A99">
        <w:rPr>
          <w:rFonts w:ascii="Book Antiqua" w:hAnsi="Book Antiqua" w:cs="宋体"/>
          <w:szCs w:val="24"/>
        </w:rPr>
        <w:t>: 1483-1490 [PMID: 11113069 DOI: 10.1053/gast.2000.20245]</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25</w:t>
      </w:r>
      <w:r w:rsidRPr="00AF06D7">
        <w:rPr>
          <w:rFonts w:ascii="Book Antiqua" w:hAnsi="Book Antiqua" w:cs="宋体"/>
          <w:szCs w:val="24"/>
        </w:rPr>
        <w:t> </w:t>
      </w:r>
      <w:r w:rsidRPr="007D2A99">
        <w:rPr>
          <w:rFonts w:ascii="Book Antiqua" w:hAnsi="Book Antiqua" w:cs="宋体"/>
          <w:b/>
          <w:bCs/>
          <w:szCs w:val="24"/>
        </w:rPr>
        <w:t>Annese V</w:t>
      </w:r>
      <w:r w:rsidRPr="007D2A99">
        <w:rPr>
          <w:rFonts w:ascii="Book Antiqua" w:hAnsi="Book Antiqua" w:cs="宋体"/>
          <w:szCs w:val="24"/>
        </w:rPr>
        <w:t>, Lombardi G, Perri F, D'Incà R, Ardizzone S, Riegler G, Giaccari S, Vecchi M, Castiglione F, Gionchetti P, Cocchiara E, Vigneri S, Latiano A, Palmieri O, Andriulli A. Variants of CARD15 are associated with an aggressive clinical course of Crohn's disease--an IG-IBD study.</w:t>
      </w:r>
      <w:r w:rsidRPr="00AF06D7">
        <w:rPr>
          <w:rFonts w:ascii="Book Antiqua" w:hAnsi="Book Antiqua" w:cs="宋体"/>
          <w:szCs w:val="24"/>
        </w:rPr>
        <w:t> </w:t>
      </w:r>
      <w:r w:rsidRPr="007D2A99">
        <w:rPr>
          <w:rFonts w:ascii="Book Antiqua" w:hAnsi="Book Antiqua" w:cs="宋体"/>
          <w:i/>
          <w:iCs/>
          <w:szCs w:val="24"/>
        </w:rPr>
        <w:t>Am J Gastroenterol</w:t>
      </w:r>
      <w:r w:rsidRPr="00AF06D7">
        <w:rPr>
          <w:rFonts w:ascii="Book Antiqua" w:hAnsi="Book Antiqua" w:cs="宋体"/>
          <w:szCs w:val="24"/>
        </w:rPr>
        <w:t> </w:t>
      </w:r>
      <w:r w:rsidRPr="007D2A99">
        <w:rPr>
          <w:rFonts w:ascii="Book Antiqua" w:hAnsi="Book Antiqua" w:cs="宋体"/>
          <w:szCs w:val="24"/>
        </w:rPr>
        <w:t>2005;</w:t>
      </w:r>
      <w:r w:rsidRPr="00AF06D7">
        <w:rPr>
          <w:rFonts w:ascii="Book Antiqua" w:hAnsi="Book Antiqua" w:cs="宋体"/>
          <w:szCs w:val="24"/>
        </w:rPr>
        <w:t> </w:t>
      </w:r>
      <w:r w:rsidRPr="007D2A99">
        <w:rPr>
          <w:rFonts w:ascii="Book Antiqua" w:hAnsi="Book Antiqua" w:cs="宋体"/>
          <w:b/>
          <w:bCs/>
          <w:szCs w:val="24"/>
        </w:rPr>
        <w:t>100</w:t>
      </w:r>
      <w:r w:rsidRPr="007D2A99">
        <w:rPr>
          <w:rFonts w:ascii="Book Antiqua" w:hAnsi="Book Antiqua" w:cs="宋体"/>
          <w:szCs w:val="24"/>
        </w:rPr>
        <w:t>: 84-92 [PMID: 15654786 DOI: 10.1111/j.1572-0241.2005.40705.x]</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26</w:t>
      </w:r>
      <w:r w:rsidRPr="00AF06D7">
        <w:rPr>
          <w:rFonts w:ascii="Book Antiqua" w:hAnsi="Book Antiqua" w:cs="宋体"/>
          <w:szCs w:val="24"/>
        </w:rPr>
        <w:t> </w:t>
      </w:r>
      <w:r w:rsidRPr="007D2A99">
        <w:rPr>
          <w:rFonts w:ascii="Book Antiqua" w:hAnsi="Book Antiqua" w:cs="宋体"/>
          <w:b/>
          <w:bCs/>
          <w:szCs w:val="24"/>
        </w:rPr>
        <w:t>Ferreira AC</w:t>
      </w:r>
      <w:r w:rsidRPr="007D2A99">
        <w:rPr>
          <w:rFonts w:ascii="Book Antiqua" w:hAnsi="Book Antiqua" w:cs="宋体"/>
          <w:szCs w:val="24"/>
        </w:rPr>
        <w:t xml:space="preserve">, Almeida S, Tavares M, Canedo P, Pereira F, Regalo G, Figueiredo C, Trindade E, Seruca R, Carneiro F, Amil J, Machado JC, Tavarela-Veloso F.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and TNFA, but not IL1B and IL1RN, are associated with Crohn's disease.</w:t>
      </w:r>
      <w:r w:rsidRPr="00AF06D7">
        <w:rPr>
          <w:rFonts w:ascii="Book Antiqua" w:hAnsi="Book Antiqua" w:cs="宋体"/>
          <w:szCs w:val="24"/>
        </w:rPr>
        <w:t> </w:t>
      </w:r>
      <w:r w:rsidRPr="007D2A99">
        <w:rPr>
          <w:rFonts w:ascii="Book Antiqua" w:hAnsi="Book Antiqua" w:cs="宋体"/>
          <w:i/>
          <w:iCs/>
          <w:szCs w:val="24"/>
        </w:rPr>
        <w:t>Inflamm Bowel Dis</w:t>
      </w:r>
      <w:r w:rsidRPr="00AF06D7">
        <w:rPr>
          <w:rFonts w:ascii="Book Antiqua" w:hAnsi="Book Antiqua" w:cs="宋体"/>
          <w:szCs w:val="24"/>
        </w:rPr>
        <w:t> </w:t>
      </w:r>
      <w:r w:rsidRPr="007D2A99">
        <w:rPr>
          <w:rFonts w:ascii="Book Antiqua" w:hAnsi="Book Antiqua" w:cs="宋体"/>
          <w:szCs w:val="24"/>
        </w:rPr>
        <w:t>2005;</w:t>
      </w:r>
      <w:r w:rsidRPr="00AF06D7">
        <w:rPr>
          <w:rFonts w:ascii="Book Antiqua" w:hAnsi="Book Antiqua" w:cs="宋体"/>
          <w:szCs w:val="24"/>
        </w:rPr>
        <w:t> </w:t>
      </w:r>
      <w:r w:rsidRPr="007D2A99">
        <w:rPr>
          <w:rFonts w:ascii="Book Antiqua" w:hAnsi="Book Antiqua" w:cs="宋体"/>
          <w:b/>
          <w:bCs/>
          <w:szCs w:val="24"/>
        </w:rPr>
        <w:t>11</w:t>
      </w:r>
      <w:r w:rsidRPr="007D2A99">
        <w:rPr>
          <w:rFonts w:ascii="Book Antiqua" w:hAnsi="Book Antiqua" w:cs="宋体"/>
          <w:szCs w:val="24"/>
        </w:rPr>
        <w:t>: 331-339 [PMID: 15803022 DOI: 10.1097/01.MIB.0000158153.71579.b4]</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27</w:t>
      </w:r>
      <w:r w:rsidRPr="00AF06D7">
        <w:rPr>
          <w:rFonts w:ascii="Book Antiqua" w:hAnsi="Book Antiqua" w:cs="宋体"/>
          <w:szCs w:val="24"/>
        </w:rPr>
        <w:t> </w:t>
      </w:r>
      <w:r w:rsidRPr="007D2A99">
        <w:rPr>
          <w:rFonts w:ascii="Book Antiqua" w:hAnsi="Book Antiqua" w:cs="宋体"/>
          <w:b/>
          <w:bCs/>
          <w:szCs w:val="24"/>
        </w:rPr>
        <w:t>Barreiro M</w:t>
      </w:r>
      <w:r w:rsidRPr="007D2A99">
        <w:rPr>
          <w:rFonts w:ascii="Book Antiqua" w:hAnsi="Book Antiqua" w:cs="宋体"/>
          <w:szCs w:val="24"/>
        </w:rPr>
        <w:t xml:space="preserve">, Núñez C, Domínguez-Muñoz JE, Lorenzo A, Barreiro F, Potel J, Peña AS. Association of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mutations with previous surgical procedures in Crohn's disease.</w:t>
      </w:r>
      <w:r w:rsidRPr="00AF06D7">
        <w:rPr>
          <w:rFonts w:ascii="Book Antiqua" w:hAnsi="Book Antiqua" w:cs="宋体"/>
          <w:szCs w:val="24"/>
        </w:rPr>
        <w:t> </w:t>
      </w:r>
      <w:r w:rsidRPr="007D2A99">
        <w:rPr>
          <w:rFonts w:ascii="Book Antiqua" w:hAnsi="Book Antiqua" w:cs="宋体"/>
          <w:i/>
          <w:iCs/>
          <w:szCs w:val="24"/>
        </w:rPr>
        <w:t>Rev Esp Enferm Dig</w:t>
      </w:r>
      <w:r w:rsidRPr="00AF06D7">
        <w:rPr>
          <w:rFonts w:ascii="Book Antiqua" w:hAnsi="Book Antiqua" w:cs="宋体"/>
          <w:szCs w:val="24"/>
        </w:rPr>
        <w:t> </w:t>
      </w:r>
      <w:r w:rsidRPr="007D2A99">
        <w:rPr>
          <w:rFonts w:ascii="Book Antiqua" w:hAnsi="Book Antiqua" w:cs="宋体"/>
          <w:szCs w:val="24"/>
        </w:rPr>
        <w:t>2005;</w:t>
      </w:r>
      <w:r w:rsidRPr="00AF06D7">
        <w:rPr>
          <w:rFonts w:ascii="Book Antiqua" w:hAnsi="Book Antiqua" w:cs="宋体"/>
          <w:szCs w:val="24"/>
        </w:rPr>
        <w:t> </w:t>
      </w:r>
      <w:r w:rsidRPr="007D2A99">
        <w:rPr>
          <w:rFonts w:ascii="Book Antiqua" w:hAnsi="Book Antiqua" w:cs="宋体"/>
          <w:b/>
          <w:bCs/>
          <w:szCs w:val="24"/>
        </w:rPr>
        <w:t>97</w:t>
      </w:r>
      <w:r w:rsidRPr="007D2A99">
        <w:rPr>
          <w:rFonts w:ascii="Book Antiqua" w:hAnsi="Book Antiqua" w:cs="宋体"/>
          <w:szCs w:val="24"/>
        </w:rPr>
        <w:t>: 547-553 [PMID: 16266221 DOI: 10.4321/S1130-01082005000800002]</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28</w:t>
      </w:r>
      <w:r w:rsidRPr="00AF06D7">
        <w:rPr>
          <w:rFonts w:ascii="Book Antiqua" w:hAnsi="Book Antiqua" w:cs="宋体"/>
          <w:szCs w:val="24"/>
        </w:rPr>
        <w:t> </w:t>
      </w:r>
      <w:r w:rsidRPr="007D2A99">
        <w:rPr>
          <w:rFonts w:ascii="Book Antiqua" w:hAnsi="Book Antiqua" w:cs="宋体"/>
          <w:b/>
          <w:bCs/>
          <w:szCs w:val="24"/>
        </w:rPr>
        <w:t>Seiderer J</w:t>
      </w:r>
      <w:r w:rsidRPr="007D2A99">
        <w:rPr>
          <w:rFonts w:ascii="Book Antiqua" w:hAnsi="Book Antiqua" w:cs="宋体"/>
          <w:szCs w:val="24"/>
        </w:rPr>
        <w:t>, Schnitzler F, Brand S, Staudinger T, Pfennig S, Herrmann K, Hofbauer K, Dambacher J, Tillack C, Sackmann M, Göke B, Lohse P, Ochsenkühn T. Homozygosity for the CARD15 frameshift mutation 1007fs is predictive of early onset of Crohn's disease with ileal stenosis, entero-enteral fistulas, and frequent need for surgical intervention with high risk of re-stenosis.</w:t>
      </w:r>
      <w:r w:rsidRPr="00AF06D7">
        <w:rPr>
          <w:rFonts w:ascii="Book Antiqua" w:hAnsi="Book Antiqua" w:cs="宋体"/>
          <w:szCs w:val="24"/>
        </w:rPr>
        <w:t> </w:t>
      </w:r>
      <w:r w:rsidRPr="007D2A99">
        <w:rPr>
          <w:rFonts w:ascii="Book Antiqua" w:hAnsi="Book Antiqua" w:cs="宋体"/>
          <w:i/>
          <w:iCs/>
          <w:szCs w:val="24"/>
        </w:rPr>
        <w:t>Scand J Gastroenterol</w:t>
      </w:r>
      <w:r w:rsidRPr="00AF06D7">
        <w:rPr>
          <w:rFonts w:ascii="Book Antiqua" w:hAnsi="Book Antiqua" w:cs="宋体"/>
          <w:szCs w:val="24"/>
        </w:rPr>
        <w:t> </w:t>
      </w:r>
      <w:r w:rsidRPr="007D2A99">
        <w:rPr>
          <w:rFonts w:ascii="Book Antiqua" w:hAnsi="Book Antiqua" w:cs="宋体"/>
          <w:szCs w:val="24"/>
        </w:rPr>
        <w:t>2006;</w:t>
      </w:r>
      <w:r w:rsidRPr="00AF06D7">
        <w:rPr>
          <w:rFonts w:ascii="Book Antiqua" w:hAnsi="Book Antiqua" w:cs="宋体"/>
          <w:szCs w:val="24"/>
        </w:rPr>
        <w:t> </w:t>
      </w:r>
      <w:r w:rsidRPr="007D2A99">
        <w:rPr>
          <w:rFonts w:ascii="Book Antiqua" w:hAnsi="Book Antiqua" w:cs="宋体"/>
          <w:b/>
          <w:bCs/>
          <w:szCs w:val="24"/>
        </w:rPr>
        <w:t>41</w:t>
      </w:r>
      <w:r w:rsidRPr="007D2A99">
        <w:rPr>
          <w:rFonts w:ascii="Book Antiqua" w:hAnsi="Book Antiqua" w:cs="宋体"/>
          <w:szCs w:val="24"/>
        </w:rPr>
        <w:t>: 1421-1432 [PMID: 17101573 DOI: 10.1080/00365520600703900]</w:t>
      </w:r>
    </w:p>
    <w:p w:rsidR="00417B33" w:rsidRPr="00AF06D7" w:rsidRDefault="00417B33" w:rsidP="00417B33">
      <w:pPr>
        <w:spacing w:line="360" w:lineRule="auto"/>
        <w:jc w:val="both"/>
        <w:rPr>
          <w:rFonts w:ascii="Book Antiqua" w:hAnsi="Book Antiqua" w:cs="宋体"/>
          <w:color w:val="000000"/>
          <w:szCs w:val="24"/>
        </w:rPr>
      </w:pPr>
      <w:r w:rsidRPr="00AF06D7">
        <w:rPr>
          <w:rFonts w:ascii="Book Antiqua" w:hAnsi="Book Antiqua" w:cs="宋体"/>
          <w:szCs w:val="24"/>
        </w:rPr>
        <w:t>29</w:t>
      </w:r>
      <w:r w:rsidRPr="00AF06D7">
        <w:rPr>
          <w:rFonts w:ascii="Book Antiqua" w:hAnsi="Book Antiqua" w:cs="宋体"/>
          <w:color w:val="000000"/>
          <w:szCs w:val="24"/>
        </w:rPr>
        <w:t> </w:t>
      </w:r>
      <w:r w:rsidRPr="00AF06D7">
        <w:rPr>
          <w:rFonts w:ascii="Book Antiqua" w:hAnsi="Book Antiqua" w:cs="宋体"/>
          <w:b/>
          <w:bCs/>
          <w:color w:val="000000"/>
          <w:szCs w:val="24"/>
        </w:rPr>
        <w:t>Maconi G</w:t>
      </w:r>
      <w:r w:rsidRPr="00AF06D7">
        <w:rPr>
          <w:rFonts w:ascii="Book Antiqua" w:hAnsi="Book Antiqua" w:cs="宋体"/>
          <w:color w:val="000000"/>
          <w:szCs w:val="24"/>
        </w:rPr>
        <w:t>, Colombo E, Sampietro GM, Lamboglia F, D'Incà R, Daperno M, Cassinotti A, Sturniolo GC, Ardizzone S, Duca P, Porro GB, Annese V. CARD15 gene variants and risk of reoperation in Crohn's disease patients. </w:t>
      </w:r>
      <w:r w:rsidRPr="00AF06D7">
        <w:rPr>
          <w:rFonts w:ascii="Book Antiqua" w:hAnsi="Book Antiqua" w:cs="宋体"/>
          <w:i/>
          <w:iCs/>
          <w:color w:val="000000"/>
          <w:szCs w:val="24"/>
        </w:rPr>
        <w:t>Am J Gastroenterol</w:t>
      </w:r>
      <w:r w:rsidRPr="00AF06D7">
        <w:rPr>
          <w:rFonts w:ascii="Book Antiqua" w:hAnsi="Book Antiqua" w:cs="宋体"/>
          <w:color w:val="000000"/>
          <w:szCs w:val="24"/>
        </w:rPr>
        <w:t> 2009; </w:t>
      </w:r>
      <w:r w:rsidRPr="00AF06D7">
        <w:rPr>
          <w:rFonts w:ascii="Book Antiqua" w:hAnsi="Book Antiqua" w:cs="宋体"/>
          <w:b/>
          <w:bCs/>
          <w:color w:val="000000"/>
          <w:szCs w:val="24"/>
        </w:rPr>
        <w:t>104</w:t>
      </w:r>
      <w:r w:rsidRPr="00AF06D7">
        <w:rPr>
          <w:rFonts w:ascii="Book Antiqua" w:hAnsi="Book Antiqua" w:cs="宋体"/>
          <w:color w:val="000000"/>
          <w:szCs w:val="24"/>
        </w:rPr>
        <w:t>: 2483-2491 [PMID: 19638967 DOI: 10.1038/ajg.2009.413]</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30</w:t>
      </w:r>
      <w:r w:rsidRPr="00AF06D7">
        <w:rPr>
          <w:rFonts w:ascii="Book Antiqua" w:hAnsi="Book Antiqua" w:cs="宋体"/>
          <w:szCs w:val="24"/>
        </w:rPr>
        <w:t> </w:t>
      </w:r>
      <w:r w:rsidRPr="007D2A99">
        <w:rPr>
          <w:rFonts w:ascii="Book Antiqua" w:hAnsi="Book Antiqua" w:cs="宋体"/>
          <w:b/>
          <w:bCs/>
          <w:szCs w:val="24"/>
        </w:rPr>
        <w:t>Kugathasan S</w:t>
      </w:r>
      <w:r w:rsidRPr="007D2A99">
        <w:rPr>
          <w:rFonts w:ascii="Book Antiqua" w:hAnsi="Book Antiqua" w:cs="宋体"/>
          <w:szCs w:val="24"/>
        </w:rPr>
        <w:t xml:space="preserve">, Collins N, Maresso K, Hoffmann RG, Stephens M, Werlin SL, Rudolph C, Broeckel U. CARD15 gene mutations and risk for early surgery in </w:t>
      </w:r>
      <w:r w:rsidRPr="007D2A99">
        <w:rPr>
          <w:rFonts w:ascii="Book Antiqua" w:hAnsi="Book Antiqua" w:cs="宋体"/>
          <w:szCs w:val="24"/>
        </w:rPr>
        <w:lastRenderedPageBreak/>
        <w:t>pediatric-onset Crohn's disease.</w:t>
      </w:r>
      <w:r w:rsidRPr="00AF06D7">
        <w:rPr>
          <w:rFonts w:ascii="Book Antiqua" w:hAnsi="Book Antiqua" w:cs="宋体"/>
          <w:szCs w:val="24"/>
        </w:rPr>
        <w:t> </w:t>
      </w:r>
      <w:r w:rsidRPr="007D2A99">
        <w:rPr>
          <w:rFonts w:ascii="Book Antiqua" w:hAnsi="Book Antiqua" w:cs="宋体"/>
          <w:i/>
          <w:iCs/>
          <w:szCs w:val="24"/>
        </w:rPr>
        <w:t>Clin Gastroenterol Hepatol</w:t>
      </w:r>
      <w:r w:rsidRPr="00AF06D7">
        <w:rPr>
          <w:rFonts w:ascii="Book Antiqua" w:hAnsi="Book Antiqua" w:cs="宋体"/>
          <w:szCs w:val="24"/>
        </w:rPr>
        <w:t> </w:t>
      </w:r>
      <w:r w:rsidRPr="007D2A99">
        <w:rPr>
          <w:rFonts w:ascii="Book Antiqua" w:hAnsi="Book Antiqua" w:cs="宋体"/>
          <w:szCs w:val="24"/>
        </w:rPr>
        <w:t>2004;</w:t>
      </w:r>
      <w:r w:rsidRPr="00AF06D7">
        <w:rPr>
          <w:rFonts w:ascii="Book Antiqua" w:hAnsi="Book Antiqua" w:cs="宋体"/>
          <w:szCs w:val="24"/>
        </w:rPr>
        <w:t> </w:t>
      </w:r>
      <w:r w:rsidRPr="007D2A99">
        <w:rPr>
          <w:rFonts w:ascii="Book Antiqua" w:hAnsi="Book Antiqua" w:cs="宋体"/>
          <w:b/>
          <w:bCs/>
          <w:szCs w:val="24"/>
        </w:rPr>
        <w:t>2</w:t>
      </w:r>
      <w:r w:rsidRPr="007D2A99">
        <w:rPr>
          <w:rFonts w:ascii="Book Antiqua" w:hAnsi="Book Antiqua" w:cs="宋体"/>
          <w:szCs w:val="24"/>
        </w:rPr>
        <w:t>: 1003-1009 [PMID: 15551253 DOI: 10.1016/S1542-3565(04)00452-5]</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31</w:t>
      </w:r>
      <w:r w:rsidRPr="00AF06D7">
        <w:rPr>
          <w:rFonts w:ascii="Book Antiqua" w:hAnsi="Book Antiqua" w:cs="宋体"/>
          <w:szCs w:val="24"/>
        </w:rPr>
        <w:t> </w:t>
      </w:r>
      <w:r w:rsidRPr="007D2A99">
        <w:rPr>
          <w:rFonts w:ascii="Book Antiqua" w:hAnsi="Book Antiqua" w:cs="宋体"/>
          <w:b/>
          <w:bCs/>
          <w:szCs w:val="24"/>
        </w:rPr>
        <w:t>Lacher M</w:t>
      </w:r>
      <w:r w:rsidRPr="007D2A99">
        <w:rPr>
          <w:rFonts w:ascii="Book Antiqua" w:hAnsi="Book Antiqua" w:cs="宋体"/>
          <w:szCs w:val="24"/>
        </w:rPr>
        <w:t>, Helmbrecht J, Schroepf S, Koletzko S, Ballauff A, Classen M, Uhlig H, Hubertus J, Hartl D, Lohse P, von Schweinitz D, Kappler R. NOD2 mutations predict the risk for surgery in pediatric-onset Crohn's disease.</w:t>
      </w:r>
      <w:r w:rsidRPr="00AF06D7">
        <w:rPr>
          <w:rFonts w:ascii="Book Antiqua" w:hAnsi="Book Antiqua" w:cs="宋体"/>
          <w:szCs w:val="24"/>
        </w:rPr>
        <w:t> </w:t>
      </w:r>
      <w:r w:rsidRPr="007D2A99">
        <w:rPr>
          <w:rFonts w:ascii="Book Antiqua" w:hAnsi="Book Antiqua" w:cs="宋体"/>
          <w:i/>
          <w:iCs/>
          <w:szCs w:val="24"/>
        </w:rPr>
        <w:t>J Pediatr Surg</w:t>
      </w:r>
      <w:r w:rsidRPr="00AF06D7">
        <w:rPr>
          <w:rFonts w:ascii="Book Antiqua" w:hAnsi="Book Antiqua" w:cs="宋体"/>
          <w:szCs w:val="24"/>
        </w:rPr>
        <w:t> </w:t>
      </w:r>
      <w:r w:rsidRPr="007D2A99">
        <w:rPr>
          <w:rFonts w:ascii="Book Antiqua" w:hAnsi="Book Antiqua" w:cs="宋体"/>
          <w:szCs w:val="24"/>
        </w:rPr>
        <w:t>2010;</w:t>
      </w:r>
      <w:r w:rsidRPr="00AF06D7">
        <w:rPr>
          <w:rFonts w:ascii="Book Antiqua" w:hAnsi="Book Antiqua" w:cs="宋体"/>
          <w:szCs w:val="24"/>
        </w:rPr>
        <w:t> </w:t>
      </w:r>
      <w:r w:rsidRPr="007D2A99">
        <w:rPr>
          <w:rFonts w:ascii="Book Antiqua" w:hAnsi="Book Antiqua" w:cs="宋体"/>
          <w:b/>
          <w:bCs/>
          <w:szCs w:val="24"/>
        </w:rPr>
        <w:t>45</w:t>
      </w:r>
      <w:r w:rsidRPr="007D2A99">
        <w:rPr>
          <w:rFonts w:ascii="Book Antiqua" w:hAnsi="Book Antiqua" w:cs="宋体"/>
          <w:szCs w:val="24"/>
        </w:rPr>
        <w:t>: 1591-1597 [PMID: 20713205 DOI: 10.1016/j.jpedsurg.2009.10.046]</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32</w:t>
      </w:r>
      <w:r w:rsidRPr="00AF06D7">
        <w:rPr>
          <w:rFonts w:ascii="Book Antiqua" w:hAnsi="Book Antiqua" w:cs="宋体"/>
          <w:szCs w:val="24"/>
        </w:rPr>
        <w:t> </w:t>
      </w:r>
      <w:r w:rsidRPr="007D2A99">
        <w:rPr>
          <w:rFonts w:ascii="Book Antiqua" w:hAnsi="Book Antiqua" w:cs="宋体"/>
          <w:b/>
          <w:bCs/>
          <w:szCs w:val="24"/>
        </w:rPr>
        <w:t>Tsianos EV</w:t>
      </w:r>
      <w:r w:rsidRPr="007D2A99">
        <w:rPr>
          <w:rFonts w:ascii="Book Antiqua" w:hAnsi="Book Antiqua" w:cs="宋体"/>
          <w:szCs w:val="24"/>
        </w:rPr>
        <w:t>, Katsanos KH, Tsianos VE. Role of genetics in the diagnosis and prognosis of Crohn's disease.</w:t>
      </w:r>
      <w:r w:rsidRPr="00AF06D7">
        <w:rPr>
          <w:rFonts w:ascii="Book Antiqua" w:hAnsi="Book Antiqua" w:cs="宋体"/>
          <w:szCs w:val="24"/>
        </w:rPr>
        <w:t> </w:t>
      </w:r>
      <w:r w:rsidRPr="007D2A99">
        <w:rPr>
          <w:rFonts w:ascii="Book Antiqua" w:hAnsi="Book Antiqua" w:cs="宋体"/>
          <w:i/>
          <w:iCs/>
          <w:szCs w:val="24"/>
        </w:rPr>
        <w:t>World J Gastroenterol</w:t>
      </w:r>
      <w:r w:rsidRPr="00AF06D7">
        <w:rPr>
          <w:rFonts w:ascii="Book Antiqua" w:hAnsi="Book Antiqua" w:cs="宋体"/>
          <w:szCs w:val="24"/>
        </w:rPr>
        <w:t> </w:t>
      </w:r>
      <w:r w:rsidRPr="007D2A99">
        <w:rPr>
          <w:rFonts w:ascii="Book Antiqua" w:hAnsi="Book Antiqua" w:cs="宋体"/>
          <w:szCs w:val="24"/>
        </w:rPr>
        <w:t>2012;</w:t>
      </w:r>
      <w:r w:rsidRPr="00AF06D7">
        <w:rPr>
          <w:rFonts w:ascii="Book Antiqua" w:hAnsi="Book Antiqua" w:cs="宋体"/>
          <w:szCs w:val="24"/>
        </w:rPr>
        <w:t> </w:t>
      </w:r>
      <w:r w:rsidRPr="007D2A99">
        <w:rPr>
          <w:rFonts w:ascii="Book Antiqua" w:hAnsi="Book Antiqua" w:cs="宋体"/>
          <w:b/>
          <w:bCs/>
          <w:szCs w:val="24"/>
        </w:rPr>
        <w:t>18</w:t>
      </w:r>
      <w:r w:rsidRPr="007D2A99">
        <w:rPr>
          <w:rFonts w:ascii="Book Antiqua" w:hAnsi="Book Antiqua" w:cs="宋体"/>
          <w:szCs w:val="24"/>
        </w:rPr>
        <w:t>: 105-118 [PMID: 22253</w:t>
      </w:r>
      <w:r w:rsidRPr="00AF06D7">
        <w:rPr>
          <w:rFonts w:ascii="Book Antiqua" w:hAnsi="Book Antiqua" w:cs="宋体"/>
          <w:szCs w:val="24"/>
        </w:rPr>
        <w:t>516 DOI: 10.3748/wjg.v18.i2.105]</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33</w:t>
      </w:r>
      <w:r w:rsidRPr="00AF06D7">
        <w:rPr>
          <w:rFonts w:ascii="Book Antiqua" w:hAnsi="Book Antiqua" w:cs="宋体"/>
          <w:szCs w:val="24"/>
        </w:rPr>
        <w:t> </w:t>
      </w:r>
      <w:r w:rsidRPr="007D2A99">
        <w:rPr>
          <w:rFonts w:ascii="Book Antiqua" w:hAnsi="Book Antiqua" w:cs="宋体"/>
          <w:b/>
          <w:bCs/>
          <w:szCs w:val="24"/>
        </w:rPr>
        <w:t>Oldenburg B</w:t>
      </w:r>
      <w:r w:rsidRPr="007D2A99">
        <w:rPr>
          <w:rFonts w:ascii="Book Antiqua" w:hAnsi="Book Antiqua" w:cs="宋体"/>
          <w:szCs w:val="24"/>
        </w:rPr>
        <w:t>, Hommes D. Biological therapies in inflammatory bowel disease: top-down or bottom-up?</w:t>
      </w:r>
      <w:r w:rsidRPr="00AF06D7">
        <w:rPr>
          <w:rFonts w:ascii="Book Antiqua" w:hAnsi="Book Antiqua" w:cs="宋体"/>
          <w:szCs w:val="24"/>
        </w:rPr>
        <w:t> </w:t>
      </w:r>
      <w:r w:rsidRPr="007D2A99">
        <w:rPr>
          <w:rFonts w:ascii="Book Antiqua" w:hAnsi="Book Antiqua" w:cs="宋体"/>
          <w:i/>
          <w:iCs/>
          <w:szCs w:val="24"/>
        </w:rPr>
        <w:t>Curr Opin Gastroenterol</w:t>
      </w:r>
      <w:r w:rsidRPr="00AF06D7">
        <w:rPr>
          <w:rFonts w:ascii="Book Antiqua" w:hAnsi="Book Antiqua" w:cs="宋体"/>
          <w:szCs w:val="24"/>
        </w:rPr>
        <w:t> </w:t>
      </w:r>
      <w:r w:rsidRPr="007D2A99">
        <w:rPr>
          <w:rFonts w:ascii="Book Antiqua" w:hAnsi="Book Antiqua" w:cs="宋体"/>
          <w:szCs w:val="24"/>
        </w:rPr>
        <w:t>2007;</w:t>
      </w:r>
      <w:r w:rsidRPr="00AF06D7">
        <w:rPr>
          <w:rFonts w:ascii="Book Antiqua" w:hAnsi="Book Antiqua" w:cs="宋体"/>
          <w:szCs w:val="24"/>
        </w:rPr>
        <w:t> </w:t>
      </w:r>
      <w:r w:rsidRPr="007D2A99">
        <w:rPr>
          <w:rFonts w:ascii="Book Antiqua" w:hAnsi="Book Antiqua" w:cs="宋体"/>
          <w:b/>
          <w:bCs/>
          <w:szCs w:val="24"/>
        </w:rPr>
        <w:t>23</w:t>
      </w:r>
      <w:r w:rsidRPr="007D2A99">
        <w:rPr>
          <w:rFonts w:ascii="Book Antiqua" w:hAnsi="Book Antiqua" w:cs="宋体"/>
          <w:szCs w:val="24"/>
        </w:rPr>
        <w:t>: 395-399 [PMID: 17545775 DOI: 10.1097/MOG.0b013e32815b601b]</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34</w:t>
      </w:r>
      <w:r w:rsidRPr="00AF06D7">
        <w:rPr>
          <w:rFonts w:ascii="Book Antiqua" w:hAnsi="Book Antiqua" w:cs="宋体"/>
          <w:szCs w:val="24"/>
        </w:rPr>
        <w:t> </w:t>
      </w:r>
      <w:r w:rsidRPr="007D2A99">
        <w:rPr>
          <w:rFonts w:ascii="Book Antiqua" w:hAnsi="Book Antiqua" w:cs="宋体"/>
          <w:b/>
          <w:bCs/>
          <w:szCs w:val="24"/>
        </w:rPr>
        <w:t>Nasir BF</w:t>
      </w:r>
      <w:r w:rsidRPr="007D2A99">
        <w:rPr>
          <w:rFonts w:ascii="Book Antiqua" w:hAnsi="Book Antiqua" w:cs="宋体"/>
          <w:szCs w:val="24"/>
        </w:rPr>
        <w:t>, Griffiths LR, Nasir A, Roberts R, Barclay M, Gearry RB, Lea RA. An Envirogenomic Signature Is Associated with Risk of IBD-Related Surgery in a Population-Based Crohn's Disease Cohort.</w:t>
      </w:r>
      <w:r w:rsidRPr="00AF06D7">
        <w:rPr>
          <w:rFonts w:ascii="Book Antiqua" w:hAnsi="Book Antiqua" w:cs="宋体"/>
          <w:szCs w:val="24"/>
        </w:rPr>
        <w:t> </w:t>
      </w:r>
      <w:r w:rsidRPr="007D2A99">
        <w:rPr>
          <w:rFonts w:ascii="Book Antiqua" w:hAnsi="Book Antiqua" w:cs="宋体"/>
          <w:i/>
          <w:iCs/>
          <w:szCs w:val="24"/>
        </w:rPr>
        <w:t>J Gastrointest Surg</w:t>
      </w:r>
      <w:r w:rsidRPr="00AF06D7">
        <w:rPr>
          <w:rFonts w:ascii="Book Antiqua" w:hAnsi="Book Antiqua" w:cs="宋体"/>
          <w:szCs w:val="24"/>
        </w:rPr>
        <w:t> </w:t>
      </w:r>
      <w:r w:rsidRPr="007D2A99">
        <w:rPr>
          <w:rFonts w:ascii="Book Antiqua" w:hAnsi="Book Antiqua" w:cs="宋体"/>
          <w:szCs w:val="24"/>
        </w:rPr>
        <w:t>2013;</w:t>
      </w:r>
      <w:r w:rsidRPr="00AF06D7">
        <w:rPr>
          <w:rFonts w:ascii="Book Antiqua" w:hAnsi="Book Antiqua" w:cs="宋体"/>
          <w:szCs w:val="24"/>
        </w:rPr>
        <w:t> </w:t>
      </w:r>
      <w:r w:rsidRPr="007D2A99">
        <w:rPr>
          <w:rFonts w:ascii="Book Antiqua" w:hAnsi="Book Antiqua" w:cs="宋体"/>
          <w:b/>
          <w:bCs/>
          <w:szCs w:val="24"/>
        </w:rPr>
        <w:t>17</w:t>
      </w:r>
      <w:r w:rsidRPr="007D2A99">
        <w:rPr>
          <w:rFonts w:ascii="Book Antiqua" w:hAnsi="Book Antiqua" w:cs="宋体"/>
          <w:szCs w:val="24"/>
        </w:rPr>
        <w:t>: 1643-1650 [PMID: 23818124 DOI: 10.1007/s11605-013-2250-1]</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35</w:t>
      </w:r>
      <w:r w:rsidRPr="00AF06D7">
        <w:rPr>
          <w:rFonts w:ascii="Book Antiqua" w:hAnsi="Book Antiqua" w:cs="宋体"/>
          <w:szCs w:val="24"/>
        </w:rPr>
        <w:t> </w:t>
      </w:r>
      <w:r w:rsidRPr="007D2A99">
        <w:rPr>
          <w:rFonts w:ascii="Book Antiqua" w:hAnsi="Book Antiqua" w:cs="宋体"/>
          <w:b/>
          <w:bCs/>
          <w:szCs w:val="24"/>
        </w:rPr>
        <w:t>Lu C</w:t>
      </w:r>
      <w:r w:rsidRPr="007D2A99">
        <w:rPr>
          <w:rFonts w:ascii="Book Antiqua" w:hAnsi="Book Antiqua" w:cs="宋体"/>
          <w:szCs w:val="24"/>
        </w:rPr>
        <w:t>, Waugh A, Bailey RJ, Cherry R, Dieleman LA, Gramlich L, Matic K, Millan M, Kroeker KI, Sadowski D, Teshima CW, Todoruk D, Wong C, Wong K, Fedorak RN. Crohn's disease genotypes of patients in remission vs relapses after infliximab discontinuation.</w:t>
      </w:r>
      <w:r w:rsidRPr="00AF06D7">
        <w:rPr>
          <w:rFonts w:ascii="Book Antiqua" w:hAnsi="Book Antiqua" w:cs="宋体"/>
          <w:szCs w:val="24"/>
        </w:rPr>
        <w:t> </w:t>
      </w:r>
      <w:r w:rsidRPr="007D2A99">
        <w:rPr>
          <w:rFonts w:ascii="Book Antiqua" w:hAnsi="Book Antiqua" w:cs="宋体"/>
          <w:i/>
          <w:iCs/>
          <w:szCs w:val="24"/>
        </w:rPr>
        <w:t>World J Gastroenterol</w:t>
      </w:r>
      <w:r w:rsidRPr="00AF06D7">
        <w:rPr>
          <w:rFonts w:ascii="Book Antiqua" w:hAnsi="Book Antiqua" w:cs="宋体"/>
          <w:szCs w:val="24"/>
        </w:rPr>
        <w:t> </w:t>
      </w:r>
      <w:r w:rsidRPr="007D2A99">
        <w:rPr>
          <w:rFonts w:ascii="Book Antiqua" w:hAnsi="Book Antiqua" w:cs="宋体"/>
          <w:szCs w:val="24"/>
        </w:rPr>
        <w:t>2012;</w:t>
      </w:r>
      <w:r w:rsidRPr="00AF06D7">
        <w:rPr>
          <w:rFonts w:ascii="Book Antiqua" w:hAnsi="Book Antiqua" w:cs="宋体"/>
          <w:szCs w:val="24"/>
        </w:rPr>
        <w:t> </w:t>
      </w:r>
      <w:r w:rsidRPr="007D2A99">
        <w:rPr>
          <w:rFonts w:ascii="Book Antiqua" w:hAnsi="Book Antiqua" w:cs="宋体"/>
          <w:b/>
          <w:bCs/>
          <w:szCs w:val="24"/>
        </w:rPr>
        <w:t>18</w:t>
      </w:r>
      <w:r w:rsidRPr="007D2A99">
        <w:rPr>
          <w:rFonts w:ascii="Book Antiqua" w:hAnsi="Book Antiqua" w:cs="宋体"/>
          <w:szCs w:val="24"/>
        </w:rPr>
        <w:t>: 5058-5064 [PMID: 23049214 DOI: 10.3748/wjg.v18.i36.5058]</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36</w:t>
      </w:r>
      <w:r w:rsidRPr="00AF06D7">
        <w:rPr>
          <w:rFonts w:ascii="Book Antiqua" w:hAnsi="Book Antiqua" w:cs="宋体"/>
          <w:szCs w:val="24"/>
        </w:rPr>
        <w:t> </w:t>
      </w:r>
      <w:r w:rsidRPr="007D2A99">
        <w:rPr>
          <w:rFonts w:ascii="Book Antiqua" w:hAnsi="Book Antiqua" w:cs="宋体"/>
          <w:b/>
          <w:bCs/>
          <w:szCs w:val="24"/>
        </w:rPr>
        <w:t>Esters N</w:t>
      </w:r>
      <w:r w:rsidRPr="007D2A99">
        <w:rPr>
          <w:rFonts w:ascii="Book Antiqua" w:hAnsi="Book Antiqua" w:cs="宋体"/>
          <w:szCs w:val="24"/>
        </w:rPr>
        <w:t>, Pierik M, van Steen K, Vermeire S, Claessens G, Joossens S, Vlietinck R, Rutgeerts P. Transmission of CARD15 (NOD2) variants within families of patients with inflammatory bowel disease.</w:t>
      </w:r>
      <w:r w:rsidRPr="00AF06D7">
        <w:rPr>
          <w:rFonts w:ascii="Book Antiqua" w:hAnsi="Book Antiqua" w:cs="宋体"/>
          <w:szCs w:val="24"/>
        </w:rPr>
        <w:t> </w:t>
      </w:r>
      <w:r w:rsidRPr="007D2A99">
        <w:rPr>
          <w:rFonts w:ascii="Book Antiqua" w:hAnsi="Book Antiqua" w:cs="宋体"/>
          <w:i/>
          <w:iCs/>
          <w:szCs w:val="24"/>
        </w:rPr>
        <w:t>Am J Gastroenterol</w:t>
      </w:r>
      <w:r w:rsidRPr="00AF06D7">
        <w:rPr>
          <w:rFonts w:ascii="Book Antiqua" w:hAnsi="Book Antiqua" w:cs="宋体"/>
          <w:szCs w:val="24"/>
        </w:rPr>
        <w:t> </w:t>
      </w:r>
      <w:r w:rsidRPr="007D2A99">
        <w:rPr>
          <w:rFonts w:ascii="Book Antiqua" w:hAnsi="Book Antiqua" w:cs="宋体"/>
          <w:szCs w:val="24"/>
        </w:rPr>
        <w:t>2004;</w:t>
      </w:r>
      <w:r w:rsidRPr="00AF06D7">
        <w:rPr>
          <w:rFonts w:ascii="Book Antiqua" w:hAnsi="Book Antiqua" w:cs="宋体"/>
          <w:szCs w:val="24"/>
        </w:rPr>
        <w:t> </w:t>
      </w:r>
      <w:r w:rsidRPr="007D2A99">
        <w:rPr>
          <w:rFonts w:ascii="Book Antiqua" w:hAnsi="Book Antiqua" w:cs="宋体"/>
          <w:b/>
          <w:bCs/>
          <w:szCs w:val="24"/>
        </w:rPr>
        <w:t>99</w:t>
      </w:r>
      <w:r w:rsidRPr="007D2A99">
        <w:rPr>
          <w:rFonts w:ascii="Book Antiqua" w:hAnsi="Book Antiqua" w:cs="宋体"/>
          <w:szCs w:val="24"/>
        </w:rPr>
        <w:t>: 299-305 [PMID: 15046221 DOI: 10.1111/j.1572-0241.2004.04040.x]</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37</w:t>
      </w:r>
      <w:r w:rsidRPr="00AF06D7">
        <w:rPr>
          <w:rFonts w:ascii="Book Antiqua" w:hAnsi="Book Antiqua" w:cs="宋体"/>
          <w:szCs w:val="24"/>
        </w:rPr>
        <w:t> </w:t>
      </w:r>
      <w:r w:rsidRPr="007D2A99">
        <w:rPr>
          <w:rFonts w:ascii="Book Antiqua" w:hAnsi="Book Antiqua" w:cs="宋体"/>
          <w:b/>
          <w:bCs/>
          <w:szCs w:val="24"/>
        </w:rPr>
        <w:t>Heresbach D</w:t>
      </w:r>
      <w:r w:rsidRPr="007D2A99">
        <w:rPr>
          <w:rFonts w:ascii="Book Antiqua" w:hAnsi="Book Antiqua" w:cs="宋体"/>
          <w:szCs w:val="24"/>
        </w:rPr>
        <w:t xml:space="preserve">, Gicquel-Douabin V, Birebent B, D'halluin PN, Heresbach-Le Berre N, Dreano S, Siproudhis L, Dabadie A, Gosselin M, Mosser J, Semana G, Bretagne JF, Yaouanq J.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gene polymorphisms in Crohn's disease: </w:t>
      </w:r>
      <w:r w:rsidRPr="007D2A99">
        <w:rPr>
          <w:rFonts w:ascii="Book Antiqua" w:hAnsi="Book Antiqua" w:cs="宋体"/>
          <w:szCs w:val="24"/>
        </w:rPr>
        <w:lastRenderedPageBreak/>
        <w:t>a genotype- phenotype analysis.</w:t>
      </w:r>
      <w:r w:rsidRPr="00AF06D7">
        <w:rPr>
          <w:rFonts w:ascii="Book Antiqua" w:hAnsi="Book Antiqua" w:cs="宋体"/>
          <w:szCs w:val="24"/>
        </w:rPr>
        <w:t> </w:t>
      </w:r>
      <w:r w:rsidRPr="007D2A99">
        <w:rPr>
          <w:rFonts w:ascii="Book Antiqua" w:hAnsi="Book Antiqua" w:cs="宋体"/>
          <w:i/>
          <w:iCs/>
          <w:szCs w:val="24"/>
        </w:rPr>
        <w:t>Eur J Gastroenterol Hepatol</w:t>
      </w:r>
      <w:r w:rsidRPr="00AF06D7">
        <w:rPr>
          <w:rFonts w:ascii="Book Antiqua" w:hAnsi="Book Antiqua" w:cs="宋体"/>
          <w:szCs w:val="24"/>
        </w:rPr>
        <w:t> </w:t>
      </w:r>
      <w:r w:rsidRPr="007D2A99">
        <w:rPr>
          <w:rFonts w:ascii="Book Antiqua" w:hAnsi="Book Antiqua" w:cs="宋体"/>
          <w:szCs w:val="24"/>
        </w:rPr>
        <w:t>2004;</w:t>
      </w:r>
      <w:r w:rsidRPr="00AF06D7">
        <w:rPr>
          <w:rFonts w:ascii="Book Antiqua" w:hAnsi="Book Antiqua" w:cs="宋体"/>
          <w:szCs w:val="24"/>
        </w:rPr>
        <w:t> </w:t>
      </w:r>
      <w:r w:rsidRPr="007D2A99">
        <w:rPr>
          <w:rFonts w:ascii="Book Antiqua" w:hAnsi="Book Antiqua" w:cs="宋体"/>
          <w:b/>
          <w:bCs/>
          <w:szCs w:val="24"/>
        </w:rPr>
        <w:t>16</w:t>
      </w:r>
      <w:r w:rsidRPr="007D2A99">
        <w:rPr>
          <w:rFonts w:ascii="Book Antiqua" w:hAnsi="Book Antiqua" w:cs="宋体"/>
          <w:szCs w:val="24"/>
        </w:rPr>
        <w:t>: 55-62 [PMID: 15095853 DOI: 10.1097/00042737-200401000-00009]</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38</w:t>
      </w:r>
      <w:r w:rsidRPr="00AF06D7">
        <w:rPr>
          <w:rFonts w:ascii="Book Antiqua" w:hAnsi="Book Antiqua" w:cs="宋体"/>
          <w:szCs w:val="24"/>
        </w:rPr>
        <w:t> </w:t>
      </w:r>
      <w:r w:rsidRPr="007D2A99">
        <w:rPr>
          <w:rFonts w:ascii="Book Antiqua" w:hAnsi="Book Antiqua" w:cs="宋体"/>
          <w:b/>
          <w:bCs/>
          <w:szCs w:val="24"/>
        </w:rPr>
        <w:t>Inoue N</w:t>
      </w:r>
      <w:r w:rsidRPr="007D2A99">
        <w:rPr>
          <w:rFonts w:ascii="Book Antiqua" w:hAnsi="Book Antiqua" w:cs="宋体"/>
          <w:szCs w:val="24"/>
        </w:rPr>
        <w:t>, Tamura K, Kinouchi Y, Fukuda Y, Takahashi S, Ogura Y, Inohara N, Núñez G, Kishi Y, Koike Y, Shimosegawa T, Shimoyama T, Hibi T. Lack of common NOD2 variants in Japanese patients with Crohn's disease.</w:t>
      </w:r>
      <w:r w:rsidRPr="00AF06D7">
        <w:rPr>
          <w:rFonts w:ascii="Book Antiqua" w:hAnsi="Book Antiqua" w:cs="宋体"/>
          <w:szCs w:val="24"/>
        </w:rPr>
        <w:t> </w:t>
      </w:r>
      <w:r w:rsidRPr="007D2A99">
        <w:rPr>
          <w:rFonts w:ascii="Book Antiqua" w:hAnsi="Book Antiqua" w:cs="宋体"/>
          <w:i/>
          <w:iCs/>
          <w:szCs w:val="24"/>
        </w:rPr>
        <w:t>Gastroenterology</w:t>
      </w:r>
      <w:r w:rsidRPr="00AF06D7">
        <w:rPr>
          <w:rFonts w:ascii="Book Antiqua" w:hAnsi="Book Antiqua" w:cs="宋体"/>
          <w:szCs w:val="24"/>
        </w:rPr>
        <w:t> </w:t>
      </w:r>
      <w:r w:rsidRPr="007D2A99">
        <w:rPr>
          <w:rFonts w:ascii="Book Antiqua" w:hAnsi="Book Antiqua" w:cs="宋体"/>
          <w:szCs w:val="24"/>
        </w:rPr>
        <w:t>2002;</w:t>
      </w:r>
      <w:r w:rsidRPr="00AF06D7">
        <w:rPr>
          <w:rFonts w:ascii="Book Antiqua" w:hAnsi="Book Antiqua" w:cs="宋体"/>
          <w:szCs w:val="24"/>
        </w:rPr>
        <w:t> </w:t>
      </w:r>
      <w:r w:rsidRPr="007D2A99">
        <w:rPr>
          <w:rFonts w:ascii="Book Antiqua" w:hAnsi="Book Antiqua" w:cs="宋体"/>
          <w:b/>
          <w:bCs/>
          <w:szCs w:val="24"/>
        </w:rPr>
        <w:t>123</w:t>
      </w:r>
      <w:r w:rsidRPr="007D2A99">
        <w:rPr>
          <w:rFonts w:ascii="Book Antiqua" w:hAnsi="Book Antiqua" w:cs="宋体"/>
          <w:szCs w:val="24"/>
        </w:rPr>
        <w:t>: 86-91 [PMID: 12105836 DOI: 10.1053/gast.2002.34155]</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39</w:t>
      </w:r>
      <w:r w:rsidRPr="00AF06D7">
        <w:rPr>
          <w:rFonts w:ascii="Book Antiqua" w:hAnsi="Book Antiqua" w:cs="宋体"/>
          <w:szCs w:val="24"/>
        </w:rPr>
        <w:t> </w:t>
      </w:r>
      <w:r w:rsidRPr="007D2A99">
        <w:rPr>
          <w:rFonts w:ascii="Book Antiqua" w:hAnsi="Book Antiqua" w:cs="宋体"/>
          <w:b/>
          <w:bCs/>
          <w:szCs w:val="24"/>
        </w:rPr>
        <w:t>Croucher PJ</w:t>
      </w:r>
      <w:r w:rsidRPr="007D2A99">
        <w:rPr>
          <w:rFonts w:ascii="Book Antiqua" w:hAnsi="Book Antiqua" w:cs="宋体"/>
          <w:szCs w:val="24"/>
        </w:rPr>
        <w:t>, Mascheretti S, Hampe J, Huse K, Frenzel H, Stoll M, Lu T, Nikolaus S, Yang SK, Krawczak M, Kim WH, Schreiber S. Haplotype structure and association to Crohn's disease of CARD15 mutations in two ethnically divergent populations.</w:t>
      </w:r>
      <w:r w:rsidRPr="00AF06D7">
        <w:rPr>
          <w:rFonts w:ascii="Book Antiqua" w:hAnsi="Book Antiqua" w:cs="宋体"/>
          <w:szCs w:val="24"/>
        </w:rPr>
        <w:t> </w:t>
      </w:r>
      <w:r w:rsidRPr="007D2A99">
        <w:rPr>
          <w:rFonts w:ascii="Book Antiqua" w:hAnsi="Book Antiqua" w:cs="宋体"/>
          <w:i/>
          <w:iCs/>
          <w:szCs w:val="24"/>
        </w:rPr>
        <w:t>Eur J Hum Genet</w:t>
      </w:r>
      <w:r w:rsidRPr="00AF06D7">
        <w:rPr>
          <w:rFonts w:ascii="Book Antiqua" w:hAnsi="Book Antiqua" w:cs="宋体"/>
          <w:szCs w:val="24"/>
        </w:rPr>
        <w:t> </w:t>
      </w:r>
      <w:r w:rsidRPr="007D2A99">
        <w:rPr>
          <w:rFonts w:ascii="Book Antiqua" w:hAnsi="Book Antiqua" w:cs="宋体"/>
          <w:szCs w:val="24"/>
        </w:rPr>
        <w:t>2003;</w:t>
      </w:r>
      <w:r w:rsidRPr="00AF06D7">
        <w:rPr>
          <w:rFonts w:ascii="Book Antiqua" w:hAnsi="Book Antiqua" w:cs="宋体"/>
          <w:szCs w:val="24"/>
        </w:rPr>
        <w:t> </w:t>
      </w:r>
      <w:r w:rsidRPr="007D2A99">
        <w:rPr>
          <w:rFonts w:ascii="Book Antiqua" w:hAnsi="Book Antiqua" w:cs="宋体"/>
          <w:b/>
          <w:bCs/>
          <w:szCs w:val="24"/>
        </w:rPr>
        <w:t>11</w:t>
      </w:r>
      <w:r w:rsidRPr="007D2A99">
        <w:rPr>
          <w:rFonts w:ascii="Book Antiqua" w:hAnsi="Book Antiqua" w:cs="宋体"/>
          <w:szCs w:val="24"/>
        </w:rPr>
        <w:t>: 6-16 [PMID: 12529700 DOI: 10.1038/sj.ejhg.5200897]</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40</w:t>
      </w:r>
      <w:r w:rsidRPr="00AF06D7">
        <w:rPr>
          <w:rFonts w:ascii="Book Antiqua" w:hAnsi="Book Antiqua" w:cs="宋体"/>
          <w:szCs w:val="24"/>
        </w:rPr>
        <w:t> </w:t>
      </w:r>
      <w:r w:rsidRPr="007D2A99">
        <w:rPr>
          <w:rFonts w:ascii="Book Antiqua" w:hAnsi="Book Antiqua" w:cs="宋体"/>
          <w:b/>
          <w:bCs/>
          <w:szCs w:val="24"/>
        </w:rPr>
        <w:t>Leong RW</w:t>
      </w:r>
      <w:r w:rsidRPr="007D2A99">
        <w:rPr>
          <w:rFonts w:ascii="Book Antiqua" w:hAnsi="Book Antiqua" w:cs="宋体"/>
          <w:szCs w:val="24"/>
        </w:rPr>
        <w:t xml:space="preserve">, Armuzzi A, Ahmad T, Wong ML, Tse P, Jewell DP, Sung JJ.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gene polymorphisms and Crohn's disease in the Chinese population.</w:t>
      </w:r>
      <w:r w:rsidRPr="00AF06D7">
        <w:rPr>
          <w:rFonts w:ascii="Book Antiqua" w:hAnsi="Book Antiqua" w:cs="宋体"/>
          <w:szCs w:val="24"/>
        </w:rPr>
        <w:t> </w:t>
      </w:r>
      <w:r w:rsidRPr="007D2A99">
        <w:rPr>
          <w:rFonts w:ascii="Book Antiqua" w:hAnsi="Book Antiqua" w:cs="宋体"/>
          <w:i/>
          <w:iCs/>
          <w:szCs w:val="24"/>
        </w:rPr>
        <w:t>Aliment Pharmacol Ther</w:t>
      </w:r>
      <w:r w:rsidRPr="00AF06D7">
        <w:rPr>
          <w:rFonts w:ascii="Book Antiqua" w:hAnsi="Book Antiqua" w:cs="宋体"/>
          <w:szCs w:val="24"/>
        </w:rPr>
        <w:t> </w:t>
      </w:r>
      <w:r w:rsidRPr="007D2A99">
        <w:rPr>
          <w:rFonts w:ascii="Book Antiqua" w:hAnsi="Book Antiqua" w:cs="宋体"/>
          <w:szCs w:val="24"/>
        </w:rPr>
        <w:t>2003;</w:t>
      </w:r>
      <w:r w:rsidRPr="00AF06D7">
        <w:rPr>
          <w:rFonts w:ascii="Book Antiqua" w:hAnsi="Book Antiqua" w:cs="宋体"/>
          <w:szCs w:val="24"/>
        </w:rPr>
        <w:t> </w:t>
      </w:r>
      <w:r w:rsidRPr="007D2A99">
        <w:rPr>
          <w:rFonts w:ascii="Book Antiqua" w:hAnsi="Book Antiqua" w:cs="宋体"/>
          <w:b/>
          <w:bCs/>
          <w:szCs w:val="24"/>
        </w:rPr>
        <w:t>17</w:t>
      </w:r>
      <w:r w:rsidRPr="007D2A99">
        <w:rPr>
          <w:rFonts w:ascii="Book Antiqua" w:hAnsi="Book Antiqua" w:cs="宋体"/>
          <w:szCs w:val="24"/>
        </w:rPr>
        <w:t>: 1465-1470 [PMID: 12823148 DOI: 10.1046/j.1365-2036.2003.01607.x]</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41</w:t>
      </w:r>
      <w:r w:rsidRPr="00AF06D7">
        <w:rPr>
          <w:rFonts w:ascii="Book Antiqua" w:hAnsi="Book Antiqua" w:cs="宋体"/>
          <w:szCs w:val="24"/>
        </w:rPr>
        <w:t> </w:t>
      </w:r>
      <w:r w:rsidRPr="007D2A99">
        <w:rPr>
          <w:rFonts w:ascii="Book Antiqua" w:hAnsi="Book Antiqua" w:cs="宋体"/>
          <w:b/>
          <w:bCs/>
          <w:szCs w:val="24"/>
        </w:rPr>
        <w:t>Li M</w:t>
      </w:r>
      <w:r w:rsidRPr="007D2A99">
        <w:rPr>
          <w:rFonts w:ascii="Book Antiqua" w:hAnsi="Book Antiqua" w:cs="宋体"/>
          <w:szCs w:val="24"/>
        </w:rPr>
        <w:t>, Gao X, Guo CC, Wu KC, Zhang X, Hu PJ. OCTN and CARD15 gene polymorphism in Chinese patients with inflammatory bowel disease.</w:t>
      </w:r>
      <w:r w:rsidRPr="00AF06D7">
        <w:rPr>
          <w:rFonts w:ascii="Book Antiqua" w:hAnsi="Book Antiqua" w:cs="宋体"/>
          <w:szCs w:val="24"/>
        </w:rPr>
        <w:t> </w:t>
      </w:r>
      <w:r w:rsidRPr="007D2A99">
        <w:rPr>
          <w:rFonts w:ascii="Book Antiqua" w:hAnsi="Book Antiqua" w:cs="宋体"/>
          <w:i/>
          <w:iCs/>
          <w:szCs w:val="24"/>
        </w:rPr>
        <w:t>World J Gastroenterol</w:t>
      </w:r>
      <w:r w:rsidRPr="00AF06D7">
        <w:rPr>
          <w:rFonts w:ascii="Book Antiqua" w:hAnsi="Book Antiqua" w:cs="宋体"/>
          <w:szCs w:val="24"/>
        </w:rPr>
        <w:t> </w:t>
      </w:r>
      <w:r w:rsidRPr="007D2A99">
        <w:rPr>
          <w:rFonts w:ascii="Book Antiqua" w:hAnsi="Book Antiqua" w:cs="宋体"/>
          <w:szCs w:val="24"/>
        </w:rPr>
        <w:t>2008;</w:t>
      </w:r>
      <w:r w:rsidRPr="00AF06D7">
        <w:rPr>
          <w:rFonts w:ascii="Book Antiqua" w:hAnsi="Book Antiqua" w:cs="宋体"/>
          <w:szCs w:val="24"/>
        </w:rPr>
        <w:t> </w:t>
      </w:r>
      <w:r w:rsidRPr="007D2A99">
        <w:rPr>
          <w:rFonts w:ascii="Book Antiqua" w:hAnsi="Book Antiqua" w:cs="宋体"/>
          <w:b/>
          <w:bCs/>
          <w:szCs w:val="24"/>
        </w:rPr>
        <w:t>14</w:t>
      </w:r>
      <w:r w:rsidRPr="007D2A99">
        <w:rPr>
          <w:rFonts w:ascii="Book Antiqua" w:hAnsi="Book Antiqua" w:cs="宋体"/>
          <w:szCs w:val="24"/>
        </w:rPr>
        <w:t>: 4923-4927 [PMID: 18756601 DOI: 10.3748/wjg.14.4923]</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42</w:t>
      </w:r>
      <w:r w:rsidRPr="00AF06D7">
        <w:rPr>
          <w:rFonts w:ascii="Book Antiqua" w:hAnsi="Book Antiqua" w:cs="宋体"/>
          <w:szCs w:val="24"/>
        </w:rPr>
        <w:t> </w:t>
      </w:r>
      <w:r w:rsidRPr="007D2A99">
        <w:rPr>
          <w:rFonts w:ascii="Book Antiqua" w:hAnsi="Book Antiqua" w:cs="宋体"/>
          <w:b/>
          <w:bCs/>
          <w:szCs w:val="24"/>
        </w:rPr>
        <w:t>Pugazhendhi S</w:t>
      </w:r>
      <w:r w:rsidRPr="007D2A99">
        <w:rPr>
          <w:rFonts w:ascii="Book Antiqua" w:hAnsi="Book Antiqua" w:cs="宋体"/>
          <w:szCs w:val="24"/>
        </w:rPr>
        <w:t>, Amte A, Balamurugan R, Subramanian V, Ramakrishna BS. Common NOD2 mutations are absent in patients with Crohn's disease in India.</w:t>
      </w:r>
      <w:r w:rsidRPr="00AF06D7">
        <w:rPr>
          <w:rFonts w:ascii="Book Antiqua" w:hAnsi="Book Antiqua" w:cs="宋体"/>
          <w:szCs w:val="24"/>
        </w:rPr>
        <w:t> </w:t>
      </w:r>
      <w:r w:rsidRPr="007D2A99">
        <w:rPr>
          <w:rFonts w:ascii="Book Antiqua" w:hAnsi="Book Antiqua" w:cs="宋体"/>
          <w:i/>
          <w:iCs/>
          <w:szCs w:val="24"/>
        </w:rPr>
        <w:t>Indian J Gastroenterol</w:t>
      </w:r>
      <w:r w:rsidRPr="00AF06D7">
        <w:rPr>
          <w:rFonts w:ascii="Book Antiqua" w:hAnsi="Book Antiqua" w:cs="宋体"/>
          <w:szCs w:val="24"/>
        </w:rPr>
        <w:t> 2008</w:t>
      </w:r>
      <w:r w:rsidRPr="007D2A99">
        <w:rPr>
          <w:rFonts w:ascii="Book Antiqua" w:hAnsi="Book Antiqua" w:cs="宋体"/>
          <w:szCs w:val="24"/>
        </w:rPr>
        <w:t>;</w:t>
      </w:r>
      <w:r w:rsidRPr="00AF06D7">
        <w:rPr>
          <w:rFonts w:ascii="Book Antiqua" w:hAnsi="Book Antiqua" w:cs="宋体"/>
          <w:szCs w:val="24"/>
        </w:rPr>
        <w:t> </w:t>
      </w:r>
      <w:r w:rsidRPr="007D2A99">
        <w:rPr>
          <w:rFonts w:ascii="Book Antiqua" w:hAnsi="Book Antiqua" w:cs="宋体"/>
          <w:b/>
          <w:bCs/>
          <w:szCs w:val="24"/>
        </w:rPr>
        <w:t>27</w:t>
      </w:r>
      <w:r w:rsidRPr="007D2A99">
        <w:rPr>
          <w:rFonts w:ascii="Book Antiqua" w:hAnsi="Book Antiqua" w:cs="宋体"/>
          <w:szCs w:val="24"/>
        </w:rPr>
        <w:t>: 201-203 [PMID: 19112191]</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43</w:t>
      </w:r>
      <w:r w:rsidRPr="00AF06D7">
        <w:rPr>
          <w:rFonts w:ascii="Book Antiqua" w:hAnsi="Book Antiqua" w:cs="宋体"/>
          <w:szCs w:val="24"/>
        </w:rPr>
        <w:t> </w:t>
      </w:r>
      <w:r w:rsidRPr="007D2A99">
        <w:rPr>
          <w:rFonts w:ascii="Book Antiqua" w:hAnsi="Book Antiqua" w:cs="宋体"/>
          <w:b/>
          <w:bCs/>
          <w:szCs w:val="24"/>
        </w:rPr>
        <w:t>Chua KH</w:t>
      </w:r>
      <w:r w:rsidRPr="007D2A99">
        <w:rPr>
          <w:rFonts w:ascii="Book Antiqua" w:hAnsi="Book Antiqua" w:cs="宋体"/>
          <w:szCs w:val="24"/>
        </w:rPr>
        <w:t>, Ng CC, Hilmi I, Goh KL. Co-inheritance of variants/mutations in Malaysian patients with Crohn's disease.</w:t>
      </w:r>
      <w:r w:rsidRPr="00AF06D7">
        <w:rPr>
          <w:rFonts w:ascii="Book Antiqua" w:hAnsi="Book Antiqua" w:cs="宋体"/>
          <w:szCs w:val="24"/>
        </w:rPr>
        <w:t> </w:t>
      </w:r>
      <w:r w:rsidRPr="007D2A99">
        <w:rPr>
          <w:rFonts w:ascii="Book Antiqua" w:hAnsi="Book Antiqua" w:cs="宋体"/>
          <w:i/>
          <w:iCs/>
          <w:szCs w:val="24"/>
        </w:rPr>
        <w:t>Genet Mol Res</w:t>
      </w:r>
      <w:r w:rsidRPr="00AF06D7">
        <w:rPr>
          <w:rFonts w:ascii="Book Antiqua" w:hAnsi="Book Antiqua" w:cs="宋体"/>
          <w:szCs w:val="24"/>
        </w:rPr>
        <w:t> </w:t>
      </w:r>
      <w:r w:rsidRPr="007D2A99">
        <w:rPr>
          <w:rFonts w:ascii="Book Antiqua" w:hAnsi="Book Antiqua" w:cs="宋体"/>
          <w:szCs w:val="24"/>
        </w:rPr>
        <w:t>2012;</w:t>
      </w:r>
      <w:r w:rsidRPr="00AF06D7">
        <w:rPr>
          <w:rFonts w:ascii="Book Antiqua" w:hAnsi="Book Antiqua" w:cs="宋体"/>
          <w:szCs w:val="24"/>
        </w:rPr>
        <w:t> </w:t>
      </w:r>
      <w:r w:rsidRPr="007D2A99">
        <w:rPr>
          <w:rFonts w:ascii="Book Antiqua" w:hAnsi="Book Antiqua" w:cs="宋体"/>
          <w:b/>
          <w:bCs/>
          <w:szCs w:val="24"/>
        </w:rPr>
        <w:t>11</w:t>
      </w:r>
      <w:r w:rsidRPr="007D2A99">
        <w:rPr>
          <w:rFonts w:ascii="Book Antiqua" w:hAnsi="Book Antiqua" w:cs="宋体"/>
          <w:szCs w:val="24"/>
        </w:rPr>
        <w:t>: 3115-3121 [PMID: 23007989 DOI: 10.4238/2012.August.31.9]</w:t>
      </w:r>
    </w:p>
    <w:p w:rsidR="00417B33" w:rsidRPr="007D2A99" w:rsidRDefault="00417B33" w:rsidP="00417B33">
      <w:pPr>
        <w:spacing w:line="360" w:lineRule="auto"/>
        <w:jc w:val="both"/>
        <w:rPr>
          <w:rFonts w:ascii="Book Antiqua" w:hAnsi="Book Antiqua" w:cs="宋体"/>
          <w:szCs w:val="24"/>
        </w:rPr>
      </w:pPr>
      <w:r w:rsidRPr="007D2A99">
        <w:rPr>
          <w:rFonts w:ascii="Book Antiqua" w:hAnsi="Book Antiqua" w:cs="宋体"/>
          <w:szCs w:val="24"/>
        </w:rPr>
        <w:t>44</w:t>
      </w:r>
      <w:r w:rsidRPr="00AF06D7">
        <w:rPr>
          <w:rFonts w:ascii="Book Antiqua" w:hAnsi="Book Antiqua" w:cs="宋体"/>
          <w:szCs w:val="24"/>
        </w:rPr>
        <w:t> </w:t>
      </w:r>
      <w:r w:rsidRPr="007D2A99">
        <w:rPr>
          <w:rFonts w:ascii="Book Antiqua" w:hAnsi="Book Antiqua" w:cs="宋体"/>
          <w:b/>
          <w:bCs/>
          <w:szCs w:val="24"/>
        </w:rPr>
        <w:t>Chua KH</w:t>
      </w:r>
      <w:r w:rsidRPr="007D2A99">
        <w:rPr>
          <w:rFonts w:ascii="Book Antiqua" w:hAnsi="Book Antiqua" w:cs="宋体"/>
          <w:szCs w:val="24"/>
        </w:rPr>
        <w:t xml:space="preserve">, Hilmi I, Ng CC, Eng TL, Palaniappan S, Lee WS, Goh KL. Identification of </w:t>
      </w:r>
      <w:r w:rsidR="00620902" w:rsidRPr="00620902">
        <w:rPr>
          <w:rFonts w:ascii="Book Antiqua" w:hAnsi="Book Antiqua" w:cs="宋体"/>
          <w:i/>
          <w:szCs w:val="24"/>
        </w:rPr>
        <w:t>NOD2</w:t>
      </w:r>
      <w:r w:rsidR="00C159A4" w:rsidRPr="00C159A4">
        <w:rPr>
          <w:rFonts w:ascii="Book Antiqua" w:hAnsi="Book Antiqua" w:cs="宋体"/>
          <w:szCs w:val="24"/>
        </w:rPr>
        <w:t>/</w:t>
      </w:r>
      <w:r w:rsidR="00620902" w:rsidRPr="00620902">
        <w:rPr>
          <w:rFonts w:ascii="Book Antiqua" w:hAnsi="Book Antiqua" w:cs="宋体"/>
          <w:i/>
          <w:szCs w:val="24"/>
        </w:rPr>
        <w:t>CARD15</w:t>
      </w:r>
      <w:r w:rsidRPr="007D2A99">
        <w:rPr>
          <w:rFonts w:ascii="Book Antiqua" w:hAnsi="Book Antiqua" w:cs="宋体"/>
          <w:szCs w:val="24"/>
        </w:rPr>
        <w:t xml:space="preserve"> mutations in Malaysian patients with Crohn's disease.</w:t>
      </w:r>
      <w:r w:rsidRPr="00AF06D7">
        <w:rPr>
          <w:rFonts w:ascii="Book Antiqua" w:hAnsi="Book Antiqua" w:cs="宋体"/>
          <w:szCs w:val="24"/>
        </w:rPr>
        <w:t> </w:t>
      </w:r>
      <w:r w:rsidRPr="007D2A99">
        <w:rPr>
          <w:rFonts w:ascii="Book Antiqua" w:hAnsi="Book Antiqua" w:cs="宋体"/>
          <w:i/>
          <w:iCs/>
          <w:szCs w:val="24"/>
        </w:rPr>
        <w:t>J Dig Dis</w:t>
      </w:r>
      <w:r w:rsidRPr="00AF06D7">
        <w:rPr>
          <w:rFonts w:ascii="Book Antiqua" w:hAnsi="Book Antiqua" w:cs="宋体"/>
          <w:szCs w:val="24"/>
        </w:rPr>
        <w:t> </w:t>
      </w:r>
      <w:r w:rsidRPr="007D2A99">
        <w:rPr>
          <w:rFonts w:ascii="Book Antiqua" w:hAnsi="Book Antiqua" w:cs="宋体"/>
          <w:szCs w:val="24"/>
        </w:rPr>
        <w:t>2009;</w:t>
      </w:r>
      <w:r w:rsidRPr="00AF06D7">
        <w:rPr>
          <w:rFonts w:ascii="Book Antiqua" w:hAnsi="Book Antiqua" w:cs="宋体"/>
          <w:szCs w:val="24"/>
        </w:rPr>
        <w:t> </w:t>
      </w:r>
      <w:r w:rsidRPr="007D2A99">
        <w:rPr>
          <w:rFonts w:ascii="Book Antiqua" w:hAnsi="Book Antiqua" w:cs="宋体"/>
          <w:b/>
          <w:bCs/>
          <w:szCs w:val="24"/>
        </w:rPr>
        <w:t>10</w:t>
      </w:r>
      <w:r w:rsidRPr="007D2A99">
        <w:rPr>
          <w:rFonts w:ascii="Book Antiqua" w:hAnsi="Book Antiqua" w:cs="宋体"/>
          <w:szCs w:val="24"/>
        </w:rPr>
        <w:t>: 124-130 [PMID: 19426395 DOI: 10.1111/j.1751-2980.2009.00374.x]</w:t>
      </w:r>
    </w:p>
    <w:p w:rsidR="00417B33" w:rsidRPr="00AF06D7" w:rsidRDefault="00417B33" w:rsidP="00D44B94">
      <w:pPr>
        <w:spacing w:line="360" w:lineRule="auto"/>
        <w:jc w:val="right"/>
        <w:rPr>
          <w:rFonts w:ascii="Book Antiqua" w:hAnsi="Book Antiqua"/>
          <w:szCs w:val="24"/>
        </w:rPr>
      </w:pPr>
    </w:p>
    <w:p w:rsidR="009E0D19" w:rsidRPr="00CE4867" w:rsidRDefault="009E0D19" w:rsidP="00D44B94">
      <w:pPr>
        <w:spacing w:line="360" w:lineRule="auto"/>
        <w:jc w:val="right"/>
        <w:rPr>
          <w:rFonts w:ascii="Book Antiqua" w:hAnsi="Book Antiqua"/>
          <w:b/>
          <w:bCs/>
          <w:color w:val="000000"/>
        </w:rPr>
      </w:pPr>
      <w:bookmarkStart w:id="22" w:name="OLE_LINK11"/>
      <w:bookmarkStart w:id="23" w:name="OLE_LINK12"/>
      <w:bookmarkStart w:id="24" w:name="OLE_LINK36"/>
      <w:bookmarkStart w:id="25" w:name="OLE_LINK37"/>
      <w:bookmarkStart w:id="26" w:name="OLE_LINK20"/>
      <w:bookmarkStart w:id="27" w:name="OLE_LINK80"/>
      <w:bookmarkStart w:id="28" w:name="OLE_LINK85"/>
      <w:bookmarkStart w:id="29" w:name="OLE_LINK194"/>
      <w:bookmarkStart w:id="30" w:name="OLE_LINK118"/>
      <w:r w:rsidRPr="00CE4867">
        <w:rPr>
          <w:rStyle w:val="ad"/>
          <w:rFonts w:ascii="Book Antiqua" w:hAnsi="Book Antiqua"/>
          <w:noProof/>
          <w:color w:val="000000"/>
          <w:szCs w:val="24"/>
        </w:rPr>
        <w:t>P-Reviewer</w:t>
      </w:r>
      <w:bookmarkEnd w:id="22"/>
      <w:bookmarkEnd w:id="23"/>
      <w:r>
        <w:rPr>
          <w:rStyle w:val="ad"/>
          <w:rFonts w:ascii="Book Antiqua" w:hAnsi="Book Antiqua" w:hint="eastAsia"/>
          <w:noProof/>
          <w:color w:val="000000"/>
          <w:szCs w:val="24"/>
          <w:lang w:eastAsia="zh-CN"/>
        </w:rPr>
        <w:t>s</w:t>
      </w:r>
      <w:r w:rsidRPr="00CE4867">
        <w:rPr>
          <w:rFonts w:ascii="Book Antiqua" w:hAnsi="Book Antiqua"/>
          <w:b/>
          <w:bCs/>
          <w:color w:val="000000"/>
        </w:rPr>
        <w:t xml:space="preserve"> </w:t>
      </w:r>
      <w:r w:rsidRPr="009E0D19">
        <w:rPr>
          <w:rFonts w:ascii="Book Antiqua" w:hAnsi="Book Antiqua"/>
          <w:bCs/>
          <w:color w:val="000000"/>
        </w:rPr>
        <w:t>Moreels TG</w:t>
      </w:r>
      <w:r w:rsidRPr="009E0D19">
        <w:rPr>
          <w:rFonts w:ascii="Book Antiqua" w:hAnsi="Book Antiqua" w:hint="eastAsia"/>
          <w:bCs/>
          <w:color w:val="000000"/>
          <w:lang w:eastAsia="zh-CN"/>
        </w:rPr>
        <w:t xml:space="preserve">, </w:t>
      </w:r>
      <w:r w:rsidRPr="009E0D19">
        <w:rPr>
          <w:rFonts w:ascii="Book Antiqua" w:hAnsi="Book Antiqua"/>
          <w:bCs/>
          <w:color w:val="000000"/>
        </w:rPr>
        <w:t>Rajendran</w:t>
      </w:r>
      <w:r>
        <w:rPr>
          <w:rFonts w:ascii="Book Antiqua" w:hAnsi="Book Antiqua" w:hint="eastAsia"/>
          <w:bCs/>
          <w:color w:val="000000"/>
          <w:lang w:eastAsia="zh-CN"/>
        </w:rPr>
        <w:t xml:space="preserve"> </w:t>
      </w:r>
      <w:r w:rsidRPr="009E0D19">
        <w:rPr>
          <w:rFonts w:ascii="Book Antiqua" w:hAnsi="Book Antiqua"/>
          <w:bCs/>
          <w:color w:val="000000"/>
        </w:rPr>
        <w:t>VM</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4"/>
    <w:bookmarkEnd w:id="25"/>
    <w:bookmarkEnd w:id="26"/>
    <w:bookmarkEnd w:id="27"/>
    <w:bookmarkEnd w:id="28"/>
    <w:bookmarkEnd w:id="29"/>
    <w:bookmarkEnd w:id="30"/>
    <w:p w:rsidR="00AE7943" w:rsidRPr="009E0D19" w:rsidRDefault="00AE7943" w:rsidP="00710B70">
      <w:pPr>
        <w:autoSpaceDE w:val="0"/>
        <w:autoSpaceDN w:val="0"/>
        <w:adjustRightInd w:val="0"/>
        <w:spacing w:line="360" w:lineRule="auto"/>
        <w:jc w:val="both"/>
        <w:rPr>
          <w:rFonts w:ascii="Book Antiqua" w:hAnsi="Book Antiqua"/>
          <w:szCs w:val="24"/>
        </w:rPr>
      </w:pPr>
    </w:p>
    <w:p w:rsidR="000F5A0A" w:rsidRDefault="000F5A0A" w:rsidP="00710B70">
      <w:pPr>
        <w:spacing w:line="360" w:lineRule="auto"/>
        <w:jc w:val="both"/>
        <w:rPr>
          <w:rFonts w:ascii="Book Antiqua" w:hAnsi="Book Antiqua"/>
          <w:b/>
          <w:szCs w:val="24"/>
          <w:lang w:eastAsia="zh-CN"/>
        </w:rPr>
      </w:pPr>
    </w:p>
    <w:p w:rsidR="000F5A0A" w:rsidRDefault="000F5A0A" w:rsidP="00710B70">
      <w:pPr>
        <w:spacing w:line="360" w:lineRule="auto"/>
        <w:jc w:val="both"/>
        <w:rPr>
          <w:rFonts w:ascii="Book Antiqua" w:hAnsi="Book Antiqua"/>
          <w:b/>
          <w:szCs w:val="24"/>
          <w:lang w:eastAsia="zh-CN"/>
        </w:rPr>
      </w:pPr>
    </w:p>
    <w:p w:rsidR="000F5A0A" w:rsidRDefault="000F5A0A" w:rsidP="00710B70">
      <w:pPr>
        <w:spacing w:line="360" w:lineRule="auto"/>
        <w:jc w:val="both"/>
        <w:rPr>
          <w:rFonts w:ascii="Book Antiqua" w:hAnsi="Book Antiqua"/>
          <w:b/>
          <w:szCs w:val="24"/>
          <w:lang w:eastAsia="zh-CN"/>
        </w:rPr>
      </w:pPr>
    </w:p>
    <w:p w:rsidR="006F1408" w:rsidRPr="00710B70" w:rsidRDefault="006F1408" w:rsidP="000F5A0A">
      <w:pPr>
        <w:spacing w:line="360" w:lineRule="auto"/>
        <w:jc w:val="both"/>
        <w:rPr>
          <w:rFonts w:ascii="Book Antiqua" w:hAnsi="Book Antiqua"/>
          <w:szCs w:val="24"/>
        </w:rPr>
      </w:pPr>
      <w:r w:rsidRPr="00710B70">
        <w:rPr>
          <w:rFonts w:ascii="Book Antiqua" w:hAnsi="Book Antiqua"/>
          <w:b/>
          <w:szCs w:val="24"/>
        </w:rPr>
        <w:t xml:space="preserve">Figure 1 </w:t>
      </w:r>
      <w:r w:rsidR="000F5A0A" w:rsidRPr="000F5A0A">
        <w:rPr>
          <w:rFonts w:ascii="Book Antiqua" w:hAnsi="Book Antiqua"/>
          <w:b/>
          <w:szCs w:val="24"/>
        </w:rPr>
        <w:t xml:space="preserve">Pathogenic mutation within the </w:t>
      </w:r>
      <w:r w:rsidR="00BD71F1" w:rsidRPr="00BD71F1">
        <w:rPr>
          <w:rFonts w:ascii="Book Antiqua" w:hAnsi="Book Antiqua"/>
          <w:b/>
          <w:szCs w:val="24"/>
        </w:rPr>
        <w:t xml:space="preserve">Nucleotide-binding Oligomerisation Domain </w:t>
      </w:r>
      <w:r w:rsidR="000F5A0A" w:rsidRPr="00BD71F1">
        <w:rPr>
          <w:rFonts w:ascii="Book Antiqua" w:hAnsi="Book Antiqua"/>
          <w:b/>
          <w:szCs w:val="24"/>
        </w:rPr>
        <w:t>2/</w:t>
      </w:r>
      <w:r w:rsidR="00BD71F1" w:rsidRPr="00BD71F1">
        <w:rPr>
          <w:rFonts w:ascii="Book Antiqua" w:hAnsi="Book Antiqua"/>
          <w:b/>
          <w:szCs w:val="24"/>
        </w:rPr>
        <w:t xml:space="preserve"> Caspase Recruitment Domains </w:t>
      </w:r>
      <w:r w:rsidR="000F5A0A" w:rsidRPr="00BD71F1">
        <w:rPr>
          <w:rFonts w:ascii="Book Antiqua" w:hAnsi="Book Antiqua"/>
          <w:b/>
          <w:szCs w:val="24"/>
        </w:rPr>
        <w:t>15 g</w:t>
      </w:r>
      <w:r w:rsidR="000F5A0A" w:rsidRPr="000F5A0A">
        <w:rPr>
          <w:rFonts w:ascii="Book Antiqua" w:hAnsi="Book Antiqua"/>
          <w:b/>
          <w:szCs w:val="24"/>
        </w:rPr>
        <w:t>ene</w:t>
      </w:r>
      <w:r w:rsidR="000F5A0A" w:rsidRPr="000F5A0A">
        <w:rPr>
          <w:rFonts w:ascii="Book Antiqua" w:hAnsi="Book Antiqua" w:hint="eastAsia"/>
          <w:b/>
          <w:szCs w:val="24"/>
          <w:lang w:eastAsia="zh-CN"/>
        </w:rPr>
        <w:t xml:space="preserve">. </w:t>
      </w:r>
      <w:r w:rsidR="000F5A0A" w:rsidRPr="007309B5">
        <w:rPr>
          <w:rFonts w:ascii="Book Antiqua" w:hAnsi="Book Antiqua" w:hint="eastAsia"/>
          <w:szCs w:val="24"/>
          <w:lang w:eastAsia="zh-CN"/>
        </w:rPr>
        <w:t>A:</w:t>
      </w:r>
      <w:r w:rsidRPr="007309B5">
        <w:rPr>
          <w:rFonts w:ascii="Book Antiqua" w:hAnsi="Book Antiqua"/>
          <w:szCs w:val="24"/>
        </w:rPr>
        <w:t xml:space="preserve"> Physical map of the exon-intron organization of the </w:t>
      </w:r>
      <w:r w:rsidR="00BD71F1" w:rsidRPr="007309B5">
        <w:rPr>
          <w:rFonts w:ascii="Book Antiqua" w:hAnsi="Book Antiqua"/>
          <w:szCs w:val="24"/>
        </w:rPr>
        <w:t>Nucleotide-binding Oligomerisation Domain 2/ Caspase Recruitment Domains 15</w:t>
      </w:r>
      <w:r w:rsidR="00BD71F1" w:rsidRPr="007309B5">
        <w:rPr>
          <w:rFonts w:ascii="Book Antiqua" w:hAnsi="Book Antiqua" w:hint="eastAsia"/>
          <w:szCs w:val="24"/>
          <w:lang w:eastAsia="zh-CN"/>
        </w:rPr>
        <w:t xml:space="preserv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00BD71F1" w:rsidRPr="007309B5">
        <w:rPr>
          <w:rFonts w:ascii="Book Antiqua" w:hAnsi="Book Antiqua" w:hint="eastAsia"/>
          <w:szCs w:val="24"/>
          <w:lang w:eastAsia="zh-CN"/>
        </w:rPr>
        <w:t>)</w:t>
      </w:r>
      <w:r w:rsidRPr="007309B5">
        <w:rPr>
          <w:rFonts w:ascii="Book Antiqua" w:hAnsi="Book Antiqua"/>
          <w:szCs w:val="24"/>
        </w:rPr>
        <w:t xml:space="preserve"> gene and the approximate positioning of the mutations within the gene</w:t>
      </w:r>
      <w:r w:rsidR="000F5A0A" w:rsidRPr="007309B5">
        <w:rPr>
          <w:rFonts w:ascii="Book Antiqua" w:hAnsi="Book Antiqua" w:hint="eastAsia"/>
          <w:szCs w:val="24"/>
          <w:lang w:eastAsia="zh-CN"/>
        </w:rPr>
        <w:t>; B:</w:t>
      </w:r>
      <w:r w:rsidRPr="007309B5">
        <w:rPr>
          <w:rFonts w:ascii="Book Antiqua" w:hAnsi="Book Antiqua"/>
          <w:szCs w:val="24"/>
        </w:rPr>
        <w:t xml:space="preserve"> </w:t>
      </w:r>
      <w:r w:rsidRPr="00710B70">
        <w:rPr>
          <w:rFonts w:ascii="Book Antiqua" w:hAnsi="Book Antiqua"/>
          <w:szCs w:val="24"/>
        </w:rPr>
        <w:t xml:space="preserve">Structural domain of the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gene. Like the other members of the NOD/</w:t>
      </w:r>
      <w:r w:rsidR="00E70867" w:rsidRPr="00710B70">
        <w:rPr>
          <w:rFonts w:ascii="Book Antiqua" w:hAnsi="Book Antiqua"/>
          <w:szCs w:val="24"/>
        </w:rPr>
        <w:t>Leucine Rich Repeat Domain (LRR)</w:t>
      </w:r>
      <w:r w:rsidRPr="00710B70">
        <w:rPr>
          <w:rFonts w:ascii="Book Antiqua" w:hAnsi="Book Antiqua"/>
          <w:szCs w:val="24"/>
        </w:rPr>
        <w:t xml:space="preserve"> protein family, </w:t>
      </w:r>
      <w:r w:rsidR="00620902" w:rsidRPr="00620902">
        <w:rPr>
          <w:rFonts w:ascii="Book Antiqua" w:hAnsi="Book Antiqua"/>
          <w:i/>
          <w:szCs w:val="24"/>
        </w:rPr>
        <w:t>NOD2</w:t>
      </w:r>
      <w:r w:rsidR="00C159A4" w:rsidRPr="00C159A4">
        <w:rPr>
          <w:rFonts w:ascii="Book Antiqua" w:hAnsi="Book Antiqua"/>
          <w:szCs w:val="24"/>
        </w:rPr>
        <w:t>/</w:t>
      </w:r>
      <w:r w:rsidR="00620902" w:rsidRPr="00620902">
        <w:rPr>
          <w:rFonts w:ascii="Book Antiqua" w:hAnsi="Book Antiqua"/>
          <w:i/>
          <w:szCs w:val="24"/>
        </w:rPr>
        <w:t>CARD15</w:t>
      </w:r>
      <w:r w:rsidRPr="00710B70">
        <w:rPr>
          <w:rFonts w:ascii="Book Antiqua" w:hAnsi="Book Antiqua"/>
          <w:szCs w:val="24"/>
        </w:rPr>
        <w:t xml:space="preserve"> consists of three distinct functional domains: CARD, a centrally located </w:t>
      </w:r>
      <w:r w:rsidR="00E70867">
        <w:rPr>
          <w:rFonts w:ascii="Book Antiqua" w:hAnsi="Book Antiqua"/>
          <w:szCs w:val="24"/>
        </w:rPr>
        <w:t>NOD</w:t>
      </w:r>
      <w:r w:rsidRPr="00710B70">
        <w:rPr>
          <w:rFonts w:ascii="Book Antiqua" w:hAnsi="Book Antiqua"/>
          <w:szCs w:val="24"/>
        </w:rPr>
        <w:t xml:space="preserve"> and a LRR. </w:t>
      </w:r>
    </w:p>
    <w:p w:rsidR="000F5A0A" w:rsidRDefault="000F5A0A" w:rsidP="000F5A0A">
      <w:pPr>
        <w:spacing w:line="360" w:lineRule="auto"/>
        <w:ind w:right="371"/>
        <w:jc w:val="both"/>
        <w:rPr>
          <w:rFonts w:ascii="Book Antiqua" w:hAnsi="Book Antiqua"/>
          <w:b/>
          <w:szCs w:val="24"/>
          <w:lang w:eastAsia="zh-CN"/>
        </w:rPr>
      </w:pPr>
    </w:p>
    <w:p w:rsidR="006F1408" w:rsidRPr="00E70867" w:rsidRDefault="006F1408" w:rsidP="000F5A0A">
      <w:pPr>
        <w:spacing w:line="360" w:lineRule="auto"/>
        <w:ind w:right="371"/>
        <w:jc w:val="both"/>
        <w:rPr>
          <w:rFonts w:ascii="Book Antiqua" w:hAnsi="Book Antiqua"/>
          <w:b/>
          <w:szCs w:val="24"/>
          <w:lang w:eastAsia="zh-CN"/>
        </w:rPr>
      </w:pPr>
      <w:r w:rsidRPr="00710B70">
        <w:rPr>
          <w:rFonts w:ascii="Book Antiqua" w:hAnsi="Book Antiqua"/>
          <w:b/>
          <w:szCs w:val="24"/>
        </w:rPr>
        <w:t xml:space="preserve">Figure 2 </w:t>
      </w:r>
      <w:r w:rsidRPr="00E70867">
        <w:rPr>
          <w:rFonts w:ascii="Book Antiqua" w:hAnsi="Book Antiqua"/>
          <w:b/>
          <w:szCs w:val="24"/>
        </w:rPr>
        <w:t xml:space="preserve">Time between </w:t>
      </w:r>
      <w:r w:rsidR="00E70867" w:rsidRPr="00E70867">
        <w:rPr>
          <w:rFonts w:ascii="Book Antiqua" w:hAnsi="Book Antiqua"/>
          <w:b/>
          <w:szCs w:val="24"/>
        </w:rPr>
        <w:t>Crohn’s disease</w:t>
      </w:r>
      <w:r w:rsidRPr="00E70867">
        <w:rPr>
          <w:rFonts w:ascii="Book Antiqua" w:hAnsi="Book Antiqua"/>
          <w:b/>
          <w:szCs w:val="24"/>
        </w:rPr>
        <w:t xml:space="preserve"> diagnosis and</w:t>
      </w:r>
      <w:r w:rsidR="000F5A0A" w:rsidRPr="00E70867">
        <w:rPr>
          <w:rFonts w:ascii="Book Antiqua" w:hAnsi="Book Antiqua"/>
          <w:b/>
          <w:szCs w:val="24"/>
        </w:rPr>
        <w:t xml:space="preserve"> initial surgery according to </w:t>
      </w:r>
      <w:r w:rsidR="00E70867" w:rsidRPr="00E70867">
        <w:rPr>
          <w:rFonts w:ascii="Book Antiqua" w:hAnsi="Book Antiqua"/>
          <w:b/>
          <w:szCs w:val="24"/>
        </w:rPr>
        <w:t>Nucleotide-binding Oligomerisation Domain 2/ Caspase Recruitment Domains 15</w:t>
      </w:r>
      <w:r w:rsidRPr="00E70867">
        <w:rPr>
          <w:rFonts w:ascii="Book Antiqua" w:hAnsi="Book Antiqua"/>
          <w:b/>
          <w:szCs w:val="24"/>
        </w:rPr>
        <w:t xml:space="preserve"> status</w:t>
      </w:r>
      <w:r w:rsidR="000F5A0A" w:rsidRPr="00E70867">
        <w:rPr>
          <w:rFonts w:ascii="Book Antiqua" w:hAnsi="Book Antiqua" w:hint="eastAsia"/>
          <w:b/>
          <w:szCs w:val="24"/>
          <w:lang w:eastAsia="zh-CN"/>
        </w:rPr>
        <w:t>.</w:t>
      </w:r>
    </w:p>
    <w:p w:rsidR="006F1408" w:rsidRPr="00E70867" w:rsidRDefault="006F1408" w:rsidP="00710B70">
      <w:pPr>
        <w:spacing w:line="360" w:lineRule="auto"/>
        <w:ind w:left="360" w:right="371"/>
        <w:jc w:val="both"/>
        <w:rPr>
          <w:rFonts w:ascii="Book Antiqua" w:hAnsi="Book Antiqua"/>
          <w:szCs w:val="24"/>
        </w:rPr>
      </w:pPr>
    </w:p>
    <w:p w:rsidR="006F1408" w:rsidRPr="00710B70" w:rsidRDefault="006F1408" w:rsidP="00710B70">
      <w:pPr>
        <w:spacing w:line="360" w:lineRule="auto"/>
        <w:jc w:val="both"/>
        <w:rPr>
          <w:rFonts w:ascii="Book Antiqua" w:hAnsi="Book Antiqua"/>
          <w:szCs w:val="24"/>
          <w:lang w:val="en-US"/>
        </w:rPr>
      </w:pPr>
    </w:p>
    <w:p w:rsidR="006F1408" w:rsidRPr="00710B70" w:rsidRDefault="006F1408" w:rsidP="00710B70">
      <w:pPr>
        <w:spacing w:line="360" w:lineRule="auto"/>
        <w:jc w:val="both"/>
        <w:rPr>
          <w:rFonts w:ascii="Book Antiqua" w:hAnsi="Book Antiqua"/>
          <w:szCs w:val="24"/>
          <w:lang w:val="en-US"/>
        </w:rPr>
      </w:pPr>
    </w:p>
    <w:p w:rsidR="006F1408" w:rsidRPr="00710B70" w:rsidRDefault="006F1408" w:rsidP="00710B70">
      <w:pPr>
        <w:spacing w:line="360" w:lineRule="auto"/>
        <w:jc w:val="both"/>
        <w:rPr>
          <w:rFonts w:ascii="Book Antiqua" w:hAnsi="Book Antiqua"/>
          <w:szCs w:val="24"/>
          <w:lang w:val="en-US"/>
        </w:rPr>
      </w:pPr>
    </w:p>
    <w:p w:rsidR="00E539A3" w:rsidRDefault="00E539A3"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Default="000F5A0A" w:rsidP="00710B70">
      <w:pPr>
        <w:spacing w:line="360" w:lineRule="auto"/>
        <w:jc w:val="both"/>
        <w:rPr>
          <w:rFonts w:ascii="Book Antiqua" w:hAnsi="Book Antiqua"/>
          <w:b/>
          <w:szCs w:val="24"/>
          <w:lang w:val="en-US" w:eastAsia="zh-CN"/>
        </w:rPr>
      </w:pPr>
    </w:p>
    <w:p w:rsidR="000F5A0A" w:rsidRPr="00710B70" w:rsidRDefault="000F5A0A" w:rsidP="00710B70">
      <w:pPr>
        <w:spacing w:line="360" w:lineRule="auto"/>
        <w:jc w:val="both"/>
        <w:rPr>
          <w:rFonts w:ascii="Book Antiqua" w:hAnsi="Book Antiqua"/>
          <w:b/>
          <w:szCs w:val="24"/>
          <w:lang w:val="en-US" w:eastAsia="zh-CN"/>
        </w:rPr>
      </w:pPr>
    </w:p>
    <w:p w:rsidR="00E539A3" w:rsidRPr="00710B70" w:rsidRDefault="00E539A3" w:rsidP="00710B70">
      <w:pPr>
        <w:spacing w:line="360" w:lineRule="auto"/>
        <w:jc w:val="both"/>
        <w:rPr>
          <w:rFonts w:ascii="Book Antiqua" w:hAnsi="Book Antiqua"/>
          <w:b/>
          <w:szCs w:val="24"/>
        </w:rPr>
      </w:pPr>
      <w:r w:rsidRPr="00710B70">
        <w:rPr>
          <w:rFonts w:ascii="Book Antiqua" w:hAnsi="Book Antiqua"/>
          <w:b/>
          <w:szCs w:val="24"/>
        </w:rPr>
        <w:t xml:space="preserve">Table 1 Number of surgical interventions according to </w:t>
      </w:r>
      <w:r w:rsidR="00E90EA3" w:rsidRPr="00E70867">
        <w:rPr>
          <w:rFonts w:ascii="Book Antiqua" w:hAnsi="Book Antiqua"/>
          <w:b/>
          <w:szCs w:val="24"/>
        </w:rPr>
        <w:t xml:space="preserve">Nucleotide-binding Oligomerisation Domain 2/ Caspase Recruitment Domains 15 </w:t>
      </w:r>
      <w:r w:rsidRPr="00710B70">
        <w:rPr>
          <w:rFonts w:ascii="Book Antiqua" w:hAnsi="Book Antiqua"/>
          <w:b/>
          <w:szCs w:val="24"/>
        </w:rPr>
        <w:t>gene status</w:t>
      </w: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2520"/>
        <w:gridCol w:w="3060"/>
        <w:gridCol w:w="3168"/>
      </w:tblGrid>
      <w:tr w:rsidR="00E539A3" w:rsidRPr="00E11180" w:rsidTr="00E11180">
        <w:tc>
          <w:tcPr>
            <w:tcW w:w="2520" w:type="dxa"/>
            <w:tcBorders>
              <w:top w:val="single" w:sz="4" w:space="0" w:color="auto"/>
              <w:bottom w:val="single" w:sz="4" w:space="0" w:color="auto"/>
            </w:tcBorders>
          </w:tcPr>
          <w:p w:rsidR="00E539A3" w:rsidRPr="00E11180" w:rsidRDefault="00E539A3" w:rsidP="00076C03">
            <w:pPr>
              <w:spacing w:line="360" w:lineRule="auto"/>
              <w:ind w:left="360" w:hanging="360"/>
              <w:jc w:val="both"/>
              <w:rPr>
                <w:rFonts w:ascii="Book Antiqua" w:hAnsi="Book Antiqua"/>
                <w:b/>
                <w:szCs w:val="24"/>
                <w:lang w:eastAsia="zh-CN"/>
              </w:rPr>
            </w:pPr>
            <w:r w:rsidRPr="00E11180">
              <w:rPr>
                <w:rFonts w:ascii="Book Antiqua" w:hAnsi="Book Antiqua"/>
                <w:b/>
                <w:szCs w:val="24"/>
              </w:rPr>
              <w:t>Surgical interventions</w:t>
            </w:r>
          </w:p>
        </w:tc>
        <w:tc>
          <w:tcPr>
            <w:tcW w:w="3060" w:type="dxa"/>
            <w:tcBorders>
              <w:top w:val="single" w:sz="4" w:space="0" w:color="auto"/>
              <w:bottom w:val="single" w:sz="4" w:space="0" w:color="auto"/>
            </w:tcBorders>
          </w:tcPr>
          <w:p w:rsidR="00E539A3" w:rsidRPr="00E11180" w:rsidRDefault="00E539A3" w:rsidP="00710B70">
            <w:pPr>
              <w:spacing w:line="360" w:lineRule="auto"/>
              <w:jc w:val="both"/>
              <w:rPr>
                <w:rFonts w:ascii="Book Antiqua" w:hAnsi="Book Antiqua"/>
                <w:b/>
                <w:szCs w:val="24"/>
              </w:rPr>
            </w:pPr>
            <w:r w:rsidRPr="00E11180">
              <w:rPr>
                <w:rFonts w:ascii="Book Antiqua" w:hAnsi="Book Antiqua"/>
                <w:b/>
                <w:szCs w:val="24"/>
              </w:rPr>
              <w:t xml:space="preserve">Pathogenic </w:t>
            </w:r>
            <w:r w:rsidR="00E11180" w:rsidRPr="00E11180">
              <w:rPr>
                <w:rFonts w:ascii="Book Antiqua" w:hAnsi="Book Antiqua"/>
                <w:b/>
                <w:szCs w:val="24"/>
              </w:rPr>
              <w:t>m</w:t>
            </w:r>
            <w:r w:rsidRPr="00E11180">
              <w:rPr>
                <w:rFonts w:ascii="Book Antiqua" w:hAnsi="Book Antiqua"/>
                <w:b/>
                <w:szCs w:val="24"/>
              </w:rPr>
              <w:t>utation positive</w:t>
            </w:r>
          </w:p>
          <w:p w:rsidR="00E539A3" w:rsidRPr="00E11180" w:rsidRDefault="00E539A3" w:rsidP="00076C03">
            <w:pPr>
              <w:spacing w:line="360" w:lineRule="auto"/>
              <w:jc w:val="both"/>
              <w:rPr>
                <w:rFonts w:ascii="Book Antiqua" w:hAnsi="Book Antiqua"/>
                <w:b/>
                <w:szCs w:val="24"/>
                <w:lang w:eastAsia="zh-CN"/>
              </w:rPr>
            </w:pPr>
            <w:r w:rsidRPr="00E11180">
              <w:rPr>
                <w:rFonts w:ascii="Book Antiqua" w:hAnsi="Book Antiqua"/>
                <w:b/>
                <w:szCs w:val="24"/>
              </w:rPr>
              <w:t>(</w:t>
            </w:r>
            <w:r w:rsidRPr="00E11180">
              <w:rPr>
                <w:rFonts w:ascii="Book Antiqua" w:hAnsi="Book Antiqua"/>
                <w:b/>
                <w:i/>
                <w:szCs w:val="24"/>
              </w:rPr>
              <w:t>n</w:t>
            </w:r>
            <w:r w:rsidRPr="00E11180">
              <w:rPr>
                <w:rFonts w:ascii="Book Antiqua" w:hAnsi="Book Antiqua"/>
                <w:b/>
                <w:szCs w:val="24"/>
              </w:rPr>
              <w:t>=8)</w:t>
            </w:r>
          </w:p>
        </w:tc>
        <w:tc>
          <w:tcPr>
            <w:tcW w:w="3168" w:type="dxa"/>
            <w:tcBorders>
              <w:top w:val="single" w:sz="4" w:space="0" w:color="auto"/>
              <w:bottom w:val="single" w:sz="4" w:space="0" w:color="auto"/>
            </w:tcBorders>
          </w:tcPr>
          <w:p w:rsidR="00E539A3" w:rsidRPr="00E11180" w:rsidRDefault="00E539A3" w:rsidP="00710B70">
            <w:pPr>
              <w:spacing w:line="360" w:lineRule="auto"/>
              <w:jc w:val="both"/>
              <w:rPr>
                <w:rFonts w:ascii="Book Antiqua" w:hAnsi="Book Antiqua"/>
                <w:b/>
                <w:szCs w:val="24"/>
              </w:rPr>
            </w:pPr>
            <w:r w:rsidRPr="00E11180">
              <w:rPr>
                <w:rFonts w:ascii="Book Antiqua" w:hAnsi="Book Antiqua"/>
                <w:b/>
                <w:szCs w:val="24"/>
              </w:rPr>
              <w:t xml:space="preserve">Pathogenic </w:t>
            </w:r>
            <w:r w:rsidR="00E11180" w:rsidRPr="00E11180">
              <w:rPr>
                <w:rFonts w:ascii="Book Antiqua" w:hAnsi="Book Antiqua"/>
                <w:b/>
                <w:szCs w:val="24"/>
              </w:rPr>
              <w:t>m</w:t>
            </w:r>
            <w:r w:rsidRPr="00E11180">
              <w:rPr>
                <w:rFonts w:ascii="Book Antiqua" w:hAnsi="Book Antiqua"/>
                <w:b/>
                <w:szCs w:val="24"/>
              </w:rPr>
              <w:t>utation negative</w:t>
            </w:r>
          </w:p>
          <w:p w:rsidR="00E539A3" w:rsidRPr="00E11180" w:rsidRDefault="00E539A3" w:rsidP="00076C03">
            <w:pPr>
              <w:spacing w:line="360" w:lineRule="auto"/>
              <w:jc w:val="both"/>
              <w:rPr>
                <w:rFonts w:ascii="Book Antiqua" w:hAnsi="Book Antiqua"/>
                <w:b/>
                <w:szCs w:val="24"/>
                <w:lang w:eastAsia="zh-CN"/>
              </w:rPr>
            </w:pPr>
            <w:r w:rsidRPr="00E11180">
              <w:rPr>
                <w:rFonts w:ascii="Book Antiqua" w:hAnsi="Book Antiqua"/>
                <w:b/>
                <w:szCs w:val="24"/>
              </w:rPr>
              <w:t>(</w:t>
            </w:r>
            <w:r w:rsidRPr="00E11180">
              <w:rPr>
                <w:rFonts w:ascii="Book Antiqua" w:hAnsi="Book Antiqua"/>
                <w:b/>
                <w:i/>
                <w:szCs w:val="24"/>
              </w:rPr>
              <w:t>n</w:t>
            </w:r>
            <w:r w:rsidRPr="00E11180">
              <w:rPr>
                <w:rFonts w:ascii="Book Antiqua" w:hAnsi="Book Antiqua"/>
                <w:b/>
                <w:szCs w:val="24"/>
              </w:rPr>
              <w:t>=22)</w:t>
            </w:r>
          </w:p>
        </w:tc>
      </w:tr>
      <w:tr w:rsidR="00E539A3" w:rsidRPr="00710B70" w:rsidTr="00E11180">
        <w:trPr>
          <w:trHeight w:val="70"/>
        </w:trPr>
        <w:tc>
          <w:tcPr>
            <w:tcW w:w="2520" w:type="dxa"/>
            <w:tcBorders>
              <w:top w:val="single" w:sz="4" w:space="0" w:color="auto"/>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 xml:space="preserve">         </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2</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4</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5</w:t>
            </w:r>
          </w:p>
        </w:tc>
        <w:tc>
          <w:tcPr>
            <w:tcW w:w="3060" w:type="dxa"/>
            <w:tcBorders>
              <w:top w:val="single" w:sz="4" w:space="0" w:color="auto"/>
            </w:tcBorders>
          </w:tcPr>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2</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tc>
        <w:tc>
          <w:tcPr>
            <w:tcW w:w="3168" w:type="dxa"/>
            <w:tcBorders>
              <w:top w:val="single" w:sz="4" w:space="0" w:color="auto"/>
            </w:tcBorders>
          </w:tcPr>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12</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5</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tc>
      </w:tr>
    </w:tbl>
    <w:p w:rsidR="00E539A3" w:rsidRPr="00710B70" w:rsidRDefault="00E539A3" w:rsidP="00710B70">
      <w:pPr>
        <w:spacing w:line="360" w:lineRule="auto"/>
        <w:jc w:val="both"/>
        <w:rPr>
          <w:rFonts w:ascii="Book Antiqua" w:hAnsi="Book Antiqua"/>
          <w:szCs w:val="24"/>
          <w:lang w:val="en-US"/>
        </w:rPr>
      </w:pPr>
    </w:p>
    <w:p w:rsidR="00E539A3" w:rsidRDefault="00E539A3"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A94141" w:rsidRDefault="00A94141" w:rsidP="00710B70">
      <w:pPr>
        <w:spacing w:line="360" w:lineRule="auto"/>
        <w:jc w:val="both"/>
        <w:rPr>
          <w:rFonts w:ascii="Book Antiqua" w:hAnsi="Book Antiqua"/>
          <w:szCs w:val="24"/>
          <w:lang w:val="en-US" w:eastAsia="zh-CN"/>
        </w:rPr>
      </w:pPr>
    </w:p>
    <w:p w:rsidR="00E539A3" w:rsidRPr="00710B70" w:rsidRDefault="00E539A3" w:rsidP="00710B70">
      <w:pPr>
        <w:spacing w:line="360" w:lineRule="auto"/>
        <w:jc w:val="both"/>
        <w:rPr>
          <w:rFonts w:ascii="Book Antiqua" w:hAnsi="Book Antiqua"/>
          <w:b/>
          <w:szCs w:val="24"/>
          <w:lang w:eastAsia="zh-CN"/>
        </w:rPr>
      </w:pPr>
      <w:r w:rsidRPr="00710B70">
        <w:rPr>
          <w:rFonts w:ascii="Book Antiqua" w:hAnsi="Book Antiqua"/>
          <w:b/>
          <w:szCs w:val="24"/>
        </w:rPr>
        <w:lastRenderedPageBreak/>
        <w:t xml:space="preserve">Table 2 Analysis of phenotypic characteristics of </w:t>
      </w:r>
      <w:r w:rsidR="00410AD9" w:rsidRPr="00E70867">
        <w:rPr>
          <w:rFonts w:ascii="Book Antiqua" w:hAnsi="Book Antiqua"/>
          <w:b/>
          <w:szCs w:val="24"/>
        </w:rPr>
        <w:t>Crohn’s disease</w:t>
      </w:r>
      <w:r w:rsidRPr="00710B70">
        <w:rPr>
          <w:rFonts w:ascii="Book Antiqua" w:hAnsi="Book Antiqua"/>
          <w:b/>
          <w:szCs w:val="24"/>
        </w:rPr>
        <w:t xml:space="preserve"> patients according to </w:t>
      </w:r>
      <w:r w:rsidR="00410AD9" w:rsidRPr="00E70867">
        <w:rPr>
          <w:rFonts w:ascii="Book Antiqua" w:hAnsi="Book Antiqua"/>
          <w:b/>
          <w:szCs w:val="24"/>
        </w:rPr>
        <w:t>Nucleotide-binding Oligomerisation Domain 2/ Caspase Recruitment Domains 15</w:t>
      </w:r>
      <w:r w:rsidRPr="00710B70">
        <w:rPr>
          <w:rFonts w:ascii="Book Antiqua" w:hAnsi="Book Antiqua"/>
          <w:b/>
          <w:szCs w:val="24"/>
        </w:rPr>
        <w:t xml:space="preserve"> gene status</w:t>
      </w:r>
      <w:r w:rsidR="00410AD9" w:rsidRPr="00410AD9">
        <w:rPr>
          <w:rFonts w:ascii="Book Antiqua" w:hAnsi="Book Antiqua" w:hint="eastAsia"/>
          <w:b/>
          <w:szCs w:val="24"/>
          <w:vertAlign w:val="superscript"/>
          <w:lang w:eastAsia="zh-CN"/>
        </w:rPr>
        <w:t>1</w:t>
      </w:r>
    </w:p>
    <w:tbl>
      <w:tblPr>
        <w:tblW w:w="0" w:type="auto"/>
        <w:tblBorders>
          <w:top w:val="single" w:sz="4" w:space="0" w:color="auto"/>
          <w:bottom w:val="single" w:sz="4" w:space="0" w:color="auto"/>
        </w:tblBorders>
        <w:tblLook w:val="01E0" w:firstRow="1" w:lastRow="1" w:firstColumn="1" w:lastColumn="1" w:noHBand="0" w:noVBand="0"/>
      </w:tblPr>
      <w:tblGrid>
        <w:gridCol w:w="2952"/>
        <w:gridCol w:w="2952"/>
        <w:gridCol w:w="2952"/>
      </w:tblGrid>
      <w:tr w:rsidR="00E539A3" w:rsidRPr="00A94141" w:rsidTr="00A94141">
        <w:tc>
          <w:tcPr>
            <w:tcW w:w="2952" w:type="dxa"/>
            <w:tcBorders>
              <w:top w:val="single" w:sz="4" w:space="0" w:color="auto"/>
              <w:bottom w:val="single" w:sz="4" w:space="0" w:color="auto"/>
            </w:tcBorders>
          </w:tcPr>
          <w:p w:rsidR="00E539A3" w:rsidRPr="00A94141" w:rsidRDefault="00E539A3" w:rsidP="00710B70">
            <w:pPr>
              <w:spacing w:line="360" w:lineRule="auto"/>
              <w:jc w:val="both"/>
              <w:rPr>
                <w:rFonts w:ascii="Book Antiqua" w:hAnsi="Book Antiqua"/>
                <w:b/>
                <w:szCs w:val="24"/>
              </w:rPr>
            </w:pPr>
          </w:p>
        </w:tc>
        <w:tc>
          <w:tcPr>
            <w:tcW w:w="2952" w:type="dxa"/>
            <w:tcBorders>
              <w:top w:val="single" w:sz="4" w:space="0" w:color="auto"/>
              <w:bottom w:val="single" w:sz="4" w:space="0" w:color="auto"/>
            </w:tcBorders>
          </w:tcPr>
          <w:p w:rsidR="00E539A3" w:rsidRPr="00A94141" w:rsidRDefault="00E539A3" w:rsidP="00710B70">
            <w:pPr>
              <w:spacing w:line="360" w:lineRule="auto"/>
              <w:jc w:val="both"/>
              <w:rPr>
                <w:rFonts w:ascii="Book Antiqua" w:hAnsi="Book Antiqua"/>
                <w:b/>
                <w:szCs w:val="24"/>
              </w:rPr>
            </w:pPr>
            <w:r w:rsidRPr="00A94141">
              <w:rPr>
                <w:rFonts w:ascii="Book Antiqua" w:hAnsi="Book Antiqua"/>
                <w:b/>
                <w:szCs w:val="24"/>
              </w:rPr>
              <w:t>3020insC Mutation positive</w:t>
            </w:r>
          </w:p>
          <w:p w:rsidR="00E539A3" w:rsidRPr="00A94141" w:rsidRDefault="00E539A3" w:rsidP="00076C03">
            <w:pPr>
              <w:spacing w:line="360" w:lineRule="auto"/>
              <w:jc w:val="both"/>
              <w:rPr>
                <w:rFonts w:ascii="Book Antiqua" w:hAnsi="Book Antiqua"/>
                <w:b/>
                <w:szCs w:val="24"/>
                <w:lang w:eastAsia="zh-CN"/>
              </w:rPr>
            </w:pPr>
            <w:r w:rsidRPr="00A94141">
              <w:rPr>
                <w:rFonts w:ascii="Book Antiqua" w:hAnsi="Book Antiqua"/>
                <w:b/>
                <w:szCs w:val="24"/>
              </w:rPr>
              <w:t>(</w:t>
            </w:r>
            <w:r w:rsidRPr="00A94141">
              <w:rPr>
                <w:rFonts w:ascii="Book Antiqua" w:hAnsi="Book Antiqua"/>
                <w:b/>
                <w:i/>
                <w:szCs w:val="24"/>
              </w:rPr>
              <w:t>n</w:t>
            </w:r>
            <w:r w:rsidRPr="00A94141">
              <w:rPr>
                <w:rFonts w:ascii="Book Antiqua" w:hAnsi="Book Antiqua"/>
                <w:b/>
                <w:szCs w:val="24"/>
              </w:rPr>
              <w:t>=4)</w:t>
            </w:r>
          </w:p>
        </w:tc>
        <w:tc>
          <w:tcPr>
            <w:tcW w:w="2952" w:type="dxa"/>
            <w:tcBorders>
              <w:top w:val="single" w:sz="4" w:space="0" w:color="auto"/>
              <w:bottom w:val="single" w:sz="4" w:space="0" w:color="auto"/>
            </w:tcBorders>
          </w:tcPr>
          <w:p w:rsidR="00E539A3" w:rsidRPr="00A94141" w:rsidRDefault="00E539A3" w:rsidP="00710B70">
            <w:pPr>
              <w:spacing w:line="360" w:lineRule="auto"/>
              <w:jc w:val="both"/>
              <w:rPr>
                <w:rFonts w:ascii="Book Antiqua" w:hAnsi="Book Antiqua"/>
                <w:b/>
                <w:szCs w:val="24"/>
              </w:rPr>
            </w:pPr>
            <w:r w:rsidRPr="00A94141">
              <w:rPr>
                <w:rFonts w:ascii="Book Antiqua" w:hAnsi="Book Antiqua"/>
                <w:b/>
                <w:szCs w:val="24"/>
              </w:rPr>
              <w:t>3020insC Mutation negative</w:t>
            </w:r>
          </w:p>
          <w:p w:rsidR="00E539A3" w:rsidRPr="00A94141" w:rsidRDefault="00E539A3" w:rsidP="00076C03">
            <w:pPr>
              <w:spacing w:line="360" w:lineRule="auto"/>
              <w:jc w:val="both"/>
              <w:rPr>
                <w:rFonts w:ascii="Book Antiqua" w:hAnsi="Book Antiqua"/>
                <w:b/>
                <w:szCs w:val="24"/>
                <w:lang w:eastAsia="zh-CN"/>
              </w:rPr>
            </w:pPr>
            <w:r w:rsidRPr="00A94141">
              <w:rPr>
                <w:rFonts w:ascii="Book Antiqua" w:hAnsi="Book Antiqua"/>
                <w:b/>
                <w:szCs w:val="24"/>
              </w:rPr>
              <w:t>(</w:t>
            </w:r>
            <w:r w:rsidRPr="00A94141">
              <w:rPr>
                <w:rFonts w:ascii="Book Antiqua" w:hAnsi="Book Antiqua"/>
                <w:b/>
                <w:i/>
                <w:szCs w:val="24"/>
              </w:rPr>
              <w:t>n</w:t>
            </w:r>
            <w:r w:rsidRPr="00A94141">
              <w:rPr>
                <w:rFonts w:ascii="Book Antiqua" w:hAnsi="Book Antiqua"/>
                <w:b/>
                <w:szCs w:val="24"/>
              </w:rPr>
              <w:t>=26)</w:t>
            </w:r>
            <w:r w:rsidR="000E5D22" w:rsidRPr="00A94141">
              <w:rPr>
                <w:rFonts w:ascii="Book Antiqua" w:hAnsi="Book Antiqua" w:hint="eastAsia"/>
                <w:b/>
                <w:szCs w:val="24"/>
                <w:lang w:eastAsia="zh-CN"/>
              </w:rPr>
              <w:t xml:space="preserve"> </w:t>
            </w:r>
          </w:p>
        </w:tc>
      </w:tr>
      <w:tr w:rsidR="00E539A3" w:rsidRPr="00710B70" w:rsidTr="00A94141">
        <w:tc>
          <w:tcPr>
            <w:tcW w:w="2952" w:type="dxa"/>
            <w:tcBorders>
              <w:top w:val="single" w:sz="4" w:space="0" w:color="auto"/>
            </w:tcBorders>
          </w:tcPr>
          <w:p w:rsidR="00E539A3" w:rsidRPr="00710B70" w:rsidRDefault="00E539A3" w:rsidP="00710B70">
            <w:pPr>
              <w:spacing w:line="360" w:lineRule="auto"/>
              <w:jc w:val="both"/>
              <w:rPr>
                <w:rFonts w:ascii="Book Antiqua" w:hAnsi="Book Antiqua"/>
                <w:szCs w:val="24"/>
                <w:u w:val="single"/>
              </w:rPr>
            </w:pPr>
          </w:p>
          <w:p w:rsidR="00E539A3" w:rsidRPr="00710B70" w:rsidRDefault="00E539A3" w:rsidP="00710B70">
            <w:pPr>
              <w:spacing w:line="360" w:lineRule="auto"/>
              <w:jc w:val="both"/>
              <w:rPr>
                <w:rFonts w:ascii="Book Antiqua" w:hAnsi="Book Antiqua"/>
                <w:szCs w:val="24"/>
                <w:u w:val="single"/>
              </w:rPr>
            </w:pPr>
            <w:r w:rsidRPr="00710B70">
              <w:rPr>
                <w:rFonts w:ascii="Book Antiqua" w:hAnsi="Book Antiqua"/>
                <w:szCs w:val="24"/>
                <w:u w:val="single"/>
              </w:rPr>
              <w:t>Disease behaviour</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Perforating</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Stricturing</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Inflammatory</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u w:val="single"/>
              </w:rPr>
            </w:pPr>
            <w:r w:rsidRPr="00710B70">
              <w:rPr>
                <w:rFonts w:ascii="Book Antiqua" w:hAnsi="Book Antiqua"/>
                <w:szCs w:val="24"/>
                <w:u w:val="single"/>
              </w:rPr>
              <w:t>Location of CD lesions</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Small bowel</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Ileocaecal</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Colonic</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Anorectal</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Others</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u w:val="single"/>
              </w:rPr>
            </w:pPr>
            <w:r w:rsidRPr="00710B70">
              <w:rPr>
                <w:rFonts w:ascii="Book Antiqua" w:hAnsi="Book Antiqua"/>
                <w:szCs w:val="24"/>
                <w:u w:val="single"/>
              </w:rPr>
              <w:t>No of locations involved</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2</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4+</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u w:val="single"/>
              </w:rPr>
            </w:pPr>
            <w:r w:rsidRPr="00710B70">
              <w:rPr>
                <w:rFonts w:ascii="Book Antiqua" w:hAnsi="Book Antiqua"/>
                <w:szCs w:val="24"/>
                <w:u w:val="single"/>
              </w:rPr>
              <w:t>Extraintestinal manifestations</w:t>
            </w:r>
          </w:p>
          <w:p w:rsidR="00E539A3" w:rsidRPr="00710B70" w:rsidRDefault="00E539A3" w:rsidP="00710B70">
            <w:pPr>
              <w:spacing w:line="360" w:lineRule="auto"/>
              <w:jc w:val="both"/>
              <w:rPr>
                <w:rFonts w:ascii="Book Antiqua" w:hAnsi="Book Antiqua"/>
                <w:szCs w:val="24"/>
                <w:u w:val="single"/>
              </w:rPr>
            </w:pPr>
          </w:p>
        </w:tc>
        <w:tc>
          <w:tcPr>
            <w:tcW w:w="2952" w:type="dxa"/>
            <w:tcBorders>
              <w:top w:val="single" w:sz="4" w:space="0" w:color="auto"/>
            </w:tcBorders>
          </w:tcPr>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AF392B" w:rsidP="00710B70">
            <w:pPr>
              <w:spacing w:line="360" w:lineRule="auto"/>
              <w:jc w:val="both"/>
              <w:rPr>
                <w:rFonts w:ascii="Book Antiqua" w:hAnsi="Book Antiqua"/>
                <w:szCs w:val="24"/>
              </w:rPr>
            </w:pPr>
            <w:r w:rsidRPr="00710B70">
              <w:rPr>
                <w:rFonts w:ascii="Book Antiqua" w:hAnsi="Book Antiqua"/>
                <w:szCs w:val="24"/>
              </w:rPr>
              <w:t>4</w:t>
            </w:r>
          </w:p>
          <w:p w:rsidR="00E539A3" w:rsidRPr="00710B70" w:rsidRDefault="00AF392B" w:rsidP="00710B70">
            <w:pPr>
              <w:spacing w:line="360" w:lineRule="auto"/>
              <w:jc w:val="both"/>
              <w:rPr>
                <w:rFonts w:ascii="Book Antiqua" w:hAnsi="Book Antiqua"/>
                <w:szCs w:val="24"/>
              </w:rPr>
            </w:pPr>
            <w:r w:rsidRPr="00710B70">
              <w:rPr>
                <w:rFonts w:ascii="Book Antiqua" w:hAnsi="Book Antiqua"/>
                <w:szCs w:val="24"/>
              </w:rPr>
              <w:t>3</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4</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6</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0</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4</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4</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0</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0</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0</w:t>
            </w:r>
          </w:p>
        </w:tc>
        <w:tc>
          <w:tcPr>
            <w:tcW w:w="2952" w:type="dxa"/>
            <w:tcBorders>
              <w:top w:val="single" w:sz="4" w:space="0" w:color="auto"/>
            </w:tcBorders>
          </w:tcPr>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5</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14</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7</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7</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19</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7</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0</w:t>
            </w: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13</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7</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2</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0</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 xml:space="preserve"> </w:t>
            </w:r>
          </w:p>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w:t>
            </w:r>
          </w:p>
          <w:p w:rsidR="00E539A3" w:rsidRPr="00710B70" w:rsidRDefault="00E539A3" w:rsidP="00710B70">
            <w:pPr>
              <w:spacing w:line="360" w:lineRule="auto"/>
              <w:jc w:val="both"/>
              <w:rPr>
                <w:rFonts w:ascii="Book Antiqua" w:hAnsi="Book Antiqua"/>
                <w:szCs w:val="24"/>
              </w:rPr>
            </w:pPr>
          </w:p>
        </w:tc>
      </w:tr>
    </w:tbl>
    <w:p w:rsidR="00E539A3" w:rsidRPr="00710B70" w:rsidRDefault="00326A04" w:rsidP="00710B70">
      <w:pPr>
        <w:spacing w:line="360" w:lineRule="auto"/>
        <w:jc w:val="both"/>
        <w:rPr>
          <w:rFonts w:ascii="Book Antiqua" w:hAnsi="Book Antiqua"/>
          <w:szCs w:val="24"/>
          <w:lang w:eastAsia="zh-CN"/>
        </w:rPr>
      </w:pPr>
      <w:r w:rsidRPr="00326A04">
        <w:rPr>
          <w:rFonts w:ascii="Book Antiqua" w:hAnsi="Book Antiqua" w:hint="eastAsia"/>
          <w:szCs w:val="24"/>
          <w:vertAlign w:val="superscript"/>
          <w:lang w:eastAsia="zh-CN"/>
        </w:rPr>
        <w:t>1</w:t>
      </w:r>
      <w:r w:rsidR="00E539A3" w:rsidRPr="00710B70">
        <w:rPr>
          <w:rFonts w:ascii="Book Antiqua" w:hAnsi="Book Antiqua"/>
          <w:szCs w:val="24"/>
        </w:rPr>
        <w:t>Some patients had more than one clinical variable</w:t>
      </w:r>
      <w:r>
        <w:rPr>
          <w:rFonts w:ascii="Book Antiqua" w:hAnsi="Book Antiqua" w:hint="eastAsia"/>
          <w:szCs w:val="24"/>
          <w:lang w:eastAsia="zh-CN"/>
        </w:rPr>
        <w:t>. CD</w:t>
      </w:r>
      <w:r w:rsidRPr="00326A04">
        <w:rPr>
          <w:rFonts w:ascii="Book Antiqua" w:hAnsi="Book Antiqua" w:hint="eastAsia"/>
          <w:szCs w:val="24"/>
          <w:lang w:eastAsia="zh-CN"/>
        </w:rPr>
        <w:t xml:space="preserve">: </w:t>
      </w:r>
      <w:r w:rsidRPr="00326A04">
        <w:rPr>
          <w:rFonts w:ascii="Book Antiqua" w:hAnsi="Book Antiqua"/>
          <w:szCs w:val="24"/>
        </w:rPr>
        <w:t>Crohn’s disease</w:t>
      </w:r>
      <w:r w:rsidRPr="00326A04">
        <w:rPr>
          <w:rFonts w:ascii="Book Antiqua" w:hAnsi="Book Antiqua" w:hint="eastAsia"/>
          <w:szCs w:val="24"/>
          <w:lang w:eastAsia="zh-CN"/>
        </w:rPr>
        <w:t>.</w:t>
      </w:r>
    </w:p>
    <w:p w:rsidR="00E539A3" w:rsidRPr="00710B70" w:rsidRDefault="008B15E5" w:rsidP="00710B70">
      <w:pPr>
        <w:spacing w:line="360" w:lineRule="auto"/>
        <w:jc w:val="both"/>
        <w:rPr>
          <w:rFonts w:ascii="Book Antiqua" w:hAnsi="Book Antiqua"/>
          <w:b/>
          <w:szCs w:val="24"/>
        </w:rPr>
      </w:pPr>
      <w:r>
        <w:rPr>
          <w:rFonts w:ascii="Book Antiqua" w:hAnsi="Book Antiqua"/>
          <w:b/>
          <w:szCs w:val="24"/>
        </w:rPr>
        <w:lastRenderedPageBreak/>
        <w:t>Table 3</w:t>
      </w:r>
      <w:r w:rsidR="00E539A3" w:rsidRPr="00710B70">
        <w:rPr>
          <w:rFonts w:ascii="Book Antiqua" w:hAnsi="Book Antiqua"/>
          <w:b/>
          <w:szCs w:val="24"/>
        </w:rPr>
        <w:t xml:space="preserve"> Comparison of allele frequencies of </w:t>
      </w:r>
      <w:r w:rsidRPr="00E70867">
        <w:rPr>
          <w:rFonts w:ascii="Book Antiqua" w:hAnsi="Book Antiqua"/>
          <w:b/>
          <w:szCs w:val="24"/>
        </w:rPr>
        <w:t>Nucleotide-binding Oligomerisation Domain 2/ Caspase Recruitment Domains 15</w:t>
      </w:r>
      <w:r w:rsidRPr="00710B70">
        <w:rPr>
          <w:rFonts w:ascii="Book Antiqua" w:hAnsi="Book Antiqua"/>
          <w:b/>
          <w:szCs w:val="24"/>
        </w:rPr>
        <w:t xml:space="preserve"> </w:t>
      </w:r>
      <w:r w:rsidR="00E539A3" w:rsidRPr="00710B70">
        <w:rPr>
          <w:rFonts w:ascii="Book Antiqua" w:hAnsi="Book Antiqua"/>
          <w:b/>
          <w:szCs w:val="24"/>
        </w:rPr>
        <w:t xml:space="preserve">mutations </w:t>
      </w:r>
    </w:p>
    <w:tbl>
      <w:tblPr>
        <w:tblW w:w="0" w:type="auto"/>
        <w:tblBorders>
          <w:top w:val="single" w:sz="4" w:space="0" w:color="auto"/>
          <w:bottom w:val="single" w:sz="4" w:space="0" w:color="auto"/>
        </w:tblBorders>
        <w:tblLook w:val="0000" w:firstRow="0" w:lastRow="0" w:firstColumn="0" w:lastColumn="0" w:noHBand="0" w:noVBand="0"/>
      </w:tblPr>
      <w:tblGrid>
        <w:gridCol w:w="1863"/>
        <w:gridCol w:w="1927"/>
        <w:gridCol w:w="1713"/>
        <w:gridCol w:w="1672"/>
        <w:gridCol w:w="1681"/>
      </w:tblGrid>
      <w:tr w:rsidR="00E539A3" w:rsidRPr="00710B70" w:rsidTr="002B201C">
        <w:trPr>
          <w:cantSplit/>
        </w:trPr>
        <w:tc>
          <w:tcPr>
            <w:tcW w:w="1908" w:type="dxa"/>
            <w:vMerge w:val="restart"/>
            <w:tcBorders>
              <w:top w:val="single" w:sz="4" w:space="0" w:color="auto"/>
              <w:bottom w:val="nil"/>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Study</w:t>
            </w:r>
          </w:p>
        </w:tc>
        <w:tc>
          <w:tcPr>
            <w:tcW w:w="1710" w:type="dxa"/>
            <w:vMerge w:val="restart"/>
            <w:tcBorders>
              <w:top w:val="single" w:sz="4" w:space="0" w:color="auto"/>
              <w:bottom w:val="nil"/>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Population</w:t>
            </w:r>
          </w:p>
        </w:tc>
        <w:tc>
          <w:tcPr>
            <w:tcW w:w="5314" w:type="dxa"/>
            <w:gridSpan w:val="3"/>
            <w:tcBorders>
              <w:top w:val="single" w:sz="4" w:space="0" w:color="auto"/>
              <w:bottom w:val="single" w:sz="4" w:space="0" w:color="auto"/>
            </w:tcBorders>
          </w:tcPr>
          <w:p w:rsidR="00E539A3" w:rsidRPr="00710B70" w:rsidRDefault="00620902" w:rsidP="001E4D15">
            <w:pPr>
              <w:spacing w:line="360" w:lineRule="auto"/>
              <w:jc w:val="both"/>
              <w:rPr>
                <w:rFonts w:ascii="Book Antiqua" w:hAnsi="Book Antiqua"/>
                <w:szCs w:val="24"/>
              </w:rPr>
            </w:pPr>
            <w:r w:rsidRPr="00620902">
              <w:rPr>
                <w:rFonts w:ascii="Book Antiqua" w:hAnsi="Book Antiqua"/>
                <w:i/>
                <w:szCs w:val="24"/>
              </w:rPr>
              <w:t>NOD2</w:t>
            </w:r>
            <w:r w:rsidR="00C159A4" w:rsidRPr="00C159A4">
              <w:rPr>
                <w:rFonts w:ascii="Book Antiqua" w:hAnsi="Book Antiqua"/>
                <w:szCs w:val="24"/>
              </w:rPr>
              <w:t>/</w:t>
            </w:r>
            <w:r w:rsidRPr="00620902">
              <w:rPr>
                <w:rFonts w:ascii="Book Antiqua" w:hAnsi="Book Antiqua"/>
                <w:i/>
                <w:szCs w:val="24"/>
              </w:rPr>
              <w:t>CARD15</w:t>
            </w:r>
            <w:r w:rsidR="00E539A3" w:rsidRPr="00710B70">
              <w:rPr>
                <w:rFonts w:ascii="Book Antiqua" w:hAnsi="Book Antiqua"/>
                <w:szCs w:val="24"/>
              </w:rPr>
              <w:t xml:space="preserve"> Mutation</w:t>
            </w:r>
          </w:p>
        </w:tc>
      </w:tr>
      <w:tr w:rsidR="00E539A3" w:rsidRPr="00710B70" w:rsidTr="002B201C">
        <w:trPr>
          <w:cantSplit/>
        </w:trPr>
        <w:tc>
          <w:tcPr>
            <w:tcW w:w="1908" w:type="dxa"/>
            <w:vMerge/>
            <w:tcBorders>
              <w:top w:val="nil"/>
              <w:bottom w:val="single" w:sz="4" w:space="0" w:color="auto"/>
            </w:tcBorders>
          </w:tcPr>
          <w:p w:rsidR="00E539A3" w:rsidRPr="00710B70" w:rsidRDefault="00E539A3" w:rsidP="00710B70">
            <w:pPr>
              <w:spacing w:line="360" w:lineRule="auto"/>
              <w:jc w:val="both"/>
              <w:rPr>
                <w:rFonts w:ascii="Book Antiqua" w:hAnsi="Book Antiqua"/>
                <w:szCs w:val="24"/>
              </w:rPr>
            </w:pPr>
          </w:p>
        </w:tc>
        <w:tc>
          <w:tcPr>
            <w:tcW w:w="1710" w:type="dxa"/>
            <w:vMerge/>
            <w:tcBorders>
              <w:top w:val="nil"/>
              <w:bottom w:val="single" w:sz="4" w:space="0" w:color="auto"/>
            </w:tcBorders>
          </w:tcPr>
          <w:p w:rsidR="00E539A3" w:rsidRPr="00710B70" w:rsidRDefault="00E539A3" w:rsidP="00710B70">
            <w:pPr>
              <w:spacing w:line="360" w:lineRule="auto"/>
              <w:jc w:val="both"/>
              <w:rPr>
                <w:rFonts w:ascii="Book Antiqua" w:hAnsi="Book Antiqua"/>
                <w:szCs w:val="24"/>
              </w:rPr>
            </w:pPr>
          </w:p>
        </w:tc>
        <w:tc>
          <w:tcPr>
            <w:tcW w:w="1771" w:type="dxa"/>
            <w:tcBorders>
              <w:top w:val="single" w:sz="4" w:space="0" w:color="auto"/>
              <w:bottom w:val="single" w:sz="4" w:space="0" w:color="auto"/>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3020insC</w:t>
            </w:r>
          </w:p>
        </w:tc>
        <w:tc>
          <w:tcPr>
            <w:tcW w:w="1771" w:type="dxa"/>
            <w:tcBorders>
              <w:top w:val="single" w:sz="4" w:space="0" w:color="auto"/>
              <w:bottom w:val="single" w:sz="4" w:space="0" w:color="auto"/>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Exon 8</w:t>
            </w:r>
          </w:p>
        </w:tc>
        <w:tc>
          <w:tcPr>
            <w:tcW w:w="1772" w:type="dxa"/>
            <w:tcBorders>
              <w:top w:val="single" w:sz="4" w:space="0" w:color="auto"/>
              <w:bottom w:val="single" w:sz="4" w:space="0" w:color="auto"/>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Exon 4</w:t>
            </w:r>
          </w:p>
        </w:tc>
      </w:tr>
      <w:tr w:rsidR="00E539A3" w:rsidRPr="00710B70" w:rsidTr="002B201C">
        <w:tc>
          <w:tcPr>
            <w:tcW w:w="1908" w:type="dxa"/>
            <w:tcBorders>
              <w:top w:val="single" w:sz="4" w:space="0" w:color="auto"/>
            </w:tcBorders>
          </w:tcPr>
          <w:p w:rsidR="00E539A3" w:rsidRPr="00710B70" w:rsidRDefault="00E539A3" w:rsidP="00710B70">
            <w:pPr>
              <w:spacing w:line="360" w:lineRule="auto"/>
              <w:jc w:val="both"/>
              <w:rPr>
                <w:rFonts w:ascii="Book Antiqua" w:hAnsi="Book Antiqua"/>
                <w:b/>
                <w:szCs w:val="24"/>
              </w:rPr>
            </w:pPr>
            <w:r w:rsidRPr="00710B70">
              <w:rPr>
                <w:rFonts w:ascii="Book Antiqua" w:hAnsi="Book Antiqua"/>
                <w:b/>
                <w:szCs w:val="24"/>
              </w:rPr>
              <w:t>Present study</w:t>
            </w:r>
          </w:p>
        </w:tc>
        <w:tc>
          <w:tcPr>
            <w:tcW w:w="1710" w:type="dxa"/>
            <w:tcBorders>
              <w:top w:val="single" w:sz="4" w:space="0" w:color="auto"/>
            </w:tcBorders>
          </w:tcPr>
          <w:p w:rsidR="00E539A3" w:rsidRPr="00710B70" w:rsidRDefault="00E539A3" w:rsidP="00710B70">
            <w:pPr>
              <w:spacing w:line="360" w:lineRule="auto"/>
              <w:jc w:val="both"/>
              <w:rPr>
                <w:rFonts w:ascii="Book Antiqua" w:hAnsi="Book Antiqua"/>
                <w:b/>
                <w:szCs w:val="24"/>
              </w:rPr>
            </w:pPr>
            <w:r w:rsidRPr="00710B70">
              <w:rPr>
                <w:rFonts w:ascii="Book Antiqua" w:hAnsi="Book Antiqua"/>
                <w:b/>
                <w:szCs w:val="24"/>
              </w:rPr>
              <w:t>Australian</w:t>
            </w:r>
          </w:p>
        </w:tc>
        <w:tc>
          <w:tcPr>
            <w:tcW w:w="1771" w:type="dxa"/>
            <w:tcBorders>
              <w:top w:val="single" w:sz="4" w:space="0" w:color="auto"/>
            </w:tcBorders>
          </w:tcPr>
          <w:p w:rsidR="00E539A3" w:rsidRPr="00710B70" w:rsidRDefault="00E539A3" w:rsidP="00710B70">
            <w:pPr>
              <w:spacing w:line="360" w:lineRule="auto"/>
              <w:jc w:val="both"/>
              <w:rPr>
                <w:rFonts w:ascii="Book Antiqua" w:hAnsi="Book Antiqua"/>
                <w:szCs w:val="24"/>
                <w:lang w:eastAsia="zh-CN"/>
              </w:rPr>
            </w:pPr>
            <w:r w:rsidRPr="00710B70">
              <w:rPr>
                <w:rFonts w:ascii="Book Antiqua" w:hAnsi="Book Antiqua"/>
                <w:szCs w:val="24"/>
              </w:rPr>
              <w:t>13.3</w:t>
            </w:r>
            <w:r w:rsidR="001E4D15">
              <w:rPr>
                <w:rFonts w:ascii="Book Antiqua" w:hAnsi="Book Antiqua" w:hint="eastAsia"/>
                <w:szCs w:val="24"/>
                <w:lang w:eastAsia="zh-CN"/>
              </w:rPr>
              <w:t>%</w:t>
            </w:r>
          </w:p>
        </w:tc>
        <w:tc>
          <w:tcPr>
            <w:tcW w:w="1771" w:type="dxa"/>
            <w:tcBorders>
              <w:top w:val="single" w:sz="4" w:space="0" w:color="auto"/>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3</w:t>
            </w:r>
            <w:r w:rsidR="001E4D15">
              <w:rPr>
                <w:rFonts w:ascii="Book Antiqua" w:hAnsi="Book Antiqua" w:hint="eastAsia"/>
                <w:szCs w:val="24"/>
                <w:lang w:eastAsia="zh-CN"/>
              </w:rPr>
              <w:t>%</w:t>
            </w:r>
          </w:p>
        </w:tc>
        <w:tc>
          <w:tcPr>
            <w:tcW w:w="1772" w:type="dxa"/>
            <w:tcBorders>
              <w:top w:val="single" w:sz="4" w:space="0" w:color="auto"/>
            </w:tcBorders>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16.7</w:t>
            </w:r>
            <w:r w:rsidR="001E4D15">
              <w:rPr>
                <w:rFonts w:ascii="Book Antiqua" w:hAnsi="Book Antiqua" w:hint="eastAsia"/>
                <w:szCs w:val="24"/>
                <w:lang w:eastAsia="zh-CN"/>
              </w:rPr>
              <w:t>%</w:t>
            </w:r>
          </w:p>
        </w:tc>
      </w:tr>
      <w:tr w:rsidR="00E539A3" w:rsidRPr="00710B70" w:rsidTr="002B201C">
        <w:tc>
          <w:tcPr>
            <w:tcW w:w="1908"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 xml:space="preserve">Hugot </w:t>
            </w:r>
            <w:r w:rsidRPr="008B5B61">
              <w:rPr>
                <w:rFonts w:ascii="Book Antiqua" w:hAnsi="Book Antiqua"/>
                <w:i/>
                <w:szCs w:val="24"/>
              </w:rPr>
              <w:t>et a</w:t>
            </w:r>
            <w:r w:rsidRPr="00710B70">
              <w:rPr>
                <w:rFonts w:ascii="Book Antiqua" w:hAnsi="Book Antiqua"/>
                <w:szCs w:val="24"/>
              </w:rPr>
              <w:t>l</w:t>
            </w:r>
            <w:r w:rsidR="0041042F" w:rsidRPr="0041042F">
              <w:rPr>
                <w:rFonts w:ascii="Book Antiqua" w:hAnsi="Book Antiqua"/>
                <w:szCs w:val="24"/>
                <w:vertAlign w:val="superscript"/>
              </w:rPr>
              <w:t>[4]</w:t>
            </w:r>
          </w:p>
        </w:tc>
        <w:tc>
          <w:tcPr>
            <w:tcW w:w="1710"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European</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12</w:t>
            </w:r>
            <w:r w:rsidR="001E4D15">
              <w:rPr>
                <w:rFonts w:ascii="Book Antiqua" w:hAnsi="Book Antiqua" w:hint="eastAsia"/>
                <w:szCs w:val="24"/>
                <w:lang w:eastAsia="zh-CN"/>
              </w:rPr>
              <w:t>%</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6</w:t>
            </w:r>
            <w:r w:rsidR="001E4D15">
              <w:rPr>
                <w:rFonts w:ascii="Book Antiqua" w:hAnsi="Book Antiqua" w:hint="eastAsia"/>
                <w:szCs w:val="24"/>
                <w:lang w:eastAsia="zh-CN"/>
              </w:rPr>
              <w:t>%</w:t>
            </w:r>
          </w:p>
        </w:tc>
        <w:tc>
          <w:tcPr>
            <w:tcW w:w="1772"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11</w:t>
            </w:r>
            <w:r w:rsidR="001E4D15">
              <w:rPr>
                <w:rFonts w:ascii="Book Antiqua" w:hAnsi="Book Antiqua" w:hint="eastAsia"/>
                <w:szCs w:val="24"/>
                <w:lang w:eastAsia="zh-CN"/>
              </w:rPr>
              <w:t>%</w:t>
            </w:r>
          </w:p>
        </w:tc>
      </w:tr>
      <w:tr w:rsidR="00E539A3" w:rsidRPr="00710B70" w:rsidTr="002B201C">
        <w:tc>
          <w:tcPr>
            <w:tcW w:w="1908" w:type="dxa"/>
          </w:tcPr>
          <w:p w:rsidR="00E539A3" w:rsidRPr="00710B70" w:rsidRDefault="00E539A3" w:rsidP="0041042F">
            <w:pPr>
              <w:spacing w:line="360" w:lineRule="auto"/>
              <w:jc w:val="both"/>
              <w:rPr>
                <w:rFonts w:ascii="Book Antiqua" w:hAnsi="Book Antiqua"/>
                <w:szCs w:val="24"/>
              </w:rPr>
            </w:pPr>
            <w:r w:rsidRPr="00710B70">
              <w:rPr>
                <w:rFonts w:ascii="Book Antiqua" w:hAnsi="Book Antiqua"/>
                <w:szCs w:val="24"/>
              </w:rPr>
              <w:t>Hampe</w:t>
            </w:r>
            <w:r w:rsidRPr="008B5B61">
              <w:rPr>
                <w:rFonts w:ascii="Book Antiqua" w:hAnsi="Book Antiqua"/>
                <w:i/>
                <w:szCs w:val="24"/>
              </w:rPr>
              <w:t xml:space="preserve"> et al</w:t>
            </w:r>
            <w:r w:rsidR="0041042F" w:rsidRPr="0041042F">
              <w:rPr>
                <w:rFonts w:ascii="Book Antiqua" w:hAnsi="Book Antiqua"/>
                <w:szCs w:val="24"/>
                <w:vertAlign w:val="superscript"/>
              </w:rPr>
              <w:t>[5]</w:t>
            </w:r>
          </w:p>
        </w:tc>
        <w:tc>
          <w:tcPr>
            <w:tcW w:w="1710"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German/British</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16</w:t>
            </w:r>
            <w:r w:rsidR="001E4D15">
              <w:rPr>
                <w:rFonts w:ascii="Book Antiqua" w:hAnsi="Book Antiqua" w:hint="eastAsia"/>
                <w:szCs w:val="24"/>
                <w:lang w:eastAsia="zh-CN"/>
              </w:rPr>
              <w:t>%</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w:t>
            </w:r>
          </w:p>
        </w:tc>
        <w:tc>
          <w:tcPr>
            <w:tcW w:w="1772"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w:t>
            </w:r>
          </w:p>
        </w:tc>
      </w:tr>
      <w:tr w:rsidR="00E539A3" w:rsidRPr="00710B70" w:rsidTr="002B201C">
        <w:tc>
          <w:tcPr>
            <w:tcW w:w="1908" w:type="dxa"/>
          </w:tcPr>
          <w:p w:rsidR="00E539A3" w:rsidRPr="00710B70" w:rsidRDefault="00E539A3" w:rsidP="008B5B61">
            <w:pPr>
              <w:spacing w:line="360" w:lineRule="auto"/>
              <w:jc w:val="both"/>
              <w:rPr>
                <w:rFonts w:ascii="Book Antiqua" w:hAnsi="Book Antiqua"/>
                <w:szCs w:val="24"/>
              </w:rPr>
            </w:pPr>
            <w:r w:rsidRPr="00710B70">
              <w:rPr>
                <w:rFonts w:ascii="Book Antiqua" w:hAnsi="Book Antiqua"/>
                <w:szCs w:val="24"/>
              </w:rPr>
              <w:t xml:space="preserve">Vermeire </w:t>
            </w:r>
            <w:r w:rsidRPr="008B5B61">
              <w:rPr>
                <w:rFonts w:ascii="Book Antiqua" w:hAnsi="Book Antiqua"/>
                <w:i/>
                <w:szCs w:val="24"/>
              </w:rPr>
              <w:t>et al</w:t>
            </w:r>
            <w:r w:rsidR="0041042F" w:rsidRPr="0041042F">
              <w:rPr>
                <w:rFonts w:ascii="Book Antiqua" w:hAnsi="Book Antiqua"/>
                <w:szCs w:val="24"/>
                <w:vertAlign w:val="superscript"/>
              </w:rPr>
              <w:t>[10]</w:t>
            </w:r>
          </w:p>
        </w:tc>
        <w:tc>
          <w:tcPr>
            <w:tcW w:w="1710"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Canadian</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10.3</w:t>
            </w:r>
            <w:r w:rsidR="001E4D15">
              <w:rPr>
                <w:rFonts w:ascii="Book Antiqua" w:hAnsi="Book Antiqua" w:hint="eastAsia"/>
                <w:szCs w:val="24"/>
                <w:lang w:eastAsia="zh-CN"/>
              </w:rPr>
              <w:t>%</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5.2</w:t>
            </w:r>
            <w:r w:rsidR="001E4D15">
              <w:rPr>
                <w:rFonts w:ascii="Book Antiqua" w:hAnsi="Book Antiqua" w:hint="eastAsia"/>
                <w:szCs w:val="24"/>
                <w:lang w:eastAsia="zh-CN"/>
              </w:rPr>
              <w:t>%</w:t>
            </w:r>
          </w:p>
        </w:tc>
        <w:tc>
          <w:tcPr>
            <w:tcW w:w="1772"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12.9</w:t>
            </w:r>
            <w:r w:rsidR="001E4D15">
              <w:rPr>
                <w:rFonts w:ascii="Book Antiqua" w:hAnsi="Book Antiqua" w:hint="eastAsia"/>
                <w:szCs w:val="24"/>
                <w:lang w:eastAsia="zh-CN"/>
              </w:rPr>
              <w:t>%</w:t>
            </w:r>
          </w:p>
        </w:tc>
      </w:tr>
      <w:tr w:rsidR="00E539A3" w:rsidRPr="00710B70" w:rsidTr="002B201C">
        <w:tc>
          <w:tcPr>
            <w:tcW w:w="1908" w:type="dxa"/>
          </w:tcPr>
          <w:p w:rsidR="00E539A3" w:rsidRPr="00710B70" w:rsidRDefault="00E539A3" w:rsidP="008B5B61">
            <w:pPr>
              <w:spacing w:line="360" w:lineRule="auto"/>
              <w:jc w:val="both"/>
              <w:rPr>
                <w:rFonts w:ascii="Book Antiqua" w:hAnsi="Book Antiqua"/>
                <w:szCs w:val="24"/>
              </w:rPr>
            </w:pPr>
            <w:r w:rsidRPr="00710B70">
              <w:rPr>
                <w:rFonts w:ascii="Book Antiqua" w:hAnsi="Book Antiqua"/>
                <w:szCs w:val="24"/>
              </w:rPr>
              <w:t xml:space="preserve">Cavanaugh </w:t>
            </w:r>
            <w:r w:rsidRPr="008B5B61">
              <w:rPr>
                <w:rFonts w:ascii="Book Antiqua" w:hAnsi="Book Antiqua"/>
                <w:i/>
                <w:szCs w:val="24"/>
              </w:rPr>
              <w:t>et al</w:t>
            </w:r>
            <w:r w:rsidR="0041042F" w:rsidRPr="0041042F">
              <w:rPr>
                <w:rFonts w:ascii="Book Antiqua" w:hAnsi="Book Antiqua"/>
                <w:szCs w:val="24"/>
                <w:vertAlign w:val="superscript"/>
              </w:rPr>
              <w:t>[13]</w:t>
            </w:r>
          </w:p>
        </w:tc>
        <w:tc>
          <w:tcPr>
            <w:tcW w:w="1710"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Australian</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7</w:t>
            </w:r>
            <w:r w:rsidR="001E4D15">
              <w:rPr>
                <w:rFonts w:ascii="Book Antiqua" w:hAnsi="Book Antiqua" w:hint="eastAsia"/>
                <w:szCs w:val="24"/>
                <w:lang w:eastAsia="zh-CN"/>
              </w:rPr>
              <w:t>%</w:t>
            </w:r>
          </w:p>
        </w:tc>
        <w:tc>
          <w:tcPr>
            <w:tcW w:w="1771"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2</w:t>
            </w:r>
            <w:r w:rsidR="001E4D15">
              <w:rPr>
                <w:rFonts w:ascii="Book Antiqua" w:hAnsi="Book Antiqua" w:hint="eastAsia"/>
                <w:szCs w:val="24"/>
                <w:lang w:eastAsia="zh-CN"/>
              </w:rPr>
              <w:t>%</w:t>
            </w:r>
          </w:p>
        </w:tc>
        <w:tc>
          <w:tcPr>
            <w:tcW w:w="1772" w:type="dxa"/>
          </w:tcPr>
          <w:p w:rsidR="00E539A3" w:rsidRPr="00710B70" w:rsidRDefault="00E539A3" w:rsidP="00710B70">
            <w:pPr>
              <w:spacing w:line="360" w:lineRule="auto"/>
              <w:jc w:val="both"/>
              <w:rPr>
                <w:rFonts w:ascii="Book Antiqua" w:hAnsi="Book Antiqua"/>
                <w:szCs w:val="24"/>
              </w:rPr>
            </w:pPr>
            <w:r w:rsidRPr="00710B70">
              <w:rPr>
                <w:rFonts w:ascii="Book Antiqua" w:hAnsi="Book Antiqua"/>
                <w:szCs w:val="24"/>
              </w:rPr>
              <w:t>11</w:t>
            </w:r>
            <w:r w:rsidR="001E4D15">
              <w:rPr>
                <w:rFonts w:ascii="Book Antiqua" w:hAnsi="Book Antiqua" w:hint="eastAsia"/>
                <w:szCs w:val="24"/>
                <w:lang w:eastAsia="zh-CN"/>
              </w:rPr>
              <w:t>%</w:t>
            </w:r>
          </w:p>
        </w:tc>
      </w:tr>
    </w:tbl>
    <w:p w:rsidR="00E539A3" w:rsidRPr="00710B70" w:rsidRDefault="00E539A3" w:rsidP="00710B70">
      <w:pPr>
        <w:spacing w:line="360" w:lineRule="auto"/>
        <w:jc w:val="both"/>
        <w:rPr>
          <w:rFonts w:ascii="Book Antiqua" w:hAnsi="Book Antiqua"/>
          <w:szCs w:val="24"/>
          <w:lang w:val="en-US"/>
        </w:rPr>
      </w:pPr>
    </w:p>
    <w:p w:rsidR="00E539A3" w:rsidRPr="008B15E5" w:rsidRDefault="00620902" w:rsidP="00710B70">
      <w:pPr>
        <w:spacing w:line="360" w:lineRule="auto"/>
        <w:jc w:val="both"/>
        <w:rPr>
          <w:rFonts w:ascii="Book Antiqua" w:hAnsi="Book Antiqua"/>
          <w:szCs w:val="24"/>
          <w:lang w:val="en-US" w:eastAsia="zh-CN"/>
        </w:rPr>
      </w:pPr>
      <w:r w:rsidRPr="00620902">
        <w:rPr>
          <w:rFonts w:ascii="Book Antiqua" w:hAnsi="Book Antiqua"/>
          <w:i/>
          <w:szCs w:val="24"/>
        </w:rPr>
        <w:t>NOD2</w:t>
      </w:r>
      <w:r w:rsidR="00C159A4" w:rsidRPr="00C159A4">
        <w:rPr>
          <w:rFonts w:ascii="Book Antiqua" w:hAnsi="Book Antiqua"/>
          <w:szCs w:val="24"/>
        </w:rPr>
        <w:t>/</w:t>
      </w:r>
      <w:r w:rsidRPr="00620902">
        <w:rPr>
          <w:rFonts w:ascii="Book Antiqua" w:hAnsi="Book Antiqua"/>
          <w:i/>
          <w:szCs w:val="24"/>
        </w:rPr>
        <w:t>CARD15</w:t>
      </w:r>
      <w:r w:rsidR="008B15E5">
        <w:rPr>
          <w:rFonts w:ascii="Book Antiqua" w:hAnsi="Book Antiqua" w:hint="eastAsia"/>
          <w:szCs w:val="24"/>
          <w:lang w:eastAsia="zh-CN"/>
        </w:rPr>
        <w:t xml:space="preserve">: </w:t>
      </w:r>
      <w:r w:rsidR="008B15E5" w:rsidRPr="008B15E5">
        <w:rPr>
          <w:rFonts w:ascii="Book Antiqua" w:hAnsi="Book Antiqua"/>
          <w:szCs w:val="24"/>
        </w:rPr>
        <w:t>Nucleotide-binding Oligomerisation Domain 2/ Caspase Recruitment Domains 15</w:t>
      </w:r>
      <w:r w:rsidR="00076C03">
        <w:rPr>
          <w:rFonts w:ascii="Book Antiqua" w:hAnsi="Book Antiqua" w:hint="eastAsia"/>
          <w:szCs w:val="24"/>
          <w:lang w:eastAsia="zh-CN"/>
        </w:rPr>
        <w:t xml:space="preserve"> gene</w:t>
      </w:r>
      <w:r w:rsidR="008B15E5" w:rsidRPr="008B15E5">
        <w:rPr>
          <w:rFonts w:ascii="Book Antiqua" w:hAnsi="Book Antiqua" w:hint="eastAsia"/>
          <w:szCs w:val="24"/>
          <w:lang w:eastAsia="zh-CN"/>
        </w:rPr>
        <w:t>.</w:t>
      </w:r>
    </w:p>
    <w:p w:rsidR="00E539A3" w:rsidRPr="008B15E5" w:rsidRDefault="00E539A3" w:rsidP="00710B70">
      <w:pPr>
        <w:spacing w:line="360" w:lineRule="auto"/>
        <w:jc w:val="both"/>
        <w:rPr>
          <w:rFonts w:ascii="Book Antiqua" w:hAnsi="Book Antiqua"/>
          <w:szCs w:val="24"/>
          <w:lang w:val="en-US"/>
        </w:rPr>
      </w:pPr>
    </w:p>
    <w:p w:rsidR="00E539A3" w:rsidRPr="00710B70" w:rsidRDefault="00E539A3" w:rsidP="00710B70">
      <w:pPr>
        <w:spacing w:line="360" w:lineRule="auto"/>
        <w:jc w:val="both"/>
        <w:rPr>
          <w:rFonts w:ascii="Book Antiqua" w:hAnsi="Book Antiqua"/>
          <w:szCs w:val="24"/>
        </w:rPr>
      </w:pPr>
    </w:p>
    <w:p w:rsidR="006F1408" w:rsidRPr="00710B70" w:rsidRDefault="006F1408" w:rsidP="00710B70">
      <w:pPr>
        <w:spacing w:line="360" w:lineRule="auto"/>
        <w:jc w:val="both"/>
        <w:rPr>
          <w:rFonts w:ascii="Book Antiqua" w:hAnsi="Book Antiqua"/>
          <w:szCs w:val="24"/>
        </w:rPr>
      </w:pPr>
    </w:p>
    <w:sectPr w:rsidR="006F1408" w:rsidRPr="00710B70" w:rsidSect="00FA32D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9C" w:rsidRDefault="00A13B9C" w:rsidP="00A525E3">
      <w:r>
        <w:separator/>
      </w:r>
    </w:p>
  </w:endnote>
  <w:endnote w:type="continuationSeparator" w:id="0">
    <w:p w:rsidR="00A13B9C" w:rsidRDefault="00A13B9C" w:rsidP="00A5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9C" w:rsidRDefault="00A13B9C" w:rsidP="00A525E3">
      <w:r>
        <w:separator/>
      </w:r>
    </w:p>
  </w:footnote>
  <w:footnote w:type="continuationSeparator" w:id="0">
    <w:p w:rsidR="00A13B9C" w:rsidRDefault="00A13B9C" w:rsidP="00A52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54A"/>
    <w:multiLevelType w:val="multilevel"/>
    <w:tmpl w:val="067E93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9995541"/>
    <w:multiLevelType w:val="hybridMultilevel"/>
    <w:tmpl w:val="4282EA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2905C7"/>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5A4A55"/>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9E2509"/>
    <w:multiLevelType w:val="hybridMultilevel"/>
    <w:tmpl w:val="6A86F2D6"/>
    <w:lvl w:ilvl="0" w:tplc="C61A792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8A731B"/>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F875AFB"/>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3380CA4"/>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9E3AA3"/>
    <w:multiLevelType w:val="hybridMultilevel"/>
    <w:tmpl w:val="CFA0E2DA"/>
    <w:lvl w:ilvl="0" w:tplc="5AB2E01E">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741420A"/>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9191736"/>
    <w:multiLevelType w:val="hybridMultilevel"/>
    <w:tmpl w:val="53FC49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9"/>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5C3717"/>
    <w:rsid w:val="00022B21"/>
    <w:rsid w:val="00024230"/>
    <w:rsid w:val="000306DA"/>
    <w:rsid w:val="00033663"/>
    <w:rsid w:val="00037C43"/>
    <w:rsid w:val="00042CDF"/>
    <w:rsid w:val="00042D99"/>
    <w:rsid w:val="000431E5"/>
    <w:rsid w:val="00050B0E"/>
    <w:rsid w:val="00074437"/>
    <w:rsid w:val="00076C03"/>
    <w:rsid w:val="000939CD"/>
    <w:rsid w:val="00095D06"/>
    <w:rsid w:val="000966DA"/>
    <w:rsid w:val="000B03E8"/>
    <w:rsid w:val="000B64F1"/>
    <w:rsid w:val="000C3555"/>
    <w:rsid w:val="000C5AD4"/>
    <w:rsid w:val="000E1570"/>
    <w:rsid w:val="000E5D22"/>
    <w:rsid w:val="000F0F15"/>
    <w:rsid w:val="000F13BA"/>
    <w:rsid w:val="000F43F3"/>
    <w:rsid w:val="000F5A0A"/>
    <w:rsid w:val="00115396"/>
    <w:rsid w:val="0012048D"/>
    <w:rsid w:val="001216EC"/>
    <w:rsid w:val="00123074"/>
    <w:rsid w:val="00161C69"/>
    <w:rsid w:val="00180A4D"/>
    <w:rsid w:val="00181833"/>
    <w:rsid w:val="00182D61"/>
    <w:rsid w:val="00183FE6"/>
    <w:rsid w:val="001A20D1"/>
    <w:rsid w:val="001A6E6C"/>
    <w:rsid w:val="001B2E8C"/>
    <w:rsid w:val="001C0765"/>
    <w:rsid w:val="001E4D15"/>
    <w:rsid w:val="001F5E9B"/>
    <w:rsid w:val="002061DB"/>
    <w:rsid w:val="002079F2"/>
    <w:rsid w:val="00224DA3"/>
    <w:rsid w:val="0025058F"/>
    <w:rsid w:val="00252F52"/>
    <w:rsid w:val="00286159"/>
    <w:rsid w:val="0028796B"/>
    <w:rsid w:val="00295864"/>
    <w:rsid w:val="002B091D"/>
    <w:rsid w:val="002B12AC"/>
    <w:rsid w:val="002B201C"/>
    <w:rsid w:val="002C471C"/>
    <w:rsid w:val="002D38E1"/>
    <w:rsid w:val="003155B0"/>
    <w:rsid w:val="00326A04"/>
    <w:rsid w:val="00337160"/>
    <w:rsid w:val="00350F04"/>
    <w:rsid w:val="003877C2"/>
    <w:rsid w:val="003C2217"/>
    <w:rsid w:val="003E56DE"/>
    <w:rsid w:val="00401423"/>
    <w:rsid w:val="00404CB9"/>
    <w:rsid w:val="0041042F"/>
    <w:rsid w:val="00410AD9"/>
    <w:rsid w:val="00417B33"/>
    <w:rsid w:val="004315B2"/>
    <w:rsid w:val="0044006F"/>
    <w:rsid w:val="00451547"/>
    <w:rsid w:val="00460C74"/>
    <w:rsid w:val="00466252"/>
    <w:rsid w:val="00466B5F"/>
    <w:rsid w:val="00476716"/>
    <w:rsid w:val="00480CCC"/>
    <w:rsid w:val="004B3AA8"/>
    <w:rsid w:val="004C2244"/>
    <w:rsid w:val="004C3A0D"/>
    <w:rsid w:val="004C3E3F"/>
    <w:rsid w:val="004C5CD7"/>
    <w:rsid w:val="004C5E34"/>
    <w:rsid w:val="004C7D8E"/>
    <w:rsid w:val="0050696D"/>
    <w:rsid w:val="00534F5B"/>
    <w:rsid w:val="00543AE9"/>
    <w:rsid w:val="00544C2C"/>
    <w:rsid w:val="00570A19"/>
    <w:rsid w:val="00571AF3"/>
    <w:rsid w:val="00585BC5"/>
    <w:rsid w:val="00597360"/>
    <w:rsid w:val="005B72A4"/>
    <w:rsid w:val="005C3717"/>
    <w:rsid w:val="005C62C8"/>
    <w:rsid w:val="005C6FF0"/>
    <w:rsid w:val="005D1FB0"/>
    <w:rsid w:val="005D2553"/>
    <w:rsid w:val="005D5D51"/>
    <w:rsid w:val="005E4555"/>
    <w:rsid w:val="005E5DCA"/>
    <w:rsid w:val="005E68A5"/>
    <w:rsid w:val="00620902"/>
    <w:rsid w:val="0062383D"/>
    <w:rsid w:val="00631E6C"/>
    <w:rsid w:val="00642B05"/>
    <w:rsid w:val="0065610C"/>
    <w:rsid w:val="006864C8"/>
    <w:rsid w:val="00691CE2"/>
    <w:rsid w:val="00692090"/>
    <w:rsid w:val="006A0C0D"/>
    <w:rsid w:val="006B4DE1"/>
    <w:rsid w:val="006C13C5"/>
    <w:rsid w:val="006C4F3F"/>
    <w:rsid w:val="006C7602"/>
    <w:rsid w:val="006E1D23"/>
    <w:rsid w:val="006F1408"/>
    <w:rsid w:val="006F51F9"/>
    <w:rsid w:val="007024D8"/>
    <w:rsid w:val="00710B70"/>
    <w:rsid w:val="00721C41"/>
    <w:rsid w:val="007309B5"/>
    <w:rsid w:val="00730D00"/>
    <w:rsid w:val="00736A79"/>
    <w:rsid w:val="00745D91"/>
    <w:rsid w:val="00746E43"/>
    <w:rsid w:val="0075712E"/>
    <w:rsid w:val="00776D6B"/>
    <w:rsid w:val="00790D0D"/>
    <w:rsid w:val="007A606C"/>
    <w:rsid w:val="007B33DA"/>
    <w:rsid w:val="007E1B37"/>
    <w:rsid w:val="007E464E"/>
    <w:rsid w:val="007F37BF"/>
    <w:rsid w:val="007F45C6"/>
    <w:rsid w:val="007F5C65"/>
    <w:rsid w:val="007F66A2"/>
    <w:rsid w:val="0084347D"/>
    <w:rsid w:val="00845F45"/>
    <w:rsid w:val="00846164"/>
    <w:rsid w:val="008777D3"/>
    <w:rsid w:val="00883BBE"/>
    <w:rsid w:val="00897E5A"/>
    <w:rsid w:val="008A65C2"/>
    <w:rsid w:val="008B15E5"/>
    <w:rsid w:val="008B5B61"/>
    <w:rsid w:val="008D3600"/>
    <w:rsid w:val="008F26C1"/>
    <w:rsid w:val="00912C19"/>
    <w:rsid w:val="00921E6B"/>
    <w:rsid w:val="00932524"/>
    <w:rsid w:val="00982B5D"/>
    <w:rsid w:val="00984615"/>
    <w:rsid w:val="00992F29"/>
    <w:rsid w:val="00996E2E"/>
    <w:rsid w:val="009A3C2D"/>
    <w:rsid w:val="009E0D19"/>
    <w:rsid w:val="009F3A1F"/>
    <w:rsid w:val="00A13B9C"/>
    <w:rsid w:val="00A143C2"/>
    <w:rsid w:val="00A46AD1"/>
    <w:rsid w:val="00A46CFF"/>
    <w:rsid w:val="00A52591"/>
    <w:rsid w:val="00A525E3"/>
    <w:rsid w:val="00A63285"/>
    <w:rsid w:val="00A76F62"/>
    <w:rsid w:val="00A92DCF"/>
    <w:rsid w:val="00A937C3"/>
    <w:rsid w:val="00A938D2"/>
    <w:rsid w:val="00A94141"/>
    <w:rsid w:val="00AB4146"/>
    <w:rsid w:val="00AB6152"/>
    <w:rsid w:val="00AC56C2"/>
    <w:rsid w:val="00AE7943"/>
    <w:rsid w:val="00AF392B"/>
    <w:rsid w:val="00B20C77"/>
    <w:rsid w:val="00B23379"/>
    <w:rsid w:val="00B618A8"/>
    <w:rsid w:val="00B64AF3"/>
    <w:rsid w:val="00B734FC"/>
    <w:rsid w:val="00B8177E"/>
    <w:rsid w:val="00BA7953"/>
    <w:rsid w:val="00BC358A"/>
    <w:rsid w:val="00BC7F2F"/>
    <w:rsid w:val="00BD71F1"/>
    <w:rsid w:val="00BF1994"/>
    <w:rsid w:val="00C0425D"/>
    <w:rsid w:val="00C04476"/>
    <w:rsid w:val="00C05775"/>
    <w:rsid w:val="00C1225F"/>
    <w:rsid w:val="00C159A4"/>
    <w:rsid w:val="00C338F2"/>
    <w:rsid w:val="00C339F9"/>
    <w:rsid w:val="00C41569"/>
    <w:rsid w:val="00C47032"/>
    <w:rsid w:val="00C6669D"/>
    <w:rsid w:val="00C710D6"/>
    <w:rsid w:val="00C94FBB"/>
    <w:rsid w:val="00CB6B90"/>
    <w:rsid w:val="00CC26A7"/>
    <w:rsid w:val="00CE68CE"/>
    <w:rsid w:val="00D015C1"/>
    <w:rsid w:val="00D01677"/>
    <w:rsid w:val="00D04292"/>
    <w:rsid w:val="00D368EB"/>
    <w:rsid w:val="00D44B94"/>
    <w:rsid w:val="00D635F5"/>
    <w:rsid w:val="00D67124"/>
    <w:rsid w:val="00D70610"/>
    <w:rsid w:val="00D7606C"/>
    <w:rsid w:val="00D913B3"/>
    <w:rsid w:val="00DA5BC8"/>
    <w:rsid w:val="00DB14DE"/>
    <w:rsid w:val="00DB6AE7"/>
    <w:rsid w:val="00DB7D22"/>
    <w:rsid w:val="00DD38D5"/>
    <w:rsid w:val="00E11180"/>
    <w:rsid w:val="00E325A3"/>
    <w:rsid w:val="00E40298"/>
    <w:rsid w:val="00E4397E"/>
    <w:rsid w:val="00E45074"/>
    <w:rsid w:val="00E539A3"/>
    <w:rsid w:val="00E557E2"/>
    <w:rsid w:val="00E6348F"/>
    <w:rsid w:val="00E70867"/>
    <w:rsid w:val="00E72AC6"/>
    <w:rsid w:val="00E82DFC"/>
    <w:rsid w:val="00E87772"/>
    <w:rsid w:val="00E90EA3"/>
    <w:rsid w:val="00EA0775"/>
    <w:rsid w:val="00EA439E"/>
    <w:rsid w:val="00EB1E55"/>
    <w:rsid w:val="00EE0452"/>
    <w:rsid w:val="00F0452D"/>
    <w:rsid w:val="00F34324"/>
    <w:rsid w:val="00F34BBF"/>
    <w:rsid w:val="00F67A5B"/>
    <w:rsid w:val="00F76150"/>
    <w:rsid w:val="00F82C42"/>
    <w:rsid w:val="00F87E51"/>
    <w:rsid w:val="00F9066B"/>
    <w:rsid w:val="00F90BC1"/>
    <w:rsid w:val="00FA32D0"/>
    <w:rsid w:val="00FC0662"/>
    <w:rsid w:val="00FC0B08"/>
    <w:rsid w:val="00FC2C3F"/>
    <w:rsid w:val="00FF118E"/>
    <w:rsid w:val="00FF2588"/>
    <w:rsid w:val="00FF3B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717"/>
    <w:rPr>
      <w:sz w:val="24"/>
      <w:lang w:val="en-AU"/>
    </w:rPr>
  </w:style>
  <w:style w:type="paragraph" w:styleId="1">
    <w:name w:val="heading 1"/>
    <w:basedOn w:val="a"/>
    <w:link w:val="1Char"/>
    <w:uiPriority w:val="9"/>
    <w:qFormat/>
    <w:rsid w:val="00AF392B"/>
    <w:pPr>
      <w:spacing w:before="100" w:beforeAutospacing="1" w:after="100" w:afterAutospacing="1"/>
      <w:outlineLvl w:val="0"/>
    </w:pPr>
    <w:rPr>
      <w:rFonts w:eastAsia="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024D8"/>
    <w:pPr>
      <w:ind w:left="720"/>
    </w:pPr>
  </w:style>
  <w:style w:type="character" w:customStyle="1" w:styleId="Char">
    <w:name w:val="正文文本缩进 Char"/>
    <w:link w:val="a3"/>
    <w:rsid w:val="007024D8"/>
    <w:rPr>
      <w:sz w:val="24"/>
      <w:lang w:eastAsia="en-US"/>
    </w:rPr>
  </w:style>
  <w:style w:type="character" w:customStyle="1" w:styleId="titles-source">
    <w:name w:val="titles-source"/>
    <w:basedOn w:val="a0"/>
    <w:rsid w:val="00F9066B"/>
  </w:style>
  <w:style w:type="paragraph" w:styleId="a4">
    <w:name w:val="Balloon Text"/>
    <w:basedOn w:val="a"/>
    <w:link w:val="Char0"/>
    <w:rsid w:val="001C0765"/>
    <w:rPr>
      <w:rFonts w:ascii="Tahoma" w:hAnsi="Tahoma" w:cs="Tahoma"/>
      <w:sz w:val="16"/>
      <w:szCs w:val="16"/>
    </w:rPr>
  </w:style>
  <w:style w:type="character" w:customStyle="1" w:styleId="Char0">
    <w:name w:val="批注框文本 Char"/>
    <w:link w:val="a4"/>
    <w:rsid w:val="001C0765"/>
    <w:rPr>
      <w:rFonts w:ascii="Tahoma" w:hAnsi="Tahoma" w:cs="Tahoma"/>
      <w:sz w:val="16"/>
      <w:szCs w:val="16"/>
      <w:lang w:eastAsia="en-US"/>
    </w:rPr>
  </w:style>
  <w:style w:type="paragraph" w:styleId="a5">
    <w:name w:val="List Paragraph"/>
    <w:basedOn w:val="a"/>
    <w:uiPriority w:val="34"/>
    <w:qFormat/>
    <w:rsid w:val="00DB14DE"/>
    <w:pPr>
      <w:ind w:left="720"/>
      <w:contextualSpacing/>
    </w:pPr>
  </w:style>
  <w:style w:type="character" w:styleId="a6">
    <w:name w:val="Hyperlink"/>
    <w:rsid w:val="00BF1994"/>
    <w:rPr>
      <w:color w:val="0000FF"/>
      <w:u w:val="single"/>
    </w:rPr>
  </w:style>
  <w:style w:type="paragraph" w:styleId="a7">
    <w:name w:val="header"/>
    <w:basedOn w:val="a"/>
    <w:link w:val="Char1"/>
    <w:rsid w:val="00A525E3"/>
    <w:pPr>
      <w:tabs>
        <w:tab w:val="center" w:pos="4680"/>
        <w:tab w:val="right" w:pos="9360"/>
      </w:tabs>
    </w:pPr>
  </w:style>
  <w:style w:type="character" w:customStyle="1" w:styleId="Char1">
    <w:name w:val="页眉 Char"/>
    <w:link w:val="a7"/>
    <w:rsid w:val="00A525E3"/>
    <w:rPr>
      <w:sz w:val="24"/>
      <w:lang w:val="en-AU"/>
    </w:rPr>
  </w:style>
  <w:style w:type="paragraph" w:styleId="a8">
    <w:name w:val="footer"/>
    <w:basedOn w:val="a"/>
    <w:link w:val="Char2"/>
    <w:rsid w:val="00A525E3"/>
    <w:pPr>
      <w:tabs>
        <w:tab w:val="center" w:pos="4680"/>
        <w:tab w:val="right" w:pos="9360"/>
      </w:tabs>
    </w:pPr>
  </w:style>
  <w:style w:type="character" w:customStyle="1" w:styleId="Char2">
    <w:name w:val="页脚 Char"/>
    <w:link w:val="a8"/>
    <w:rsid w:val="00A525E3"/>
    <w:rPr>
      <w:sz w:val="24"/>
      <w:lang w:val="en-AU"/>
    </w:rPr>
  </w:style>
  <w:style w:type="character" w:styleId="a9">
    <w:name w:val="annotation reference"/>
    <w:rsid w:val="00C6669D"/>
    <w:rPr>
      <w:sz w:val="21"/>
      <w:szCs w:val="21"/>
    </w:rPr>
  </w:style>
  <w:style w:type="paragraph" w:styleId="aa">
    <w:name w:val="annotation text"/>
    <w:basedOn w:val="a"/>
    <w:link w:val="Char3"/>
    <w:rsid w:val="00C6669D"/>
  </w:style>
  <w:style w:type="character" w:customStyle="1" w:styleId="Char3">
    <w:name w:val="批注文字 Char"/>
    <w:link w:val="aa"/>
    <w:rsid w:val="00C6669D"/>
    <w:rPr>
      <w:sz w:val="24"/>
      <w:lang w:val="en-AU" w:eastAsia="en-US"/>
    </w:rPr>
  </w:style>
  <w:style w:type="paragraph" w:styleId="ab">
    <w:name w:val="annotation subject"/>
    <w:basedOn w:val="aa"/>
    <w:next w:val="aa"/>
    <w:link w:val="Char4"/>
    <w:uiPriority w:val="99"/>
    <w:rsid w:val="00C6669D"/>
    <w:rPr>
      <w:b/>
      <w:bCs/>
    </w:rPr>
  </w:style>
  <w:style w:type="character" w:customStyle="1" w:styleId="Char4">
    <w:name w:val="批注主题 Char"/>
    <w:link w:val="ab"/>
    <w:uiPriority w:val="99"/>
    <w:rsid w:val="00C6669D"/>
    <w:rPr>
      <w:b/>
      <w:bCs/>
      <w:sz w:val="24"/>
      <w:lang w:val="en-AU" w:eastAsia="en-US"/>
    </w:rPr>
  </w:style>
  <w:style w:type="character" w:customStyle="1" w:styleId="highlight">
    <w:name w:val="highlight"/>
    <w:basedOn w:val="a0"/>
    <w:rsid w:val="00295864"/>
  </w:style>
  <w:style w:type="character" w:customStyle="1" w:styleId="field-content">
    <w:name w:val="field-content"/>
    <w:basedOn w:val="a0"/>
    <w:rsid w:val="00AF392B"/>
  </w:style>
  <w:style w:type="character" w:customStyle="1" w:styleId="1Char">
    <w:name w:val="标题 1 Char"/>
    <w:basedOn w:val="a0"/>
    <w:link w:val="1"/>
    <w:uiPriority w:val="9"/>
    <w:rsid w:val="00AF392B"/>
    <w:rPr>
      <w:rFonts w:eastAsia="Times New Roman"/>
      <w:b/>
      <w:bCs/>
      <w:kern w:val="36"/>
      <w:sz w:val="48"/>
      <w:szCs w:val="48"/>
    </w:rPr>
  </w:style>
  <w:style w:type="character" w:styleId="ac">
    <w:name w:val="Emphasis"/>
    <w:basedOn w:val="a0"/>
    <w:uiPriority w:val="20"/>
    <w:qFormat/>
    <w:rsid w:val="00AF392B"/>
    <w:rPr>
      <w:i/>
      <w:iCs/>
    </w:rPr>
  </w:style>
  <w:style w:type="character" w:styleId="ad">
    <w:name w:val="Strong"/>
    <w:uiPriority w:val="22"/>
    <w:qFormat/>
    <w:rsid w:val="009E0D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717"/>
    <w:rPr>
      <w:sz w:val="24"/>
      <w:lang w:val="en-AU"/>
    </w:rPr>
  </w:style>
  <w:style w:type="paragraph" w:styleId="1">
    <w:name w:val="heading 1"/>
    <w:basedOn w:val="a"/>
    <w:link w:val="1Char"/>
    <w:uiPriority w:val="9"/>
    <w:qFormat/>
    <w:rsid w:val="00AF392B"/>
    <w:pPr>
      <w:spacing w:before="100" w:beforeAutospacing="1" w:after="100" w:afterAutospacing="1"/>
      <w:outlineLvl w:val="0"/>
    </w:pPr>
    <w:rPr>
      <w:rFonts w:eastAsia="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024D8"/>
    <w:pPr>
      <w:ind w:left="720"/>
    </w:pPr>
  </w:style>
  <w:style w:type="character" w:customStyle="1" w:styleId="Char">
    <w:name w:val="正文文本缩进 Char"/>
    <w:link w:val="a3"/>
    <w:rsid w:val="007024D8"/>
    <w:rPr>
      <w:sz w:val="24"/>
      <w:lang w:eastAsia="en-US"/>
    </w:rPr>
  </w:style>
  <w:style w:type="character" w:customStyle="1" w:styleId="titles-source">
    <w:name w:val="titles-source"/>
    <w:basedOn w:val="a0"/>
    <w:rsid w:val="00F9066B"/>
  </w:style>
  <w:style w:type="paragraph" w:styleId="a4">
    <w:name w:val="Balloon Text"/>
    <w:basedOn w:val="a"/>
    <w:link w:val="Char0"/>
    <w:rsid w:val="001C0765"/>
    <w:rPr>
      <w:rFonts w:ascii="Tahoma" w:hAnsi="Tahoma" w:cs="Tahoma"/>
      <w:sz w:val="16"/>
      <w:szCs w:val="16"/>
    </w:rPr>
  </w:style>
  <w:style w:type="character" w:customStyle="1" w:styleId="Char0">
    <w:name w:val="批注框文本 Char"/>
    <w:link w:val="a4"/>
    <w:rsid w:val="001C0765"/>
    <w:rPr>
      <w:rFonts w:ascii="Tahoma" w:hAnsi="Tahoma" w:cs="Tahoma"/>
      <w:sz w:val="16"/>
      <w:szCs w:val="16"/>
      <w:lang w:eastAsia="en-US"/>
    </w:rPr>
  </w:style>
  <w:style w:type="paragraph" w:styleId="a5">
    <w:name w:val="List Paragraph"/>
    <w:basedOn w:val="a"/>
    <w:uiPriority w:val="34"/>
    <w:qFormat/>
    <w:rsid w:val="00DB14DE"/>
    <w:pPr>
      <w:ind w:left="720"/>
      <w:contextualSpacing/>
    </w:pPr>
  </w:style>
  <w:style w:type="character" w:styleId="a6">
    <w:name w:val="Hyperlink"/>
    <w:rsid w:val="00BF1994"/>
    <w:rPr>
      <w:color w:val="0000FF"/>
      <w:u w:val="single"/>
    </w:rPr>
  </w:style>
  <w:style w:type="paragraph" w:styleId="a7">
    <w:name w:val="header"/>
    <w:basedOn w:val="a"/>
    <w:link w:val="Char1"/>
    <w:rsid w:val="00A525E3"/>
    <w:pPr>
      <w:tabs>
        <w:tab w:val="center" w:pos="4680"/>
        <w:tab w:val="right" w:pos="9360"/>
      </w:tabs>
    </w:pPr>
  </w:style>
  <w:style w:type="character" w:customStyle="1" w:styleId="Char1">
    <w:name w:val="页眉 Char"/>
    <w:link w:val="a7"/>
    <w:rsid w:val="00A525E3"/>
    <w:rPr>
      <w:sz w:val="24"/>
      <w:lang w:val="en-AU"/>
    </w:rPr>
  </w:style>
  <w:style w:type="paragraph" w:styleId="a8">
    <w:name w:val="footer"/>
    <w:basedOn w:val="a"/>
    <w:link w:val="Char2"/>
    <w:rsid w:val="00A525E3"/>
    <w:pPr>
      <w:tabs>
        <w:tab w:val="center" w:pos="4680"/>
        <w:tab w:val="right" w:pos="9360"/>
      </w:tabs>
    </w:pPr>
  </w:style>
  <w:style w:type="character" w:customStyle="1" w:styleId="Char2">
    <w:name w:val="页脚 Char"/>
    <w:link w:val="a8"/>
    <w:rsid w:val="00A525E3"/>
    <w:rPr>
      <w:sz w:val="24"/>
      <w:lang w:val="en-AU"/>
    </w:rPr>
  </w:style>
  <w:style w:type="character" w:styleId="a9">
    <w:name w:val="annotation reference"/>
    <w:rsid w:val="00C6669D"/>
    <w:rPr>
      <w:sz w:val="21"/>
      <w:szCs w:val="21"/>
    </w:rPr>
  </w:style>
  <w:style w:type="paragraph" w:styleId="aa">
    <w:name w:val="annotation text"/>
    <w:basedOn w:val="a"/>
    <w:link w:val="Char3"/>
    <w:rsid w:val="00C6669D"/>
  </w:style>
  <w:style w:type="character" w:customStyle="1" w:styleId="Char3">
    <w:name w:val="批注文字 Char"/>
    <w:link w:val="aa"/>
    <w:rsid w:val="00C6669D"/>
    <w:rPr>
      <w:sz w:val="24"/>
      <w:lang w:val="en-AU" w:eastAsia="en-US"/>
    </w:rPr>
  </w:style>
  <w:style w:type="paragraph" w:styleId="ab">
    <w:name w:val="annotation subject"/>
    <w:basedOn w:val="aa"/>
    <w:next w:val="aa"/>
    <w:link w:val="Char4"/>
    <w:uiPriority w:val="99"/>
    <w:rsid w:val="00C6669D"/>
    <w:rPr>
      <w:b/>
      <w:bCs/>
    </w:rPr>
  </w:style>
  <w:style w:type="character" w:customStyle="1" w:styleId="Char4">
    <w:name w:val="批注主题 Char"/>
    <w:link w:val="ab"/>
    <w:uiPriority w:val="99"/>
    <w:rsid w:val="00C6669D"/>
    <w:rPr>
      <w:b/>
      <w:bCs/>
      <w:sz w:val="24"/>
      <w:lang w:val="en-AU" w:eastAsia="en-US"/>
    </w:rPr>
  </w:style>
  <w:style w:type="character" w:customStyle="1" w:styleId="highlight">
    <w:name w:val="highlight"/>
    <w:basedOn w:val="a0"/>
    <w:rsid w:val="00295864"/>
  </w:style>
  <w:style w:type="character" w:customStyle="1" w:styleId="field-content">
    <w:name w:val="field-content"/>
    <w:basedOn w:val="a0"/>
    <w:rsid w:val="00AF392B"/>
  </w:style>
  <w:style w:type="character" w:customStyle="1" w:styleId="1Char">
    <w:name w:val="标题 1 Char"/>
    <w:basedOn w:val="a0"/>
    <w:link w:val="1"/>
    <w:uiPriority w:val="9"/>
    <w:rsid w:val="00AF392B"/>
    <w:rPr>
      <w:rFonts w:eastAsia="Times New Roman"/>
      <w:b/>
      <w:bCs/>
      <w:kern w:val="36"/>
      <w:sz w:val="48"/>
      <w:szCs w:val="48"/>
    </w:rPr>
  </w:style>
  <w:style w:type="character" w:styleId="ac">
    <w:name w:val="Emphasis"/>
    <w:basedOn w:val="a0"/>
    <w:uiPriority w:val="20"/>
    <w:qFormat/>
    <w:rsid w:val="00AF392B"/>
    <w:rPr>
      <w:i/>
      <w:iCs/>
    </w:rPr>
  </w:style>
  <w:style w:type="character" w:styleId="ad">
    <w:name w:val="Strong"/>
    <w:uiPriority w:val="22"/>
    <w:qFormat/>
    <w:rsid w:val="009E0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391">
      <w:bodyDiv w:val="1"/>
      <w:marLeft w:val="0"/>
      <w:marRight w:val="0"/>
      <w:marTop w:val="0"/>
      <w:marBottom w:val="0"/>
      <w:divBdr>
        <w:top w:val="none" w:sz="0" w:space="0" w:color="auto"/>
        <w:left w:val="none" w:sz="0" w:space="0" w:color="auto"/>
        <w:bottom w:val="none" w:sz="0" w:space="0" w:color="auto"/>
        <w:right w:val="none" w:sz="0" w:space="0" w:color="auto"/>
      </w:divBdr>
    </w:div>
    <w:div w:id="113449809">
      <w:bodyDiv w:val="1"/>
      <w:marLeft w:val="0"/>
      <w:marRight w:val="0"/>
      <w:marTop w:val="0"/>
      <w:marBottom w:val="0"/>
      <w:divBdr>
        <w:top w:val="none" w:sz="0" w:space="0" w:color="auto"/>
        <w:left w:val="none" w:sz="0" w:space="0" w:color="auto"/>
        <w:bottom w:val="none" w:sz="0" w:space="0" w:color="auto"/>
        <w:right w:val="none" w:sz="0" w:space="0" w:color="auto"/>
      </w:divBdr>
    </w:div>
    <w:div w:id="218829833">
      <w:bodyDiv w:val="1"/>
      <w:marLeft w:val="0"/>
      <w:marRight w:val="0"/>
      <w:marTop w:val="0"/>
      <w:marBottom w:val="0"/>
      <w:divBdr>
        <w:top w:val="none" w:sz="0" w:space="0" w:color="auto"/>
        <w:left w:val="none" w:sz="0" w:space="0" w:color="auto"/>
        <w:bottom w:val="none" w:sz="0" w:space="0" w:color="auto"/>
        <w:right w:val="none" w:sz="0" w:space="0" w:color="auto"/>
      </w:divBdr>
      <w:divsChild>
        <w:div w:id="139620744">
          <w:marLeft w:val="0"/>
          <w:marRight w:val="0"/>
          <w:marTop w:val="0"/>
          <w:marBottom w:val="0"/>
          <w:divBdr>
            <w:top w:val="none" w:sz="0" w:space="0" w:color="auto"/>
            <w:left w:val="none" w:sz="0" w:space="0" w:color="auto"/>
            <w:bottom w:val="none" w:sz="0" w:space="0" w:color="auto"/>
            <w:right w:val="none" w:sz="0" w:space="0" w:color="auto"/>
          </w:divBdr>
        </w:div>
      </w:divsChild>
    </w:div>
    <w:div w:id="550463869">
      <w:bodyDiv w:val="1"/>
      <w:marLeft w:val="0"/>
      <w:marRight w:val="0"/>
      <w:marTop w:val="0"/>
      <w:marBottom w:val="0"/>
      <w:divBdr>
        <w:top w:val="none" w:sz="0" w:space="0" w:color="auto"/>
        <w:left w:val="none" w:sz="0" w:space="0" w:color="auto"/>
        <w:bottom w:val="none" w:sz="0" w:space="0" w:color="auto"/>
        <w:right w:val="none" w:sz="0" w:space="0" w:color="auto"/>
      </w:divBdr>
    </w:div>
    <w:div w:id="561719957">
      <w:bodyDiv w:val="1"/>
      <w:marLeft w:val="0"/>
      <w:marRight w:val="0"/>
      <w:marTop w:val="0"/>
      <w:marBottom w:val="0"/>
      <w:divBdr>
        <w:top w:val="none" w:sz="0" w:space="0" w:color="auto"/>
        <w:left w:val="none" w:sz="0" w:space="0" w:color="auto"/>
        <w:bottom w:val="none" w:sz="0" w:space="0" w:color="auto"/>
        <w:right w:val="none" w:sz="0" w:space="0" w:color="auto"/>
      </w:divBdr>
    </w:div>
    <w:div w:id="574319904">
      <w:bodyDiv w:val="1"/>
      <w:marLeft w:val="0"/>
      <w:marRight w:val="0"/>
      <w:marTop w:val="0"/>
      <w:marBottom w:val="0"/>
      <w:divBdr>
        <w:top w:val="none" w:sz="0" w:space="0" w:color="auto"/>
        <w:left w:val="none" w:sz="0" w:space="0" w:color="auto"/>
        <w:bottom w:val="none" w:sz="0" w:space="0" w:color="auto"/>
        <w:right w:val="none" w:sz="0" w:space="0" w:color="auto"/>
      </w:divBdr>
    </w:div>
    <w:div w:id="614601757">
      <w:bodyDiv w:val="1"/>
      <w:marLeft w:val="0"/>
      <w:marRight w:val="0"/>
      <w:marTop w:val="0"/>
      <w:marBottom w:val="0"/>
      <w:divBdr>
        <w:top w:val="none" w:sz="0" w:space="0" w:color="auto"/>
        <w:left w:val="none" w:sz="0" w:space="0" w:color="auto"/>
        <w:bottom w:val="none" w:sz="0" w:space="0" w:color="auto"/>
        <w:right w:val="none" w:sz="0" w:space="0" w:color="auto"/>
      </w:divBdr>
    </w:div>
    <w:div w:id="700668066">
      <w:bodyDiv w:val="1"/>
      <w:marLeft w:val="0"/>
      <w:marRight w:val="0"/>
      <w:marTop w:val="0"/>
      <w:marBottom w:val="0"/>
      <w:divBdr>
        <w:top w:val="none" w:sz="0" w:space="0" w:color="auto"/>
        <w:left w:val="none" w:sz="0" w:space="0" w:color="auto"/>
        <w:bottom w:val="none" w:sz="0" w:space="0" w:color="auto"/>
        <w:right w:val="none" w:sz="0" w:space="0" w:color="auto"/>
      </w:divBdr>
    </w:div>
    <w:div w:id="784037891">
      <w:bodyDiv w:val="1"/>
      <w:marLeft w:val="0"/>
      <w:marRight w:val="0"/>
      <w:marTop w:val="0"/>
      <w:marBottom w:val="0"/>
      <w:divBdr>
        <w:top w:val="none" w:sz="0" w:space="0" w:color="auto"/>
        <w:left w:val="none" w:sz="0" w:space="0" w:color="auto"/>
        <w:bottom w:val="none" w:sz="0" w:space="0" w:color="auto"/>
        <w:right w:val="none" w:sz="0" w:space="0" w:color="auto"/>
      </w:divBdr>
    </w:div>
    <w:div w:id="831025711">
      <w:bodyDiv w:val="1"/>
      <w:marLeft w:val="0"/>
      <w:marRight w:val="0"/>
      <w:marTop w:val="0"/>
      <w:marBottom w:val="0"/>
      <w:divBdr>
        <w:top w:val="none" w:sz="0" w:space="0" w:color="auto"/>
        <w:left w:val="none" w:sz="0" w:space="0" w:color="auto"/>
        <w:bottom w:val="none" w:sz="0" w:space="0" w:color="auto"/>
        <w:right w:val="none" w:sz="0" w:space="0" w:color="auto"/>
      </w:divBdr>
    </w:div>
    <w:div w:id="898907050">
      <w:bodyDiv w:val="1"/>
      <w:marLeft w:val="0"/>
      <w:marRight w:val="0"/>
      <w:marTop w:val="0"/>
      <w:marBottom w:val="0"/>
      <w:divBdr>
        <w:top w:val="none" w:sz="0" w:space="0" w:color="auto"/>
        <w:left w:val="none" w:sz="0" w:space="0" w:color="auto"/>
        <w:bottom w:val="none" w:sz="0" w:space="0" w:color="auto"/>
        <w:right w:val="none" w:sz="0" w:space="0" w:color="auto"/>
      </w:divBdr>
    </w:div>
    <w:div w:id="918059602">
      <w:bodyDiv w:val="1"/>
      <w:marLeft w:val="0"/>
      <w:marRight w:val="0"/>
      <w:marTop w:val="0"/>
      <w:marBottom w:val="0"/>
      <w:divBdr>
        <w:top w:val="none" w:sz="0" w:space="0" w:color="auto"/>
        <w:left w:val="none" w:sz="0" w:space="0" w:color="auto"/>
        <w:bottom w:val="none" w:sz="0" w:space="0" w:color="auto"/>
        <w:right w:val="none" w:sz="0" w:space="0" w:color="auto"/>
      </w:divBdr>
    </w:div>
    <w:div w:id="1085110124">
      <w:bodyDiv w:val="1"/>
      <w:marLeft w:val="0"/>
      <w:marRight w:val="0"/>
      <w:marTop w:val="0"/>
      <w:marBottom w:val="0"/>
      <w:divBdr>
        <w:top w:val="none" w:sz="0" w:space="0" w:color="auto"/>
        <w:left w:val="none" w:sz="0" w:space="0" w:color="auto"/>
        <w:bottom w:val="none" w:sz="0" w:space="0" w:color="auto"/>
        <w:right w:val="none" w:sz="0" w:space="0" w:color="auto"/>
      </w:divBdr>
    </w:div>
    <w:div w:id="1104955989">
      <w:bodyDiv w:val="1"/>
      <w:marLeft w:val="0"/>
      <w:marRight w:val="0"/>
      <w:marTop w:val="0"/>
      <w:marBottom w:val="0"/>
      <w:divBdr>
        <w:top w:val="none" w:sz="0" w:space="0" w:color="auto"/>
        <w:left w:val="none" w:sz="0" w:space="0" w:color="auto"/>
        <w:bottom w:val="none" w:sz="0" w:space="0" w:color="auto"/>
        <w:right w:val="none" w:sz="0" w:space="0" w:color="auto"/>
      </w:divBdr>
    </w:div>
    <w:div w:id="1143037957">
      <w:bodyDiv w:val="1"/>
      <w:marLeft w:val="0"/>
      <w:marRight w:val="0"/>
      <w:marTop w:val="0"/>
      <w:marBottom w:val="0"/>
      <w:divBdr>
        <w:top w:val="none" w:sz="0" w:space="0" w:color="auto"/>
        <w:left w:val="none" w:sz="0" w:space="0" w:color="auto"/>
        <w:bottom w:val="none" w:sz="0" w:space="0" w:color="auto"/>
        <w:right w:val="none" w:sz="0" w:space="0" w:color="auto"/>
      </w:divBdr>
    </w:div>
    <w:div w:id="1179811135">
      <w:bodyDiv w:val="1"/>
      <w:marLeft w:val="0"/>
      <w:marRight w:val="0"/>
      <w:marTop w:val="0"/>
      <w:marBottom w:val="0"/>
      <w:divBdr>
        <w:top w:val="none" w:sz="0" w:space="0" w:color="auto"/>
        <w:left w:val="none" w:sz="0" w:space="0" w:color="auto"/>
        <w:bottom w:val="none" w:sz="0" w:space="0" w:color="auto"/>
        <w:right w:val="none" w:sz="0" w:space="0" w:color="auto"/>
      </w:divBdr>
    </w:div>
    <w:div w:id="1337341311">
      <w:bodyDiv w:val="1"/>
      <w:marLeft w:val="0"/>
      <w:marRight w:val="0"/>
      <w:marTop w:val="0"/>
      <w:marBottom w:val="0"/>
      <w:divBdr>
        <w:top w:val="none" w:sz="0" w:space="0" w:color="auto"/>
        <w:left w:val="none" w:sz="0" w:space="0" w:color="auto"/>
        <w:bottom w:val="none" w:sz="0" w:space="0" w:color="auto"/>
        <w:right w:val="none" w:sz="0" w:space="0" w:color="auto"/>
      </w:divBdr>
    </w:div>
    <w:div w:id="1351642780">
      <w:bodyDiv w:val="1"/>
      <w:marLeft w:val="0"/>
      <w:marRight w:val="0"/>
      <w:marTop w:val="0"/>
      <w:marBottom w:val="0"/>
      <w:divBdr>
        <w:top w:val="none" w:sz="0" w:space="0" w:color="auto"/>
        <w:left w:val="none" w:sz="0" w:space="0" w:color="auto"/>
        <w:bottom w:val="none" w:sz="0" w:space="0" w:color="auto"/>
        <w:right w:val="none" w:sz="0" w:space="0" w:color="auto"/>
      </w:divBdr>
    </w:div>
    <w:div w:id="1416854040">
      <w:bodyDiv w:val="1"/>
      <w:marLeft w:val="0"/>
      <w:marRight w:val="0"/>
      <w:marTop w:val="0"/>
      <w:marBottom w:val="0"/>
      <w:divBdr>
        <w:top w:val="none" w:sz="0" w:space="0" w:color="auto"/>
        <w:left w:val="none" w:sz="0" w:space="0" w:color="auto"/>
        <w:bottom w:val="none" w:sz="0" w:space="0" w:color="auto"/>
        <w:right w:val="none" w:sz="0" w:space="0" w:color="auto"/>
      </w:divBdr>
    </w:div>
    <w:div w:id="1465733980">
      <w:bodyDiv w:val="1"/>
      <w:marLeft w:val="0"/>
      <w:marRight w:val="0"/>
      <w:marTop w:val="0"/>
      <w:marBottom w:val="0"/>
      <w:divBdr>
        <w:top w:val="none" w:sz="0" w:space="0" w:color="auto"/>
        <w:left w:val="none" w:sz="0" w:space="0" w:color="auto"/>
        <w:bottom w:val="none" w:sz="0" w:space="0" w:color="auto"/>
        <w:right w:val="none" w:sz="0" w:space="0" w:color="auto"/>
      </w:divBdr>
    </w:div>
    <w:div w:id="1507984782">
      <w:bodyDiv w:val="1"/>
      <w:marLeft w:val="0"/>
      <w:marRight w:val="0"/>
      <w:marTop w:val="0"/>
      <w:marBottom w:val="0"/>
      <w:divBdr>
        <w:top w:val="none" w:sz="0" w:space="0" w:color="auto"/>
        <w:left w:val="none" w:sz="0" w:space="0" w:color="auto"/>
        <w:bottom w:val="none" w:sz="0" w:space="0" w:color="auto"/>
        <w:right w:val="none" w:sz="0" w:space="0" w:color="auto"/>
      </w:divBdr>
    </w:div>
    <w:div w:id="1568027481">
      <w:bodyDiv w:val="1"/>
      <w:marLeft w:val="0"/>
      <w:marRight w:val="0"/>
      <w:marTop w:val="0"/>
      <w:marBottom w:val="0"/>
      <w:divBdr>
        <w:top w:val="none" w:sz="0" w:space="0" w:color="auto"/>
        <w:left w:val="none" w:sz="0" w:space="0" w:color="auto"/>
        <w:bottom w:val="none" w:sz="0" w:space="0" w:color="auto"/>
        <w:right w:val="none" w:sz="0" w:space="0" w:color="auto"/>
      </w:divBdr>
    </w:div>
    <w:div w:id="1585846142">
      <w:bodyDiv w:val="1"/>
      <w:marLeft w:val="0"/>
      <w:marRight w:val="0"/>
      <w:marTop w:val="0"/>
      <w:marBottom w:val="0"/>
      <w:divBdr>
        <w:top w:val="none" w:sz="0" w:space="0" w:color="auto"/>
        <w:left w:val="none" w:sz="0" w:space="0" w:color="auto"/>
        <w:bottom w:val="none" w:sz="0" w:space="0" w:color="auto"/>
        <w:right w:val="none" w:sz="0" w:space="0" w:color="auto"/>
      </w:divBdr>
    </w:div>
    <w:div w:id="1617329979">
      <w:bodyDiv w:val="1"/>
      <w:marLeft w:val="0"/>
      <w:marRight w:val="0"/>
      <w:marTop w:val="0"/>
      <w:marBottom w:val="0"/>
      <w:divBdr>
        <w:top w:val="none" w:sz="0" w:space="0" w:color="auto"/>
        <w:left w:val="none" w:sz="0" w:space="0" w:color="auto"/>
        <w:bottom w:val="none" w:sz="0" w:space="0" w:color="auto"/>
        <w:right w:val="none" w:sz="0" w:space="0" w:color="auto"/>
      </w:divBdr>
    </w:div>
    <w:div w:id="1683432530">
      <w:bodyDiv w:val="1"/>
      <w:marLeft w:val="0"/>
      <w:marRight w:val="0"/>
      <w:marTop w:val="0"/>
      <w:marBottom w:val="0"/>
      <w:divBdr>
        <w:top w:val="none" w:sz="0" w:space="0" w:color="auto"/>
        <w:left w:val="none" w:sz="0" w:space="0" w:color="auto"/>
        <w:bottom w:val="none" w:sz="0" w:space="0" w:color="auto"/>
        <w:right w:val="none" w:sz="0" w:space="0" w:color="auto"/>
      </w:divBdr>
    </w:div>
    <w:div w:id="1695574698">
      <w:bodyDiv w:val="1"/>
      <w:marLeft w:val="0"/>
      <w:marRight w:val="0"/>
      <w:marTop w:val="0"/>
      <w:marBottom w:val="0"/>
      <w:divBdr>
        <w:top w:val="none" w:sz="0" w:space="0" w:color="auto"/>
        <w:left w:val="none" w:sz="0" w:space="0" w:color="auto"/>
        <w:bottom w:val="none" w:sz="0" w:space="0" w:color="auto"/>
        <w:right w:val="none" w:sz="0" w:space="0" w:color="auto"/>
      </w:divBdr>
      <w:divsChild>
        <w:div w:id="1088843529">
          <w:marLeft w:val="0"/>
          <w:marRight w:val="0"/>
          <w:marTop w:val="0"/>
          <w:marBottom w:val="0"/>
          <w:divBdr>
            <w:top w:val="none" w:sz="0" w:space="0" w:color="auto"/>
            <w:left w:val="none" w:sz="0" w:space="0" w:color="auto"/>
            <w:bottom w:val="none" w:sz="0" w:space="0" w:color="auto"/>
            <w:right w:val="none" w:sz="0" w:space="0" w:color="auto"/>
          </w:divBdr>
        </w:div>
      </w:divsChild>
    </w:div>
    <w:div w:id="1764449468">
      <w:bodyDiv w:val="1"/>
      <w:marLeft w:val="0"/>
      <w:marRight w:val="0"/>
      <w:marTop w:val="0"/>
      <w:marBottom w:val="0"/>
      <w:divBdr>
        <w:top w:val="none" w:sz="0" w:space="0" w:color="auto"/>
        <w:left w:val="none" w:sz="0" w:space="0" w:color="auto"/>
        <w:bottom w:val="none" w:sz="0" w:space="0" w:color="auto"/>
        <w:right w:val="none" w:sz="0" w:space="0" w:color="auto"/>
      </w:divBdr>
    </w:div>
    <w:div w:id="1799487564">
      <w:bodyDiv w:val="1"/>
      <w:marLeft w:val="0"/>
      <w:marRight w:val="0"/>
      <w:marTop w:val="0"/>
      <w:marBottom w:val="0"/>
      <w:divBdr>
        <w:top w:val="none" w:sz="0" w:space="0" w:color="auto"/>
        <w:left w:val="none" w:sz="0" w:space="0" w:color="auto"/>
        <w:bottom w:val="none" w:sz="0" w:space="0" w:color="auto"/>
        <w:right w:val="none" w:sz="0" w:space="0" w:color="auto"/>
      </w:divBdr>
    </w:div>
    <w:div w:id="1848667060">
      <w:bodyDiv w:val="1"/>
      <w:marLeft w:val="0"/>
      <w:marRight w:val="0"/>
      <w:marTop w:val="0"/>
      <w:marBottom w:val="0"/>
      <w:divBdr>
        <w:top w:val="none" w:sz="0" w:space="0" w:color="auto"/>
        <w:left w:val="none" w:sz="0" w:space="0" w:color="auto"/>
        <w:bottom w:val="none" w:sz="0" w:space="0" w:color="auto"/>
        <w:right w:val="none" w:sz="0" w:space="0" w:color="auto"/>
      </w:divBdr>
      <w:divsChild>
        <w:div w:id="574897592">
          <w:marLeft w:val="0"/>
          <w:marRight w:val="0"/>
          <w:marTop w:val="0"/>
          <w:marBottom w:val="0"/>
          <w:divBdr>
            <w:top w:val="none" w:sz="0" w:space="0" w:color="auto"/>
            <w:left w:val="none" w:sz="0" w:space="0" w:color="auto"/>
            <w:bottom w:val="none" w:sz="0" w:space="0" w:color="auto"/>
            <w:right w:val="none" w:sz="0" w:space="0" w:color="auto"/>
          </w:divBdr>
        </w:div>
        <w:div w:id="1689598553">
          <w:marLeft w:val="0"/>
          <w:marRight w:val="0"/>
          <w:marTop w:val="0"/>
          <w:marBottom w:val="0"/>
          <w:divBdr>
            <w:top w:val="none" w:sz="0" w:space="0" w:color="auto"/>
            <w:left w:val="none" w:sz="0" w:space="0" w:color="auto"/>
            <w:bottom w:val="none" w:sz="0" w:space="0" w:color="auto"/>
            <w:right w:val="none" w:sz="0" w:space="0" w:color="auto"/>
          </w:divBdr>
        </w:div>
        <w:div w:id="2065443297">
          <w:marLeft w:val="0"/>
          <w:marRight w:val="0"/>
          <w:marTop w:val="0"/>
          <w:marBottom w:val="0"/>
          <w:divBdr>
            <w:top w:val="none" w:sz="0" w:space="0" w:color="auto"/>
            <w:left w:val="none" w:sz="0" w:space="0" w:color="auto"/>
            <w:bottom w:val="none" w:sz="0" w:space="0" w:color="auto"/>
            <w:right w:val="none" w:sz="0" w:space="0" w:color="auto"/>
          </w:divBdr>
        </w:div>
        <w:div w:id="1075476324">
          <w:marLeft w:val="0"/>
          <w:marRight w:val="0"/>
          <w:marTop w:val="0"/>
          <w:marBottom w:val="0"/>
          <w:divBdr>
            <w:top w:val="none" w:sz="0" w:space="0" w:color="auto"/>
            <w:left w:val="none" w:sz="0" w:space="0" w:color="auto"/>
            <w:bottom w:val="none" w:sz="0" w:space="0" w:color="auto"/>
            <w:right w:val="none" w:sz="0" w:space="0" w:color="auto"/>
          </w:divBdr>
        </w:div>
      </w:divsChild>
    </w:div>
    <w:div w:id="1914898458">
      <w:bodyDiv w:val="1"/>
      <w:marLeft w:val="0"/>
      <w:marRight w:val="0"/>
      <w:marTop w:val="0"/>
      <w:marBottom w:val="0"/>
      <w:divBdr>
        <w:top w:val="none" w:sz="0" w:space="0" w:color="auto"/>
        <w:left w:val="none" w:sz="0" w:space="0" w:color="auto"/>
        <w:bottom w:val="none" w:sz="0" w:space="0" w:color="auto"/>
        <w:right w:val="none" w:sz="0" w:space="0" w:color="auto"/>
      </w:divBdr>
    </w:div>
    <w:div w:id="1952854937">
      <w:bodyDiv w:val="1"/>
      <w:marLeft w:val="0"/>
      <w:marRight w:val="0"/>
      <w:marTop w:val="0"/>
      <w:marBottom w:val="0"/>
      <w:divBdr>
        <w:top w:val="none" w:sz="0" w:space="0" w:color="auto"/>
        <w:left w:val="none" w:sz="0" w:space="0" w:color="auto"/>
        <w:bottom w:val="none" w:sz="0" w:space="0" w:color="auto"/>
        <w:right w:val="none" w:sz="0" w:space="0" w:color="auto"/>
      </w:divBdr>
      <w:divsChild>
        <w:div w:id="826749848">
          <w:marLeft w:val="0"/>
          <w:marRight w:val="0"/>
          <w:marTop w:val="0"/>
          <w:marBottom w:val="0"/>
          <w:divBdr>
            <w:top w:val="none" w:sz="0" w:space="0" w:color="auto"/>
            <w:left w:val="none" w:sz="0" w:space="0" w:color="auto"/>
            <w:bottom w:val="none" w:sz="0" w:space="0" w:color="auto"/>
            <w:right w:val="none" w:sz="0" w:space="0" w:color="auto"/>
          </w:divBdr>
        </w:div>
      </w:divsChild>
    </w:div>
    <w:div w:id="2021735835">
      <w:bodyDiv w:val="1"/>
      <w:marLeft w:val="0"/>
      <w:marRight w:val="0"/>
      <w:marTop w:val="0"/>
      <w:marBottom w:val="0"/>
      <w:divBdr>
        <w:top w:val="none" w:sz="0" w:space="0" w:color="auto"/>
        <w:left w:val="none" w:sz="0" w:space="0" w:color="auto"/>
        <w:bottom w:val="none" w:sz="0" w:space="0" w:color="auto"/>
        <w:right w:val="none" w:sz="0" w:space="0" w:color="auto"/>
      </w:divBdr>
    </w:div>
    <w:div w:id="2025934763">
      <w:bodyDiv w:val="1"/>
      <w:marLeft w:val="0"/>
      <w:marRight w:val="0"/>
      <w:marTop w:val="0"/>
      <w:marBottom w:val="0"/>
      <w:divBdr>
        <w:top w:val="none" w:sz="0" w:space="0" w:color="auto"/>
        <w:left w:val="none" w:sz="0" w:space="0" w:color="auto"/>
        <w:bottom w:val="none" w:sz="0" w:space="0" w:color="auto"/>
        <w:right w:val="none" w:sz="0" w:space="0" w:color="auto"/>
      </w:divBdr>
    </w:div>
    <w:div w:id="2076393602">
      <w:bodyDiv w:val="1"/>
      <w:marLeft w:val="0"/>
      <w:marRight w:val="0"/>
      <w:marTop w:val="0"/>
      <w:marBottom w:val="0"/>
      <w:divBdr>
        <w:top w:val="none" w:sz="0" w:space="0" w:color="auto"/>
        <w:left w:val="none" w:sz="0" w:space="0" w:color="auto"/>
        <w:bottom w:val="none" w:sz="0" w:space="0" w:color="auto"/>
        <w:right w:val="none" w:sz="0" w:space="0" w:color="auto"/>
      </w:divBdr>
    </w:div>
    <w:div w:id="2114014626">
      <w:bodyDiv w:val="1"/>
      <w:marLeft w:val="0"/>
      <w:marRight w:val="0"/>
      <w:marTop w:val="0"/>
      <w:marBottom w:val="0"/>
      <w:divBdr>
        <w:top w:val="none" w:sz="0" w:space="0" w:color="auto"/>
        <w:left w:val="none" w:sz="0" w:space="0" w:color="auto"/>
        <w:bottom w:val="none" w:sz="0" w:space="0" w:color="auto"/>
        <w:right w:val="none" w:sz="0" w:space="0" w:color="auto"/>
      </w:divBdr>
    </w:div>
    <w:div w:id="21166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neesha.bhullar@m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BB901-1901-4DB8-BB3A-8C5F9BEC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7148</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1</vt:lpstr>
    </vt:vector>
  </TitlesOfParts>
  <Company>DHHS</Company>
  <LinksUpToDate>false</LinksUpToDate>
  <CharactersWithSpaces>47803</CharactersWithSpaces>
  <SharedDoc>false</SharedDoc>
  <HLinks>
    <vt:vector size="48" baseType="variant">
      <vt:variant>
        <vt:i4>3276883</vt:i4>
      </vt:variant>
      <vt:variant>
        <vt:i4>12</vt:i4>
      </vt:variant>
      <vt:variant>
        <vt:i4>0</vt:i4>
      </vt:variant>
      <vt:variant>
        <vt:i4>5</vt:i4>
      </vt:variant>
      <vt:variant>
        <vt:lpwstr>mailto:K.Sharpe@ms.unimelb.edu.au</vt:lpwstr>
      </vt:variant>
      <vt:variant>
        <vt:lpwstr/>
      </vt:variant>
      <vt:variant>
        <vt:i4>6422596</vt:i4>
      </vt:variant>
      <vt:variant>
        <vt:i4>9</vt:i4>
      </vt:variant>
      <vt:variant>
        <vt:i4>0</vt:i4>
      </vt:variant>
      <vt:variant>
        <vt:i4>5</vt:i4>
      </vt:variant>
      <vt:variant>
        <vt:lpwstr>mailto:Margie.Smith@mh.org.au</vt:lpwstr>
      </vt:variant>
      <vt:variant>
        <vt:lpwstr/>
      </vt:variant>
      <vt:variant>
        <vt:i4>196658</vt:i4>
      </vt:variant>
      <vt:variant>
        <vt:i4>6</vt:i4>
      </vt:variant>
      <vt:variant>
        <vt:i4>0</vt:i4>
      </vt:variant>
      <vt:variant>
        <vt:i4>5</vt:i4>
      </vt:variant>
      <vt:variant>
        <vt:lpwstr>mailto:g.brown@alfred.org.au</vt:lpwstr>
      </vt:variant>
      <vt:variant>
        <vt:lpwstr/>
      </vt:variant>
      <vt:variant>
        <vt:i4>3735576</vt:i4>
      </vt:variant>
      <vt:variant>
        <vt:i4>3</vt:i4>
      </vt:variant>
      <vt:variant>
        <vt:i4>0</vt:i4>
      </vt:variant>
      <vt:variant>
        <vt:i4>5</vt:i4>
      </vt:variant>
      <vt:variant>
        <vt:lpwstr>mailto:Finlay.Macrae@mh.org.au</vt:lpwstr>
      </vt:variant>
      <vt:variant>
        <vt:lpwstr/>
      </vt:variant>
      <vt:variant>
        <vt:i4>6684746</vt:i4>
      </vt:variant>
      <vt:variant>
        <vt:i4>0</vt:i4>
      </vt:variant>
      <vt:variant>
        <vt:i4>0</vt:i4>
      </vt:variant>
      <vt:variant>
        <vt:i4>5</vt:i4>
      </vt:variant>
      <vt:variant>
        <vt:lpwstr>mailto:Maneesha.Bhullar@mh.org.au</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2883684</vt:i4>
      </vt:variant>
      <vt:variant>
        <vt:i4>3</vt:i4>
      </vt:variant>
      <vt:variant>
        <vt:i4>0</vt:i4>
      </vt:variant>
      <vt:variant>
        <vt:i4>5</vt:i4>
      </vt:variant>
      <vt:variant>
        <vt:lpwstr>http://www.ncbi.nlm.nih.gov/sites/entrez?db=pubmed</vt:lpwstr>
      </vt:variant>
      <vt:variant>
        <vt:lpwstr/>
      </vt:variant>
      <vt:variant>
        <vt:i4>1572963</vt:i4>
      </vt:variant>
      <vt:variant>
        <vt:i4>0</vt:i4>
      </vt:variant>
      <vt:variant>
        <vt:i4>0</vt:i4>
      </vt:variant>
      <vt:variant>
        <vt:i4>5</vt:i4>
      </vt:variant>
      <vt:variant>
        <vt:lpwstr>http://www.sciencedirect.com/science?_ob=ArticleURL&amp;_udi=B6T3B-4VBC3VD-2&amp;_user=1090508&amp;_coverDate=02%2F28%2F2009&amp;_rdoc=1&amp;_fmt=high&amp;_orig=search&amp;_sort=d&amp;_docanchor=&amp;view=c&amp;_acct=C000051494&amp;_version=1&amp;_urlVersion=0&amp;_userid=1090508&amp;md5=da1f686af31226c856136f64efe7e59b</vt:lpwstr>
      </vt:variant>
      <vt:variant>
        <vt:lpwstr>bib1#bib1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Wen Lingling</cp:lastModifiedBy>
  <cp:revision>3</cp:revision>
  <dcterms:created xsi:type="dcterms:W3CDTF">2013-09-16T02:42:00Z</dcterms:created>
  <dcterms:modified xsi:type="dcterms:W3CDTF">2013-09-16T09:11:00Z</dcterms:modified>
</cp:coreProperties>
</file>