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443E" w14:textId="748C1E13" w:rsidR="009F44F6" w:rsidRPr="000E643C" w:rsidRDefault="009F44F6" w:rsidP="00E57DEB">
      <w:pPr>
        <w:widowControl w:val="0"/>
        <w:adjustRightInd w:val="0"/>
        <w:snapToGrid w:val="0"/>
        <w:spacing w:after="0" w:line="360" w:lineRule="auto"/>
        <w:jc w:val="both"/>
        <w:rPr>
          <w:rFonts w:ascii="Book Antiqua" w:hAnsi="Book Antiqua"/>
          <w:b/>
          <w:sz w:val="24"/>
          <w:szCs w:val="24"/>
          <w:lang w:eastAsia="zh-CN"/>
        </w:rPr>
      </w:pPr>
      <w:r w:rsidRPr="000E643C">
        <w:rPr>
          <w:rFonts w:ascii="Book Antiqua" w:hAnsi="Book Antiqua"/>
          <w:b/>
          <w:sz w:val="24"/>
          <w:szCs w:val="24"/>
          <w:lang w:eastAsia="zh-CN"/>
        </w:rPr>
        <w:t>Name of Journal:</w:t>
      </w:r>
      <w:r w:rsidR="00E57DEB" w:rsidRPr="000E643C">
        <w:rPr>
          <w:rFonts w:ascii="Book Antiqua" w:hAnsi="Book Antiqua"/>
          <w:b/>
          <w:sz w:val="24"/>
          <w:szCs w:val="24"/>
          <w:lang w:eastAsia="zh-CN"/>
        </w:rPr>
        <w:t xml:space="preserve"> </w:t>
      </w:r>
      <w:r w:rsidRPr="000E643C">
        <w:rPr>
          <w:rFonts w:ascii="Book Antiqua" w:hAnsi="Book Antiqua"/>
          <w:b/>
          <w:i/>
          <w:iCs/>
          <w:sz w:val="24"/>
          <w:szCs w:val="24"/>
        </w:rPr>
        <w:t>World Journal of Gastrointestinal Pharmacology and Therapeutics</w:t>
      </w:r>
    </w:p>
    <w:p w14:paraId="61AFE540" w14:textId="31571BF6" w:rsidR="009F44F6" w:rsidRPr="000E643C" w:rsidRDefault="009F44F6" w:rsidP="00E57DEB">
      <w:pPr>
        <w:widowControl w:val="0"/>
        <w:adjustRightInd w:val="0"/>
        <w:snapToGrid w:val="0"/>
        <w:spacing w:after="0" w:line="360" w:lineRule="auto"/>
        <w:jc w:val="both"/>
        <w:rPr>
          <w:rFonts w:ascii="Book Antiqua" w:hAnsi="Book Antiqua"/>
          <w:b/>
          <w:sz w:val="24"/>
          <w:szCs w:val="24"/>
          <w:lang w:eastAsia="zh-CN"/>
        </w:rPr>
      </w:pPr>
      <w:r w:rsidRPr="000E643C">
        <w:rPr>
          <w:rFonts w:ascii="Book Antiqua" w:hAnsi="Book Antiqua"/>
          <w:b/>
          <w:sz w:val="24"/>
          <w:szCs w:val="24"/>
          <w:lang w:eastAsia="zh-CN"/>
        </w:rPr>
        <w:t>Manuscript NO: 33844</w:t>
      </w:r>
    </w:p>
    <w:p w14:paraId="24BBC15F" w14:textId="66C0E85F" w:rsidR="009F44F6" w:rsidRPr="000E643C" w:rsidRDefault="009F44F6" w:rsidP="00E57DEB">
      <w:pPr>
        <w:widowControl w:val="0"/>
        <w:adjustRightInd w:val="0"/>
        <w:snapToGrid w:val="0"/>
        <w:spacing w:after="0" w:line="360" w:lineRule="auto"/>
        <w:jc w:val="both"/>
        <w:rPr>
          <w:rFonts w:ascii="Book Antiqua" w:hAnsi="Book Antiqua"/>
          <w:b/>
          <w:sz w:val="24"/>
          <w:szCs w:val="24"/>
          <w:lang w:eastAsia="zh-CN"/>
        </w:rPr>
      </w:pPr>
      <w:r w:rsidRPr="000E643C">
        <w:rPr>
          <w:rFonts w:ascii="Book Antiqua" w:hAnsi="Book Antiqua"/>
          <w:b/>
          <w:sz w:val="24"/>
          <w:szCs w:val="24"/>
          <w:lang w:eastAsia="zh-CN"/>
        </w:rPr>
        <w:t xml:space="preserve">Manuscript Type: </w:t>
      </w:r>
      <w:proofErr w:type="spellStart"/>
      <w:r w:rsidRPr="000E643C">
        <w:rPr>
          <w:rFonts w:ascii="Book Antiqua" w:hAnsi="Book Antiqua"/>
          <w:b/>
          <w:sz w:val="24"/>
          <w:szCs w:val="24"/>
          <w:lang w:eastAsia="zh-CN"/>
        </w:rPr>
        <w:t>Minireviews</w:t>
      </w:r>
      <w:proofErr w:type="spellEnd"/>
    </w:p>
    <w:p w14:paraId="51F62065" w14:textId="77777777" w:rsidR="009F44F6" w:rsidRPr="000E643C" w:rsidRDefault="009F44F6" w:rsidP="00E57DEB">
      <w:pPr>
        <w:widowControl w:val="0"/>
        <w:adjustRightInd w:val="0"/>
        <w:snapToGrid w:val="0"/>
        <w:spacing w:after="0" w:line="360" w:lineRule="auto"/>
        <w:jc w:val="both"/>
        <w:rPr>
          <w:rFonts w:ascii="Book Antiqua" w:hAnsi="Book Antiqua"/>
          <w:sz w:val="24"/>
          <w:szCs w:val="24"/>
          <w:lang w:eastAsia="zh-CN"/>
        </w:rPr>
      </w:pPr>
    </w:p>
    <w:p w14:paraId="6FC756AA" w14:textId="2466E229" w:rsidR="0069331F" w:rsidRPr="000E643C" w:rsidRDefault="00796CB0" w:rsidP="00E57DEB">
      <w:pPr>
        <w:widowControl w:val="0"/>
        <w:adjustRightInd w:val="0"/>
        <w:snapToGrid w:val="0"/>
        <w:spacing w:after="0" w:line="360" w:lineRule="auto"/>
        <w:jc w:val="both"/>
        <w:rPr>
          <w:rFonts w:ascii="Book Antiqua" w:hAnsi="Book Antiqua"/>
          <w:b/>
          <w:sz w:val="24"/>
          <w:szCs w:val="24"/>
        </w:rPr>
      </w:pPr>
      <w:r w:rsidRPr="000E643C">
        <w:rPr>
          <w:rFonts w:ascii="Book Antiqua" w:hAnsi="Book Antiqua"/>
          <w:b/>
          <w:sz w:val="24"/>
          <w:szCs w:val="24"/>
        </w:rPr>
        <w:t xml:space="preserve">Combination </w:t>
      </w:r>
      <w:r w:rsidR="00557FA6" w:rsidRPr="000E643C">
        <w:rPr>
          <w:rFonts w:ascii="Book Antiqua" w:hAnsi="Book Antiqua"/>
          <w:b/>
          <w:sz w:val="24"/>
          <w:szCs w:val="24"/>
        </w:rPr>
        <w:t>therapy for inflammatory bowel disease</w:t>
      </w:r>
    </w:p>
    <w:p w14:paraId="4B75FB2E" w14:textId="77777777" w:rsidR="00557FA6" w:rsidRPr="000E643C" w:rsidRDefault="00557FA6" w:rsidP="00E57DEB">
      <w:pPr>
        <w:widowControl w:val="0"/>
        <w:adjustRightInd w:val="0"/>
        <w:snapToGrid w:val="0"/>
        <w:spacing w:after="0" w:line="360" w:lineRule="auto"/>
        <w:jc w:val="both"/>
        <w:rPr>
          <w:rFonts w:ascii="Book Antiqua" w:hAnsi="Book Antiqua"/>
          <w:sz w:val="24"/>
          <w:szCs w:val="24"/>
          <w:lang w:eastAsia="zh-CN"/>
        </w:rPr>
      </w:pPr>
    </w:p>
    <w:p w14:paraId="4D54BC3B" w14:textId="4749ACDE" w:rsidR="0069331F" w:rsidRPr="000E643C" w:rsidRDefault="00557FA6"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 xml:space="preserve">Sultan </w:t>
      </w:r>
      <w:r w:rsidRPr="000E643C">
        <w:rPr>
          <w:rFonts w:ascii="Book Antiqua" w:hAnsi="Book Antiqua" w:hint="eastAsia"/>
          <w:sz w:val="24"/>
          <w:szCs w:val="24"/>
          <w:lang w:eastAsia="zh-CN"/>
        </w:rPr>
        <w:t xml:space="preserve">K </w:t>
      </w:r>
      <w:r w:rsidRPr="000E643C">
        <w:rPr>
          <w:rFonts w:ascii="Book Antiqua" w:hAnsi="Book Antiqua" w:hint="eastAsia"/>
          <w:i/>
          <w:sz w:val="24"/>
          <w:szCs w:val="24"/>
          <w:lang w:eastAsia="zh-CN"/>
        </w:rPr>
        <w:t>et al</w:t>
      </w:r>
      <w:r w:rsidRPr="000E643C">
        <w:rPr>
          <w:rFonts w:ascii="Book Antiqua" w:hAnsi="Book Antiqua" w:hint="eastAsia"/>
          <w:sz w:val="24"/>
          <w:szCs w:val="24"/>
          <w:lang w:eastAsia="zh-CN"/>
        </w:rPr>
        <w:t xml:space="preserve">. </w:t>
      </w:r>
      <w:r w:rsidR="00030FFC" w:rsidRPr="000E643C">
        <w:rPr>
          <w:rFonts w:ascii="Book Antiqua" w:hAnsi="Book Antiqua"/>
          <w:sz w:val="24"/>
          <w:szCs w:val="24"/>
        </w:rPr>
        <w:t xml:space="preserve">Combination </w:t>
      </w:r>
      <w:r w:rsidRPr="000E643C">
        <w:rPr>
          <w:rFonts w:ascii="Book Antiqua" w:hAnsi="Book Antiqua"/>
          <w:sz w:val="24"/>
          <w:szCs w:val="24"/>
        </w:rPr>
        <w:t>therapy for inflammatory bowel disease</w:t>
      </w:r>
    </w:p>
    <w:p w14:paraId="037C822D" w14:textId="77777777" w:rsidR="00557FA6" w:rsidRPr="000E643C" w:rsidRDefault="00557FA6" w:rsidP="00E57DEB">
      <w:pPr>
        <w:widowControl w:val="0"/>
        <w:adjustRightInd w:val="0"/>
        <w:snapToGrid w:val="0"/>
        <w:spacing w:after="0" w:line="360" w:lineRule="auto"/>
        <w:jc w:val="both"/>
        <w:rPr>
          <w:rFonts w:ascii="Book Antiqua" w:hAnsi="Book Antiqua"/>
          <w:sz w:val="24"/>
          <w:szCs w:val="24"/>
          <w:lang w:eastAsia="zh-CN"/>
        </w:rPr>
      </w:pPr>
    </w:p>
    <w:p w14:paraId="46C602AB" w14:textId="136C9946" w:rsidR="0069331F" w:rsidRPr="000E643C" w:rsidRDefault="00C84BCB" w:rsidP="00E57DEB">
      <w:pPr>
        <w:widowControl w:val="0"/>
        <w:adjustRightInd w:val="0"/>
        <w:snapToGrid w:val="0"/>
        <w:spacing w:after="0" w:line="360" w:lineRule="auto"/>
        <w:jc w:val="both"/>
        <w:rPr>
          <w:rFonts w:ascii="Book Antiqua" w:hAnsi="Book Antiqua"/>
          <w:b/>
          <w:sz w:val="24"/>
          <w:szCs w:val="24"/>
          <w:lang w:eastAsia="zh-CN"/>
        </w:rPr>
      </w:pPr>
      <w:r w:rsidRPr="000E643C">
        <w:rPr>
          <w:rFonts w:ascii="Book Antiqua" w:hAnsi="Book Antiqua"/>
          <w:b/>
          <w:sz w:val="24"/>
          <w:szCs w:val="24"/>
        </w:rPr>
        <w:t xml:space="preserve">Keith </w:t>
      </w:r>
      <w:r w:rsidR="002B0145" w:rsidRPr="000E643C">
        <w:rPr>
          <w:rFonts w:ascii="Book Antiqua" w:hAnsi="Book Antiqua" w:hint="eastAsia"/>
          <w:b/>
          <w:sz w:val="24"/>
          <w:szCs w:val="24"/>
          <w:lang w:eastAsia="zh-CN"/>
        </w:rPr>
        <w:t xml:space="preserve">S </w:t>
      </w:r>
      <w:r w:rsidRPr="000E643C">
        <w:rPr>
          <w:rFonts w:ascii="Book Antiqua" w:hAnsi="Book Antiqua"/>
          <w:b/>
          <w:sz w:val="24"/>
          <w:szCs w:val="24"/>
        </w:rPr>
        <w:t>Sultan</w:t>
      </w:r>
      <w:r w:rsidR="00557FA6" w:rsidRPr="000E643C">
        <w:rPr>
          <w:rFonts w:ascii="Book Antiqua" w:hAnsi="Book Antiqua"/>
          <w:b/>
          <w:sz w:val="24"/>
          <w:szCs w:val="24"/>
        </w:rPr>
        <w:t>, Joshua C</w:t>
      </w:r>
      <w:r w:rsidR="000201FB" w:rsidRPr="000E643C">
        <w:rPr>
          <w:rFonts w:ascii="Book Antiqua" w:hAnsi="Book Antiqua"/>
          <w:b/>
          <w:sz w:val="24"/>
          <w:szCs w:val="24"/>
        </w:rPr>
        <w:t xml:space="preserve"> Berkowitz, </w:t>
      </w:r>
      <w:proofErr w:type="spellStart"/>
      <w:r w:rsidR="000201FB" w:rsidRPr="000E643C">
        <w:rPr>
          <w:rFonts w:ascii="Book Antiqua" w:hAnsi="Book Antiqua"/>
          <w:b/>
          <w:sz w:val="24"/>
          <w:szCs w:val="24"/>
        </w:rPr>
        <w:t>Sundas</w:t>
      </w:r>
      <w:proofErr w:type="spellEnd"/>
      <w:r w:rsidR="000201FB" w:rsidRPr="000E643C">
        <w:rPr>
          <w:rFonts w:ascii="Book Antiqua" w:hAnsi="Book Antiqua"/>
          <w:b/>
          <w:sz w:val="24"/>
          <w:szCs w:val="24"/>
        </w:rPr>
        <w:t xml:space="preserve"> Khan</w:t>
      </w:r>
    </w:p>
    <w:p w14:paraId="7079AE31" w14:textId="77777777" w:rsidR="00557FA6" w:rsidRPr="000E643C" w:rsidRDefault="00557FA6" w:rsidP="00E57DEB">
      <w:pPr>
        <w:widowControl w:val="0"/>
        <w:adjustRightInd w:val="0"/>
        <w:snapToGrid w:val="0"/>
        <w:spacing w:after="0" w:line="360" w:lineRule="auto"/>
        <w:jc w:val="both"/>
        <w:rPr>
          <w:rFonts w:ascii="Book Antiqua" w:hAnsi="Book Antiqua"/>
          <w:b/>
          <w:sz w:val="24"/>
          <w:szCs w:val="24"/>
          <w:lang w:eastAsia="zh-CN"/>
        </w:rPr>
      </w:pPr>
    </w:p>
    <w:p w14:paraId="6DB4D352" w14:textId="4840C502" w:rsidR="00557FA6" w:rsidRPr="000E643C" w:rsidRDefault="00C84BCB" w:rsidP="00E57DEB">
      <w:pPr>
        <w:widowControl w:val="0"/>
        <w:adjustRightInd w:val="0"/>
        <w:snapToGrid w:val="0"/>
        <w:spacing w:after="0" w:line="360" w:lineRule="auto"/>
        <w:jc w:val="both"/>
        <w:rPr>
          <w:rFonts w:ascii="Book Antiqua" w:hAnsi="Book Antiqua"/>
          <w:sz w:val="24"/>
          <w:szCs w:val="24"/>
          <w:lang w:eastAsia="zh-CN"/>
        </w:rPr>
      </w:pPr>
      <w:r w:rsidRPr="000E643C">
        <w:rPr>
          <w:rFonts w:ascii="Book Antiqua" w:hAnsi="Book Antiqua"/>
          <w:b/>
          <w:sz w:val="24"/>
          <w:szCs w:val="24"/>
        </w:rPr>
        <w:t>Keith</w:t>
      </w:r>
      <w:r w:rsidR="002B0145" w:rsidRPr="000E643C">
        <w:rPr>
          <w:rFonts w:ascii="Book Antiqua" w:hAnsi="Book Antiqua" w:hint="eastAsia"/>
          <w:b/>
          <w:sz w:val="24"/>
          <w:szCs w:val="24"/>
          <w:lang w:eastAsia="zh-CN"/>
        </w:rPr>
        <w:t xml:space="preserve"> S</w:t>
      </w:r>
      <w:r w:rsidRPr="000E643C">
        <w:rPr>
          <w:rFonts w:ascii="Book Antiqua" w:hAnsi="Book Antiqua"/>
          <w:b/>
          <w:sz w:val="24"/>
          <w:szCs w:val="24"/>
        </w:rPr>
        <w:t xml:space="preserve"> Sultan</w:t>
      </w:r>
      <w:r w:rsidR="008372F9" w:rsidRPr="000E643C">
        <w:rPr>
          <w:rFonts w:ascii="Book Antiqua" w:hAnsi="Book Antiqua"/>
          <w:b/>
          <w:sz w:val="24"/>
          <w:szCs w:val="24"/>
        </w:rPr>
        <w:t xml:space="preserve">, </w:t>
      </w:r>
      <w:r w:rsidR="008372F9" w:rsidRPr="000E643C">
        <w:rPr>
          <w:rFonts w:ascii="Book Antiqua" w:hAnsi="Book Antiqua"/>
          <w:sz w:val="24"/>
          <w:szCs w:val="24"/>
        </w:rPr>
        <w:t xml:space="preserve">Department of Medicine, Division of Gastroenterology, Hofstra </w:t>
      </w:r>
      <w:proofErr w:type="spellStart"/>
      <w:r w:rsidR="008372F9" w:rsidRPr="000E643C">
        <w:rPr>
          <w:rFonts w:ascii="Book Antiqua" w:hAnsi="Book Antiqua"/>
          <w:sz w:val="24"/>
          <w:szCs w:val="24"/>
        </w:rPr>
        <w:t>Northwell</w:t>
      </w:r>
      <w:proofErr w:type="spellEnd"/>
      <w:r w:rsidR="008372F9" w:rsidRPr="000E643C">
        <w:rPr>
          <w:rFonts w:ascii="Book Antiqua" w:hAnsi="Book Antiqua"/>
          <w:sz w:val="24"/>
          <w:szCs w:val="24"/>
        </w:rPr>
        <w:t xml:space="preserve"> School of Medicine, Manhasset, NY </w:t>
      </w:r>
      <w:r w:rsidR="00715C57" w:rsidRPr="000E643C">
        <w:rPr>
          <w:rFonts w:ascii="Book Antiqua" w:hAnsi="Book Antiqua"/>
          <w:sz w:val="24"/>
          <w:szCs w:val="24"/>
        </w:rPr>
        <w:t>11030</w:t>
      </w:r>
      <w:r w:rsidR="00557FA6" w:rsidRPr="000E643C">
        <w:rPr>
          <w:rFonts w:ascii="Book Antiqua" w:hAnsi="Book Antiqua" w:hint="eastAsia"/>
          <w:sz w:val="24"/>
          <w:szCs w:val="24"/>
          <w:lang w:eastAsia="zh-CN"/>
        </w:rPr>
        <w:t>, United States</w:t>
      </w:r>
    </w:p>
    <w:p w14:paraId="34C9279C" w14:textId="77777777" w:rsidR="000436DF" w:rsidRPr="000E643C" w:rsidRDefault="000436DF" w:rsidP="00E57DEB">
      <w:pPr>
        <w:widowControl w:val="0"/>
        <w:adjustRightInd w:val="0"/>
        <w:snapToGrid w:val="0"/>
        <w:spacing w:after="0" w:line="360" w:lineRule="auto"/>
        <w:jc w:val="both"/>
        <w:rPr>
          <w:rFonts w:ascii="Book Antiqua" w:hAnsi="Book Antiqua"/>
          <w:sz w:val="24"/>
          <w:szCs w:val="24"/>
          <w:lang w:eastAsia="zh-CN"/>
        </w:rPr>
      </w:pPr>
    </w:p>
    <w:p w14:paraId="4397566B" w14:textId="617EA86E" w:rsidR="00557FA6" w:rsidRPr="000E643C" w:rsidRDefault="00C11C56" w:rsidP="00E57DEB">
      <w:pPr>
        <w:widowControl w:val="0"/>
        <w:adjustRightInd w:val="0"/>
        <w:snapToGrid w:val="0"/>
        <w:spacing w:after="0" w:line="360" w:lineRule="auto"/>
        <w:jc w:val="both"/>
        <w:rPr>
          <w:rFonts w:ascii="Book Antiqua" w:hAnsi="Book Antiqua"/>
          <w:sz w:val="24"/>
          <w:szCs w:val="24"/>
          <w:lang w:eastAsia="zh-CN"/>
        </w:rPr>
      </w:pPr>
      <w:r w:rsidRPr="000E643C">
        <w:rPr>
          <w:rFonts w:ascii="Book Antiqua" w:hAnsi="Book Antiqua"/>
          <w:b/>
          <w:sz w:val="24"/>
          <w:szCs w:val="24"/>
        </w:rPr>
        <w:t xml:space="preserve">Joshua </w:t>
      </w:r>
      <w:r w:rsidR="000436DF" w:rsidRPr="000E643C">
        <w:rPr>
          <w:rFonts w:ascii="Book Antiqua" w:hAnsi="Book Antiqua" w:hint="eastAsia"/>
          <w:b/>
          <w:sz w:val="24"/>
          <w:szCs w:val="24"/>
          <w:lang w:eastAsia="zh-CN"/>
        </w:rPr>
        <w:t xml:space="preserve">C </w:t>
      </w:r>
      <w:r w:rsidRPr="000E643C">
        <w:rPr>
          <w:rFonts w:ascii="Book Antiqua" w:hAnsi="Book Antiqua"/>
          <w:b/>
          <w:sz w:val="24"/>
          <w:szCs w:val="24"/>
        </w:rPr>
        <w:t xml:space="preserve">Berkowitz, </w:t>
      </w:r>
      <w:proofErr w:type="spellStart"/>
      <w:r w:rsidR="000436DF" w:rsidRPr="000E643C">
        <w:rPr>
          <w:rFonts w:ascii="Book Antiqua" w:hAnsi="Book Antiqua"/>
          <w:b/>
          <w:sz w:val="24"/>
          <w:szCs w:val="24"/>
        </w:rPr>
        <w:t>Sundas</w:t>
      </w:r>
      <w:proofErr w:type="spellEnd"/>
      <w:r w:rsidR="000436DF" w:rsidRPr="000E643C">
        <w:rPr>
          <w:rFonts w:ascii="Book Antiqua" w:hAnsi="Book Antiqua"/>
          <w:b/>
          <w:sz w:val="24"/>
          <w:szCs w:val="24"/>
        </w:rPr>
        <w:t xml:space="preserve"> Khan,</w:t>
      </w:r>
      <w:r w:rsidR="000436DF" w:rsidRPr="000E643C">
        <w:rPr>
          <w:rFonts w:ascii="Book Antiqua" w:hAnsi="Book Antiqua"/>
          <w:sz w:val="24"/>
          <w:szCs w:val="24"/>
        </w:rPr>
        <w:t xml:space="preserve"> </w:t>
      </w:r>
      <w:r w:rsidRPr="000E643C">
        <w:rPr>
          <w:rFonts w:ascii="Book Antiqua" w:hAnsi="Book Antiqua"/>
          <w:sz w:val="24"/>
          <w:szCs w:val="24"/>
        </w:rPr>
        <w:t xml:space="preserve">Department of Medicine, Hofstra </w:t>
      </w:r>
      <w:proofErr w:type="spellStart"/>
      <w:r w:rsidRPr="000E643C">
        <w:rPr>
          <w:rFonts w:ascii="Book Antiqua" w:hAnsi="Book Antiqua"/>
          <w:sz w:val="24"/>
          <w:szCs w:val="24"/>
        </w:rPr>
        <w:t>Northwell</w:t>
      </w:r>
      <w:proofErr w:type="spellEnd"/>
      <w:r w:rsidRPr="000E643C">
        <w:rPr>
          <w:rFonts w:ascii="Book Antiqua" w:hAnsi="Book Antiqua"/>
          <w:sz w:val="24"/>
          <w:szCs w:val="24"/>
        </w:rPr>
        <w:t xml:space="preserve"> School of</w:t>
      </w:r>
      <w:r w:rsidR="000436DF" w:rsidRPr="000E643C">
        <w:rPr>
          <w:rFonts w:ascii="Book Antiqua" w:hAnsi="Book Antiqua"/>
          <w:sz w:val="24"/>
          <w:szCs w:val="24"/>
        </w:rPr>
        <w:t xml:space="preserve"> Medicine, Manhasset, NY 11030</w:t>
      </w:r>
      <w:r w:rsidR="000436DF" w:rsidRPr="000E643C">
        <w:rPr>
          <w:rFonts w:ascii="Book Antiqua" w:hAnsi="Book Antiqua" w:hint="eastAsia"/>
          <w:sz w:val="24"/>
          <w:szCs w:val="24"/>
          <w:lang w:eastAsia="zh-CN"/>
        </w:rPr>
        <w:t>, United States</w:t>
      </w:r>
    </w:p>
    <w:p w14:paraId="337D238F" w14:textId="77777777" w:rsidR="00557FA6" w:rsidRPr="000E643C" w:rsidRDefault="00557FA6" w:rsidP="00E57DEB">
      <w:pPr>
        <w:widowControl w:val="0"/>
        <w:adjustRightInd w:val="0"/>
        <w:snapToGrid w:val="0"/>
        <w:spacing w:after="0" w:line="360" w:lineRule="auto"/>
        <w:jc w:val="both"/>
        <w:rPr>
          <w:rFonts w:ascii="Book Antiqua" w:hAnsi="Book Antiqua"/>
          <w:sz w:val="24"/>
          <w:szCs w:val="24"/>
          <w:lang w:eastAsia="zh-CN"/>
        </w:rPr>
      </w:pPr>
    </w:p>
    <w:p w14:paraId="6C4CDEF6" w14:textId="77D2A880" w:rsidR="0069331F" w:rsidRPr="000E643C" w:rsidRDefault="000436DF" w:rsidP="00E57DEB">
      <w:pPr>
        <w:widowControl w:val="0"/>
        <w:adjustRightInd w:val="0"/>
        <w:snapToGrid w:val="0"/>
        <w:spacing w:after="0" w:line="360" w:lineRule="auto"/>
        <w:jc w:val="both"/>
        <w:rPr>
          <w:rFonts w:ascii="Book Antiqua" w:hAnsi="Book Antiqua"/>
          <w:sz w:val="24"/>
          <w:szCs w:val="24"/>
        </w:rPr>
      </w:pPr>
      <w:r w:rsidRPr="0031444F">
        <w:rPr>
          <w:rFonts w:ascii="Book Antiqua" w:hAnsi="Book Antiqua"/>
          <w:b/>
          <w:sz w:val="24"/>
          <w:szCs w:val="24"/>
        </w:rPr>
        <w:t>Author contributions:</w:t>
      </w:r>
      <w:r w:rsidR="002D25D5" w:rsidRPr="000E643C">
        <w:rPr>
          <w:rFonts w:ascii="Book Antiqua" w:hAnsi="Book Antiqua"/>
          <w:sz w:val="24"/>
          <w:szCs w:val="24"/>
        </w:rPr>
        <w:t xml:space="preserve"> Sultan </w:t>
      </w:r>
      <w:r w:rsidRPr="000E643C">
        <w:rPr>
          <w:rFonts w:ascii="Book Antiqua" w:hAnsi="Book Antiqua" w:hint="eastAsia"/>
          <w:sz w:val="24"/>
          <w:szCs w:val="24"/>
          <w:lang w:eastAsia="zh-CN"/>
        </w:rPr>
        <w:t>K</w:t>
      </w:r>
      <w:r w:rsidR="002B0145" w:rsidRPr="000E643C">
        <w:rPr>
          <w:rFonts w:ascii="Book Antiqua" w:hAnsi="Book Antiqua" w:hint="eastAsia"/>
          <w:sz w:val="24"/>
          <w:szCs w:val="24"/>
          <w:lang w:eastAsia="zh-CN"/>
        </w:rPr>
        <w:t>S</w:t>
      </w:r>
      <w:r w:rsidRPr="000E643C">
        <w:rPr>
          <w:rFonts w:ascii="Book Antiqua" w:hAnsi="Book Antiqua" w:hint="eastAsia"/>
          <w:sz w:val="24"/>
          <w:szCs w:val="24"/>
          <w:lang w:eastAsia="zh-CN"/>
        </w:rPr>
        <w:t xml:space="preserve"> </w:t>
      </w:r>
      <w:r w:rsidR="002D25D5" w:rsidRPr="000E643C">
        <w:rPr>
          <w:rFonts w:ascii="Book Antiqua" w:hAnsi="Book Antiqua"/>
          <w:sz w:val="24"/>
          <w:szCs w:val="24"/>
        </w:rPr>
        <w:t>designed and composed this review</w:t>
      </w:r>
      <w:r w:rsidRPr="000E643C">
        <w:rPr>
          <w:rFonts w:ascii="Book Antiqua" w:hAnsi="Book Antiqua" w:hint="eastAsia"/>
          <w:sz w:val="24"/>
          <w:szCs w:val="24"/>
          <w:lang w:eastAsia="zh-CN"/>
        </w:rPr>
        <w:t>;</w:t>
      </w:r>
      <w:r w:rsidR="002D25D5" w:rsidRPr="000E643C">
        <w:rPr>
          <w:rFonts w:ascii="Book Antiqua" w:hAnsi="Book Antiqua"/>
          <w:sz w:val="24"/>
          <w:szCs w:val="24"/>
        </w:rPr>
        <w:t xml:space="preserve"> </w:t>
      </w:r>
      <w:r w:rsidR="00716E62" w:rsidRPr="000E643C">
        <w:rPr>
          <w:rFonts w:ascii="Book Antiqua" w:hAnsi="Book Antiqua"/>
          <w:sz w:val="24"/>
          <w:szCs w:val="24"/>
        </w:rPr>
        <w:t xml:space="preserve">Berkowitz </w:t>
      </w:r>
      <w:r w:rsidRPr="000E643C">
        <w:rPr>
          <w:rFonts w:ascii="Book Antiqua" w:hAnsi="Book Antiqua" w:hint="eastAsia"/>
          <w:sz w:val="24"/>
          <w:szCs w:val="24"/>
          <w:lang w:eastAsia="zh-CN"/>
        </w:rPr>
        <w:t xml:space="preserve">JC </w:t>
      </w:r>
      <w:r w:rsidR="00716E62" w:rsidRPr="000E643C">
        <w:rPr>
          <w:rFonts w:ascii="Book Antiqua" w:hAnsi="Book Antiqua"/>
          <w:sz w:val="24"/>
          <w:szCs w:val="24"/>
        </w:rPr>
        <w:t xml:space="preserve">and Khan </w:t>
      </w:r>
      <w:r w:rsidRPr="000E643C">
        <w:rPr>
          <w:rFonts w:ascii="Book Antiqua" w:hAnsi="Book Antiqua" w:hint="eastAsia"/>
          <w:sz w:val="24"/>
          <w:szCs w:val="24"/>
          <w:lang w:eastAsia="zh-CN"/>
        </w:rPr>
        <w:t xml:space="preserve">S </w:t>
      </w:r>
      <w:r w:rsidR="00716E62" w:rsidRPr="000E643C">
        <w:rPr>
          <w:rFonts w:ascii="Book Antiqua" w:hAnsi="Book Antiqua"/>
          <w:sz w:val="24"/>
          <w:szCs w:val="24"/>
        </w:rPr>
        <w:t>contributed to the design and composition of this review.</w:t>
      </w:r>
    </w:p>
    <w:p w14:paraId="7168CF73" w14:textId="77777777" w:rsidR="000436DF" w:rsidRPr="000E643C" w:rsidRDefault="000436DF" w:rsidP="00E57DEB">
      <w:pPr>
        <w:widowControl w:val="0"/>
        <w:adjustRightInd w:val="0"/>
        <w:snapToGrid w:val="0"/>
        <w:spacing w:after="0" w:line="360" w:lineRule="auto"/>
        <w:jc w:val="both"/>
        <w:rPr>
          <w:rFonts w:ascii="Book Antiqua" w:hAnsi="Book Antiqua"/>
          <w:sz w:val="24"/>
          <w:szCs w:val="24"/>
          <w:lang w:eastAsia="zh-CN"/>
        </w:rPr>
      </w:pPr>
    </w:p>
    <w:p w14:paraId="49DBD16A" w14:textId="62866C44" w:rsidR="0069331F" w:rsidRPr="000E643C" w:rsidRDefault="001936F6"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b/>
          <w:color w:val="000000"/>
          <w:sz w:val="24"/>
          <w:szCs w:val="24"/>
        </w:rPr>
        <w:t>Conflict-of-interest statement</w:t>
      </w:r>
      <w:r w:rsidRPr="000E643C">
        <w:rPr>
          <w:rFonts w:ascii="Book Antiqua" w:hAnsi="Book Antiqua"/>
          <w:b/>
          <w:sz w:val="24"/>
          <w:szCs w:val="24"/>
        </w:rPr>
        <w:t>:</w:t>
      </w:r>
      <w:r w:rsidRPr="000E643C">
        <w:rPr>
          <w:rFonts w:ascii="Book Antiqua" w:eastAsia="宋体" w:hAnsi="Book Antiqua" w:cs="TimesNewRomanPS-BoldItalicMT"/>
          <w:b/>
          <w:bCs/>
          <w:iCs/>
          <w:color w:val="000000"/>
          <w:sz w:val="24"/>
          <w:szCs w:val="24"/>
          <w:lang w:eastAsia="zh-CN"/>
        </w:rPr>
        <w:t xml:space="preserve"> </w:t>
      </w:r>
      <w:r w:rsidR="005B4A7E" w:rsidRPr="000E643C">
        <w:rPr>
          <w:rFonts w:ascii="Book Antiqua" w:hAnsi="Book Antiqua"/>
          <w:sz w:val="24"/>
          <w:szCs w:val="24"/>
        </w:rPr>
        <w:t xml:space="preserve"> The authors have no conflicts of interest to report.</w:t>
      </w:r>
    </w:p>
    <w:p w14:paraId="566C1465" w14:textId="77777777" w:rsidR="001936F6" w:rsidRPr="000E643C" w:rsidRDefault="001936F6" w:rsidP="00E57DEB">
      <w:pPr>
        <w:widowControl w:val="0"/>
        <w:adjustRightInd w:val="0"/>
        <w:snapToGrid w:val="0"/>
        <w:spacing w:after="0" w:line="360" w:lineRule="auto"/>
        <w:jc w:val="both"/>
        <w:rPr>
          <w:rFonts w:ascii="Book Antiqua" w:hAnsi="Book Antiqua"/>
          <w:sz w:val="24"/>
          <w:szCs w:val="24"/>
          <w:lang w:eastAsia="zh-CN"/>
        </w:rPr>
      </w:pPr>
    </w:p>
    <w:p w14:paraId="12B4AB42" w14:textId="77777777" w:rsidR="001936F6" w:rsidRPr="000E643C" w:rsidRDefault="001936F6" w:rsidP="001936F6">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E643C">
        <w:rPr>
          <w:rFonts w:ascii="Book Antiqua" w:hAnsi="Book Antiqua"/>
          <w:b/>
          <w:sz w:val="24"/>
          <w:szCs w:val="24"/>
        </w:rPr>
        <w:t xml:space="preserve">Open-Access: </w:t>
      </w:r>
      <w:r w:rsidRPr="000E643C">
        <w:rPr>
          <w:rFonts w:ascii="Book Antiqua" w:hAnsi="Book Antiqua"/>
          <w:sz w:val="24"/>
          <w:szCs w:val="24"/>
        </w:rPr>
        <w:t>This article is an open-access article which was selected by</w:t>
      </w:r>
      <w:r w:rsidRPr="000E643C">
        <w:rPr>
          <w:rFonts w:ascii="Book Antiqua" w:eastAsia="宋体" w:hAnsi="Book Antiqua" w:hint="eastAsia"/>
          <w:sz w:val="24"/>
          <w:szCs w:val="24"/>
          <w:lang w:eastAsia="zh-CN"/>
        </w:rPr>
        <w:t xml:space="preserve"> </w:t>
      </w:r>
      <w:r w:rsidRPr="000E643C">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381ABCAC" w14:textId="77777777" w:rsidR="001936F6" w:rsidRPr="000E643C" w:rsidRDefault="001936F6" w:rsidP="001936F6">
      <w:pPr>
        <w:pStyle w:val="CommentText"/>
        <w:spacing w:after="0" w:line="360" w:lineRule="auto"/>
        <w:jc w:val="both"/>
        <w:rPr>
          <w:rFonts w:ascii="Book Antiqua" w:eastAsia="宋体" w:hAnsi="Book Antiqua" w:cs="Times New Roman"/>
          <w:bCs/>
          <w:color w:val="000000"/>
          <w:sz w:val="24"/>
          <w:szCs w:val="24"/>
          <w:lang w:eastAsia="zh-CN"/>
        </w:rPr>
      </w:pPr>
    </w:p>
    <w:p w14:paraId="30976CB2" w14:textId="5C13BFA1" w:rsidR="001936F6" w:rsidRPr="000E643C" w:rsidRDefault="001936F6" w:rsidP="001936F6">
      <w:pPr>
        <w:pStyle w:val="CommentText"/>
        <w:spacing w:after="0" w:line="360" w:lineRule="auto"/>
        <w:jc w:val="both"/>
        <w:rPr>
          <w:rFonts w:ascii="Book Antiqua" w:eastAsia="宋体" w:hAnsi="Book Antiqua" w:cs="Times New Roman"/>
          <w:bCs/>
          <w:color w:val="000000"/>
          <w:sz w:val="24"/>
          <w:szCs w:val="24"/>
          <w:lang w:eastAsia="zh-CN"/>
        </w:rPr>
      </w:pPr>
      <w:r w:rsidRPr="000E643C">
        <w:rPr>
          <w:rFonts w:ascii="Book Antiqua" w:eastAsia="宋体" w:hAnsi="Book Antiqua" w:cs="Times New Roman"/>
          <w:bCs/>
          <w:color w:val="000000"/>
          <w:sz w:val="24"/>
          <w:szCs w:val="24"/>
          <w:lang w:eastAsia="zh-CN"/>
        </w:rPr>
        <w:t>Manuscript source: Invited manuscript</w:t>
      </w:r>
    </w:p>
    <w:p w14:paraId="7CAB6664" w14:textId="77777777" w:rsidR="001936F6" w:rsidRPr="000E643C" w:rsidRDefault="001936F6" w:rsidP="001936F6">
      <w:pPr>
        <w:pStyle w:val="CommentText"/>
        <w:spacing w:after="0" w:line="360" w:lineRule="auto"/>
        <w:jc w:val="both"/>
        <w:rPr>
          <w:rFonts w:ascii="Book Antiqua" w:eastAsia="宋体" w:hAnsi="Book Antiqua" w:cs="Times New Roman"/>
          <w:bCs/>
          <w:color w:val="000000"/>
          <w:sz w:val="24"/>
          <w:szCs w:val="24"/>
          <w:lang w:eastAsia="zh-CN"/>
        </w:rPr>
      </w:pPr>
    </w:p>
    <w:p w14:paraId="18FA9A35" w14:textId="67974157" w:rsidR="00685D8F" w:rsidRPr="000E643C" w:rsidRDefault="001936F6" w:rsidP="00685D8F">
      <w:pPr>
        <w:widowControl w:val="0"/>
        <w:adjustRightInd w:val="0"/>
        <w:snapToGrid w:val="0"/>
        <w:spacing w:after="0" w:line="360" w:lineRule="auto"/>
        <w:jc w:val="both"/>
        <w:rPr>
          <w:rFonts w:ascii="Book Antiqua" w:hAnsi="Book Antiqua"/>
          <w:sz w:val="24"/>
          <w:szCs w:val="24"/>
          <w:lang w:eastAsia="zh-CN"/>
        </w:rPr>
      </w:pPr>
      <w:r w:rsidRPr="000E643C">
        <w:rPr>
          <w:rFonts w:ascii="Book Antiqua" w:hAnsi="Book Antiqua"/>
          <w:b/>
          <w:sz w:val="24"/>
          <w:szCs w:val="24"/>
        </w:rPr>
        <w:t>Correspondence to:</w:t>
      </w:r>
      <w:r w:rsidR="00685D8F" w:rsidRPr="000E643C">
        <w:rPr>
          <w:rFonts w:ascii="Book Antiqua" w:hAnsi="Book Antiqua" w:hint="eastAsia"/>
          <w:sz w:val="24"/>
          <w:szCs w:val="24"/>
          <w:lang w:eastAsia="zh-CN"/>
        </w:rPr>
        <w:t xml:space="preserve"> </w:t>
      </w:r>
      <w:r w:rsidR="009E7463" w:rsidRPr="000E643C">
        <w:rPr>
          <w:rFonts w:ascii="Book Antiqua" w:hAnsi="Book Antiqua"/>
          <w:b/>
          <w:sz w:val="24"/>
          <w:szCs w:val="24"/>
        </w:rPr>
        <w:t xml:space="preserve">Keith </w:t>
      </w:r>
      <w:r w:rsidR="002B0145" w:rsidRPr="000E643C">
        <w:rPr>
          <w:rFonts w:ascii="Book Antiqua" w:hAnsi="Book Antiqua" w:hint="eastAsia"/>
          <w:b/>
          <w:sz w:val="24"/>
          <w:szCs w:val="24"/>
          <w:lang w:eastAsia="zh-CN"/>
        </w:rPr>
        <w:t xml:space="preserve">S </w:t>
      </w:r>
      <w:r w:rsidR="009E7463" w:rsidRPr="000E643C">
        <w:rPr>
          <w:rFonts w:ascii="Book Antiqua" w:hAnsi="Book Antiqua"/>
          <w:b/>
          <w:sz w:val="24"/>
          <w:szCs w:val="24"/>
        </w:rPr>
        <w:t>Sultan, MD, Assistant Professor</w:t>
      </w:r>
      <w:r w:rsidR="009E7463" w:rsidRPr="000E643C">
        <w:rPr>
          <w:rFonts w:ascii="Book Antiqua" w:hAnsi="Book Antiqua"/>
          <w:sz w:val="24"/>
          <w:szCs w:val="24"/>
        </w:rPr>
        <w:t xml:space="preserve"> of Medicine, </w:t>
      </w:r>
      <w:r w:rsidR="00685D8F" w:rsidRPr="000E643C">
        <w:rPr>
          <w:rFonts w:ascii="Book Antiqua" w:hAnsi="Book Antiqua"/>
          <w:sz w:val="24"/>
          <w:szCs w:val="24"/>
        </w:rPr>
        <w:t xml:space="preserve">Department of Medicine, Division of Gastroenterology, Hofstra </w:t>
      </w:r>
      <w:proofErr w:type="spellStart"/>
      <w:r w:rsidR="00685D8F" w:rsidRPr="000E643C">
        <w:rPr>
          <w:rFonts w:ascii="Book Antiqua" w:hAnsi="Book Antiqua"/>
          <w:sz w:val="24"/>
          <w:szCs w:val="24"/>
        </w:rPr>
        <w:t>Northwell</w:t>
      </w:r>
      <w:proofErr w:type="spellEnd"/>
      <w:r w:rsidR="00685D8F" w:rsidRPr="000E643C">
        <w:rPr>
          <w:rFonts w:ascii="Book Antiqua" w:hAnsi="Book Antiqua"/>
          <w:sz w:val="24"/>
          <w:szCs w:val="24"/>
        </w:rPr>
        <w:t xml:space="preserve"> School of Medicine, 300 Community Dr.,</w:t>
      </w:r>
      <w:r w:rsidR="00685D8F" w:rsidRPr="000E643C">
        <w:rPr>
          <w:rFonts w:ascii="Book Antiqua" w:hAnsi="Book Antiqua" w:hint="eastAsia"/>
          <w:sz w:val="24"/>
          <w:szCs w:val="24"/>
          <w:lang w:eastAsia="zh-CN"/>
        </w:rPr>
        <w:t xml:space="preserve"> </w:t>
      </w:r>
      <w:r w:rsidR="00685D8F" w:rsidRPr="000E643C">
        <w:rPr>
          <w:rFonts w:ascii="Book Antiqua" w:hAnsi="Book Antiqua"/>
          <w:sz w:val="24"/>
          <w:szCs w:val="24"/>
        </w:rPr>
        <w:t>Manhasset, NY 11030</w:t>
      </w:r>
      <w:r w:rsidR="00685D8F" w:rsidRPr="000E643C">
        <w:rPr>
          <w:rFonts w:ascii="Book Antiqua" w:hAnsi="Book Antiqua" w:hint="eastAsia"/>
          <w:sz w:val="24"/>
          <w:szCs w:val="24"/>
          <w:lang w:eastAsia="zh-CN"/>
        </w:rPr>
        <w:t xml:space="preserve">, United States. </w:t>
      </w:r>
      <w:hyperlink r:id="rId9" w:history="1">
        <w:r w:rsidR="00685D8F" w:rsidRPr="000E643C">
          <w:rPr>
            <w:rStyle w:val="Hyperlink"/>
            <w:rFonts w:ascii="Book Antiqua" w:hAnsi="Book Antiqua"/>
            <w:color w:val="auto"/>
            <w:sz w:val="24"/>
            <w:szCs w:val="24"/>
            <w:u w:val="none"/>
          </w:rPr>
          <w:t>ksultan@northwell.edu</w:t>
        </w:r>
      </w:hyperlink>
    </w:p>
    <w:p w14:paraId="113EE33E" w14:textId="1715F866" w:rsidR="00685D8F" w:rsidRPr="000E643C" w:rsidRDefault="00ED5F0C" w:rsidP="00E57DEB">
      <w:pPr>
        <w:widowControl w:val="0"/>
        <w:adjustRightInd w:val="0"/>
        <w:snapToGrid w:val="0"/>
        <w:spacing w:after="0" w:line="360" w:lineRule="auto"/>
        <w:jc w:val="both"/>
        <w:rPr>
          <w:rFonts w:ascii="Book Antiqua" w:hAnsi="Book Antiqua"/>
          <w:sz w:val="24"/>
          <w:szCs w:val="24"/>
          <w:lang w:eastAsia="zh-CN"/>
        </w:rPr>
      </w:pPr>
      <w:r w:rsidRPr="000E643C">
        <w:rPr>
          <w:rFonts w:ascii="Book Antiqua" w:hAnsi="Book Antiqua"/>
          <w:b/>
          <w:sz w:val="24"/>
          <w:szCs w:val="24"/>
        </w:rPr>
        <w:t xml:space="preserve">Telephone: </w:t>
      </w:r>
      <w:r w:rsidR="00685D8F" w:rsidRPr="000E643C">
        <w:rPr>
          <w:rFonts w:ascii="Book Antiqua" w:hAnsi="Book Antiqua"/>
          <w:sz w:val="24"/>
          <w:szCs w:val="24"/>
        </w:rPr>
        <w:t>+1-516-387</w:t>
      </w:r>
      <w:r w:rsidR="00965A7A" w:rsidRPr="000E643C">
        <w:rPr>
          <w:rFonts w:ascii="Book Antiqua" w:hAnsi="Book Antiqua"/>
          <w:sz w:val="24"/>
          <w:szCs w:val="24"/>
        </w:rPr>
        <w:t>3990</w:t>
      </w:r>
    </w:p>
    <w:p w14:paraId="6E25AF33" w14:textId="0F4AB3F4" w:rsidR="0069331F" w:rsidRPr="000E643C" w:rsidRDefault="00ED5F0C" w:rsidP="00E57DEB">
      <w:pPr>
        <w:widowControl w:val="0"/>
        <w:adjustRightInd w:val="0"/>
        <w:snapToGrid w:val="0"/>
        <w:spacing w:after="0" w:line="360" w:lineRule="auto"/>
        <w:jc w:val="both"/>
        <w:rPr>
          <w:rFonts w:ascii="Book Antiqua" w:hAnsi="Book Antiqua"/>
          <w:sz w:val="24"/>
          <w:szCs w:val="24"/>
          <w:lang w:eastAsia="zh-CN"/>
        </w:rPr>
      </w:pPr>
      <w:r w:rsidRPr="000E643C">
        <w:rPr>
          <w:rFonts w:ascii="Book Antiqua" w:hAnsi="Book Antiqua"/>
          <w:b/>
          <w:sz w:val="24"/>
          <w:szCs w:val="24"/>
        </w:rPr>
        <w:t>Fax:</w:t>
      </w:r>
      <w:r w:rsidR="00685D8F" w:rsidRPr="000E643C">
        <w:rPr>
          <w:rFonts w:ascii="Book Antiqua" w:hAnsi="Book Antiqua"/>
          <w:sz w:val="24"/>
          <w:szCs w:val="24"/>
        </w:rPr>
        <w:t xml:space="preserve"> +1-</w:t>
      </w:r>
      <w:r w:rsidRPr="000E643C">
        <w:rPr>
          <w:rFonts w:ascii="Book Antiqua" w:hAnsi="Book Antiqua"/>
          <w:sz w:val="24"/>
          <w:szCs w:val="24"/>
        </w:rPr>
        <w:t>516</w:t>
      </w:r>
      <w:r w:rsidR="00685D8F" w:rsidRPr="000E643C">
        <w:rPr>
          <w:rFonts w:ascii="Book Antiqua" w:hAnsi="Book Antiqua" w:hint="eastAsia"/>
          <w:sz w:val="24"/>
          <w:szCs w:val="24"/>
          <w:lang w:eastAsia="zh-CN"/>
        </w:rPr>
        <w:t>-</w:t>
      </w:r>
      <w:r w:rsidR="00685D8F" w:rsidRPr="000E643C">
        <w:rPr>
          <w:rFonts w:ascii="Book Antiqua" w:hAnsi="Book Antiqua"/>
          <w:sz w:val="24"/>
          <w:szCs w:val="24"/>
        </w:rPr>
        <w:t>3873930</w:t>
      </w:r>
    </w:p>
    <w:p w14:paraId="75E78E7A"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2063837E" w14:textId="7334BD74" w:rsidR="00685D8F" w:rsidRPr="000E643C" w:rsidRDefault="00685D8F" w:rsidP="00685D8F">
      <w:pPr>
        <w:spacing w:after="0" w:line="360" w:lineRule="auto"/>
        <w:jc w:val="both"/>
        <w:rPr>
          <w:rFonts w:ascii="Book Antiqua" w:hAnsi="Book Antiqua"/>
          <w:sz w:val="24"/>
          <w:szCs w:val="24"/>
        </w:rPr>
      </w:pPr>
      <w:r w:rsidRPr="000E643C">
        <w:rPr>
          <w:rFonts w:ascii="Book Antiqua" w:hAnsi="Book Antiqua"/>
          <w:b/>
          <w:sz w:val="24"/>
          <w:szCs w:val="24"/>
        </w:rPr>
        <w:t>Received:</w:t>
      </w:r>
      <w:r w:rsidRPr="000E643C">
        <w:rPr>
          <w:rFonts w:ascii="Book Antiqua" w:eastAsia="宋体" w:hAnsi="Book Antiqua"/>
          <w:sz w:val="24"/>
          <w:szCs w:val="24"/>
          <w:lang w:eastAsia="zh-CN"/>
        </w:rPr>
        <w:t xml:space="preserve"> </w:t>
      </w:r>
      <w:r w:rsidRPr="000E643C">
        <w:rPr>
          <w:rFonts w:ascii="Book Antiqua" w:eastAsia="宋体" w:hAnsi="Book Antiqua" w:hint="eastAsia"/>
          <w:sz w:val="24"/>
          <w:szCs w:val="24"/>
          <w:lang w:eastAsia="zh-CN"/>
        </w:rPr>
        <w:t>March 7, 2017</w:t>
      </w:r>
    </w:p>
    <w:p w14:paraId="24B829B4" w14:textId="4954FCF5" w:rsidR="00685D8F" w:rsidRPr="000E643C" w:rsidRDefault="00685D8F" w:rsidP="00685D8F">
      <w:pPr>
        <w:spacing w:after="0" w:line="360" w:lineRule="auto"/>
        <w:jc w:val="both"/>
        <w:rPr>
          <w:rFonts w:ascii="Book Antiqua" w:eastAsia="宋体" w:hAnsi="Book Antiqua"/>
          <w:sz w:val="24"/>
          <w:szCs w:val="24"/>
          <w:lang w:eastAsia="zh-CN"/>
        </w:rPr>
      </w:pPr>
      <w:r w:rsidRPr="000E643C">
        <w:rPr>
          <w:rFonts w:ascii="Book Antiqua" w:hAnsi="Book Antiqua"/>
          <w:b/>
          <w:sz w:val="24"/>
          <w:szCs w:val="24"/>
        </w:rPr>
        <w:t>Peer-review started:</w:t>
      </w:r>
      <w:r w:rsidRPr="000E643C">
        <w:rPr>
          <w:rFonts w:ascii="Book Antiqua" w:eastAsia="宋体" w:hAnsi="Book Antiqua"/>
          <w:b/>
          <w:sz w:val="24"/>
          <w:szCs w:val="24"/>
          <w:lang w:eastAsia="zh-CN"/>
        </w:rPr>
        <w:t xml:space="preserve"> </w:t>
      </w:r>
      <w:r w:rsidRPr="000E643C">
        <w:rPr>
          <w:rFonts w:ascii="Book Antiqua" w:eastAsia="宋体" w:hAnsi="Book Antiqua" w:hint="eastAsia"/>
          <w:sz w:val="24"/>
          <w:szCs w:val="24"/>
          <w:lang w:eastAsia="zh-CN"/>
        </w:rPr>
        <w:t>March 10, 2017</w:t>
      </w:r>
    </w:p>
    <w:p w14:paraId="4824A952" w14:textId="6BE6C916" w:rsidR="00685D8F" w:rsidRPr="000E643C" w:rsidRDefault="00685D8F" w:rsidP="00685D8F">
      <w:pPr>
        <w:spacing w:after="0" w:line="360" w:lineRule="auto"/>
        <w:jc w:val="both"/>
        <w:rPr>
          <w:rFonts w:ascii="Book Antiqua" w:eastAsia="宋体" w:hAnsi="Book Antiqua"/>
          <w:sz w:val="24"/>
          <w:szCs w:val="24"/>
          <w:lang w:eastAsia="zh-CN"/>
        </w:rPr>
      </w:pPr>
      <w:r w:rsidRPr="000E643C">
        <w:rPr>
          <w:rFonts w:ascii="Book Antiqua" w:hAnsi="Book Antiqua"/>
          <w:b/>
          <w:sz w:val="24"/>
          <w:szCs w:val="24"/>
        </w:rPr>
        <w:t>First decision:</w:t>
      </w:r>
      <w:r w:rsidRPr="000E643C">
        <w:rPr>
          <w:rFonts w:ascii="Book Antiqua" w:eastAsia="宋体" w:hAnsi="Book Antiqua"/>
          <w:b/>
          <w:sz w:val="24"/>
          <w:szCs w:val="24"/>
          <w:lang w:eastAsia="zh-CN"/>
        </w:rPr>
        <w:t xml:space="preserve"> </w:t>
      </w:r>
      <w:r w:rsidRPr="000E643C">
        <w:rPr>
          <w:rFonts w:ascii="Book Antiqua" w:eastAsia="宋体" w:hAnsi="Book Antiqua" w:hint="eastAsia"/>
          <w:sz w:val="24"/>
          <w:szCs w:val="24"/>
          <w:lang w:eastAsia="zh-CN"/>
        </w:rPr>
        <w:t>March 29, 2017</w:t>
      </w:r>
    </w:p>
    <w:p w14:paraId="41807AD7" w14:textId="6D147A95" w:rsidR="00685D8F" w:rsidRPr="000E643C" w:rsidRDefault="00685D8F" w:rsidP="00685D8F">
      <w:pPr>
        <w:spacing w:after="0" w:line="360" w:lineRule="auto"/>
        <w:jc w:val="both"/>
        <w:rPr>
          <w:rFonts w:ascii="Book Antiqua" w:eastAsia="宋体" w:hAnsi="Book Antiqua"/>
          <w:sz w:val="24"/>
          <w:szCs w:val="24"/>
          <w:lang w:eastAsia="zh-CN"/>
        </w:rPr>
      </w:pPr>
      <w:r w:rsidRPr="000E643C">
        <w:rPr>
          <w:rFonts w:ascii="Book Antiqua" w:hAnsi="Book Antiqua"/>
          <w:b/>
          <w:sz w:val="24"/>
          <w:szCs w:val="24"/>
        </w:rPr>
        <w:t xml:space="preserve">Revised: </w:t>
      </w:r>
      <w:r w:rsidRPr="000E643C">
        <w:rPr>
          <w:rFonts w:ascii="Book Antiqua" w:hAnsi="Book Antiqua" w:hint="eastAsia"/>
          <w:sz w:val="24"/>
          <w:szCs w:val="24"/>
          <w:lang w:eastAsia="zh-CN"/>
        </w:rPr>
        <w:t>April 7, 2017</w:t>
      </w:r>
    </w:p>
    <w:p w14:paraId="78F571F4" w14:textId="10B119AB" w:rsidR="00685D8F" w:rsidRPr="0058512D" w:rsidRDefault="00685D8F" w:rsidP="0058512D">
      <w:pPr>
        <w:rPr>
          <w:rFonts w:ascii="Book Antiqua" w:hAnsi="Book Antiqua"/>
          <w:iCs/>
          <w:sz w:val="24"/>
        </w:rPr>
      </w:pPr>
      <w:r w:rsidRPr="000E643C">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0E643C">
        <w:rPr>
          <w:rFonts w:ascii="Book Antiqua" w:hAnsi="Book Antiqua"/>
          <w:color w:val="000000"/>
          <w:sz w:val="24"/>
          <w:szCs w:val="24"/>
        </w:rPr>
        <w:t xml:space="preserve"> </w:t>
      </w:r>
      <w:bookmarkEnd w:id="4"/>
      <w:bookmarkEnd w:id="5"/>
      <w:bookmarkEnd w:id="6"/>
      <w:bookmarkEnd w:id="7"/>
      <w:bookmarkEnd w:id="8"/>
      <w:bookmarkEnd w:id="9"/>
      <w:bookmarkEnd w:id="10"/>
      <w:r w:rsidR="0058512D">
        <w:rPr>
          <w:rStyle w:val="Emphasis"/>
        </w:rPr>
        <w:t>April 23</w:t>
      </w:r>
      <w:r w:rsidR="0058512D">
        <w:rPr>
          <w:rStyle w:val="Emphasis"/>
          <w:rFonts w:cs="宋体"/>
        </w:rPr>
        <w:t>,</w:t>
      </w:r>
      <w:r w:rsidR="0058512D">
        <w:rPr>
          <w:rStyle w:val="Emphasis"/>
        </w:rPr>
        <w:t xml:space="preserve"> 2017</w:t>
      </w:r>
    </w:p>
    <w:p w14:paraId="7B219466" w14:textId="77777777" w:rsidR="00685D8F" w:rsidRPr="000E643C" w:rsidRDefault="00685D8F" w:rsidP="00685D8F">
      <w:pPr>
        <w:spacing w:after="0" w:line="360" w:lineRule="auto"/>
        <w:jc w:val="both"/>
        <w:rPr>
          <w:rFonts w:ascii="Book Antiqua" w:hAnsi="Book Antiqua"/>
          <w:b/>
          <w:sz w:val="24"/>
          <w:szCs w:val="24"/>
        </w:rPr>
      </w:pPr>
      <w:r w:rsidRPr="000E643C">
        <w:rPr>
          <w:rFonts w:ascii="Book Antiqua" w:hAnsi="Book Antiqua"/>
          <w:b/>
          <w:sz w:val="24"/>
          <w:szCs w:val="24"/>
        </w:rPr>
        <w:t>Article in press:</w:t>
      </w:r>
    </w:p>
    <w:p w14:paraId="52470983" w14:textId="77777777" w:rsidR="00685D8F" w:rsidRPr="000E643C" w:rsidRDefault="00685D8F" w:rsidP="00685D8F">
      <w:pPr>
        <w:spacing w:after="0" w:line="360" w:lineRule="auto"/>
        <w:jc w:val="both"/>
        <w:rPr>
          <w:rFonts w:ascii="Book Antiqua" w:hAnsi="Book Antiqua"/>
          <w:b/>
          <w:sz w:val="24"/>
          <w:szCs w:val="24"/>
        </w:rPr>
      </w:pPr>
      <w:r w:rsidRPr="000E643C">
        <w:rPr>
          <w:rFonts w:ascii="Book Antiqua" w:hAnsi="Book Antiqua"/>
          <w:b/>
          <w:sz w:val="24"/>
          <w:szCs w:val="24"/>
        </w:rPr>
        <w:t xml:space="preserve">Published online: </w:t>
      </w:r>
    </w:p>
    <w:p w14:paraId="4F51DE13" w14:textId="77777777" w:rsidR="00685D8F" w:rsidRPr="000E643C" w:rsidRDefault="00685D8F" w:rsidP="00685D8F">
      <w:pPr>
        <w:widowControl w:val="0"/>
        <w:adjustRightInd w:val="0"/>
        <w:snapToGrid w:val="0"/>
        <w:spacing w:after="0" w:line="360" w:lineRule="auto"/>
        <w:jc w:val="both"/>
        <w:rPr>
          <w:rFonts w:ascii="Book Antiqua" w:hAnsi="Book Antiqua"/>
          <w:sz w:val="24"/>
          <w:szCs w:val="24"/>
          <w:lang w:eastAsia="zh-CN"/>
        </w:rPr>
      </w:pPr>
    </w:p>
    <w:p w14:paraId="12C14D35"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1CBB969D"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638DCCE4"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51FA2816"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04E0A4FE"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39266550"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11097B04"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33C110D6"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10AFA70E"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3DA8783D"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03197FD3" w14:textId="77777777" w:rsidR="00685D8F" w:rsidRPr="000E643C" w:rsidRDefault="00685D8F" w:rsidP="00E57DEB">
      <w:pPr>
        <w:widowControl w:val="0"/>
        <w:adjustRightInd w:val="0"/>
        <w:snapToGrid w:val="0"/>
        <w:spacing w:after="0" w:line="360" w:lineRule="auto"/>
        <w:jc w:val="both"/>
        <w:rPr>
          <w:rFonts w:ascii="Book Antiqua" w:hAnsi="Book Antiqua"/>
          <w:sz w:val="24"/>
          <w:szCs w:val="24"/>
          <w:lang w:eastAsia="zh-CN"/>
        </w:rPr>
      </w:pPr>
    </w:p>
    <w:p w14:paraId="352E5700" w14:textId="77777777" w:rsidR="003E6DE8" w:rsidRPr="000E643C" w:rsidRDefault="003E6DE8" w:rsidP="00E57DEB">
      <w:pPr>
        <w:widowControl w:val="0"/>
        <w:adjustRightInd w:val="0"/>
        <w:snapToGrid w:val="0"/>
        <w:spacing w:after="0" w:line="360" w:lineRule="auto"/>
        <w:jc w:val="both"/>
        <w:rPr>
          <w:rFonts w:ascii="Book Antiqua" w:hAnsi="Book Antiqua"/>
          <w:sz w:val="24"/>
          <w:szCs w:val="24"/>
          <w:lang w:eastAsia="zh-CN"/>
        </w:rPr>
      </w:pPr>
    </w:p>
    <w:p w14:paraId="4DCC7297" w14:textId="77777777" w:rsidR="003E6DE8" w:rsidRPr="000E643C" w:rsidRDefault="003E6DE8" w:rsidP="00E57DEB">
      <w:pPr>
        <w:widowControl w:val="0"/>
        <w:adjustRightInd w:val="0"/>
        <w:snapToGrid w:val="0"/>
        <w:spacing w:after="0" w:line="360" w:lineRule="auto"/>
        <w:jc w:val="both"/>
        <w:rPr>
          <w:rFonts w:ascii="Book Antiqua" w:hAnsi="Book Antiqua"/>
          <w:sz w:val="24"/>
          <w:szCs w:val="24"/>
          <w:lang w:eastAsia="zh-CN"/>
        </w:rPr>
      </w:pPr>
    </w:p>
    <w:p w14:paraId="3754F1A8" w14:textId="7EFD9C9B" w:rsidR="003E6DE8" w:rsidRPr="000E643C" w:rsidRDefault="003E6DE8" w:rsidP="00E57DEB">
      <w:pPr>
        <w:widowControl w:val="0"/>
        <w:adjustRightInd w:val="0"/>
        <w:snapToGrid w:val="0"/>
        <w:spacing w:after="0" w:line="360" w:lineRule="auto"/>
        <w:jc w:val="both"/>
        <w:rPr>
          <w:rFonts w:ascii="Book Antiqua" w:hAnsi="Book Antiqua"/>
          <w:b/>
          <w:sz w:val="24"/>
          <w:szCs w:val="24"/>
          <w:lang w:eastAsia="zh-CN"/>
        </w:rPr>
      </w:pPr>
      <w:r w:rsidRPr="000E643C">
        <w:rPr>
          <w:rFonts w:ascii="Book Antiqua" w:hAnsi="Book Antiqua"/>
          <w:b/>
          <w:sz w:val="24"/>
          <w:szCs w:val="24"/>
        </w:rPr>
        <w:t>Abstract</w:t>
      </w:r>
    </w:p>
    <w:p w14:paraId="36BF309D" w14:textId="1E971F7B" w:rsidR="0069331F" w:rsidRPr="000E643C" w:rsidRDefault="00C949B6"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lastRenderedPageBreak/>
        <w:t>Biologic therapies</w:t>
      </w:r>
      <w:r w:rsidR="00FC11C0" w:rsidRPr="000E643C">
        <w:rPr>
          <w:rFonts w:ascii="Book Antiqua" w:hAnsi="Book Antiqua"/>
          <w:sz w:val="24"/>
          <w:szCs w:val="24"/>
        </w:rPr>
        <w:t xml:space="preserve"> such as infliximab</w:t>
      </w:r>
      <w:r w:rsidRPr="000E643C">
        <w:rPr>
          <w:rFonts w:ascii="Book Antiqua" w:hAnsi="Book Antiqua"/>
          <w:sz w:val="24"/>
          <w:szCs w:val="24"/>
        </w:rPr>
        <w:t xml:space="preserve"> and</w:t>
      </w:r>
      <w:r w:rsidR="00FC11C0" w:rsidRPr="000E643C">
        <w:rPr>
          <w:rFonts w:ascii="Book Antiqua" w:hAnsi="Book Antiqua"/>
          <w:sz w:val="24"/>
          <w:szCs w:val="24"/>
        </w:rPr>
        <w:t xml:space="preserve"> </w:t>
      </w:r>
      <w:r w:rsidR="00003663" w:rsidRPr="000E643C">
        <w:rPr>
          <w:rFonts w:ascii="Book Antiqua" w:hAnsi="Book Antiqua"/>
          <w:sz w:val="24"/>
          <w:szCs w:val="24"/>
        </w:rPr>
        <w:t xml:space="preserve">adalimumab and </w:t>
      </w:r>
      <w:r w:rsidR="00123B38" w:rsidRPr="000E643C">
        <w:rPr>
          <w:rFonts w:ascii="Book Antiqua" w:hAnsi="Book Antiqua"/>
          <w:sz w:val="24"/>
          <w:szCs w:val="24"/>
        </w:rPr>
        <w:t>have become mainstays</w:t>
      </w:r>
      <w:r w:rsidR="00FC11C0" w:rsidRPr="000E643C">
        <w:rPr>
          <w:rFonts w:ascii="Book Antiqua" w:hAnsi="Book Antiqua"/>
          <w:sz w:val="24"/>
          <w:szCs w:val="24"/>
        </w:rPr>
        <w:t xml:space="preserve"> of treatment for inflammatory bowel disease. Early studies suggested that combination therapy (CT) with infliximab and an </w:t>
      </w:r>
      <w:proofErr w:type="spellStart"/>
      <w:r w:rsidR="00FC11C0" w:rsidRPr="000E643C">
        <w:rPr>
          <w:rFonts w:ascii="Book Antiqua" w:hAnsi="Book Antiqua"/>
          <w:sz w:val="24"/>
          <w:szCs w:val="24"/>
        </w:rPr>
        <w:t>immunomodulator</w:t>
      </w:r>
      <w:proofErr w:type="spellEnd"/>
      <w:r w:rsidR="00FC11C0" w:rsidRPr="000E643C">
        <w:rPr>
          <w:rFonts w:ascii="Book Antiqua" w:hAnsi="Book Antiqua"/>
          <w:sz w:val="24"/>
          <w:szCs w:val="24"/>
        </w:rPr>
        <w:t xml:space="preserve"> drug such as azathioprine may h</w:t>
      </w:r>
      <w:r w:rsidR="00DA4488" w:rsidRPr="000E643C">
        <w:rPr>
          <w:rFonts w:ascii="Book Antiqua" w:hAnsi="Book Antiqua"/>
          <w:sz w:val="24"/>
          <w:szCs w:val="24"/>
        </w:rPr>
        <w:t>elp optimize</w:t>
      </w:r>
      <w:r w:rsidR="00FC11C0" w:rsidRPr="000E643C">
        <w:rPr>
          <w:rFonts w:ascii="Book Antiqua" w:hAnsi="Book Antiqua"/>
          <w:sz w:val="24"/>
          <w:szCs w:val="24"/>
        </w:rPr>
        <w:t xml:space="preserve"> biologic</w:t>
      </w:r>
      <w:r w:rsidR="00DA4488" w:rsidRPr="000E643C">
        <w:rPr>
          <w:rFonts w:ascii="Book Antiqua" w:hAnsi="Book Antiqua"/>
          <w:sz w:val="24"/>
          <w:szCs w:val="24"/>
        </w:rPr>
        <w:t xml:space="preserve"> pharmacokinetics</w:t>
      </w:r>
      <w:r w:rsidRPr="000E643C">
        <w:rPr>
          <w:rFonts w:ascii="Book Antiqua" w:hAnsi="Book Antiqua"/>
          <w:sz w:val="24"/>
          <w:szCs w:val="24"/>
        </w:rPr>
        <w:t>,</w:t>
      </w:r>
      <w:r w:rsidR="00DA4488" w:rsidRPr="000E643C">
        <w:rPr>
          <w:rFonts w:ascii="Book Antiqua" w:hAnsi="Book Antiqua"/>
          <w:sz w:val="24"/>
          <w:szCs w:val="24"/>
        </w:rPr>
        <w:t xml:space="preserve"> minim</w:t>
      </w:r>
      <w:r w:rsidR="001177BA" w:rsidRPr="000E643C">
        <w:rPr>
          <w:rFonts w:ascii="Book Antiqua" w:hAnsi="Book Antiqua"/>
          <w:sz w:val="24"/>
          <w:szCs w:val="24"/>
        </w:rPr>
        <w:t>iz</w:t>
      </w:r>
      <w:r w:rsidR="00DA4488" w:rsidRPr="000E643C">
        <w:rPr>
          <w:rFonts w:ascii="Book Antiqua" w:hAnsi="Book Antiqua"/>
          <w:sz w:val="24"/>
          <w:szCs w:val="24"/>
        </w:rPr>
        <w:t>e</w:t>
      </w:r>
      <w:r w:rsidR="00C21567" w:rsidRPr="000E643C">
        <w:rPr>
          <w:rFonts w:ascii="Book Antiqua" w:hAnsi="Book Antiqua"/>
          <w:sz w:val="24"/>
          <w:szCs w:val="24"/>
        </w:rPr>
        <w:t xml:space="preserve"> immunogenicity</w:t>
      </w:r>
      <w:r w:rsidRPr="000E643C">
        <w:rPr>
          <w:rFonts w:ascii="Book Antiqua" w:hAnsi="Book Antiqua"/>
          <w:sz w:val="24"/>
          <w:szCs w:val="24"/>
        </w:rPr>
        <w:t>, and improve outcomes</w:t>
      </w:r>
      <w:r w:rsidR="00C21567" w:rsidRPr="000E643C">
        <w:rPr>
          <w:rFonts w:ascii="Book Antiqua" w:hAnsi="Book Antiqua"/>
          <w:sz w:val="24"/>
          <w:szCs w:val="24"/>
        </w:rPr>
        <w:t xml:space="preserve">. </w:t>
      </w:r>
      <w:r w:rsidRPr="000E643C">
        <w:rPr>
          <w:rFonts w:ascii="Book Antiqua" w:hAnsi="Book Antiqua"/>
          <w:sz w:val="24"/>
          <w:szCs w:val="24"/>
        </w:rPr>
        <w:t>The landmark</w:t>
      </w:r>
      <w:r w:rsidR="00FC11C0" w:rsidRPr="000E643C">
        <w:rPr>
          <w:rFonts w:ascii="Book Antiqua" w:hAnsi="Book Antiqua"/>
          <w:sz w:val="24"/>
          <w:szCs w:val="24"/>
        </w:rPr>
        <w:t xml:space="preserve"> SONIC trial</w:t>
      </w:r>
      <w:r w:rsidR="007875BC" w:rsidRPr="000E643C">
        <w:rPr>
          <w:rFonts w:ascii="Book Antiqua" w:hAnsi="Book Antiqua"/>
          <w:sz w:val="24"/>
          <w:szCs w:val="24"/>
        </w:rPr>
        <w:t xml:space="preserve"> in Crohn’s disease and the UC SUCCESS trial in </w:t>
      </w:r>
      <w:r w:rsidR="00BE73FA" w:rsidRPr="000E643C">
        <w:rPr>
          <w:rFonts w:ascii="Book Antiqua" w:hAnsi="Book Antiqua"/>
          <w:sz w:val="24"/>
          <w:szCs w:val="24"/>
        </w:rPr>
        <w:t>ulcerative colitis</w:t>
      </w:r>
      <w:r w:rsidRPr="000E643C">
        <w:rPr>
          <w:rFonts w:ascii="Book Antiqua" w:hAnsi="Book Antiqua"/>
          <w:sz w:val="24"/>
          <w:szCs w:val="24"/>
        </w:rPr>
        <w:t>,</w:t>
      </w:r>
      <w:r w:rsidR="00FC11C0" w:rsidRPr="000E643C">
        <w:rPr>
          <w:rFonts w:ascii="Book Antiqua" w:hAnsi="Book Antiqua"/>
          <w:sz w:val="24"/>
          <w:szCs w:val="24"/>
        </w:rPr>
        <w:t xml:space="preserve"> demonstrated CT with infliximab and azathioprine to be superior to monotherapy </w:t>
      </w:r>
      <w:r w:rsidR="00D62C60" w:rsidRPr="000E643C">
        <w:rPr>
          <w:rFonts w:ascii="Book Antiqua" w:hAnsi="Book Antiqua"/>
          <w:sz w:val="24"/>
          <w:szCs w:val="24"/>
        </w:rPr>
        <w:t xml:space="preserve">with either agent alone </w:t>
      </w:r>
      <w:r w:rsidR="00FC11C0" w:rsidRPr="000E643C">
        <w:rPr>
          <w:rFonts w:ascii="Book Antiqua" w:hAnsi="Book Antiqua"/>
          <w:sz w:val="24"/>
          <w:szCs w:val="24"/>
        </w:rPr>
        <w:t>at inducing clinical re</w:t>
      </w:r>
      <w:r w:rsidR="001E0196" w:rsidRPr="000E643C">
        <w:rPr>
          <w:rFonts w:ascii="Book Antiqua" w:hAnsi="Book Antiqua"/>
          <w:sz w:val="24"/>
          <w:szCs w:val="24"/>
        </w:rPr>
        <w:t>mission in treatment</w:t>
      </w:r>
      <w:r w:rsidR="007875BC" w:rsidRPr="000E643C">
        <w:rPr>
          <w:rFonts w:ascii="Book Antiqua" w:hAnsi="Book Antiqua"/>
          <w:sz w:val="24"/>
          <w:szCs w:val="24"/>
        </w:rPr>
        <w:t xml:space="preserve"> naïve patients</w:t>
      </w:r>
      <w:r w:rsidR="001E0196" w:rsidRPr="000E643C">
        <w:rPr>
          <w:rFonts w:ascii="Book Antiqua" w:hAnsi="Book Antiqua"/>
          <w:sz w:val="24"/>
          <w:szCs w:val="24"/>
        </w:rPr>
        <w:t xml:space="preserve"> with moderate to severe disease</w:t>
      </w:r>
      <w:r w:rsidR="00FC11C0" w:rsidRPr="000E643C">
        <w:rPr>
          <w:rFonts w:ascii="Book Antiqua" w:hAnsi="Book Antiqua"/>
          <w:sz w:val="24"/>
          <w:szCs w:val="24"/>
        </w:rPr>
        <w:t>.</w:t>
      </w:r>
      <w:r w:rsidR="005A3EDD" w:rsidRPr="000E643C">
        <w:rPr>
          <w:rFonts w:ascii="Book Antiqua" w:hAnsi="Book Antiqua"/>
          <w:sz w:val="24"/>
          <w:szCs w:val="24"/>
        </w:rPr>
        <w:t xml:space="preserve"> </w:t>
      </w:r>
      <w:r w:rsidRPr="000E643C">
        <w:rPr>
          <w:rFonts w:ascii="Book Antiqua" w:hAnsi="Book Antiqua"/>
          <w:sz w:val="24"/>
          <w:szCs w:val="24"/>
        </w:rPr>
        <w:t>However, m</w:t>
      </w:r>
      <w:r w:rsidR="005A3EDD" w:rsidRPr="000E643C">
        <w:rPr>
          <w:rFonts w:ascii="Book Antiqua" w:hAnsi="Book Antiqua"/>
          <w:sz w:val="24"/>
          <w:szCs w:val="24"/>
        </w:rPr>
        <w:t xml:space="preserve">any unanswered </w:t>
      </w:r>
      <w:r w:rsidR="006B1831" w:rsidRPr="000E643C">
        <w:rPr>
          <w:rFonts w:ascii="Book Antiqua" w:hAnsi="Book Antiqua"/>
          <w:sz w:val="24"/>
          <w:szCs w:val="24"/>
        </w:rPr>
        <w:t xml:space="preserve">questions </w:t>
      </w:r>
      <w:r w:rsidR="005A3EDD" w:rsidRPr="000E643C">
        <w:rPr>
          <w:rFonts w:ascii="Book Antiqua" w:hAnsi="Book Antiqua"/>
          <w:sz w:val="24"/>
          <w:szCs w:val="24"/>
        </w:rPr>
        <w:t>linger</w:t>
      </w:r>
      <w:r w:rsidR="00AE1224" w:rsidRPr="000E643C">
        <w:rPr>
          <w:rFonts w:ascii="Book Antiqua" w:hAnsi="Book Antiqua"/>
          <w:sz w:val="24"/>
          <w:szCs w:val="24"/>
        </w:rPr>
        <w:t>.</w:t>
      </w:r>
      <w:r w:rsidR="006B1831" w:rsidRPr="000E643C">
        <w:rPr>
          <w:rFonts w:ascii="Book Antiqua" w:hAnsi="Book Antiqua"/>
          <w:sz w:val="24"/>
          <w:szCs w:val="24"/>
        </w:rPr>
        <w:t xml:space="preserve"> </w:t>
      </w:r>
      <w:r w:rsidR="00AE1224" w:rsidRPr="000E643C">
        <w:rPr>
          <w:rFonts w:ascii="Book Antiqua" w:hAnsi="Book Antiqua"/>
          <w:sz w:val="24"/>
          <w:szCs w:val="24"/>
        </w:rPr>
        <w:t xml:space="preserve">The role of CT in </w:t>
      </w:r>
      <w:r w:rsidR="003C1F48" w:rsidRPr="000E643C">
        <w:rPr>
          <w:rFonts w:ascii="Book Antiqua" w:hAnsi="Book Antiqua"/>
          <w:sz w:val="24"/>
          <w:szCs w:val="24"/>
        </w:rPr>
        <w:t>non-naive</w:t>
      </w:r>
      <w:r w:rsidR="00AE1224" w:rsidRPr="000E643C">
        <w:rPr>
          <w:rFonts w:ascii="Book Antiqua" w:hAnsi="Book Antiqua"/>
          <w:sz w:val="24"/>
          <w:szCs w:val="24"/>
        </w:rPr>
        <w:t xml:space="preserve"> patients as well as the optimal duration of CT remain</w:t>
      </w:r>
      <w:r w:rsidR="003E6DE8" w:rsidRPr="000E643C">
        <w:rPr>
          <w:rFonts w:ascii="Book Antiqua" w:hAnsi="Book Antiqua" w:hint="eastAsia"/>
          <w:sz w:val="24"/>
          <w:szCs w:val="24"/>
          <w:lang w:eastAsia="zh-CN"/>
        </w:rPr>
        <w:t>s</w:t>
      </w:r>
      <w:r w:rsidR="00AE1224" w:rsidRPr="000E643C">
        <w:rPr>
          <w:rFonts w:ascii="Book Antiqua" w:hAnsi="Book Antiqua"/>
          <w:sz w:val="24"/>
          <w:szCs w:val="24"/>
        </w:rPr>
        <w:t xml:space="preserve"> unk</w:t>
      </w:r>
      <w:r w:rsidR="00870F77" w:rsidRPr="000E643C">
        <w:rPr>
          <w:rFonts w:ascii="Book Antiqua" w:hAnsi="Book Antiqua"/>
          <w:sz w:val="24"/>
          <w:szCs w:val="24"/>
        </w:rPr>
        <w:t>n</w:t>
      </w:r>
      <w:r w:rsidR="00AE1224" w:rsidRPr="000E643C">
        <w:rPr>
          <w:rFonts w:ascii="Book Antiqua" w:hAnsi="Book Antiqua"/>
          <w:sz w:val="24"/>
          <w:szCs w:val="24"/>
        </w:rPr>
        <w:t>own.</w:t>
      </w:r>
      <w:r w:rsidR="00F93D38" w:rsidRPr="000E643C">
        <w:rPr>
          <w:rFonts w:ascii="Book Antiqua" w:hAnsi="Book Antiqua"/>
          <w:sz w:val="24"/>
          <w:szCs w:val="24"/>
        </w:rPr>
        <w:t xml:space="preserve"> </w:t>
      </w:r>
      <w:r w:rsidRPr="000E643C">
        <w:rPr>
          <w:rFonts w:ascii="Book Antiqua" w:hAnsi="Book Antiqua"/>
          <w:sz w:val="24"/>
          <w:szCs w:val="24"/>
        </w:rPr>
        <w:t xml:space="preserve">The effectiveness of CT therapies with alternate biologics and/or alternate </w:t>
      </w:r>
      <w:proofErr w:type="spellStart"/>
      <w:r w:rsidRPr="000E643C">
        <w:rPr>
          <w:rFonts w:ascii="Book Antiqua" w:hAnsi="Book Antiqua"/>
          <w:sz w:val="24"/>
          <w:szCs w:val="24"/>
        </w:rPr>
        <w:t>immunomodulators</w:t>
      </w:r>
      <w:proofErr w:type="spellEnd"/>
      <w:r w:rsidRPr="000E643C">
        <w:rPr>
          <w:rFonts w:ascii="Book Antiqua" w:hAnsi="Book Antiqua"/>
          <w:sz w:val="24"/>
          <w:szCs w:val="24"/>
        </w:rPr>
        <w:t xml:space="preserve"> is not as clear, and it</w:t>
      </w:r>
      <w:r w:rsidR="000B2D22" w:rsidRPr="000E643C">
        <w:rPr>
          <w:rFonts w:ascii="Book Antiqua" w:hAnsi="Book Antiqua"/>
          <w:sz w:val="24"/>
          <w:szCs w:val="24"/>
        </w:rPr>
        <w:t xml:space="preserve"> is unknown</w:t>
      </w:r>
      <w:r w:rsidR="00A9351D" w:rsidRPr="000E643C">
        <w:rPr>
          <w:rFonts w:ascii="Book Antiqua" w:hAnsi="Book Antiqua"/>
          <w:sz w:val="24"/>
          <w:szCs w:val="24"/>
        </w:rPr>
        <w:t xml:space="preserve"> whether SONIC’s conclusions can be extrapolated beyond infliximab and aza</w:t>
      </w:r>
      <w:r w:rsidR="00C52BB9" w:rsidRPr="000E643C">
        <w:rPr>
          <w:rFonts w:ascii="Book Antiqua" w:hAnsi="Book Antiqua"/>
          <w:sz w:val="24"/>
          <w:szCs w:val="24"/>
        </w:rPr>
        <w:t>thio</w:t>
      </w:r>
      <w:r w:rsidR="00A9351D" w:rsidRPr="000E643C">
        <w:rPr>
          <w:rFonts w:ascii="Book Antiqua" w:hAnsi="Book Antiqua"/>
          <w:sz w:val="24"/>
          <w:szCs w:val="24"/>
        </w:rPr>
        <w:t>prine</w:t>
      </w:r>
      <w:r w:rsidR="006B1831" w:rsidRPr="000E643C">
        <w:rPr>
          <w:rFonts w:ascii="Book Antiqua" w:hAnsi="Book Antiqua"/>
          <w:sz w:val="24"/>
          <w:szCs w:val="24"/>
        </w:rPr>
        <w:t>. Also looming are the risks of CT including opportu</w:t>
      </w:r>
      <w:r w:rsidR="006613C9" w:rsidRPr="000E643C">
        <w:rPr>
          <w:rFonts w:ascii="Book Antiqua" w:hAnsi="Book Antiqua"/>
          <w:sz w:val="24"/>
          <w:szCs w:val="24"/>
        </w:rPr>
        <w:t>nistic infection and malignancy;</w:t>
      </w:r>
      <w:r w:rsidR="006B1831" w:rsidRPr="000E643C">
        <w:rPr>
          <w:rFonts w:ascii="Book Antiqua" w:hAnsi="Book Antiqua"/>
          <w:sz w:val="24"/>
          <w:szCs w:val="24"/>
        </w:rPr>
        <w:t xml:space="preserve"> specifically</w:t>
      </w:r>
      <w:r w:rsidR="006613C9" w:rsidRPr="000E643C">
        <w:rPr>
          <w:rFonts w:ascii="Book Antiqua" w:hAnsi="Book Antiqua"/>
          <w:sz w:val="24"/>
          <w:szCs w:val="24"/>
        </w:rPr>
        <w:t>,</w:t>
      </w:r>
      <w:r w:rsidR="006B1831" w:rsidRPr="000E643C">
        <w:rPr>
          <w:rFonts w:ascii="Book Antiqua" w:hAnsi="Book Antiqua"/>
          <w:sz w:val="24"/>
          <w:szCs w:val="24"/>
        </w:rPr>
        <w:t xml:space="preserve"> lymphoma. </w:t>
      </w:r>
      <w:r w:rsidR="006B776D" w:rsidRPr="000E643C">
        <w:rPr>
          <w:rFonts w:ascii="Book Antiqua" w:hAnsi="Book Antiqua"/>
          <w:sz w:val="24"/>
          <w:szCs w:val="24"/>
        </w:rPr>
        <w:t>This review lays out the evidence as it pertains to the risks and benefits of CT as well as</w:t>
      </w:r>
      <w:r w:rsidR="00D60BAA" w:rsidRPr="000E643C">
        <w:rPr>
          <w:rFonts w:ascii="Book Antiqua" w:hAnsi="Book Antiqua"/>
          <w:sz w:val="24"/>
          <w:szCs w:val="24"/>
        </w:rPr>
        <w:t xml:space="preserve"> the </w:t>
      </w:r>
      <w:r w:rsidR="006B776D" w:rsidRPr="000E643C">
        <w:rPr>
          <w:rFonts w:ascii="Book Antiqua" w:hAnsi="Book Antiqua"/>
          <w:sz w:val="24"/>
          <w:szCs w:val="24"/>
        </w:rPr>
        <w:t>areas that require further research</w:t>
      </w:r>
      <w:r w:rsidR="00020CB6" w:rsidRPr="000E643C">
        <w:rPr>
          <w:rFonts w:ascii="Book Antiqua" w:hAnsi="Book Antiqua"/>
          <w:sz w:val="24"/>
          <w:szCs w:val="24"/>
        </w:rPr>
        <w:t>. With this information in hand</w:t>
      </w:r>
      <w:r w:rsidRPr="000E643C">
        <w:rPr>
          <w:rFonts w:ascii="Book Antiqua" w:hAnsi="Book Antiqua"/>
          <w:sz w:val="24"/>
          <w:szCs w:val="24"/>
        </w:rPr>
        <w:t>,</w:t>
      </w:r>
      <w:r w:rsidR="006B776D" w:rsidRPr="000E643C">
        <w:rPr>
          <w:rFonts w:ascii="Book Antiqua" w:hAnsi="Book Antiqua"/>
          <w:sz w:val="24"/>
          <w:szCs w:val="24"/>
        </w:rPr>
        <w:t xml:space="preserve"> the practitioner may develop a treatm</w:t>
      </w:r>
      <w:r w:rsidR="00D25CA8" w:rsidRPr="000E643C">
        <w:rPr>
          <w:rFonts w:ascii="Book Antiqua" w:hAnsi="Book Antiqua"/>
          <w:sz w:val="24"/>
          <w:szCs w:val="24"/>
        </w:rPr>
        <w:t>ent strategy that best suits each</w:t>
      </w:r>
      <w:r w:rsidR="006B776D" w:rsidRPr="000E643C">
        <w:rPr>
          <w:rFonts w:ascii="Book Antiqua" w:hAnsi="Book Antiqua"/>
          <w:sz w:val="24"/>
          <w:szCs w:val="24"/>
        </w:rPr>
        <w:t xml:space="preserve"> individual patient.</w:t>
      </w:r>
    </w:p>
    <w:p w14:paraId="5FB8BEE4" w14:textId="77777777" w:rsidR="0069331F" w:rsidRPr="000E643C" w:rsidRDefault="0069331F" w:rsidP="00E57DEB">
      <w:pPr>
        <w:widowControl w:val="0"/>
        <w:adjustRightInd w:val="0"/>
        <w:snapToGrid w:val="0"/>
        <w:spacing w:after="0" w:line="360" w:lineRule="auto"/>
        <w:jc w:val="both"/>
        <w:rPr>
          <w:rFonts w:ascii="Book Antiqua" w:hAnsi="Book Antiqua"/>
          <w:sz w:val="24"/>
          <w:szCs w:val="24"/>
          <w:lang w:eastAsia="zh-CN"/>
        </w:rPr>
      </w:pPr>
    </w:p>
    <w:p w14:paraId="28ED33E9" w14:textId="15D59D3B" w:rsidR="003E6DE8" w:rsidRPr="000E643C" w:rsidRDefault="003E6DE8" w:rsidP="003E6DE8">
      <w:pPr>
        <w:widowControl w:val="0"/>
        <w:adjustRightInd w:val="0"/>
        <w:snapToGrid w:val="0"/>
        <w:spacing w:after="0" w:line="360" w:lineRule="auto"/>
        <w:jc w:val="both"/>
        <w:rPr>
          <w:rFonts w:ascii="Book Antiqua" w:hAnsi="Book Antiqua"/>
          <w:sz w:val="24"/>
          <w:szCs w:val="24"/>
        </w:rPr>
      </w:pPr>
      <w:r w:rsidRPr="000E643C">
        <w:rPr>
          <w:rFonts w:ascii="Book Antiqua" w:hAnsi="Book Antiqua"/>
          <w:b/>
          <w:sz w:val="24"/>
          <w:szCs w:val="24"/>
        </w:rPr>
        <w:t>Key</w:t>
      </w:r>
      <w:r w:rsidRPr="000E643C">
        <w:rPr>
          <w:rFonts w:ascii="Book Antiqua" w:hAnsi="Book Antiqua" w:hint="eastAsia"/>
          <w:b/>
          <w:sz w:val="24"/>
          <w:szCs w:val="24"/>
          <w:lang w:eastAsia="zh-CN"/>
        </w:rPr>
        <w:t xml:space="preserve"> </w:t>
      </w:r>
      <w:r w:rsidRPr="000E643C">
        <w:rPr>
          <w:rFonts w:ascii="Book Antiqua" w:hAnsi="Book Antiqua"/>
          <w:b/>
          <w:sz w:val="24"/>
          <w:szCs w:val="24"/>
        </w:rPr>
        <w:t>words:</w:t>
      </w:r>
      <w:r w:rsidRPr="000E643C">
        <w:rPr>
          <w:rFonts w:ascii="Book Antiqua" w:hAnsi="Book Antiqua"/>
          <w:sz w:val="24"/>
          <w:szCs w:val="24"/>
        </w:rPr>
        <w:t xml:space="preserve"> Crohn’s disease; </w:t>
      </w:r>
      <w:r w:rsidRPr="000E643C">
        <w:rPr>
          <w:rFonts w:ascii="Book Antiqua" w:hAnsi="Book Antiqua" w:hint="eastAsia"/>
          <w:sz w:val="24"/>
          <w:szCs w:val="24"/>
          <w:lang w:eastAsia="zh-CN"/>
        </w:rPr>
        <w:t>U</w:t>
      </w:r>
      <w:r w:rsidRPr="000E643C">
        <w:rPr>
          <w:rFonts w:ascii="Book Antiqua" w:hAnsi="Book Antiqua"/>
          <w:sz w:val="24"/>
          <w:szCs w:val="24"/>
        </w:rPr>
        <w:t xml:space="preserve">lcerative colitis; </w:t>
      </w:r>
      <w:r w:rsidRPr="000E643C">
        <w:rPr>
          <w:rFonts w:ascii="Book Antiqua" w:hAnsi="Book Antiqua" w:hint="eastAsia"/>
          <w:sz w:val="24"/>
          <w:szCs w:val="24"/>
          <w:lang w:eastAsia="zh-CN"/>
        </w:rPr>
        <w:t>I</w:t>
      </w:r>
      <w:r w:rsidRPr="000E643C">
        <w:rPr>
          <w:rFonts w:ascii="Book Antiqua" w:hAnsi="Book Antiqua"/>
          <w:sz w:val="24"/>
          <w:szCs w:val="24"/>
        </w:rPr>
        <w:t xml:space="preserve">nfliximab; </w:t>
      </w:r>
      <w:r w:rsidRPr="000E643C">
        <w:rPr>
          <w:rFonts w:ascii="Book Antiqua" w:hAnsi="Book Antiqua" w:hint="eastAsia"/>
          <w:sz w:val="24"/>
          <w:szCs w:val="24"/>
          <w:lang w:eastAsia="zh-CN"/>
        </w:rPr>
        <w:t>A</w:t>
      </w:r>
      <w:r w:rsidRPr="000E643C">
        <w:rPr>
          <w:rFonts w:ascii="Book Antiqua" w:hAnsi="Book Antiqua"/>
          <w:sz w:val="24"/>
          <w:szCs w:val="24"/>
        </w:rPr>
        <w:t xml:space="preserve">dalimumab; </w:t>
      </w:r>
      <w:proofErr w:type="spellStart"/>
      <w:r w:rsidRPr="000E643C">
        <w:rPr>
          <w:rFonts w:ascii="Book Antiqua" w:hAnsi="Book Antiqua" w:hint="eastAsia"/>
          <w:sz w:val="24"/>
          <w:szCs w:val="24"/>
          <w:lang w:eastAsia="zh-CN"/>
        </w:rPr>
        <w:t>V</w:t>
      </w:r>
      <w:r w:rsidRPr="000E643C">
        <w:rPr>
          <w:rFonts w:ascii="Book Antiqua" w:hAnsi="Book Antiqua"/>
          <w:sz w:val="24"/>
          <w:szCs w:val="24"/>
        </w:rPr>
        <w:t>edolizumab</w:t>
      </w:r>
      <w:proofErr w:type="spellEnd"/>
      <w:r w:rsidRPr="000E643C">
        <w:rPr>
          <w:rFonts w:ascii="Book Antiqua" w:hAnsi="Book Antiqua"/>
          <w:sz w:val="24"/>
          <w:szCs w:val="24"/>
        </w:rPr>
        <w:t xml:space="preserve">; </w:t>
      </w:r>
      <w:r w:rsidRPr="000E643C">
        <w:rPr>
          <w:rFonts w:ascii="Book Antiqua" w:hAnsi="Book Antiqua" w:hint="eastAsia"/>
          <w:sz w:val="24"/>
          <w:szCs w:val="24"/>
          <w:lang w:eastAsia="zh-CN"/>
        </w:rPr>
        <w:t>M</w:t>
      </w:r>
      <w:r w:rsidRPr="000E643C">
        <w:rPr>
          <w:rFonts w:ascii="Book Antiqua" w:hAnsi="Book Antiqua"/>
          <w:sz w:val="24"/>
          <w:szCs w:val="24"/>
        </w:rPr>
        <w:t xml:space="preserve">ethotrexate; </w:t>
      </w:r>
      <w:r w:rsidRPr="000E643C">
        <w:rPr>
          <w:rFonts w:ascii="Book Antiqua" w:hAnsi="Book Antiqua" w:hint="eastAsia"/>
          <w:sz w:val="24"/>
          <w:szCs w:val="24"/>
          <w:lang w:eastAsia="zh-CN"/>
        </w:rPr>
        <w:t>A</w:t>
      </w:r>
      <w:r w:rsidRPr="000E643C">
        <w:rPr>
          <w:rFonts w:ascii="Book Antiqua" w:hAnsi="Book Antiqua"/>
          <w:sz w:val="24"/>
          <w:szCs w:val="24"/>
        </w:rPr>
        <w:t xml:space="preserve">zathioprine; </w:t>
      </w:r>
      <w:r w:rsidRPr="000E643C">
        <w:rPr>
          <w:rFonts w:ascii="Book Antiqua" w:hAnsi="Book Antiqua" w:hint="eastAsia"/>
          <w:sz w:val="24"/>
          <w:szCs w:val="24"/>
          <w:lang w:eastAsia="zh-CN"/>
        </w:rPr>
        <w:t>I</w:t>
      </w:r>
      <w:r w:rsidRPr="000E643C">
        <w:rPr>
          <w:rFonts w:ascii="Book Antiqua" w:hAnsi="Book Antiqua"/>
          <w:sz w:val="24"/>
          <w:szCs w:val="24"/>
        </w:rPr>
        <w:t>nflammatory bowel disease</w:t>
      </w:r>
    </w:p>
    <w:p w14:paraId="7484E7BD" w14:textId="77777777" w:rsidR="00BE73FA" w:rsidRPr="000E643C" w:rsidRDefault="00BE73FA" w:rsidP="00BE73FA">
      <w:pPr>
        <w:snapToGrid w:val="0"/>
        <w:spacing w:after="0" w:line="360" w:lineRule="auto"/>
        <w:jc w:val="both"/>
        <w:rPr>
          <w:rFonts w:ascii="Book Antiqua" w:hAnsi="Book Antiqua"/>
          <w:sz w:val="24"/>
          <w:szCs w:val="24"/>
          <w:lang w:eastAsia="zh-CN"/>
        </w:rPr>
      </w:pPr>
      <w:bookmarkStart w:id="11" w:name="OLE_LINK13"/>
      <w:bookmarkStart w:id="12" w:name="OLE_LINK14"/>
    </w:p>
    <w:p w14:paraId="7FD6F513" w14:textId="77777777" w:rsidR="00BE73FA" w:rsidRPr="000E643C" w:rsidRDefault="00BE73FA" w:rsidP="00BE73FA">
      <w:pPr>
        <w:snapToGrid w:val="0"/>
        <w:spacing w:after="0" w:line="360" w:lineRule="auto"/>
        <w:jc w:val="both"/>
        <w:rPr>
          <w:rFonts w:ascii="Book Antiqua" w:hAnsi="Book Antiqua"/>
          <w:sz w:val="24"/>
          <w:szCs w:val="24"/>
        </w:rPr>
      </w:pPr>
      <w:proofErr w:type="gramStart"/>
      <w:r w:rsidRPr="000E643C">
        <w:rPr>
          <w:rFonts w:ascii="Book Antiqua" w:hAnsi="Book Antiqua"/>
          <w:sz w:val="24"/>
          <w:szCs w:val="24"/>
        </w:rPr>
        <w:t xml:space="preserve">© </w:t>
      </w:r>
      <w:bookmarkStart w:id="13" w:name="OLE_LINK6"/>
      <w:bookmarkStart w:id="14" w:name="OLE_LINK7"/>
      <w:bookmarkStart w:id="15" w:name="OLE_LINK8"/>
      <w:r w:rsidRPr="000E643C">
        <w:rPr>
          <w:rFonts w:ascii="Book Antiqua" w:hAnsi="Book Antiqua"/>
          <w:b/>
          <w:sz w:val="24"/>
          <w:szCs w:val="24"/>
        </w:rPr>
        <w:t>The Author(s) 201</w:t>
      </w:r>
      <w:r w:rsidRPr="000E643C">
        <w:rPr>
          <w:rFonts w:ascii="Book Antiqua" w:eastAsia="宋体" w:hAnsi="Book Antiqua" w:hint="eastAsia"/>
          <w:b/>
          <w:sz w:val="24"/>
          <w:szCs w:val="24"/>
          <w:lang w:eastAsia="zh-CN"/>
        </w:rPr>
        <w:t>7</w:t>
      </w:r>
      <w:r w:rsidRPr="000E643C">
        <w:rPr>
          <w:rFonts w:ascii="Book Antiqua" w:hAnsi="Book Antiqua"/>
          <w:sz w:val="24"/>
          <w:szCs w:val="24"/>
        </w:rPr>
        <w:t>.</w:t>
      </w:r>
      <w:proofErr w:type="gramEnd"/>
      <w:r w:rsidRPr="000E643C">
        <w:rPr>
          <w:rFonts w:ascii="Book Antiqua" w:hAnsi="Book Antiqua"/>
          <w:sz w:val="24"/>
          <w:szCs w:val="24"/>
        </w:rPr>
        <w:t xml:space="preserve"> Published by </w:t>
      </w:r>
      <w:proofErr w:type="spellStart"/>
      <w:r w:rsidRPr="000E643C">
        <w:rPr>
          <w:rFonts w:ascii="Book Antiqua" w:hAnsi="Book Antiqua"/>
          <w:sz w:val="24"/>
          <w:szCs w:val="24"/>
        </w:rPr>
        <w:t>Baishideng</w:t>
      </w:r>
      <w:proofErr w:type="spellEnd"/>
      <w:r w:rsidRPr="000E643C">
        <w:rPr>
          <w:rFonts w:ascii="Book Antiqua" w:hAnsi="Book Antiqua"/>
          <w:sz w:val="24"/>
          <w:szCs w:val="24"/>
        </w:rPr>
        <w:t xml:space="preserve"> Publishing Group Inc. All rights reserved.</w:t>
      </w:r>
    </w:p>
    <w:bookmarkEnd w:id="11"/>
    <w:bookmarkEnd w:id="12"/>
    <w:bookmarkEnd w:id="13"/>
    <w:bookmarkEnd w:id="14"/>
    <w:bookmarkEnd w:id="15"/>
    <w:p w14:paraId="510ADDD6" w14:textId="77777777" w:rsidR="003E6DE8" w:rsidRPr="000E643C" w:rsidRDefault="003E6DE8" w:rsidP="00E57DEB">
      <w:pPr>
        <w:widowControl w:val="0"/>
        <w:adjustRightInd w:val="0"/>
        <w:snapToGrid w:val="0"/>
        <w:spacing w:after="0" w:line="360" w:lineRule="auto"/>
        <w:jc w:val="both"/>
        <w:rPr>
          <w:rFonts w:ascii="Book Antiqua" w:hAnsi="Book Antiqua"/>
          <w:sz w:val="24"/>
          <w:szCs w:val="24"/>
          <w:lang w:eastAsia="zh-CN"/>
        </w:rPr>
      </w:pPr>
    </w:p>
    <w:p w14:paraId="4D801216" w14:textId="42279D80" w:rsidR="0069331F" w:rsidRPr="000E643C" w:rsidRDefault="00A44F75"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b/>
          <w:sz w:val="24"/>
          <w:szCs w:val="24"/>
        </w:rPr>
        <w:t>Core tip:</w:t>
      </w:r>
      <w:r w:rsidR="00064EA2" w:rsidRPr="000E643C">
        <w:rPr>
          <w:rFonts w:ascii="Book Antiqua" w:hAnsi="Book Antiqua"/>
          <w:b/>
          <w:sz w:val="24"/>
          <w:szCs w:val="24"/>
        </w:rPr>
        <w:t xml:space="preserve"> </w:t>
      </w:r>
      <w:r w:rsidR="00064EA2" w:rsidRPr="000E643C">
        <w:rPr>
          <w:rFonts w:ascii="Book Antiqua" w:hAnsi="Book Antiqua"/>
          <w:sz w:val="24"/>
          <w:szCs w:val="24"/>
        </w:rPr>
        <w:t xml:space="preserve">The benefits of combination therapy </w:t>
      </w:r>
      <w:r w:rsidR="00BE73FA" w:rsidRPr="000E643C">
        <w:rPr>
          <w:rFonts w:ascii="Book Antiqua" w:hAnsi="Book Antiqua" w:hint="eastAsia"/>
          <w:sz w:val="24"/>
          <w:szCs w:val="24"/>
          <w:lang w:eastAsia="zh-CN"/>
        </w:rPr>
        <w:t xml:space="preserve">(CT) </w:t>
      </w:r>
      <w:r w:rsidR="00064EA2" w:rsidRPr="000E643C">
        <w:rPr>
          <w:rFonts w:ascii="Book Antiqua" w:hAnsi="Book Antiqua"/>
          <w:sz w:val="24"/>
          <w:szCs w:val="24"/>
        </w:rPr>
        <w:t>with infliximab and azathioprine likely outweigh its r</w:t>
      </w:r>
      <w:r w:rsidR="00EE6EDE" w:rsidRPr="000E643C">
        <w:rPr>
          <w:rFonts w:ascii="Book Antiqua" w:hAnsi="Book Antiqua"/>
          <w:sz w:val="24"/>
          <w:szCs w:val="24"/>
        </w:rPr>
        <w:t>isks in treatment naïve patient</w:t>
      </w:r>
      <w:r w:rsidR="00064EA2" w:rsidRPr="000E643C">
        <w:rPr>
          <w:rFonts w:ascii="Book Antiqua" w:hAnsi="Book Antiqua"/>
          <w:sz w:val="24"/>
          <w:szCs w:val="24"/>
        </w:rPr>
        <w:t>s with moderate to severe Crohn’s disease</w:t>
      </w:r>
      <w:r w:rsidR="00C949B6" w:rsidRPr="000E643C">
        <w:rPr>
          <w:rFonts w:ascii="Book Antiqua" w:hAnsi="Book Antiqua"/>
          <w:sz w:val="24"/>
          <w:szCs w:val="24"/>
        </w:rPr>
        <w:t xml:space="preserve"> and </w:t>
      </w:r>
      <w:r w:rsidR="00BE73FA" w:rsidRPr="000E643C">
        <w:rPr>
          <w:rFonts w:ascii="Book Antiqua" w:hAnsi="Book Antiqua"/>
          <w:sz w:val="24"/>
          <w:szCs w:val="24"/>
        </w:rPr>
        <w:t>ulcerative c</w:t>
      </w:r>
      <w:r w:rsidR="00C949B6" w:rsidRPr="000E643C">
        <w:rPr>
          <w:rFonts w:ascii="Book Antiqua" w:hAnsi="Book Antiqua"/>
          <w:sz w:val="24"/>
          <w:szCs w:val="24"/>
        </w:rPr>
        <w:t>olitis</w:t>
      </w:r>
      <w:r w:rsidR="00064EA2" w:rsidRPr="000E643C">
        <w:rPr>
          <w:rFonts w:ascii="Book Antiqua" w:hAnsi="Book Antiqua"/>
          <w:sz w:val="24"/>
          <w:szCs w:val="24"/>
        </w:rPr>
        <w:t xml:space="preserve">. </w:t>
      </w:r>
      <w:r w:rsidR="00C949B6" w:rsidRPr="000E643C">
        <w:rPr>
          <w:rFonts w:ascii="Book Antiqua" w:hAnsi="Book Antiqua"/>
          <w:sz w:val="24"/>
          <w:szCs w:val="24"/>
        </w:rPr>
        <w:t>A</w:t>
      </w:r>
      <w:r w:rsidR="00064EA2" w:rsidRPr="000E643C">
        <w:rPr>
          <w:rFonts w:ascii="Book Antiqua" w:hAnsi="Book Antiqua"/>
          <w:sz w:val="24"/>
          <w:szCs w:val="24"/>
        </w:rPr>
        <w:t xml:space="preserve"> similar benefit in patients already failing biologics or </w:t>
      </w:r>
      <w:proofErr w:type="spellStart"/>
      <w:r w:rsidR="00064EA2" w:rsidRPr="000E643C">
        <w:rPr>
          <w:rFonts w:ascii="Book Antiqua" w:hAnsi="Book Antiqua"/>
          <w:sz w:val="24"/>
          <w:szCs w:val="24"/>
        </w:rPr>
        <w:t>immunomodulators</w:t>
      </w:r>
      <w:proofErr w:type="spellEnd"/>
      <w:r w:rsidR="00C949B6" w:rsidRPr="000E643C">
        <w:rPr>
          <w:rFonts w:ascii="Book Antiqua" w:hAnsi="Book Antiqua"/>
          <w:sz w:val="24"/>
          <w:szCs w:val="24"/>
        </w:rPr>
        <w:t xml:space="preserve"> is not as well defined</w:t>
      </w:r>
      <w:r w:rsidR="00064EA2" w:rsidRPr="000E643C">
        <w:rPr>
          <w:rFonts w:ascii="Book Antiqua" w:hAnsi="Book Antiqua"/>
          <w:sz w:val="24"/>
          <w:szCs w:val="24"/>
        </w:rPr>
        <w:t xml:space="preserve">. There is a lack of </w:t>
      </w:r>
      <w:r w:rsidR="00C949B6" w:rsidRPr="000E643C">
        <w:rPr>
          <w:rFonts w:ascii="Book Antiqua" w:hAnsi="Book Antiqua"/>
          <w:sz w:val="24"/>
          <w:szCs w:val="24"/>
        </w:rPr>
        <w:t xml:space="preserve">strong prospective </w:t>
      </w:r>
      <w:r w:rsidR="00064EA2" w:rsidRPr="000E643C">
        <w:rPr>
          <w:rFonts w:ascii="Book Antiqua" w:hAnsi="Book Antiqua"/>
          <w:sz w:val="24"/>
          <w:szCs w:val="24"/>
        </w:rPr>
        <w:t xml:space="preserve">evidence demonstrating </w:t>
      </w:r>
      <w:r w:rsidR="00C949B6" w:rsidRPr="000E643C">
        <w:rPr>
          <w:rFonts w:ascii="Book Antiqua" w:hAnsi="Book Antiqua"/>
          <w:sz w:val="24"/>
          <w:szCs w:val="24"/>
        </w:rPr>
        <w:t xml:space="preserve">a </w:t>
      </w:r>
      <w:r w:rsidR="00064EA2" w:rsidRPr="000E643C">
        <w:rPr>
          <w:rFonts w:ascii="Book Antiqua" w:hAnsi="Book Antiqua"/>
          <w:sz w:val="24"/>
          <w:szCs w:val="24"/>
        </w:rPr>
        <w:t>benefit for CT</w:t>
      </w:r>
      <w:r w:rsidR="00EE6EDE" w:rsidRPr="000E643C">
        <w:rPr>
          <w:rFonts w:ascii="Book Antiqua" w:hAnsi="Book Antiqua"/>
          <w:sz w:val="24"/>
          <w:szCs w:val="24"/>
        </w:rPr>
        <w:t xml:space="preserve"> with</w:t>
      </w:r>
      <w:r w:rsidR="00EF69C0" w:rsidRPr="000E643C">
        <w:rPr>
          <w:rFonts w:ascii="Book Antiqua" w:hAnsi="Book Antiqua"/>
          <w:sz w:val="24"/>
          <w:szCs w:val="24"/>
        </w:rPr>
        <w:t xml:space="preserve"> adalimumab</w:t>
      </w:r>
      <w:r w:rsidR="00EE6EDE" w:rsidRPr="000E643C">
        <w:rPr>
          <w:rFonts w:ascii="Book Antiqua" w:hAnsi="Book Antiqua"/>
          <w:sz w:val="24"/>
          <w:szCs w:val="24"/>
        </w:rPr>
        <w:t xml:space="preserve"> and an </w:t>
      </w:r>
      <w:proofErr w:type="spellStart"/>
      <w:r w:rsidR="00EE6EDE" w:rsidRPr="000E643C">
        <w:rPr>
          <w:rFonts w:ascii="Book Antiqua" w:hAnsi="Book Antiqua"/>
          <w:sz w:val="24"/>
          <w:szCs w:val="24"/>
        </w:rPr>
        <w:t>immunomodulator</w:t>
      </w:r>
      <w:proofErr w:type="spellEnd"/>
      <w:r w:rsidR="00EF69C0" w:rsidRPr="000E643C">
        <w:rPr>
          <w:rFonts w:ascii="Book Antiqua" w:hAnsi="Book Antiqua"/>
          <w:sz w:val="24"/>
          <w:szCs w:val="24"/>
        </w:rPr>
        <w:t>. Wh</w:t>
      </w:r>
      <w:r w:rsidR="00DE10DA" w:rsidRPr="000E643C">
        <w:rPr>
          <w:rFonts w:ascii="Book Antiqua" w:hAnsi="Book Antiqua"/>
          <w:sz w:val="24"/>
          <w:szCs w:val="24"/>
        </w:rPr>
        <w:t>ile expert guidelines emphasize</w:t>
      </w:r>
      <w:r w:rsidR="00EF69C0" w:rsidRPr="000E643C">
        <w:rPr>
          <w:rFonts w:ascii="Book Antiqua" w:hAnsi="Book Antiqua"/>
          <w:sz w:val="24"/>
          <w:szCs w:val="24"/>
        </w:rPr>
        <w:t xml:space="preserve"> the use of CT, its use should be </w:t>
      </w:r>
      <w:r w:rsidR="00BE5B35" w:rsidRPr="000E643C">
        <w:rPr>
          <w:rFonts w:ascii="Book Antiqua" w:hAnsi="Book Antiqua"/>
          <w:sz w:val="24"/>
          <w:szCs w:val="24"/>
        </w:rPr>
        <w:t>preceded</w:t>
      </w:r>
      <w:r w:rsidR="00EF69C0" w:rsidRPr="000E643C">
        <w:rPr>
          <w:rFonts w:ascii="Book Antiqua" w:hAnsi="Book Antiqua"/>
          <w:sz w:val="24"/>
          <w:szCs w:val="24"/>
        </w:rPr>
        <w:t xml:space="preserve"> by a careful weighing of the risks and benefits by the physician and patient</w:t>
      </w:r>
      <w:r w:rsidR="005C54E8" w:rsidRPr="000E643C">
        <w:rPr>
          <w:rFonts w:ascii="Book Antiqua" w:hAnsi="Book Antiqua"/>
          <w:sz w:val="24"/>
          <w:szCs w:val="24"/>
        </w:rPr>
        <w:t xml:space="preserve">, especially in </w:t>
      </w:r>
      <w:r w:rsidR="005C54E8" w:rsidRPr="000E643C">
        <w:rPr>
          <w:rFonts w:ascii="Book Antiqua" w:hAnsi="Book Antiqua"/>
          <w:sz w:val="24"/>
          <w:szCs w:val="24"/>
        </w:rPr>
        <w:lastRenderedPageBreak/>
        <w:t xml:space="preserve">scenarios where the strongest evidence for CT may not </w:t>
      </w:r>
      <w:r w:rsidR="00606E65" w:rsidRPr="000E643C">
        <w:rPr>
          <w:rFonts w:ascii="Book Antiqua" w:hAnsi="Book Antiqua"/>
          <w:sz w:val="24"/>
          <w:szCs w:val="24"/>
        </w:rPr>
        <w:t xml:space="preserve">directly </w:t>
      </w:r>
      <w:r w:rsidR="005C54E8" w:rsidRPr="000E643C">
        <w:rPr>
          <w:rFonts w:ascii="Book Antiqua" w:hAnsi="Book Antiqua"/>
          <w:sz w:val="24"/>
          <w:szCs w:val="24"/>
        </w:rPr>
        <w:t>apply.</w:t>
      </w:r>
    </w:p>
    <w:p w14:paraId="2B11B9B5" w14:textId="77777777" w:rsidR="003E6DE8" w:rsidRPr="000E643C" w:rsidRDefault="003E6DE8" w:rsidP="00E57DEB">
      <w:pPr>
        <w:widowControl w:val="0"/>
        <w:adjustRightInd w:val="0"/>
        <w:snapToGrid w:val="0"/>
        <w:spacing w:after="0" w:line="360" w:lineRule="auto"/>
        <w:jc w:val="both"/>
        <w:rPr>
          <w:rFonts w:ascii="Book Antiqua" w:hAnsi="Book Antiqua"/>
          <w:sz w:val="24"/>
          <w:szCs w:val="24"/>
          <w:lang w:eastAsia="zh-CN"/>
        </w:rPr>
      </w:pPr>
    </w:p>
    <w:p w14:paraId="290D1F50" w14:textId="0CD6146E" w:rsidR="0069331F" w:rsidRPr="000E643C" w:rsidRDefault="006B4482" w:rsidP="00E57DEB">
      <w:pPr>
        <w:widowControl w:val="0"/>
        <w:adjustRightInd w:val="0"/>
        <w:snapToGrid w:val="0"/>
        <w:spacing w:after="0" w:line="360" w:lineRule="auto"/>
        <w:jc w:val="both"/>
        <w:rPr>
          <w:rFonts w:ascii="Book Antiqua" w:hAnsi="Book Antiqua"/>
          <w:sz w:val="24"/>
          <w:szCs w:val="24"/>
          <w:lang w:eastAsia="zh-CN"/>
        </w:rPr>
      </w:pPr>
      <w:r w:rsidRPr="000E643C">
        <w:rPr>
          <w:rFonts w:ascii="Book Antiqua" w:hAnsi="Book Antiqua"/>
          <w:sz w:val="24"/>
          <w:szCs w:val="24"/>
        </w:rPr>
        <w:t>Sultan K</w:t>
      </w:r>
      <w:r w:rsidR="00BB6A32" w:rsidRPr="000E643C">
        <w:rPr>
          <w:rFonts w:ascii="Book Antiqua" w:hAnsi="Book Antiqua"/>
          <w:sz w:val="24"/>
          <w:szCs w:val="24"/>
        </w:rPr>
        <w:t>S, Berkowitz JC, Khan S</w:t>
      </w:r>
      <w:r w:rsidRPr="000E643C">
        <w:rPr>
          <w:rFonts w:ascii="Book Antiqua" w:hAnsi="Book Antiqua"/>
          <w:sz w:val="24"/>
          <w:szCs w:val="24"/>
        </w:rPr>
        <w:t xml:space="preserve">. Combination </w:t>
      </w:r>
      <w:r w:rsidR="000C6B46" w:rsidRPr="000E643C">
        <w:rPr>
          <w:rFonts w:ascii="Book Antiqua" w:hAnsi="Book Antiqua" w:hint="eastAsia"/>
          <w:sz w:val="24"/>
          <w:szCs w:val="24"/>
          <w:lang w:eastAsia="zh-CN"/>
        </w:rPr>
        <w:t>t</w:t>
      </w:r>
      <w:r w:rsidR="002B0145" w:rsidRPr="000E643C">
        <w:rPr>
          <w:rFonts w:ascii="Book Antiqua" w:hAnsi="Book Antiqua"/>
          <w:sz w:val="24"/>
          <w:szCs w:val="24"/>
        </w:rPr>
        <w:t>herapy for inflammatory bowel disease.</w:t>
      </w:r>
      <w:r w:rsidR="002B0145" w:rsidRPr="000E643C">
        <w:rPr>
          <w:rFonts w:ascii="Book Antiqua" w:hAnsi="Book Antiqua" w:hint="eastAsia"/>
          <w:sz w:val="24"/>
          <w:szCs w:val="24"/>
          <w:lang w:eastAsia="zh-CN"/>
        </w:rPr>
        <w:t xml:space="preserve"> </w:t>
      </w:r>
      <w:r w:rsidR="002B0145" w:rsidRPr="000E643C">
        <w:rPr>
          <w:rFonts w:ascii="Book Antiqua" w:hAnsi="Book Antiqua"/>
          <w:i/>
          <w:iCs/>
          <w:sz w:val="24"/>
          <w:szCs w:val="24"/>
        </w:rPr>
        <w:t xml:space="preserve">World J </w:t>
      </w:r>
      <w:proofErr w:type="spellStart"/>
      <w:r w:rsidR="002B0145" w:rsidRPr="000E643C">
        <w:rPr>
          <w:rFonts w:ascii="Book Antiqua" w:hAnsi="Book Antiqua"/>
          <w:i/>
          <w:iCs/>
          <w:sz w:val="24"/>
          <w:szCs w:val="24"/>
        </w:rPr>
        <w:t>Gastrointest</w:t>
      </w:r>
      <w:proofErr w:type="spellEnd"/>
      <w:r w:rsidR="002B0145" w:rsidRPr="000E643C">
        <w:rPr>
          <w:rFonts w:ascii="Book Antiqua" w:hAnsi="Book Antiqua"/>
          <w:i/>
          <w:iCs/>
          <w:sz w:val="24"/>
          <w:szCs w:val="24"/>
        </w:rPr>
        <w:t xml:space="preserve"> </w:t>
      </w:r>
      <w:proofErr w:type="spellStart"/>
      <w:r w:rsidR="002B0145" w:rsidRPr="000E643C">
        <w:rPr>
          <w:rFonts w:ascii="Book Antiqua" w:hAnsi="Book Antiqua"/>
          <w:i/>
          <w:iCs/>
          <w:sz w:val="24"/>
          <w:szCs w:val="24"/>
        </w:rPr>
        <w:t>Pharmacol</w:t>
      </w:r>
      <w:proofErr w:type="spellEnd"/>
      <w:r w:rsidR="002B0145" w:rsidRPr="000E643C">
        <w:rPr>
          <w:rFonts w:ascii="Book Antiqua" w:hAnsi="Book Antiqua"/>
          <w:i/>
          <w:iCs/>
          <w:sz w:val="24"/>
          <w:szCs w:val="24"/>
        </w:rPr>
        <w:t xml:space="preserve"> </w:t>
      </w:r>
      <w:proofErr w:type="spellStart"/>
      <w:r w:rsidR="002B0145" w:rsidRPr="000E643C">
        <w:rPr>
          <w:rFonts w:ascii="Book Antiqua" w:hAnsi="Book Antiqua"/>
          <w:i/>
          <w:iCs/>
          <w:sz w:val="24"/>
          <w:szCs w:val="24"/>
        </w:rPr>
        <w:t>Ther</w:t>
      </w:r>
      <w:proofErr w:type="spellEnd"/>
      <w:r w:rsidR="002B0145" w:rsidRPr="000E643C">
        <w:rPr>
          <w:rFonts w:ascii="Book Antiqua" w:hAnsi="Book Antiqua" w:hint="eastAsia"/>
          <w:iCs/>
          <w:sz w:val="24"/>
          <w:szCs w:val="24"/>
          <w:lang w:eastAsia="zh-CN"/>
        </w:rPr>
        <w:t xml:space="preserve"> 2017; </w:t>
      </w:r>
      <w:proofErr w:type="gramStart"/>
      <w:r w:rsidR="002B0145" w:rsidRPr="000E643C">
        <w:rPr>
          <w:rFonts w:ascii="Book Antiqua" w:hAnsi="Book Antiqua" w:hint="eastAsia"/>
          <w:iCs/>
          <w:sz w:val="24"/>
          <w:szCs w:val="24"/>
          <w:lang w:eastAsia="zh-CN"/>
        </w:rPr>
        <w:t>In</w:t>
      </w:r>
      <w:proofErr w:type="gramEnd"/>
      <w:r w:rsidR="002B0145" w:rsidRPr="000E643C">
        <w:rPr>
          <w:rFonts w:ascii="Book Antiqua" w:hAnsi="Book Antiqua" w:hint="eastAsia"/>
          <w:iCs/>
          <w:sz w:val="24"/>
          <w:szCs w:val="24"/>
          <w:lang w:eastAsia="zh-CN"/>
        </w:rPr>
        <w:t xml:space="preserve"> press</w:t>
      </w:r>
    </w:p>
    <w:p w14:paraId="77770D03" w14:textId="77777777" w:rsidR="00DB7369" w:rsidRPr="000E643C" w:rsidRDefault="00DB7369" w:rsidP="00E57DEB">
      <w:pPr>
        <w:widowControl w:val="0"/>
        <w:adjustRightInd w:val="0"/>
        <w:snapToGrid w:val="0"/>
        <w:spacing w:after="0" w:line="360" w:lineRule="auto"/>
        <w:jc w:val="both"/>
        <w:rPr>
          <w:rFonts w:ascii="Book Antiqua" w:hAnsi="Book Antiqua"/>
          <w:sz w:val="24"/>
          <w:szCs w:val="24"/>
        </w:rPr>
      </w:pPr>
    </w:p>
    <w:p w14:paraId="4F814933" w14:textId="77777777" w:rsidR="00DB7369" w:rsidRPr="000E643C" w:rsidRDefault="00DB7369" w:rsidP="00E57DEB">
      <w:pPr>
        <w:widowControl w:val="0"/>
        <w:adjustRightInd w:val="0"/>
        <w:snapToGrid w:val="0"/>
        <w:spacing w:after="0" w:line="360" w:lineRule="auto"/>
        <w:jc w:val="both"/>
        <w:rPr>
          <w:rFonts w:ascii="Book Antiqua" w:hAnsi="Book Antiqua"/>
          <w:sz w:val="24"/>
          <w:szCs w:val="24"/>
        </w:rPr>
      </w:pPr>
    </w:p>
    <w:p w14:paraId="2DE211FB" w14:textId="77777777" w:rsidR="00DB7369" w:rsidRPr="000E643C" w:rsidRDefault="00DB7369" w:rsidP="00E57DEB">
      <w:pPr>
        <w:widowControl w:val="0"/>
        <w:adjustRightInd w:val="0"/>
        <w:snapToGrid w:val="0"/>
        <w:spacing w:after="0" w:line="360" w:lineRule="auto"/>
        <w:jc w:val="both"/>
        <w:rPr>
          <w:rFonts w:ascii="Book Antiqua" w:hAnsi="Book Antiqua"/>
          <w:sz w:val="24"/>
          <w:szCs w:val="24"/>
        </w:rPr>
      </w:pPr>
    </w:p>
    <w:p w14:paraId="54D8859A" w14:textId="77777777" w:rsidR="00B40E34" w:rsidRPr="000E643C" w:rsidRDefault="00B40E34" w:rsidP="00E57DEB">
      <w:pPr>
        <w:widowControl w:val="0"/>
        <w:adjustRightInd w:val="0"/>
        <w:snapToGrid w:val="0"/>
        <w:spacing w:after="0" w:line="360" w:lineRule="auto"/>
        <w:jc w:val="both"/>
        <w:rPr>
          <w:rFonts w:ascii="Book Antiqua" w:hAnsi="Book Antiqua"/>
          <w:sz w:val="24"/>
          <w:szCs w:val="24"/>
        </w:rPr>
      </w:pPr>
    </w:p>
    <w:p w14:paraId="5BAE9535" w14:textId="77777777" w:rsidR="00F26F3F" w:rsidRPr="000E643C" w:rsidRDefault="00F26F3F" w:rsidP="00E57DEB">
      <w:pPr>
        <w:widowControl w:val="0"/>
        <w:adjustRightInd w:val="0"/>
        <w:snapToGrid w:val="0"/>
        <w:spacing w:after="0" w:line="360" w:lineRule="auto"/>
        <w:jc w:val="both"/>
        <w:rPr>
          <w:rFonts w:ascii="Book Antiqua" w:hAnsi="Book Antiqua"/>
          <w:sz w:val="24"/>
          <w:szCs w:val="24"/>
          <w:lang w:eastAsia="zh-CN"/>
        </w:rPr>
      </w:pPr>
    </w:p>
    <w:p w14:paraId="0BDA87E5"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599C1E0D"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5539CBF6"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25528425"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69A448DE"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5E8C6D26"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4C443859"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70329D99"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60D4ECAB"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63884026"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7D11DE73"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318FCA27"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744B150E"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7F73A096"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11E486EB"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0718928F"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54BB195E" w14:textId="77777777" w:rsidR="000C6B46" w:rsidRPr="000E643C" w:rsidRDefault="000C6B46" w:rsidP="00E57DEB">
      <w:pPr>
        <w:widowControl w:val="0"/>
        <w:adjustRightInd w:val="0"/>
        <w:snapToGrid w:val="0"/>
        <w:spacing w:after="0" w:line="360" w:lineRule="auto"/>
        <w:jc w:val="both"/>
        <w:rPr>
          <w:rFonts w:ascii="Book Antiqua" w:hAnsi="Book Antiqua"/>
          <w:sz w:val="24"/>
          <w:szCs w:val="24"/>
          <w:lang w:eastAsia="zh-CN"/>
        </w:rPr>
      </w:pPr>
    </w:p>
    <w:p w14:paraId="539EFC34" w14:textId="77777777" w:rsidR="00F26F3F" w:rsidRPr="000E643C" w:rsidRDefault="00F26F3F" w:rsidP="00E57DEB">
      <w:pPr>
        <w:widowControl w:val="0"/>
        <w:adjustRightInd w:val="0"/>
        <w:snapToGrid w:val="0"/>
        <w:spacing w:after="0" w:line="360" w:lineRule="auto"/>
        <w:jc w:val="both"/>
        <w:rPr>
          <w:rFonts w:ascii="Book Antiqua" w:hAnsi="Book Antiqua"/>
          <w:sz w:val="24"/>
          <w:szCs w:val="24"/>
        </w:rPr>
      </w:pPr>
    </w:p>
    <w:p w14:paraId="118A405C" w14:textId="3A50DDC2" w:rsidR="0069331F" w:rsidRPr="000E643C" w:rsidRDefault="000C6B46" w:rsidP="00E57DEB">
      <w:pPr>
        <w:widowControl w:val="0"/>
        <w:adjustRightInd w:val="0"/>
        <w:snapToGrid w:val="0"/>
        <w:spacing w:after="0" w:line="360" w:lineRule="auto"/>
        <w:jc w:val="both"/>
        <w:rPr>
          <w:rFonts w:ascii="Book Antiqua" w:hAnsi="Book Antiqua"/>
          <w:sz w:val="24"/>
          <w:szCs w:val="24"/>
          <w:lang w:eastAsia="zh-CN"/>
        </w:rPr>
      </w:pPr>
      <w:r w:rsidRPr="000E643C">
        <w:rPr>
          <w:rFonts w:ascii="Book Antiqua" w:hAnsi="Book Antiqua"/>
          <w:sz w:val="24"/>
          <w:szCs w:val="24"/>
        </w:rPr>
        <w:t>INTRODUCTION</w:t>
      </w:r>
    </w:p>
    <w:p w14:paraId="7FD3D3F9" w14:textId="22E18C0E" w:rsidR="0069331F" w:rsidRPr="000E643C" w:rsidRDefault="00796CB0"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Traditional management of I</w:t>
      </w:r>
      <w:r w:rsidR="000C6B46" w:rsidRPr="000E643C">
        <w:rPr>
          <w:rFonts w:ascii="Book Antiqua" w:hAnsi="Book Antiqua"/>
          <w:sz w:val="24"/>
          <w:szCs w:val="24"/>
        </w:rPr>
        <w:t>nflammatory bowel disea</w:t>
      </w:r>
      <w:r w:rsidRPr="000E643C">
        <w:rPr>
          <w:rFonts w:ascii="Book Antiqua" w:hAnsi="Book Antiqua"/>
          <w:sz w:val="24"/>
          <w:szCs w:val="24"/>
        </w:rPr>
        <w:t xml:space="preserve">se (IBD), both Crohn’s </w:t>
      </w:r>
      <w:r w:rsidR="000C6B46" w:rsidRPr="000E643C">
        <w:rPr>
          <w:rFonts w:ascii="Book Antiqua" w:hAnsi="Book Antiqua" w:hint="eastAsia"/>
          <w:sz w:val="24"/>
          <w:szCs w:val="24"/>
          <w:lang w:eastAsia="zh-CN"/>
        </w:rPr>
        <w:t>d</w:t>
      </w:r>
      <w:r w:rsidRPr="000E643C">
        <w:rPr>
          <w:rFonts w:ascii="Book Antiqua" w:hAnsi="Book Antiqua"/>
          <w:sz w:val="24"/>
          <w:szCs w:val="24"/>
        </w:rPr>
        <w:t xml:space="preserve">isease (CD) and </w:t>
      </w:r>
      <w:r w:rsidR="000C6B46" w:rsidRPr="000E643C">
        <w:rPr>
          <w:rFonts w:ascii="Book Antiqua" w:hAnsi="Book Antiqua"/>
          <w:sz w:val="24"/>
          <w:szCs w:val="24"/>
        </w:rPr>
        <w:t>ulcerative col</w:t>
      </w:r>
      <w:r w:rsidRPr="000E643C">
        <w:rPr>
          <w:rFonts w:ascii="Book Antiqua" w:hAnsi="Book Antiqua"/>
          <w:sz w:val="24"/>
          <w:szCs w:val="24"/>
        </w:rPr>
        <w:t xml:space="preserve">itis (UC), involved the stepwise use of 5-aminosalicylate </w:t>
      </w:r>
      <w:r w:rsidRPr="000E643C">
        <w:rPr>
          <w:rFonts w:ascii="Book Antiqua" w:hAnsi="Book Antiqua"/>
          <w:sz w:val="24"/>
          <w:szCs w:val="24"/>
        </w:rPr>
        <w:lastRenderedPageBreak/>
        <w:t>compounds, followed by steroids and then an immune modulator (IMM) such as 6-mercaptopurine (6MP), azathioprine (AZA) or methotrexate (MTX) in those individuals unable to successfully taper off steroids, or those with rapid disease recurrence once steroids were withdrawn.</w:t>
      </w:r>
      <w:r w:rsidR="00E57DEB" w:rsidRPr="000E643C">
        <w:rPr>
          <w:rFonts w:ascii="Book Antiqua" w:hAnsi="Book Antiqua"/>
          <w:sz w:val="24"/>
          <w:szCs w:val="24"/>
        </w:rPr>
        <w:t xml:space="preserve"> </w:t>
      </w:r>
      <w:r w:rsidRPr="000E643C">
        <w:rPr>
          <w:rFonts w:ascii="Book Antiqua" w:hAnsi="Book Antiqua"/>
          <w:sz w:val="24"/>
          <w:szCs w:val="24"/>
        </w:rPr>
        <w:t>While the IMMs are generally ineffective agents for induction of response or remission in IBD</w:t>
      </w:r>
      <w:r w:rsidRPr="000E643C">
        <w:rPr>
          <w:rFonts w:ascii="Book Antiqua" w:hAnsi="Book Antiqua"/>
          <w:sz w:val="24"/>
          <w:szCs w:val="24"/>
          <w:vertAlign w:val="superscript"/>
        </w:rPr>
        <w:t>[1]</w:t>
      </w:r>
      <w:r w:rsidRPr="000E643C">
        <w:rPr>
          <w:rFonts w:ascii="Book Antiqua" w:hAnsi="Book Antiqua"/>
          <w:sz w:val="24"/>
          <w:szCs w:val="24"/>
        </w:rPr>
        <w:t xml:space="preserve"> the </w:t>
      </w:r>
      <w:proofErr w:type="spellStart"/>
      <w:r w:rsidRPr="000E643C">
        <w:rPr>
          <w:rFonts w:ascii="Book Antiqua" w:hAnsi="Book Antiqua"/>
          <w:sz w:val="24"/>
          <w:szCs w:val="24"/>
        </w:rPr>
        <w:t>thiopurines</w:t>
      </w:r>
      <w:proofErr w:type="spellEnd"/>
      <w:r w:rsidRPr="000E643C">
        <w:rPr>
          <w:rFonts w:ascii="Book Antiqua" w:hAnsi="Book Antiqua"/>
          <w:sz w:val="24"/>
          <w:szCs w:val="24"/>
        </w:rPr>
        <w:t xml:space="preserve"> 6MP/AZA have proven to be effective for the maintenance of response and remission in CD and UC</w:t>
      </w:r>
      <w:r w:rsidRPr="000E643C">
        <w:rPr>
          <w:rFonts w:ascii="Book Antiqua" w:hAnsi="Book Antiqua"/>
          <w:sz w:val="24"/>
          <w:szCs w:val="24"/>
          <w:vertAlign w:val="superscript"/>
        </w:rPr>
        <w:t>[</w:t>
      </w:r>
      <w:r w:rsidR="00EB1659" w:rsidRPr="000E643C">
        <w:rPr>
          <w:rFonts w:ascii="Book Antiqua" w:hAnsi="Book Antiqua"/>
          <w:sz w:val="24"/>
          <w:szCs w:val="24"/>
          <w:vertAlign w:val="superscript"/>
        </w:rPr>
        <w:t>,</w:t>
      </w:r>
      <w:r w:rsidRPr="000E643C">
        <w:rPr>
          <w:rFonts w:ascii="Book Antiqua" w:hAnsi="Book Antiqua"/>
          <w:sz w:val="24"/>
          <w:szCs w:val="24"/>
          <w:vertAlign w:val="superscript"/>
        </w:rPr>
        <w:t>1,2]</w:t>
      </w:r>
      <w:r w:rsidR="00E57DEB" w:rsidRPr="000E643C">
        <w:rPr>
          <w:rFonts w:ascii="Book Antiqua" w:hAnsi="Book Antiqua" w:cs="Arial"/>
          <w:sz w:val="24"/>
          <w:szCs w:val="24"/>
          <w:shd w:val="clear" w:color="auto" w:fill="FFFFFF"/>
        </w:rPr>
        <w:t xml:space="preserve"> </w:t>
      </w:r>
      <w:r w:rsidR="00EB1659" w:rsidRPr="000E643C">
        <w:rPr>
          <w:rFonts w:ascii="Book Antiqua" w:hAnsi="Book Antiqua"/>
          <w:sz w:val="24"/>
          <w:szCs w:val="24"/>
        </w:rPr>
        <w:t>while t</w:t>
      </w:r>
      <w:r w:rsidRPr="000E643C">
        <w:rPr>
          <w:rFonts w:ascii="Book Antiqua" w:hAnsi="Book Antiqua"/>
          <w:sz w:val="24"/>
          <w:szCs w:val="24"/>
        </w:rPr>
        <w:t>he purine analogue MTX appears to offer the same benefit for CD</w:t>
      </w:r>
      <w:r w:rsidR="00EF070E" w:rsidRPr="000E643C">
        <w:rPr>
          <w:rFonts w:ascii="Book Antiqua" w:hAnsi="Book Antiqua"/>
          <w:sz w:val="24"/>
          <w:szCs w:val="24"/>
          <w:vertAlign w:val="superscript"/>
        </w:rPr>
        <w:t>[3]</w:t>
      </w:r>
      <w:r w:rsidR="00140EA1" w:rsidRPr="000E643C">
        <w:rPr>
          <w:rFonts w:ascii="Book Antiqua" w:hAnsi="Book Antiqua"/>
          <w:sz w:val="24"/>
          <w:szCs w:val="24"/>
        </w:rPr>
        <w:t>.</w:t>
      </w:r>
      <w:r w:rsidR="00FD1A48" w:rsidRPr="000E643C">
        <w:rPr>
          <w:rFonts w:ascii="Book Antiqua" w:hAnsi="Book Antiqua"/>
          <w:sz w:val="24"/>
          <w:szCs w:val="24"/>
        </w:rPr>
        <w:t xml:space="preserve"> B</w:t>
      </w:r>
      <w:r w:rsidRPr="000E643C">
        <w:rPr>
          <w:rFonts w:ascii="Book Antiqua" w:hAnsi="Book Antiqua"/>
          <w:sz w:val="24"/>
          <w:szCs w:val="24"/>
        </w:rPr>
        <w:t>eginning in the 1990’s, biologic therapies targeting tumor necrosis factor alpha</w:t>
      </w:r>
      <w:r w:rsidR="00E57DEB" w:rsidRPr="000E643C">
        <w:rPr>
          <w:rFonts w:ascii="Book Antiqua" w:hAnsi="Book Antiqua"/>
          <w:sz w:val="24"/>
          <w:szCs w:val="24"/>
        </w:rPr>
        <w:t xml:space="preserve"> </w:t>
      </w:r>
      <w:r w:rsidRPr="000E643C">
        <w:rPr>
          <w:rFonts w:ascii="Book Antiqua" w:hAnsi="Book Antiqua"/>
          <w:sz w:val="24"/>
          <w:szCs w:val="24"/>
        </w:rPr>
        <w:t>(TNF-</w:t>
      </w:r>
      <w:r w:rsidRPr="000E643C">
        <w:rPr>
          <w:rFonts w:ascii="Book Antiqua" w:hAnsi="Book Antiqua" w:cs="Times New Roman"/>
          <w:sz w:val="24"/>
          <w:szCs w:val="24"/>
        </w:rPr>
        <w:t>α</w:t>
      </w:r>
      <w:r w:rsidRPr="000E643C">
        <w:rPr>
          <w:rFonts w:ascii="Book Antiqua" w:hAnsi="Book Antiqua"/>
          <w:sz w:val="24"/>
          <w:szCs w:val="24"/>
        </w:rPr>
        <w:t>) entered into this paradigm.</w:t>
      </w:r>
      <w:r w:rsidR="00E57DEB" w:rsidRPr="000E643C">
        <w:rPr>
          <w:rFonts w:ascii="Book Antiqua" w:hAnsi="Book Antiqua"/>
          <w:sz w:val="24"/>
          <w:szCs w:val="24"/>
        </w:rPr>
        <w:t xml:space="preserve"> </w:t>
      </w:r>
      <w:r w:rsidRPr="000E643C">
        <w:rPr>
          <w:rFonts w:ascii="Book Antiqua" w:hAnsi="Book Antiqua"/>
          <w:sz w:val="24"/>
          <w:szCs w:val="24"/>
        </w:rPr>
        <w:t>The first in class medication infliximab (IFX) was initially shown to be effective both for induction and maintenance of remission for CD, and latter for UC.</w:t>
      </w:r>
      <w:r w:rsidR="00E57DEB" w:rsidRPr="000E643C">
        <w:rPr>
          <w:rFonts w:ascii="Book Antiqua" w:hAnsi="Book Antiqua"/>
          <w:sz w:val="24"/>
          <w:szCs w:val="24"/>
        </w:rPr>
        <w:t xml:space="preserve"> </w:t>
      </w:r>
      <w:r w:rsidRPr="000E643C">
        <w:rPr>
          <w:rFonts w:ascii="Book Antiqua" w:hAnsi="Book Antiqua"/>
          <w:sz w:val="24"/>
          <w:szCs w:val="24"/>
        </w:rPr>
        <w:t>In the years that followed, IFX was followed by other TNF-</w:t>
      </w:r>
      <w:r w:rsidRPr="000E643C">
        <w:rPr>
          <w:rFonts w:ascii="Book Antiqua" w:hAnsi="Book Antiqua" w:cs="Times New Roman"/>
          <w:sz w:val="24"/>
          <w:szCs w:val="24"/>
        </w:rPr>
        <w:t>α</w:t>
      </w:r>
      <w:r w:rsidRPr="000E643C">
        <w:rPr>
          <w:rFonts w:ascii="Book Antiqua" w:hAnsi="Book Antiqua"/>
          <w:sz w:val="24"/>
          <w:szCs w:val="24"/>
        </w:rPr>
        <w:t xml:space="preserve"> blockers including adalimumab (ADA) for CD and UC, </w:t>
      </w:r>
      <w:proofErr w:type="spellStart"/>
      <w:r w:rsidRPr="000E643C">
        <w:rPr>
          <w:rFonts w:ascii="Book Antiqua" w:hAnsi="Book Antiqua"/>
          <w:sz w:val="24"/>
          <w:szCs w:val="24"/>
        </w:rPr>
        <w:t>certolizumab</w:t>
      </w:r>
      <w:proofErr w:type="spellEnd"/>
      <w:r w:rsidRPr="000E643C">
        <w:rPr>
          <w:rFonts w:ascii="Book Antiqua" w:hAnsi="Book Antiqua"/>
          <w:sz w:val="24"/>
          <w:szCs w:val="24"/>
        </w:rPr>
        <w:t xml:space="preserve"> </w:t>
      </w:r>
      <w:proofErr w:type="spellStart"/>
      <w:r w:rsidRPr="000E643C">
        <w:rPr>
          <w:rFonts w:ascii="Book Antiqua" w:hAnsi="Book Antiqua"/>
          <w:sz w:val="24"/>
          <w:szCs w:val="24"/>
        </w:rPr>
        <w:t>pegol</w:t>
      </w:r>
      <w:proofErr w:type="spellEnd"/>
      <w:r w:rsidRPr="000E643C">
        <w:rPr>
          <w:rFonts w:ascii="Book Antiqua" w:hAnsi="Book Antiqua" w:cs="Arial"/>
          <w:sz w:val="24"/>
          <w:szCs w:val="24"/>
          <w:shd w:val="clear" w:color="auto" w:fill="FFFFFF"/>
        </w:rPr>
        <w:t xml:space="preserve"> </w:t>
      </w:r>
      <w:r w:rsidRPr="000E643C">
        <w:rPr>
          <w:rFonts w:ascii="Book Antiqua" w:hAnsi="Book Antiqua"/>
          <w:sz w:val="24"/>
          <w:szCs w:val="24"/>
        </w:rPr>
        <w:t xml:space="preserve">for CD, and </w:t>
      </w:r>
      <w:proofErr w:type="spellStart"/>
      <w:r w:rsidRPr="000E643C">
        <w:rPr>
          <w:rFonts w:ascii="Book Antiqua" w:hAnsi="Book Antiqua"/>
          <w:sz w:val="24"/>
          <w:szCs w:val="24"/>
        </w:rPr>
        <w:t>golimumab</w:t>
      </w:r>
      <w:proofErr w:type="spellEnd"/>
      <w:r w:rsidRPr="000E643C">
        <w:rPr>
          <w:rFonts w:ascii="Book Antiqua" w:hAnsi="Book Antiqua"/>
          <w:sz w:val="24"/>
          <w:szCs w:val="24"/>
        </w:rPr>
        <w:t xml:space="preserve"> for UC.</w:t>
      </w:r>
      <w:r w:rsidR="00E57DEB" w:rsidRPr="000E643C">
        <w:rPr>
          <w:rFonts w:ascii="Book Antiqua" w:hAnsi="Book Antiqua"/>
          <w:sz w:val="24"/>
          <w:szCs w:val="24"/>
        </w:rPr>
        <w:t xml:space="preserve"> </w:t>
      </w:r>
      <w:r w:rsidRPr="000E643C">
        <w:rPr>
          <w:rFonts w:ascii="Book Antiqua" w:hAnsi="Book Antiqua"/>
          <w:sz w:val="24"/>
          <w:szCs w:val="24"/>
        </w:rPr>
        <w:t>Even more recently we have seen the addition of biologics targeted at different points in the body’s inflammatory response, such as the anti-</w:t>
      </w:r>
      <w:proofErr w:type="spellStart"/>
      <w:r w:rsidRPr="000E643C">
        <w:rPr>
          <w:rFonts w:ascii="Book Antiqua" w:hAnsi="Book Antiqua"/>
          <w:sz w:val="24"/>
          <w:szCs w:val="24"/>
        </w:rPr>
        <w:t>integrins</w:t>
      </w:r>
      <w:proofErr w:type="spellEnd"/>
      <w:r w:rsidRPr="000E643C">
        <w:rPr>
          <w:rFonts w:ascii="Book Antiqua" w:hAnsi="Book Antiqua"/>
          <w:sz w:val="24"/>
          <w:szCs w:val="24"/>
        </w:rPr>
        <w:t xml:space="preserve"> </w:t>
      </w:r>
      <w:proofErr w:type="spellStart"/>
      <w:r w:rsidRPr="000E643C">
        <w:rPr>
          <w:rFonts w:ascii="Book Antiqua" w:hAnsi="Book Antiqua"/>
          <w:sz w:val="24"/>
          <w:szCs w:val="24"/>
        </w:rPr>
        <w:t>natalizumab</w:t>
      </w:r>
      <w:proofErr w:type="spellEnd"/>
      <w:r w:rsidRPr="000E643C">
        <w:rPr>
          <w:rFonts w:ascii="Book Antiqua" w:hAnsi="Book Antiqua"/>
          <w:sz w:val="24"/>
          <w:szCs w:val="24"/>
        </w:rPr>
        <w:t xml:space="preserve"> and </w:t>
      </w:r>
      <w:proofErr w:type="spellStart"/>
      <w:r w:rsidRPr="000E643C">
        <w:rPr>
          <w:rFonts w:ascii="Book Antiqua" w:hAnsi="Book Antiqua"/>
          <w:sz w:val="24"/>
          <w:szCs w:val="24"/>
        </w:rPr>
        <w:t>vedolizumab</w:t>
      </w:r>
      <w:proofErr w:type="spellEnd"/>
      <w:r w:rsidRPr="000E643C">
        <w:rPr>
          <w:rFonts w:ascii="Book Antiqua" w:hAnsi="Book Antiqua"/>
          <w:sz w:val="24"/>
          <w:szCs w:val="24"/>
        </w:rPr>
        <w:t xml:space="preserve"> (VDZ) which inhibit the migration of white blood cells, mostly activated T cells to areas of bowel inflammation, as well </w:t>
      </w:r>
      <w:proofErr w:type="spellStart"/>
      <w:r w:rsidRPr="000E643C">
        <w:rPr>
          <w:rFonts w:ascii="Book Antiqua" w:hAnsi="Book Antiqua"/>
          <w:sz w:val="24"/>
          <w:szCs w:val="24"/>
        </w:rPr>
        <w:t>ustekinumab</w:t>
      </w:r>
      <w:proofErr w:type="spellEnd"/>
      <w:r w:rsidRPr="000E643C">
        <w:rPr>
          <w:rFonts w:ascii="Book Antiqua" w:hAnsi="Book Antiqua"/>
          <w:sz w:val="24"/>
          <w:szCs w:val="24"/>
        </w:rPr>
        <w:t xml:space="preserve"> which blocks the IL 12/23 pathway of inflammation. </w:t>
      </w:r>
    </w:p>
    <w:p w14:paraId="7C77ED64" w14:textId="5AA3B143" w:rsidR="0069331F" w:rsidRPr="000E643C" w:rsidRDefault="00796CB0" w:rsidP="00EF070E">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Consistently, clinical trials of biologics have involved the use of these newer therapies in combination with IMMs.</w:t>
      </w:r>
      <w:r w:rsidR="00E57DEB" w:rsidRPr="000E643C">
        <w:rPr>
          <w:rFonts w:ascii="Book Antiqua" w:hAnsi="Book Antiqua"/>
          <w:sz w:val="24"/>
          <w:szCs w:val="24"/>
        </w:rPr>
        <w:t xml:space="preserve"> </w:t>
      </w:r>
      <w:r w:rsidRPr="000E643C">
        <w:rPr>
          <w:rFonts w:ascii="Book Antiqua" w:hAnsi="Book Antiqua"/>
          <w:sz w:val="24"/>
          <w:szCs w:val="24"/>
        </w:rPr>
        <w:t>Initially, the use of this form of combination therapy (CT) was a natural outgrowth of the failure of IMMs to fully control disease in some of the clinical trial population, with the biologic therapy added on to continued IMM treatment.</w:t>
      </w:r>
      <w:r w:rsidR="00E57DEB" w:rsidRPr="000E643C">
        <w:rPr>
          <w:rFonts w:ascii="Book Antiqua" w:hAnsi="Book Antiqua"/>
          <w:sz w:val="24"/>
          <w:szCs w:val="24"/>
        </w:rPr>
        <w:t xml:space="preserve"> </w:t>
      </w:r>
      <w:r w:rsidRPr="000E643C">
        <w:rPr>
          <w:rFonts w:ascii="Book Antiqua" w:hAnsi="Book Antiqua"/>
          <w:sz w:val="24"/>
          <w:szCs w:val="24"/>
        </w:rPr>
        <w:t>While the initial clinical trials of IFX did not show any improved response with the use of CT over monotherapy with biologic alone, there were some other findings which suggested that the use of both classes of medications together might be superior to one or the other alone.</w:t>
      </w:r>
      <w:r w:rsidR="00E57DEB" w:rsidRPr="000E643C">
        <w:rPr>
          <w:rFonts w:ascii="Book Antiqua" w:hAnsi="Book Antiqua"/>
          <w:sz w:val="24"/>
          <w:szCs w:val="24"/>
        </w:rPr>
        <w:t xml:space="preserve"> </w:t>
      </w:r>
      <w:r w:rsidRPr="000E643C">
        <w:rPr>
          <w:rFonts w:ascii="Book Antiqua" w:hAnsi="Book Antiqua"/>
          <w:sz w:val="24"/>
          <w:szCs w:val="24"/>
        </w:rPr>
        <w:t>In a way, the potential benefit of CT would seem to be an answer to an obvious question:</w:t>
      </w:r>
      <w:r w:rsidR="00E57DEB" w:rsidRPr="000E643C">
        <w:rPr>
          <w:rFonts w:ascii="Book Antiqua" w:hAnsi="Book Antiqua"/>
          <w:sz w:val="24"/>
          <w:szCs w:val="24"/>
        </w:rPr>
        <w:t xml:space="preserve"> </w:t>
      </w:r>
      <w:r w:rsidRPr="000E643C">
        <w:rPr>
          <w:rFonts w:ascii="Book Antiqua" w:hAnsi="Book Antiqua"/>
          <w:sz w:val="24"/>
          <w:szCs w:val="24"/>
        </w:rPr>
        <w:t>If one has access to two separate therapies with different mechanisms, each less than 100% effective, can the use of both in combination increase the rates of response over each individually?</w:t>
      </w:r>
    </w:p>
    <w:p w14:paraId="06B23D69" w14:textId="1A5A61C5" w:rsidR="0069331F" w:rsidRPr="000E643C" w:rsidRDefault="00796CB0" w:rsidP="00EF070E">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In the following review we will address the basic questions both the clinician and patient will need to have answered b</w:t>
      </w:r>
      <w:r w:rsidR="00EF070E" w:rsidRPr="000E643C">
        <w:rPr>
          <w:rFonts w:ascii="Book Antiqua" w:hAnsi="Book Antiqua"/>
          <w:sz w:val="24"/>
          <w:szCs w:val="24"/>
        </w:rPr>
        <w:t>efore considering the use of CT</w:t>
      </w:r>
      <w:r w:rsidR="00EF070E" w:rsidRPr="000E643C">
        <w:rPr>
          <w:rFonts w:ascii="Book Antiqua" w:hAnsi="Book Antiqua" w:hint="eastAsia"/>
          <w:sz w:val="24"/>
          <w:szCs w:val="24"/>
          <w:lang w:eastAsia="zh-CN"/>
        </w:rPr>
        <w:t xml:space="preserve">; (1) </w:t>
      </w:r>
      <w:r w:rsidRPr="000E643C">
        <w:rPr>
          <w:rFonts w:ascii="Book Antiqua" w:hAnsi="Book Antiqua"/>
          <w:sz w:val="24"/>
          <w:szCs w:val="24"/>
        </w:rPr>
        <w:t xml:space="preserve">Does CT work, </w:t>
      </w:r>
      <w:r w:rsidRPr="000E643C">
        <w:rPr>
          <w:rFonts w:ascii="Book Antiqua" w:hAnsi="Book Antiqua"/>
          <w:sz w:val="24"/>
          <w:szCs w:val="24"/>
        </w:rPr>
        <w:lastRenderedPageBreak/>
        <w:t>and why does it work?</w:t>
      </w:r>
      <w:r w:rsidR="00EF070E" w:rsidRPr="000E643C">
        <w:rPr>
          <w:rFonts w:ascii="Book Antiqua" w:hAnsi="Book Antiqua" w:hint="eastAsia"/>
          <w:sz w:val="24"/>
          <w:szCs w:val="24"/>
          <w:lang w:eastAsia="zh-CN"/>
        </w:rPr>
        <w:t xml:space="preserve"> (2) </w:t>
      </w:r>
      <w:r w:rsidRPr="000E643C">
        <w:rPr>
          <w:rFonts w:ascii="Book Antiqua" w:hAnsi="Book Antiqua"/>
          <w:sz w:val="24"/>
          <w:szCs w:val="24"/>
        </w:rPr>
        <w:t>Is CT effective for those with either CD or UC?</w:t>
      </w:r>
      <w:r w:rsidR="00EF070E" w:rsidRPr="000E643C">
        <w:rPr>
          <w:rFonts w:ascii="Book Antiqua" w:hAnsi="Book Antiqua" w:hint="eastAsia"/>
          <w:sz w:val="24"/>
          <w:szCs w:val="24"/>
          <w:lang w:eastAsia="zh-CN"/>
        </w:rPr>
        <w:t xml:space="preserve"> (3) </w:t>
      </w:r>
      <w:r w:rsidRPr="000E643C">
        <w:rPr>
          <w:rFonts w:ascii="Book Antiqua" w:hAnsi="Book Antiqua"/>
          <w:sz w:val="24"/>
          <w:szCs w:val="24"/>
        </w:rPr>
        <w:t>Is CT effective for different combinations of IMM and biologic?</w:t>
      </w:r>
      <w:r w:rsidR="00EF070E" w:rsidRPr="000E643C">
        <w:rPr>
          <w:rFonts w:ascii="Book Antiqua" w:hAnsi="Book Antiqua" w:hint="eastAsia"/>
          <w:sz w:val="24"/>
          <w:szCs w:val="24"/>
          <w:lang w:eastAsia="zh-CN"/>
        </w:rPr>
        <w:t xml:space="preserve"> (4) </w:t>
      </w:r>
      <w:r w:rsidRPr="000E643C">
        <w:rPr>
          <w:rFonts w:ascii="Book Antiqua" w:hAnsi="Book Antiqua"/>
          <w:sz w:val="24"/>
          <w:szCs w:val="24"/>
        </w:rPr>
        <w:t>Is CT effective at all stages of IBD therapy?</w:t>
      </w:r>
      <w:r w:rsidR="00EF070E" w:rsidRPr="000E643C">
        <w:rPr>
          <w:rFonts w:ascii="Book Antiqua" w:hAnsi="Book Antiqua" w:hint="eastAsia"/>
          <w:sz w:val="24"/>
          <w:szCs w:val="24"/>
          <w:lang w:eastAsia="zh-CN"/>
        </w:rPr>
        <w:t xml:space="preserve"> (5) </w:t>
      </w:r>
      <w:r w:rsidRPr="000E643C">
        <w:rPr>
          <w:rFonts w:ascii="Book Antiqua" w:hAnsi="Book Antiqua"/>
          <w:sz w:val="24"/>
          <w:szCs w:val="24"/>
        </w:rPr>
        <w:t>Is CT safe?</w:t>
      </w:r>
      <w:r w:rsidR="00EF070E" w:rsidRPr="000E643C">
        <w:rPr>
          <w:rFonts w:ascii="Book Antiqua" w:hAnsi="Book Antiqua" w:hint="eastAsia"/>
          <w:sz w:val="24"/>
          <w:szCs w:val="24"/>
          <w:lang w:eastAsia="zh-CN"/>
        </w:rPr>
        <w:t xml:space="preserve"> (6) </w:t>
      </w:r>
      <w:r w:rsidRPr="000E643C">
        <w:rPr>
          <w:rFonts w:ascii="Book Antiqua" w:hAnsi="Book Antiqua"/>
          <w:sz w:val="24"/>
          <w:szCs w:val="24"/>
        </w:rPr>
        <w:t>Is CT being utilized?</w:t>
      </w:r>
      <w:r w:rsidR="00EF070E" w:rsidRPr="000E643C">
        <w:rPr>
          <w:rFonts w:ascii="Book Antiqua" w:hAnsi="Book Antiqua" w:hint="eastAsia"/>
          <w:sz w:val="24"/>
          <w:szCs w:val="24"/>
          <w:lang w:eastAsia="zh-CN"/>
        </w:rPr>
        <w:t xml:space="preserve"> </w:t>
      </w:r>
      <w:proofErr w:type="gramStart"/>
      <w:r w:rsidR="000E643C" w:rsidRPr="000E643C">
        <w:rPr>
          <w:rFonts w:ascii="Book Antiqua" w:hAnsi="Book Antiqua" w:hint="eastAsia"/>
          <w:sz w:val="24"/>
          <w:szCs w:val="24"/>
          <w:lang w:eastAsia="zh-CN"/>
        </w:rPr>
        <w:t>a</w:t>
      </w:r>
      <w:r w:rsidR="00EF070E" w:rsidRPr="000E643C">
        <w:rPr>
          <w:rFonts w:ascii="Book Antiqua" w:hAnsi="Book Antiqua" w:hint="eastAsia"/>
          <w:sz w:val="24"/>
          <w:szCs w:val="24"/>
          <w:lang w:eastAsia="zh-CN"/>
        </w:rPr>
        <w:t>nd</w:t>
      </w:r>
      <w:proofErr w:type="gramEnd"/>
      <w:r w:rsidR="00EF070E" w:rsidRPr="000E643C">
        <w:rPr>
          <w:rFonts w:ascii="Book Antiqua" w:hAnsi="Book Antiqua" w:hint="eastAsia"/>
          <w:sz w:val="24"/>
          <w:szCs w:val="24"/>
          <w:lang w:eastAsia="zh-CN"/>
        </w:rPr>
        <w:t xml:space="preserve"> (7) </w:t>
      </w:r>
      <w:r w:rsidRPr="000E643C">
        <w:rPr>
          <w:rFonts w:ascii="Book Antiqua" w:hAnsi="Book Antiqua"/>
          <w:sz w:val="24"/>
          <w:szCs w:val="24"/>
        </w:rPr>
        <w:t>What do the experts say about CT?</w:t>
      </w:r>
    </w:p>
    <w:p w14:paraId="0EAAEC24" w14:textId="77777777" w:rsidR="000E643C" w:rsidRPr="000E643C" w:rsidRDefault="000E643C" w:rsidP="00E57DEB">
      <w:pPr>
        <w:widowControl w:val="0"/>
        <w:adjustRightInd w:val="0"/>
        <w:snapToGrid w:val="0"/>
        <w:spacing w:after="0" w:line="360" w:lineRule="auto"/>
        <w:jc w:val="both"/>
        <w:rPr>
          <w:rFonts w:ascii="Book Antiqua" w:hAnsi="Book Antiqua"/>
          <w:b/>
          <w:sz w:val="24"/>
          <w:szCs w:val="24"/>
          <w:u w:val="single"/>
          <w:lang w:eastAsia="zh-CN"/>
        </w:rPr>
      </w:pPr>
    </w:p>
    <w:p w14:paraId="0ADF2710" w14:textId="68AB7DA5" w:rsidR="0069331F" w:rsidRPr="000E643C" w:rsidRDefault="000E643C" w:rsidP="00E57DEB">
      <w:pPr>
        <w:widowControl w:val="0"/>
        <w:adjustRightInd w:val="0"/>
        <w:snapToGrid w:val="0"/>
        <w:spacing w:after="0" w:line="360" w:lineRule="auto"/>
        <w:jc w:val="both"/>
        <w:rPr>
          <w:rFonts w:ascii="Book Antiqua" w:hAnsi="Book Antiqua"/>
          <w:b/>
          <w:sz w:val="24"/>
          <w:szCs w:val="24"/>
        </w:rPr>
      </w:pPr>
      <w:r w:rsidRPr="000E643C">
        <w:rPr>
          <w:rFonts w:ascii="Book Antiqua" w:hAnsi="Book Antiqua"/>
          <w:b/>
          <w:sz w:val="24"/>
          <w:szCs w:val="24"/>
        </w:rPr>
        <w:t>DOES CT WORK/WHY DOES IT WORK?</w:t>
      </w:r>
    </w:p>
    <w:p w14:paraId="2DEA53E0" w14:textId="482CE689" w:rsidR="0069331F" w:rsidRPr="000E643C" w:rsidRDefault="00796CB0" w:rsidP="00E57DEB">
      <w:pPr>
        <w:widowControl w:val="0"/>
        <w:adjustRightInd w:val="0"/>
        <w:snapToGrid w:val="0"/>
        <w:spacing w:after="0" w:line="360" w:lineRule="auto"/>
        <w:jc w:val="both"/>
        <w:rPr>
          <w:rFonts w:ascii="Book Antiqua" w:hAnsi="Book Antiqua"/>
          <w:b/>
          <w:sz w:val="24"/>
          <w:szCs w:val="24"/>
        </w:rPr>
      </w:pPr>
      <w:r w:rsidRPr="000E643C">
        <w:rPr>
          <w:rFonts w:ascii="Book Antiqua" w:hAnsi="Book Antiqua"/>
          <w:sz w:val="24"/>
          <w:szCs w:val="24"/>
        </w:rPr>
        <w:t>Though the earliest clinical trials of IFX were not designed to assess the efficacy of CT, study design permitting continued IMM use provided some early data on the effect of CT.</w:t>
      </w:r>
      <w:r w:rsidR="00E57DEB" w:rsidRPr="000E643C">
        <w:rPr>
          <w:rFonts w:ascii="Book Antiqua" w:hAnsi="Book Antiqua"/>
          <w:sz w:val="24"/>
          <w:szCs w:val="24"/>
        </w:rPr>
        <w:t xml:space="preserve"> </w:t>
      </w:r>
      <w:r w:rsidRPr="000E643C">
        <w:rPr>
          <w:rFonts w:ascii="Book Antiqua" w:hAnsi="Book Antiqua"/>
          <w:sz w:val="24"/>
          <w:szCs w:val="24"/>
        </w:rPr>
        <w:t>Given the few options for alternate therapy available at the time, a majority of patient</w:t>
      </w:r>
      <w:r w:rsidR="00870F77" w:rsidRPr="000E643C">
        <w:rPr>
          <w:rFonts w:ascii="Book Antiqua" w:hAnsi="Book Antiqua"/>
          <w:sz w:val="24"/>
          <w:szCs w:val="24"/>
        </w:rPr>
        <w:t xml:space="preserve">s in the phase 3 trials of IFX </w:t>
      </w:r>
      <w:r w:rsidRPr="000E643C">
        <w:rPr>
          <w:rFonts w:ascii="Book Antiqua" w:hAnsi="Book Antiqua"/>
          <w:sz w:val="24"/>
          <w:szCs w:val="24"/>
        </w:rPr>
        <w:t>for both CD and UC had experienced prior failure of IMM therapy with either 6MP/AZA or MTX.</w:t>
      </w:r>
      <w:r w:rsidR="00E57DEB" w:rsidRPr="000E643C">
        <w:rPr>
          <w:rFonts w:ascii="Book Antiqua" w:hAnsi="Book Antiqua"/>
          <w:sz w:val="24"/>
          <w:szCs w:val="24"/>
        </w:rPr>
        <w:t xml:space="preserve"> </w:t>
      </w:r>
      <w:r w:rsidRPr="000E643C">
        <w:rPr>
          <w:rFonts w:ascii="Book Antiqua" w:hAnsi="Book Antiqua"/>
          <w:sz w:val="24"/>
          <w:szCs w:val="24"/>
        </w:rPr>
        <w:t>For many, this failure to achieve remission likely involved a partial response rather than a complete lack of efficacy.</w:t>
      </w:r>
      <w:r w:rsidR="00E57DEB" w:rsidRPr="000E643C">
        <w:rPr>
          <w:rFonts w:ascii="Book Antiqua" w:hAnsi="Book Antiqua"/>
          <w:sz w:val="24"/>
          <w:szCs w:val="24"/>
        </w:rPr>
        <w:t xml:space="preserve"> </w:t>
      </w:r>
      <w:r w:rsidRPr="000E643C">
        <w:rPr>
          <w:rFonts w:ascii="Book Antiqua" w:hAnsi="Book Antiqua"/>
          <w:sz w:val="24"/>
          <w:szCs w:val="24"/>
        </w:rPr>
        <w:t>In either c</w:t>
      </w:r>
      <w:r w:rsidR="008F1A0A" w:rsidRPr="000E643C">
        <w:rPr>
          <w:rFonts w:ascii="Book Antiqua" w:hAnsi="Book Antiqua"/>
          <w:sz w:val="24"/>
          <w:szCs w:val="24"/>
        </w:rPr>
        <w:t xml:space="preserve">ase, large numbers of patients </w:t>
      </w:r>
      <w:r w:rsidRPr="000E643C">
        <w:rPr>
          <w:rFonts w:ascii="Book Antiqua" w:hAnsi="Book Antiqua"/>
          <w:sz w:val="24"/>
          <w:szCs w:val="24"/>
        </w:rPr>
        <w:t>entering these trials continued on prior IMM therapy.</w:t>
      </w:r>
      <w:r w:rsidR="00E57DEB" w:rsidRPr="000E643C">
        <w:rPr>
          <w:rFonts w:ascii="Book Antiqua" w:hAnsi="Book Antiqua"/>
          <w:sz w:val="24"/>
          <w:szCs w:val="24"/>
        </w:rPr>
        <w:t xml:space="preserve"> </w:t>
      </w:r>
      <w:r w:rsidRPr="000E643C">
        <w:rPr>
          <w:rFonts w:ascii="Book Antiqua" w:hAnsi="Book Antiqua"/>
          <w:sz w:val="24"/>
          <w:szCs w:val="24"/>
        </w:rPr>
        <w:t>This “step up” approach to CT will be discussed in more detail in the following sections.</w:t>
      </w:r>
      <w:r w:rsidR="00E57DEB" w:rsidRPr="000E643C">
        <w:rPr>
          <w:rFonts w:ascii="Book Antiqua" w:hAnsi="Book Antiqua"/>
          <w:sz w:val="24"/>
          <w:szCs w:val="24"/>
        </w:rPr>
        <w:t xml:space="preserve"> </w:t>
      </w:r>
      <w:r w:rsidRPr="000E643C">
        <w:rPr>
          <w:rFonts w:ascii="Book Antiqua" w:hAnsi="Book Antiqua"/>
          <w:sz w:val="24"/>
          <w:szCs w:val="24"/>
        </w:rPr>
        <w:t>In the case of the CD trials ACCENT 1 and ACCENT 2</w:t>
      </w:r>
      <w:r w:rsidRPr="000E643C">
        <w:rPr>
          <w:rFonts w:ascii="Book Antiqua" w:hAnsi="Book Antiqua"/>
          <w:sz w:val="24"/>
          <w:szCs w:val="24"/>
          <w:vertAlign w:val="superscript"/>
        </w:rPr>
        <w:t>[4,5]</w:t>
      </w:r>
      <w:r w:rsidR="000D54E5" w:rsidRPr="000E643C">
        <w:rPr>
          <w:rFonts w:ascii="Book Antiqua" w:hAnsi="Book Antiqua"/>
          <w:b/>
          <w:sz w:val="24"/>
          <w:szCs w:val="24"/>
        </w:rPr>
        <w:t xml:space="preserve"> </w:t>
      </w:r>
      <w:r w:rsidRPr="000E643C">
        <w:rPr>
          <w:rFonts w:ascii="Book Antiqua" w:hAnsi="Book Antiqua"/>
          <w:sz w:val="24"/>
          <w:szCs w:val="24"/>
        </w:rPr>
        <w:t>approximately 50% of study patients, well matched by active treatment and placebo arms, continued on IMMs.</w:t>
      </w:r>
      <w:r w:rsidR="00E57DEB" w:rsidRPr="000E643C">
        <w:rPr>
          <w:rFonts w:ascii="Book Antiqua" w:hAnsi="Book Antiqua"/>
          <w:sz w:val="24"/>
          <w:szCs w:val="24"/>
        </w:rPr>
        <w:t xml:space="preserve"> </w:t>
      </w:r>
      <w:r w:rsidRPr="000E643C">
        <w:rPr>
          <w:rFonts w:ascii="Book Antiqua" w:hAnsi="Book Antiqua"/>
          <w:sz w:val="24"/>
          <w:szCs w:val="24"/>
        </w:rPr>
        <w:t xml:space="preserve">In the UC studies of IFX, ACT 1 and 2, approximately 33% of patients were on IMMs at study </w:t>
      </w:r>
      <w:proofErr w:type="gramStart"/>
      <w:r w:rsidRPr="000E643C">
        <w:rPr>
          <w:rFonts w:ascii="Book Antiqua" w:hAnsi="Book Antiqua"/>
          <w:sz w:val="24"/>
          <w:szCs w:val="24"/>
        </w:rPr>
        <w:t>entry</w:t>
      </w:r>
      <w:r w:rsidR="000E643C" w:rsidRPr="000E643C">
        <w:rPr>
          <w:rFonts w:ascii="Book Antiqua" w:hAnsi="Book Antiqua"/>
          <w:sz w:val="24"/>
          <w:szCs w:val="24"/>
          <w:vertAlign w:val="superscript"/>
        </w:rPr>
        <w:t>[</w:t>
      </w:r>
      <w:proofErr w:type="gramEnd"/>
      <w:r w:rsidR="000E643C" w:rsidRPr="000E643C">
        <w:rPr>
          <w:rFonts w:ascii="Book Antiqua" w:hAnsi="Book Antiqua"/>
          <w:sz w:val="24"/>
          <w:szCs w:val="24"/>
          <w:vertAlign w:val="superscript"/>
        </w:rPr>
        <w:t>6]</w:t>
      </w:r>
      <w:r w:rsidRPr="000E643C">
        <w:rPr>
          <w:rFonts w:ascii="Book Antiqua" w:hAnsi="Book Antiqua"/>
          <w:sz w:val="24"/>
          <w:szCs w:val="24"/>
        </w:rPr>
        <w:t>.</w:t>
      </w:r>
      <w:r w:rsidRPr="000E643C">
        <w:rPr>
          <w:rFonts w:ascii="Book Antiqua" w:eastAsia="+mn-ea" w:hAnsi="Book Antiqua" w:cs="+mn-cs"/>
          <w:kern w:val="24"/>
          <w:sz w:val="24"/>
          <w:szCs w:val="24"/>
        </w:rPr>
        <w:t xml:space="preserve"> </w:t>
      </w:r>
    </w:p>
    <w:p w14:paraId="11A081A8" w14:textId="60BF8936" w:rsidR="0069331F" w:rsidRPr="000E643C" w:rsidRDefault="00796CB0" w:rsidP="000E643C">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Overall, the clinical trials of IFX did not show any improved clinical efficacy associated with the use of CT. These early trials did however give the first hints of how CT might provide a benefit to the IFX patient over monotherapy in the form of decreased immunogenicity.</w:t>
      </w:r>
      <w:r w:rsidR="00E57DEB" w:rsidRPr="000E643C">
        <w:rPr>
          <w:rFonts w:ascii="Book Antiqua" w:hAnsi="Book Antiqua"/>
          <w:sz w:val="24"/>
          <w:szCs w:val="24"/>
        </w:rPr>
        <w:t xml:space="preserve"> </w:t>
      </w:r>
      <w:r w:rsidRPr="000E643C">
        <w:rPr>
          <w:rFonts w:ascii="Book Antiqua" w:hAnsi="Book Antiqua"/>
          <w:sz w:val="24"/>
          <w:szCs w:val="24"/>
        </w:rPr>
        <w:t>Overall, the development to antibodies to IFX (ATI) were significantly lower in the CT patients, with 4</w:t>
      </w:r>
      <w:r w:rsidR="000E643C">
        <w:rPr>
          <w:rFonts w:ascii="Book Antiqua" w:hAnsi="Book Antiqua" w:hint="eastAsia"/>
          <w:sz w:val="24"/>
          <w:szCs w:val="24"/>
          <w:lang w:eastAsia="zh-CN"/>
        </w:rPr>
        <w:t>%</w:t>
      </w:r>
      <w:r w:rsidRPr="000E643C">
        <w:rPr>
          <w:rFonts w:ascii="Book Antiqua" w:hAnsi="Book Antiqua"/>
          <w:sz w:val="24"/>
          <w:szCs w:val="24"/>
        </w:rPr>
        <w:t>-20% without CT developing ATI, compared to rates of 4</w:t>
      </w:r>
      <w:r w:rsidR="000E643C">
        <w:rPr>
          <w:rFonts w:ascii="Book Antiqua" w:hAnsi="Book Antiqua" w:hint="eastAsia"/>
          <w:sz w:val="24"/>
          <w:szCs w:val="24"/>
          <w:lang w:eastAsia="zh-CN"/>
        </w:rPr>
        <w:t>%</w:t>
      </w:r>
      <w:r w:rsidRPr="000E643C">
        <w:rPr>
          <w:rFonts w:ascii="Book Antiqua" w:hAnsi="Book Antiqua"/>
          <w:sz w:val="24"/>
          <w:szCs w:val="24"/>
        </w:rPr>
        <w:t>-6% among those using CT</w:t>
      </w:r>
      <w:r w:rsidR="000E643C" w:rsidRPr="000E643C">
        <w:rPr>
          <w:rFonts w:ascii="Book Antiqua" w:hAnsi="Book Antiqua"/>
          <w:sz w:val="24"/>
          <w:szCs w:val="24"/>
          <w:vertAlign w:val="superscript"/>
        </w:rPr>
        <w:t>[7]</w:t>
      </w:r>
      <w:r w:rsidRPr="000E643C">
        <w:rPr>
          <w:rFonts w:ascii="Book Antiqua" w:hAnsi="Book Antiqua"/>
          <w:sz w:val="24"/>
          <w:szCs w:val="24"/>
        </w:rPr>
        <w:t>. This effect was noted to be greatest for those patients using the current standard 5</w:t>
      </w:r>
      <w:r w:rsidR="000E643C">
        <w:rPr>
          <w:rFonts w:ascii="Book Antiqua" w:hAnsi="Book Antiqua" w:hint="eastAsia"/>
          <w:sz w:val="24"/>
          <w:szCs w:val="24"/>
          <w:lang w:eastAsia="zh-CN"/>
        </w:rPr>
        <w:t xml:space="preserve"> </w:t>
      </w:r>
      <w:r w:rsidRPr="000E643C">
        <w:rPr>
          <w:rFonts w:ascii="Book Antiqua" w:hAnsi="Book Antiqua"/>
          <w:sz w:val="24"/>
          <w:szCs w:val="24"/>
        </w:rPr>
        <w:t>mg/kg dose of IFX.</w:t>
      </w:r>
      <w:r w:rsidR="00E57DEB" w:rsidRPr="000E643C">
        <w:rPr>
          <w:rFonts w:ascii="Book Antiqua" w:hAnsi="Book Antiqua"/>
          <w:sz w:val="24"/>
          <w:szCs w:val="24"/>
        </w:rPr>
        <w:t xml:space="preserve"> </w:t>
      </w:r>
      <w:r w:rsidRPr="000E643C">
        <w:rPr>
          <w:rFonts w:ascii="Book Antiqua" w:hAnsi="Book Antiqua"/>
          <w:sz w:val="24"/>
          <w:szCs w:val="24"/>
        </w:rPr>
        <w:t>There was also no observed benefit in terms of higher IFX levels, but neither was there any increase in the rates of infections.</w:t>
      </w:r>
      <w:r w:rsidR="00E57DEB" w:rsidRPr="000E643C">
        <w:rPr>
          <w:rFonts w:ascii="Book Antiqua" w:hAnsi="Book Antiqua"/>
          <w:sz w:val="24"/>
          <w:szCs w:val="24"/>
        </w:rPr>
        <w:t xml:space="preserve"> </w:t>
      </w:r>
      <w:r w:rsidRPr="000E643C">
        <w:rPr>
          <w:rFonts w:ascii="Book Antiqua" w:hAnsi="Book Antiqua"/>
          <w:sz w:val="24"/>
          <w:szCs w:val="24"/>
        </w:rPr>
        <w:t>Along with the lower ATI levels for those using IMM, were lower overall rates</w:t>
      </w:r>
      <w:r w:rsidR="00C93140" w:rsidRPr="000E643C">
        <w:rPr>
          <w:rFonts w:ascii="Book Antiqua" w:hAnsi="Book Antiqua"/>
          <w:sz w:val="24"/>
          <w:szCs w:val="24"/>
        </w:rPr>
        <w:t xml:space="preserve"> of infusion reactions at 12.5%</w:t>
      </w:r>
      <w:r w:rsidRPr="000E643C">
        <w:rPr>
          <w:rFonts w:ascii="Book Antiqua" w:hAnsi="Book Antiqua"/>
          <w:sz w:val="24"/>
          <w:szCs w:val="24"/>
        </w:rPr>
        <w:t>, compared to 22.0% for those not using IMM.</w:t>
      </w:r>
      <w:r w:rsidR="00E57DEB" w:rsidRPr="000E643C">
        <w:rPr>
          <w:rFonts w:ascii="Book Antiqua" w:hAnsi="Book Antiqua"/>
          <w:sz w:val="24"/>
          <w:szCs w:val="24"/>
        </w:rPr>
        <w:t xml:space="preserve"> </w:t>
      </w:r>
    </w:p>
    <w:p w14:paraId="559AD63B" w14:textId="2A660D59" w:rsidR="0069331F" w:rsidRPr="000E643C" w:rsidRDefault="00796CB0" w:rsidP="000E643C">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 xml:space="preserve">Following up on these early observations, subsequent investigations began to take a </w:t>
      </w:r>
      <w:r w:rsidRPr="000E643C">
        <w:rPr>
          <w:rFonts w:ascii="Book Antiqua" w:hAnsi="Book Antiqua"/>
          <w:sz w:val="24"/>
          <w:szCs w:val="24"/>
        </w:rPr>
        <w:lastRenderedPageBreak/>
        <w:t xml:space="preserve">closer look at the interplay between IFX, the development of anti-drug antibodies and possible impact on IFX drug levels, treatment reactions and clinical </w:t>
      </w:r>
      <w:r w:rsidR="0048096D" w:rsidRPr="000E643C">
        <w:rPr>
          <w:rFonts w:ascii="Book Antiqua" w:hAnsi="Book Antiqua"/>
          <w:sz w:val="24"/>
          <w:szCs w:val="24"/>
        </w:rPr>
        <w:t>efficacy.</w:t>
      </w:r>
      <w:r w:rsidR="00E57DEB" w:rsidRPr="000E643C">
        <w:rPr>
          <w:rFonts w:ascii="Book Antiqua" w:hAnsi="Book Antiqua"/>
          <w:sz w:val="24"/>
          <w:szCs w:val="24"/>
        </w:rPr>
        <w:t xml:space="preserve"> </w:t>
      </w:r>
      <w:r w:rsidR="0048096D" w:rsidRPr="000E643C">
        <w:rPr>
          <w:rFonts w:ascii="Book Antiqua" w:hAnsi="Book Antiqua"/>
          <w:sz w:val="24"/>
          <w:szCs w:val="24"/>
        </w:rPr>
        <w:t>In a prospective non-</w:t>
      </w:r>
      <w:r w:rsidRPr="000E643C">
        <w:rPr>
          <w:rFonts w:ascii="Book Antiqua" w:hAnsi="Book Antiqua"/>
          <w:sz w:val="24"/>
          <w:szCs w:val="24"/>
        </w:rPr>
        <w:t xml:space="preserve">randomized trial, </w:t>
      </w:r>
      <w:proofErr w:type="spellStart"/>
      <w:r w:rsidRPr="000E643C">
        <w:rPr>
          <w:rFonts w:ascii="Book Antiqua" w:hAnsi="Book Antiqua"/>
          <w:sz w:val="24"/>
          <w:szCs w:val="24"/>
        </w:rPr>
        <w:t>Baert</w:t>
      </w:r>
      <w:proofErr w:type="spellEnd"/>
      <w:r w:rsidRPr="000E643C">
        <w:rPr>
          <w:rFonts w:ascii="Book Antiqua" w:hAnsi="Book Antiqua"/>
          <w:sz w:val="24"/>
          <w:szCs w:val="24"/>
        </w:rPr>
        <w:t xml:space="preserve"> </w:t>
      </w:r>
      <w:r w:rsidRPr="000E643C">
        <w:rPr>
          <w:rFonts w:ascii="Book Antiqua" w:hAnsi="Book Antiqua"/>
          <w:i/>
          <w:sz w:val="24"/>
          <w:szCs w:val="24"/>
        </w:rPr>
        <w:t xml:space="preserve">et </w:t>
      </w:r>
      <w:proofErr w:type="gramStart"/>
      <w:r w:rsidRPr="000E643C">
        <w:rPr>
          <w:rFonts w:ascii="Book Antiqua" w:hAnsi="Book Antiqua"/>
          <w:i/>
          <w:sz w:val="24"/>
          <w:szCs w:val="24"/>
        </w:rPr>
        <w:t>al</w:t>
      </w:r>
      <w:r w:rsidR="000E643C" w:rsidRPr="000E643C">
        <w:rPr>
          <w:rFonts w:ascii="Book Antiqua" w:hAnsi="Book Antiqua"/>
          <w:sz w:val="24"/>
          <w:szCs w:val="24"/>
          <w:vertAlign w:val="superscript"/>
        </w:rPr>
        <w:t>[</w:t>
      </w:r>
      <w:proofErr w:type="gramEnd"/>
      <w:r w:rsidR="000E643C" w:rsidRPr="000E643C">
        <w:rPr>
          <w:rFonts w:ascii="Book Antiqua" w:hAnsi="Book Antiqua"/>
          <w:sz w:val="24"/>
          <w:szCs w:val="24"/>
          <w:vertAlign w:val="superscript"/>
        </w:rPr>
        <w:t>8]</w:t>
      </w:r>
      <w:r w:rsidRPr="000E643C">
        <w:rPr>
          <w:rFonts w:ascii="Book Antiqua" w:hAnsi="Book Antiqua"/>
          <w:sz w:val="24"/>
          <w:szCs w:val="24"/>
        </w:rPr>
        <w:t xml:space="preserve"> followed 123 patients on IFX, with 47% receiving concurrent IMM.</w:t>
      </w:r>
      <w:r w:rsidRPr="000E643C">
        <w:rPr>
          <w:rFonts w:ascii="Book Antiqua" w:eastAsia="+mn-ea" w:hAnsi="Book Antiqua" w:cs="+mn-cs"/>
          <w:kern w:val="24"/>
          <w:sz w:val="24"/>
          <w:szCs w:val="24"/>
        </w:rPr>
        <w:t xml:space="preserve"> </w:t>
      </w:r>
      <w:r w:rsidRPr="000E643C">
        <w:rPr>
          <w:rFonts w:ascii="Book Antiqua" w:hAnsi="Book Antiqua"/>
          <w:sz w:val="24"/>
          <w:szCs w:val="24"/>
        </w:rPr>
        <w:t xml:space="preserve">In this study, as was common at that time, patients with luminal disease were treated with episodic rather than scheduled IFX therapy, while those with </w:t>
      </w:r>
      <w:proofErr w:type="spellStart"/>
      <w:r w:rsidRPr="000E643C">
        <w:rPr>
          <w:rFonts w:ascii="Book Antiqua" w:hAnsi="Book Antiqua"/>
          <w:sz w:val="24"/>
          <w:szCs w:val="24"/>
        </w:rPr>
        <w:t>fistulizing</w:t>
      </w:r>
      <w:proofErr w:type="spellEnd"/>
      <w:r w:rsidRPr="000E643C">
        <w:rPr>
          <w:rFonts w:ascii="Book Antiqua" w:hAnsi="Book Antiqua"/>
          <w:sz w:val="24"/>
          <w:szCs w:val="24"/>
        </w:rPr>
        <w:t xml:space="preserve"> disease received a week 0, 2, 6 induction regimen followed by episodic treatment.</w:t>
      </w:r>
      <w:r w:rsidR="00E57DEB" w:rsidRPr="000E643C">
        <w:rPr>
          <w:rFonts w:ascii="Book Antiqua" w:hAnsi="Book Antiqua"/>
          <w:sz w:val="24"/>
          <w:szCs w:val="24"/>
        </w:rPr>
        <w:t xml:space="preserve"> </w:t>
      </w:r>
      <w:r w:rsidRPr="000E643C">
        <w:rPr>
          <w:rFonts w:ascii="Book Antiqua" w:hAnsi="Book Antiqua"/>
          <w:sz w:val="24"/>
          <w:szCs w:val="24"/>
        </w:rPr>
        <w:t>Overall, patients received a mean number of 3.9 infusions.</w:t>
      </w:r>
      <w:r w:rsidR="00E57DEB" w:rsidRPr="000E643C">
        <w:rPr>
          <w:rFonts w:ascii="Book Antiqua" w:hAnsi="Book Antiqua"/>
          <w:sz w:val="24"/>
          <w:szCs w:val="24"/>
        </w:rPr>
        <w:t xml:space="preserve"> </w:t>
      </w:r>
      <w:r w:rsidRPr="000E643C">
        <w:rPr>
          <w:rFonts w:ascii="Book Antiqua" w:hAnsi="Book Antiqua"/>
          <w:sz w:val="24"/>
          <w:szCs w:val="24"/>
        </w:rPr>
        <w:t>In total, 61% developed ATI.</w:t>
      </w:r>
      <w:r w:rsidR="00E57DEB" w:rsidRPr="000E643C">
        <w:rPr>
          <w:rFonts w:ascii="Book Antiqua" w:hAnsi="Book Antiqua"/>
          <w:sz w:val="24"/>
          <w:szCs w:val="24"/>
        </w:rPr>
        <w:t xml:space="preserve"> </w:t>
      </w:r>
      <w:r w:rsidRPr="000E643C">
        <w:rPr>
          <w:rFonts w:ascii="Book Antiqua" w:hAnsi="Book Antiqua"/>
          <w:sz w:val="24"/>
          <w:szCs w:val="24"/>
        </w:rPr>
        <w:t>Higher antibody levels &gt;</w:t>
      </w:r>
      <w:r w:rsidR="000E643C">
        <w:rPr>
          <w:rFonts w:ascii="Book Antiqua" w:hAnsi="Book Antiqua" w:hint="eastAsia"/>
          <w:sz w:val="24"/>
          <w:szCs w:val="24"/>
          <w:lang w:eastAsia="zh-CN"/>
        </w:rPr>
        <w:t xml:space="preserve"> </w:t>
      </w:r>
      <w:r w:rsidRPr="000E643C">
        <w:rPr>
          <w:rFonts w:ascii="Book Antiqua" w:hAnsi="Book Antiqua"/>
          <w:sz w:val="24"/>
          <w:szCs w:val="24"/>
        </w:rPr>
        <w:t>8.0</w:t>
      </w:r>
      <w:r w:rsidR="000E643C">
        <w:rPr>
          <w:rFonts w:ascii="Book Antiqua" w:hAnsi="Book Antiqua" w:hint="eastAsia"/>
          <w:sz w:val="24"/>
          <w:szCs w:val="24"/>
          <w:lang w:eastAsia="zh-CN"/>
        </w:rPr>
        <w:t xml:space="preserve"> </w:t>
      </w:r>
      <w:r w:rsidRPr="000E643C">
        <w:rPr>
          <w:rFonts w:ascii="Book Antiqua" w:hAnsi="Book Antiqua"/>
          <w:sz w:val="24"/>
          <w:szCs w:val="24"/>
        </w:rPr>
        <w:t>µg/m</w:t>
      </w:r>
      <w:r w:rsidR="000E643C">
        <w:rPr>
          <w:rFonts w:ascii="Book Antiqua" w:hAnsi="Book Antiqua" w:hint="eastAsia"/>
          <w:sz w:val="24"/>
          <w:szCs w:val="24"/>
          <w:lang w:eastAsia="zh-CN"/>
        </w:rPr>
        <w:t>L</w:t>
      </w:r>
      <w:r w:rsidRPr="000E643C">
        <w:rPr>
          <w:rFonts w:ascii="Book Antiqua" w:hAnsi="Book Antiqua"/>
          <w:sz w:val="24"/>
          <w:szCs w:val="24"/>
        </w:rPr>
        <w:t xml:space="preserve"> predicted shortened clinical response, 35 </w:t>
      </w:r>
      <w:r w:rsidRPr="000E643C">
        <w:rPr>
          <w:rFonts w:ascii="Book Antiqua" w:hAnsi="Book Antiqua"/>
          <w:i/>
          <w:sz w:val="24"/>
          <w:szCs w:val="24"/>
        </w:rPr>
        <w:t>vs</w:t>
      </w:r>
      <w:r w:rsidRPr="000E643C">
        <w:rPr>
          <w:rFonts w:ascii="Book Antiqua" w:hAnsi="Book Antiqua"/>
          <w:sz w:val="24"/>
          <w:szCs w:val="24"/>
        </w:rPr>
        <w:t xml:space="preserve"> 71 d (</w:t>
      </w:r>
      <w:r w:rsidR="000E643C" w:rsidRPr="000E643C">
        <w:rPr>
          <w:rFonts w:ascii="Book Antiqua" w:hAnsi="Book Antiqua" w:hint="eastAsia"/>
          <w:i/>
          <w:sz w:val="24"/>
          <w:szCs w:val="24"/>
          <w:lang w:eastAsia="zh-CN"/>
        </w:rPr>
        <w:t>P</w:t>
      </w:r>
      <w:r w:rsidR="000E643C">
        <w:rPr>
          <w:rFonts w:ascii="Book Antiqua" w:hAnsi="Book Antiqua" w:hint="eastAsia"/>
          <w:sz w:val="24"/>
          <w:szCs w:val="24"/>
          <w:lang w:eastAsia="zh-CN"/>
        </w:rPr>
        <w:t xml:space="preserve"> </w:t>
      </w:r>
      <w:r w:rsidRPr="000E643C">
        <w:rPr>
          <w:rFonts w:ascii="Book Antiqua" w:hAnsi="Book Antiqua"/>
          <w:sz w:val="24"/>
          <w:szCs w:val="24"/>
        </w:rPr>
        <w:t>&lt;</w:t>
      </w:r>
      <w:r w:rsidR="000E643C">
        <w:rPr>
          <w:rFonts w:ascii="Book Antiqua" w:hAnsi="Book Antiqua" w:hint="eastAsia"/>
          <w:sz w:val="24"/>
          <w:szCs w:val="24"/>
          <w:lang w:eastAsia="zh-CN"/>
        </w:rPr>
        <w:t xml:space="preserve"> </w:t>
      </w:r>
      <w:r w:rsidRPr="000E643C">
        <w:rPr>
          <w:rFonts w:ascii="Book Antiqua" w:hAnsi="Book Antiqua"/>
          <w:sz w:val="24"/>
          <w:szCs w:val="24"/>
        </w:rPr>
        <w:t>0.001), with higher levels of ATI in th</w:t>
      </w:r>
      <w:r w:rsidR="005F41FB" w:rsidRPr="000E643C">
        <w:rPr>
          <w:rFonts w:ascii="Book Antiqua" w:hAnsi="Book Antiqua"/>
          <w:sz w:val="24"/>
          <w:szCs w:val="24"/>
        </w:rPr>
        <w:t>ose without IMM usage (</w:t>
      </w:r>
      <w:r w:rsidR="000E643C" w:rsidRPr="000E643C">
        <w:rPr>
          <w:rFonts w:ascii="Book Antiqua" w:hAnsi="Book Antiqua"/>
          <w:i/>
          <w:sz w:val="24"/>
          <w:szCs w:val="24"/>
        </w:rPr>
        <w:t>P</w:t>
      </w:r>
      <w:r w:rsidR="000E643C" w:rsidRPr="000E643C">
        <w:rPr>
          <w:rFonts w:ascii="Book Antiqua" w:hAnsi="Book Antiqua"/>
          <w:sz w:val="24"/>
          <w:szCs w:val="24"/>
        </w:rPr>
        <w:t xml:space="preserve"> </w:t>
      </w:r>
      <w:r w:rsidR="005F41FB" w:rsidRPr="000E643C">
        <w:rPr>
          <w:rFonts w:ascii="Book Antiqua" w:hAnsi="Book Antiqua"/>
          <w:sz w:val="24"/>
          <w:szCs w:val="24"/>
        </w:rPr>
        <w:t>&lt;</w:t>
      </w:r>
      <w:r w:rsidR="000E643C">
        <w:rPr>
          <w:rFonts w:ascii="Book Antiqua" w:hAnsi="Book Antiqua" w:hint="eastAsia"/>
          <w:sz w:val="24"/>
          <w:szCs w:val="24"/>
          <w:lang w:eastAsia="zh-CN"/>
        </w:rPr>
        <w:t xml:space="preserve"> </w:t>
      </w:r>
      <w:r w:rsidR="005F41FB" w:rsidRPr="000E643C">
        <w:rPr>
          <w:rFonts w:ascii="Book Antiqua" w:hAnsi="Book Antiqua"/>
          <w:sz w:val="24"/>
          <w:szCs w:val="24"/>
        </w:rPr>
        <w:t>0.001) and</w:t>
      </w:r>
      <w:r w:rsidRPr="000E643C">
        <w:rPr>
          <w:rFonts w:ascii="Book Antiqua" w:hAnsi="Book Antiqua"/>
          <w:sz w:val="24"/>
          <w:szCs w:val="24"/>
        </w:rPr>
        <w:t xml:space="preserve"> lower drug levels in those without IMM usage (</w:t>
      </w:r>
      <w:r w:rsidR="000E643C" w:rsidRPr="000E643C">
        <w:rPr>
          <w:rFonts w:ascii="Book Antiqua" w:hAnsi="Book Antiqua"/>
          <w:i/>
          <w:sz w:val="24"/>
          <w:szCs w:val="24"/>
        </w:rPr>
        <w:t>P</w:t>
      </w:r>
      <w:r w:rsidR="000E643C">
        <w:rPr>
          <w:rFonts w:ascii="Book Antiqua" w:hAnsi="Book Antiqua"/>
          <w:sz w:val="24"/>
          <w:szCs w:val="24"/>
        </w:rPr>
        <w:t xml:space="preserve"> &lt; </w:t>
      </w:r>
      <w:r w:rsidRPr="000E643C">
        <w:rPr>
          <w:rFonts w:ascii="Book Antiqua" w:hAnsi="Book Antiqua"/>
          <w:sz w:val="24"/>
          <w:szCs w:val="24"/>
        </w:rPr>
        <w:t>0.001).</w:t>
      </w:r>
      <w:r w:rsidR="00E57DEB" w:rsidRPr="000E643C">
        <w:rPr>
          <w:rFonts w:ascii="Book Antiqua" w:hAnsi="Book Antiqua"/>
          <w:sz w:val="24"/>
          <w:szCs w:val="24"/>
        </w:rPr>
        <w:t xml:space="preserve"> </w:t>
      </w:r>
      <w:r w:rsidRPr="000E643C">
        <w:rPr>
          <w:rFonts w:ascii="Book Antiqua" w:hAnsi="Book Antiqua"/>
          <w:sz w:val="24"/>
          <w:szCs w:val="24"/>
        </w:rPr>
        <w:t>Infusion reactions were found to be more common among those not using IMM, (Relative Risk (RR) 2.40; 95%</w:t>
      </w:r>
      <w:r w:rsidR="000E643C">
        <w:rPr>
          <w:rFonts w:ascii="Book Antiqua" w:hAnsi="Book Antiqua"/>
          <w:sz w:val="24"/>
          <w:szCs w:val="24"/>
        </w:rPr>
        <w:t>CI</w:t>
      </w:r>
      <w:r w:rsidR="000E643C">
        <w:rPr>
          <w:rFonts w:ascii="Book Antiqua" w:hAnsi="Book Antiqua" w:hint="eastAsia"/>
          <w:sz w:val="24"/>
          <w:szCs w:val="24"/>
          <w:lang w:eastAsia="zh-CN"/>
        </w:rPr>
        <w:t>:</w:t>
      </w:r>
      <w:r w:rsidRPr="000E643C">
        <w:rPr>
          <w:rFonts w:ascii="Book Antiqua" w:hAnsi="Book Antiqua"/>
          <w:sz w:val="24"/>
          <w:szCs w:val="24"/>
        </w:rPr>
        <w:t xml:space="preserve"> 1.65-3.66; </w:t>
      </w:r>
      <w:r w:rsidR="000E643C" w:rsidRPr="000E643C">
        <w:rPr>
          <w:rFonts w:ascii="Book Antiqua" w:hAnsi="Book Antiqua"/>
          <w:i/>
          <w:sz w:val="24"/>
          <w:szCs w:val="24"/>
        </w:rPr>
        <w:t>P</w:t>
      </w:r>
      <w:r w:rsidR="000E643C">
        <w:rPr>
          <w:rFonts w:ascii="Book Antiqua" w:hAnsi="Book Antiqua"/>
          <w:sz w:val="24"/>
          <w:szCs w:val="24"/>
        </w:rPr>
        <w:t xml:space="preserve"> &lt; </w:t>
      </w:r>
      <w:r w:rsidRPr="000E643C">
        <w:rPr>
          <w:rFonts w:ascii="Book Antiqua" w:hAnsi="Book Antiqua"/>
          <w:sz w:val="24"/>
          <w:szCs w:val="24"/>
        </w:rPr>
        <w:t>0.001).</w:t>
      </w:r>
      <w:r w:rsidR="00E57DEB" w:rsidRPr="000E643C">
        <w:rPr>
          <w:rFonts w:ascii="Book Antiqua" w:hAnsi="Book Antiqua"/>
          <w:sz w:val="24"/>
          <w:szCs w:val="24"/>
        </w:rPr>
        <w:t xml:space="preserve"> </w:t>
      </w:r>
      <w:proofErr w:type="spellStart"/>
      <w:r w:rsidRPr="000E643C">
        <w:rPr>
          <w:rFonts w:ascii="Book Antiqua" w:hAnsi="Book Antiqua"/>
          <w:sz w:val="24"/>
          <w:szCs w:val="24"/>
        </w:rPr>
        <w:t>Vermeire</w:t>
      </w:r>
      <w:proofErr w:type="spellEnd"/>
      <w:r w:rsidRPr="000E643C">
        <w:rPr>
          <w:rFonts w:ascii="Book Antiqua" w:hAnsi="Book Antiqua"/>
          <w:sz w:val="24"/>
          <w:szCs w:val="24"/>
        </w:rPr>
        <w:t xml:space="preserve"> </w:t>
      </w:r>
      <w:r w:rsidRPr="000E643C">
        <w:rPr>
          <w:rFonts w:ascii="Book Antiqua" w:hAnsi="Book Antiqua"/>
          <w:i/>
          <w:sz w:val="24"/>
          <w:szCs w:val="24"/>
        </w:rPr>
        <w:t xml:space="preserve">et </w:t>
      </w:r>
      <w:proofErr w:type="gramStart"/>
      <w:r w:rsidRPr="000E643C">
        <w:rPr>
          <w:rFonts w:ascii="Book Antiqua" w:hAnsi="Book Antiqua"/>
          <w:i/>
          <w:sz w:val="24"/>
          <w:szCs w:val="24"/>
        </w:rPr>
        <w:t>al</w:t>
      </w:r>
      <w:r w:rsidR="000E643C" w:rsidRPr="000E643C">
        <w:rPr>
          <w:rFonts w:ascii="Book Antiqua" w:hAnsi="Book Antiqua"/>
          <w:sz w:val="24"/>
          <w:szCs w:val="24"/>
          <w:vertAlign w:val="superscript"/>
        </w:rPr>
        <w:t>[</w:t>
      </w:r>
      <w:proofErr w:type="gramEnd"/>
      <w:r w:rsidR="000E643C" w:rsidRPr="000E643C">
        <w:rPr>
          <w:rFonts w:ascii="Book Antiqua" w:hAnsi="Book Antiqua"/>
          <w:sz w:val="24"/>
          <w:szCs w:val="24"/>
          <w:vertAlign w:val="superscript"/>
        </w:rPr>
        <w:t>9]</w:t>
      </w:r>
      <w:r w:rsidRPr="000E643C">
        <w:rPr>
          <w:rFonts w:ascii="Book Antiqua" w:hAnsi="Book Antiqua"/>
          <w:sz w:val="24"/>
          <w:szCs w:val="24"/>
        </w:rPr>
        <w:t xml:space="preserve"> performed similar work using IFX on demand for both luminal and </w:t>
      </w:r>
      <w:proofErr w:type="spellStart"/>
      <w:r w:rsidRPr="000E643C">
        <w:rPr>
          <w:rFonts w:ascii="Book Antiqua" w:hAnsi="Book Antiqua"/>
          <w:sz w:val="24"/>
          <w:szCs w:val="24"/>
        </w:rPr>
        <w:t>fistulizing</w:t>
      </w:r>
      <w:proofErr w:type="spellEnd"/>
      <w:r w:rsidRPr="000E643C">
        <w:rPr>
          <w:rFonts w:ascii="Book Antiqua" w:hAnsi="Book Antiqua"/>
          <w:sz w:val="24"/>
          <w:szCs w:val="24"/>
        </w:rPr>
        <w:t xml:space="preserve"> CD. They enrolled 174 patients who received IMM (either </w:t>
      </w:r>
      <w:r w:rsidR="0048096D" w:rsidRPr="000E643C">
        <w:rPr>
          <w:rFonts w:ascii="Book Antiqua" w:hAnsi="Book Antiqua"/>
          <w:sz w:val="24"/>
          <w:szCs w:val="24"/>
        </w:rPr>
        <w:t>MTX or AZA) or no IMM in a non-</w:t>
      </w:r>
      <w:r w:rsidRPr="000E643C">
        <w:rPr>
          <w:rFonts w:ascii="Book Antiqua" w:hAnsi="Book Antiqua"/>
          <w:sz w:val="24"/>
          <w:szCs w:val="24"/>
        </w:rPr>
        <w:t>randomized fashion.</w:t>
      </w:r>
      <w:r w:rsidR="00E57DEB" w:rsidRPr="000E643C">
        <w:rPr>
          <w:rFonts w:ascii="Book Antiqua" w:hAnsi="Book Antiqua"/>
          <w:sz w:val="24"/>
          <w:szCs w:val="24"/>
        </w:rPr>
        <w:t xml:space="preserve"> </w:t>
      </w:r>
      <w:r w:rsidRPr="000E643C">
        <w:rPr>
          <w:rFonts w:ascii="Book Antiqua" w:hAnsi="Book Antiqua"/>
          <w:sz w:val="24"/>
          <w:szCs w:val="24"/>
        </w:rPr>
        <w:t>MTX was given subcutaneous</w:t>
      </w:r>
      <w:r w:rsidR="004E7F60" w:rsidRPr="000E643C">
        <w:rPr>
          <w:rFonts w:ascii="Book Antiqua" w:hAnsi="Book Antiqua"/>
          <w:sz w:val="24"/>
          <w:szCs w:val="24"/>
        </w:rPr>
        <w:t>ly at 25</w:t>
      </w:r>
      <w:r w:rsidR="00F14ED8">
        <w:rPr>
          <w:rFonts w:ascii="Book Antiqua" w:hAnsi="Book Antiqua" w:hint="eastAsia"/>
          <w:sz w:val="24"/>
          <w:szCs w:val="24"/>
          <w:lang w:eastAsia="zh-CN"/>
        </w:rPr>
        <w:t xml:space="preserve"> </w:t>
      </w:r>
      <w:r w:rsidR="004E7F60" w:rsidRPr="000E643C">
        <w:rPr>
          <w:rFonts w:ascii="Book Antiqua" w:hAnsi="Book Antiqua"/>
          <w:sz w:val="24"/>
          <w:szCs w:val="24"/>
        </w:rPr>
        <w:t xml:space="preserve">mg weekly for 12 </w:t>
      </w:r>
      <w:proofErr w:type="spellStart"/>
      <w:r w:rsidR="004E7F60" w:rsidRPr="000E643C">
        <w:rPr>
          <w:rFonts w:ascii="Book Antiqua" w:hAnsi="Book Antiqua"/>
          <w:sz w:val="24"/>
          <w:szCs w:val="24"/>
        </w:rPr>
        <w:t>w</w:t>
      </w:r>
      <w:r w:rsidR="00F14ED8">
        <w:rPr>
          <w:rFonts w:ascii="Book Antiqua" w:hAnsi="Book Antiqua" w:hint="eastAsia"/>
          <w:sz w:val="24"/>
          <w:szCs w:val="24"/>
          <w:lang w:eastAsia="zh-CN"/>
        </w:rPr>
        <w:t>k</w:t>
      </w:r>
      <w:proofErr w:type="spellEnd"/>
      <w:r w:rsidR="004E7F60" w:rsidRPr="000E643C">
        <w:rPr>
          <w:rFonts w:ascii="Book Antiqua" w:hAnsi="Book Antiqua"/>
          <w:sz w:val="24"/>
          <w:szCs w:val="24"/>
        </w:rPr>
        <w:t xml:space="preserve"> </w:t>
      </w:r>
      <w:r w:rsidRPr="000E643C">
        <w:rPr>
          <w:rFonts w:ascii="Book Antiqua" w:hAnsi="Book Antiqua"/>
          <w:sz w:val="24"/>
          <w:szCs w:val="24"/>
        </w:rPr>
        <w:t>followed by 15</w:t>
      </w:r>
      <w:r w:rsidR="00F14ED8">
        <w:rPr>
          <w:rFonts w:ascii="Book Antiqua" w:hAnsi="Book Antiqua" w:hint="eastAsia"/>
          <w:sz w:val="24"/>
          <w:szCs w:val="24"/>
          <w:lang w:eastAsia="zh-CN"/>
        </w:rPr>
        <w:t xml:space="preserve"> </w:t>
      </w:r>
      <w:r w:rsidRPr="000E643C">
        <w:rPr>
          <w:rFonts w:ascii="Book Antiqua" w:hAnsi="Book Antiqua"/>
          <w:sz w:val="24"/>
          <w:szCs w:val="24"/>
        </w:rPr>
        <w:t xml:space="preserve">mg weekly, </w:t>
      </w:r>
      <w:r w:rsidR="007C05E2" w:rsidRPr="000E643C">
        <w:rPr>
          <w:rFonts w:ascii="Book Antiqua" w:hAnsi="Book Antiqua"/>
          <w:sz w:val="24"/>
          <w:szCs w:val="24"/>
        </w:rPr>
        <w:t>while ASA was given at a weight-</w:t>
      </w:r>
      <w:r w:rsidRPr="000E643C">
        <w:rPr>
          <w:rFonts w:ascii="Book Antiqua" w:hAnsi="Book Antiqua"/>
          <w:sz w:val="24"/>
          <w:szCs w:val="24"/>
        </w:rPr>
        <w:t>based dose of 2-2.5</w:t>
      </w:r>
      <w:r w:rsidR="00F14ED8">
        <w:rPr>
          <w:rFonts w:ascii="Book Antiqua" w:hAnsi="Book Antiqua" w:hint="eastAsia"/>
          <w:sz w:val="24"/>
          <w:szCs w:val="24"/>
          <w:lang w:eastAsia="zh-CN"/>
        </w:rPr>
        <w:t xml:space="preserve"> </w:t>
      </w:r>
      <w:r w:rsidRPr="000E643C">
        <w:rPr>
          <w:rFonts w:ascii="Book Antiqua" w:hAnsi="Book Antiqua"/>
          <w:sz w:val="24"/>
          <w:szCs w:val="24"/>
        </w:rPr>
        <w:t>mg/kg.</w:t>
      </w:r>
      <w:r w:rsidR="00E57DEB" w:rsidRPr="000E643C">
        <w:rPr>
          <w:rFonts w:ascii="Book Antiqua" w:hAnsi="Book Antiqua"/>
          <w:sz w:val="24"/>
          <w:szCs w:val="24"/>
        </w:rPr>
        <w:t xml:space="preserve"> </w:t>
      </w:r>
      <w:r w:rsidRPr="000E643C">
        <w:rPr>
          <w:rFonts w:ascii="Book Antiqua" w:hAnsi="Book Antiqua"/>
          <w:sz w:val="24"/>
          <w:szCs w:val="24"/>
        </w:rPr>
        <w:t xml:space="preserve">ATI levels were checked at 4 </w:t>
      </w:r>
      <w:proofErr w:type="spellStart"/>
      <w:r w:rsidRPr="000E643C">
        <w:rPr>
          <w:rFonts w:ascii="Book Antiqua" w:hAnsi="Book Antiqua"/>
          <w:sz w:val="24"/>
          <w:szCs w:val="24"/>
        </w:rPr>
        <w:t>w</w:t>
      </w:r>
      <w:r w:rsidR="00F14ED8">
        <w:rPr>
          <w:rFonts w:ascii="Book Antiqua" w:hAnsi="Book Antiqua" w:hint="eastAsia"/>
          <w:sz w:val="24"/>
          <w:szCs w:val="24"/>
          <w:lang w:eastAsia="zh-CN"/>
        </w:rPr>
        <w:t>k</w:t>
      </w:r>
      <w:proofErr w:type="spellEnd"/>
      <w:r w:rsidRPr="000E643C">
        <w:rPr>
          <w:rFonts w:ascii="Book Antiqua" w:hAnsi="Book Antiqua"/>
          <w:sz w:val="24"/>
          <w:szCs w:val="24"/>
        </w:rPr>
        <w:t xml:space="preserve"> following IFX doses.</w:t>
      </w:r>
      <w:r w:rsidR="00E57DEB" w:rsidRPr="000E643C">
        <w:rPr>
          <w:rFonts w:ascii="Book Antiqua" w:hAnsi="Book Antiqua"/>
          <w:sz w:val="24"/>
          <w:szCs w:val="24"/>
        </w:rPr>
        <w:t xml:space="preserve"> </w:t>
      </w:r>
      <w:r w:rsidRPr="000E643C">
        <w:rPr>
          <w:rFonts w:ascii="Book Antiqua" w:hAnsi="Book Antiqua"/>
          <w:sz w:val="24"/>
          <w:szCs w:val="24"/>
        </w:rPr>
        <w:t>Again, episodic treatment with IFX resulted in high ATI levels, especially for patients not receiving concomitant IMM.</w:t>
      </w:r>
      <w:r w:rsidR="00E57DEB" w:rsidRPr="000E643C">
        <w:rPr>
          <w:rFonts w:ascii="Book Antiqua" w:hAnsi="Book Antiqua"/>
          <w:sz w:val="24"/>
          <w:szCs w:val="24"/>
        </w:rPr>
        <w:t xml:space="preserve"> </w:t>
      </w:r>
      <w:r w:rsidRPr="000E643C">
        <w:rPr>
          <w:rFonts w:ascii="Book Antiqua" w:hAnsi="Book Antiqua"/>
          <w:sz w:val="24"/>
          <w:szCs w:val="24"/>
        </w:rPr>
        <w:t xml:space="preserve">Overall they observed 73% of patients without IMM developing ATI, compared to 46% with IMM, </w:t>
      </w:r>
      <w:r w:rsidR="000E643C" w:rsidRPr="00F14ED8">
        <w:rPr>
          <w:rFonts w:ascii="Book Antiqua" w:hAnsi="Book Antiqua"/>
          <w:i/>
          <w:sz w:val="24"/>
          <w:szCs w:val="24"/>
        </w:rPr>
        <w:t>P</w:t>
      </w:r>
      <w:r w:rsidR="000E643C">
        <w:rPr>
          <w:rFonts w:ascii="Book Antiqua" w:hAnsi="Book Antiqua"/>
          <w:sz w:val="24"/>
          <w:szCs w:val="24"/>
        </w:rPr>
        <w:t xml:space="preserve"> &lt; </w:t>
      </w:r>
      <w:r w:rsidRPr="000E643C">
        <w:rPr>
          <w:rFonts w:ascii="Book Antiqua" w:hAnsi="Book Antiqua"/>
          <w:sz w:val="24"/>
          <w:szCs w:val="24"/>
        </w:rPr>
        <w:t>0.001.</w:t>
      </w:r>
      <w:r w:rsidR="00E57DEB" w:rsidRPr="000E643C">
        <w:rPr>
          <w:rFonts w:ascii="Book Antiqua" w:hAnsi="Book Antiqua"/>
          <w:sz w:val="24"/>
          <w:szCs w:val="24"/>
        </w:rPr>
        <w:t xml:space="preserve"> </w:t>
      </w:r>
      <w:r w:rsidRPr="000E643C">
        <w:rPr>
          <w:rFonts w:ascii="Book Antiqua" w:hAnsi="Book Antiqua"/>
          <w:sz w:val="24"/>
          <w:szCs w:val="24"/>
        </w:rPr>
        <w:t xml:space="preserve">This effect was consistent across IMM types, with 44% of MTX patients developing ATI </w:t>
      </w:r>
      <w:r w:rsidRPr="001A1D32">
        <w:rPr>
          <w:rFonts w:ascii="Book Antiqua" w:hAnsi="Book Antiqua"/>
          <w:i/>
          <w:sz w:val="24"/>
          <w:szCs w:val="24"/>
        </w:rPr>
        <w:t>vs</w:t>
      </w:r>
      <w:r w:rsidRPr="000E643C">
        <w:rPr>
          <w:rFonts w:ascii="Book Antiqua" w:hAnsi="Book Antiqua"/>
          <w:sz w:val="24"/>
          <w:szCs w:val="24"/>
        </w:rPr>
        <w:t xml:space="preserve"> 48% of AZA patients, </w:t>
      </w:r>
      <w:r w:rsidR="00F14ED8" w:rsidRPr="000E643C">
        <w:rPr>
          <w:rFonts w:ascii="Book Antiqua" w:hAnsi="Book Antiqua"/>
          <w:i/>
          <w:sz w:val="24"/>
          <w:szCs w:val="24"/>
        </w:rPr>
        <w:t>P</w:t>
      </w:r>
      <w:r w:rsidR="00F14ED8">
        <w:rPr>
          <w:rFonts w:ascii="Book Antiqua" w:hAnsi="Book Antiqua" w:hint="eastAsia"/>
          <w:sz w:val="24"/>
          <w:szCs w:val="24"/>
          <w:lang w:eastAsia="zh-CN"/>
        </w:rPr>
        <w:t xml:space="preserve"> </w:t>
      </w:r>
      <w:r w:rsidRPr="000E643C">
        <w:rPr>
          <w:rFonts w:ascii="Book Antiqua" w:hAnsi="Book Antiqua"/>
          <w:sz w:val="24"/>
          <w:szCs w:val="24"/>
        </w:rPr>
        <w:t>=</w:t>
      </w:r>
      <w:r w:rsidR="00F14ED8">
        <w:rPr>
          <w:rFonts w:ascii="Book Antiqua" w:hAnsi="Book Antiqua" w:hint="eastAsia"/>
          <w:sz w:val="24"/>
          <w:szCs w:val="24"/>
          <w:lang w:eastAsia="zh-CN"/>
        </w:rPr>
        <w:t xml:space="preserve"> </w:t>
      </w:r>
      <w:r w:rsidRPr="000E643C">
        <w:rPr>
          <w:rFonts w:ascii="Book Antiqua" w:hAnsi="Book Antiqua"/>
          <w:sz w:val="24"/>
          <w:szCs w:val="24"/>
        </w:rPr>
        <w:t>NS.</w:t>
      </w:r>
      <w:r w:rsidR="00E57DEB" w:rsidRPr="000E643C">
        <w:rPr>
          <w:rFonts w:ascii="Book Antiqua" w:hAnsi="Book Antiqua"/>
          <w:sz w:val="24"/>
          <w:szCs w:val="24"/>
        </w:rPr>
        <w:t xml:space="preserve"> </w:t>
      </w:r>
      <w:r w:rsidRPr="000E643C">
        <w:rPr>
          <w:rFonts w:ascii="Book Antiqua" w:hAnsi="Book Antiqua"/>
          <w:sz w:val="24"/>
          <w:szCs w:val="24"/>
        </w:rPr>
        <w:t xml:space="preserve">There was a trend towards higher average IFX drug levels with IMM, 2.22 </w:t>
      </w:r>
      <w:r w:rsidRPr="001A1D32">
        <w:rPr>
          <w:rFonts w:ascii="Book Antiqua" w:hAnsi="Book Antiqua"/>
          <w:i/>
          <w:sz w:val="24"/>
          <w:szCs w:val="24"/>
        </w:rPr>
        <w:t>vs</w:t>
      </w:r>
      <w:r w:rsidRPr="000E643C">
        <w:rPr>
          <w:rFonts w:ascii="Book Antiqua" w:hAnsi="Book Antiqua"/>
          <w:sz w:val="24"/>
          <w:szCs w:val="24"/>
        </w:rPr>
        <w:t xml:space="preserve"> 6.45 µg/m</w:t>
      </w:r>
      <w:r w:rsidR="00F14ED8">
        <w:rPr>
          <w:rFonts w:ascii="Book Antiqua" w:hAnsi="Book Antiqua" w:hint="eastAsia"/>
          <w:sz w:val="24"/>
          <w:szCs w:val="24"/>
          <w:lang w:eastAsia="zh-CN"/>
        </w:rPr>
        <w:t>L</w:t>
      </w:r>
      <w:r w:rsidRPr="000E643C">
        <w:rPr>
          <w:rFonts w:ascii="Book Antiqua" w:hAnsi="Book Antiqua"/>
          <w:sz w:val="24"/>
          <w:szCs w:val="24"/>
        </w:rPr>
        <w:t xml:space="preserve">, </w:t>
      </w:r>
      <w:r w:rsidR="00F14ED8" w:rsidRPr="000E643C">
        <w:rPr>
          <w:rFonts w:ascii="Book Antiqua" w:hAnsi="Book Antiqua"/>
          <w:i/>
          <w:sz w:val="24"/>
          <w:szCs w:val="24"/>
        </w:rPr>
        <w:t>P</w:t>
      </w:r>
      <w:r w:rsidR="00F14ED8" w:rsidRPr="000E643C">
        <w:rPr>
          <w:rFonts w:ascii="Book Antiqua" w:hAnsi="Book Antiqua"/>
          <w:sz w:val="24"/>
          <w:szCs w:val="24"/>
        </w:rPr>
        <w:t xml:space="preserve"> </w:t>
      </w:r>
      <w:r w:rsidRPr="000E643C">
        <w:rPr>
          <w:rFonts w:ascii="Book Antiqua" w:hAnsi="Book Antiqua"/>
          <w:sz w:val="24"/>
          <w:szCs w:val="24"/>
        </w:rPr>
        <w:t>=</w:t>
      </w:r>
      <w:r w:rsidR="00F14ED8">
        <w:rPr>
          <w:rFonts w:ascii="Book Antiqua" w:hAnsi="Book Antiqua" w:hint="eastAsia"/>
          <w:sz w:val="24"/>
          <w:szCs w:val="24"/>
          <w:lang w:eastAsia="zh-CN"/>
        </w:rPr>
        <w:t xml:space="preserve"> </w:t>
      </w:r>
      <w:r w:rsidRPr="000E643C">
        <w:rPr>
          <w:rFonts w:ascii="Book Antiqua" w:hAnsi="Book Antiqua"/>
          <w:sz w:val="24"/>
          <w:szCs w:val="24"/>
        </w:rPr>
        <w:t xml:space="preserve">0.065, and significantly less infusion reactions with IMM, 16% </w:t>
      </w:r>
      <w:r w:rsidRPr="001A1D32">
        <w:rPr>
          <w:rFonts w:ascii="Book Antiqua" w:hAnsi="Book Antiqua"/>
          <w:i/>
          <w:sz w:val="24"/>
          <w:szCs w:val="24"/>
        </w:rPr>
        <w:t>vs</w:t>
      </w:r>
      <w:r w:rsidRPr="000E643C">
        <w:rPr>
          <w:rFonts w:ascii="Book Antiqua" w:hAnsi="Book Antiqua"/>
          <w:sz w:val="24"/>
          <w:szCs w:val="24"/>
        </w:rPr>
        <w:t xml:space="preserve"> 40%, </w:t>
      </w:r>
      <w:r w:rsidR="00F14ED8" w:rsidRPr="000E643C">
        <w:rPr>
          <w:rFonts w:ascii="Book Antiqua" w:hAnsi="Book Antiqua"/>
          <w:i/>
          <w:sz w:val="24"/>
          <w:szCs w:val="24"/>
        </w:rPr>
        <w:t>P</w:t>
      </w:r>
      <w:r w:rsidR="00F14ED8" w:rsidRPr="000E643C">
        <w:rPr>
          <w:rFonts w:ascii="Book Antiqua" w:hAnsi="Book Antiqua"/>
          <w:sz w:val="24"/>
          <w:szCs w:val="24"/>
        </w:rPr>
        <w:t xml:space="preserve"> </w:t>
      </w:r>
      <w:r w:rsidRPr="000E643C">
        <w:rPr>
          <w:rFonts w:ascii="Book Antiqua" w:hAnsi="Book Antiqua"/>
          <w:sz w:val="24"/>
          <w:szCs w:val="24"/>
        </w:rPr>
        <w:t>=</w:t>
      </w:r>
      <w:r w:rsidR="00F14ED8">
        <w:rPr>
          <w:rFonts w:ascii="Book Antiqua" w:hAnsi="Book Antiqua" w:hint="eastAsia"/>
          <w:sz w:val="24"/>
          <w:szCs w:val="24"/>
          <w:lang w:eastAsia="zh-CN"/>
        </w:rPr>
        <w:t xml:space="preserve"> </w:t>
      </w:r>
      <w:r w:rsidRPr="000E643C">
        <w:rPr>
          <w:rFonts w:ascii="Book Antiqua" w:hAnsi="Book Antiqua"/>
          <w:sz w:val="24"/>
          <w:szCs w:val="24"/>
        </w:rPr>
        <w:t>0.04.</w:t>
      </w:r>
    </w:p>
    <w:p w14:paraId="30198B39" w14:textId="65DBF068" w:rsidR="0069331F" w:rsidRPr="000E643C" w:rsidRDefault="00796CB0" w:rsidP="001A1D32">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Taking into account the two main observations of IFX immunogenicity at the time, the association of lowe</w:t>
      </w:r>
      <w:r w:rsidR="001A1D32">
        <w:rPr>
          <w:rFonts w:ascii="Book Antiqua" w:hAnsi="Book Antiqua"/>
          <w:sz w:val="24"/>
          <w:szCs w:val="24"/>
        </w:rPr>
        <w:t>r ATIs with scheduled treatment</w:t>
      </w:r>
      <w:r w:rsidRPr="000E643C">
        <w:rPr>
          <w:rFonts w:ascii="Book Antiqua" w:hAnsi="Book Antiqua"/>
          <w:sz w:val="24"/>
          <w:szCs w:val="24"/>
          <w:vertAlign w:val="superscript"/>
        </w:rPr>
        <w:t>[10,11]</w:t>
      </w:r>
      <w:r w:rsidRPr="000E643C">
        <w:rPr>
          <w:rFonts w:ascii="Book Antiqua" w:hAnsi="Book Antiqua"/>
          <w:sz w:val="24"/>
          <w:szCs w:val="24"/>
        </w:rPr>
        <w:t xml:space="preserve"> and concurrent use of IMM, the Study of Biologic and </w:t>
      </w:r>
      <w:proofErr w:type="spellStart"/>
      <w:r w:rsidRPr="000E643C">
        <w:rPr>
          <w:rFonts w:ascii="Book Antiqua" w:hAnsi="Book Antiqua"/>
          <w:sz w:val="24"/>
          <w:szCs w:val="24"/>
        </w:rPr>
        <w:t>Immunomoduator</w:t>
      </w:r>
      <w:proofErr w:type="spellEnd"/>
      <w:r w:rsidRPr="000E643C">
        <w:rPr>
          <w:rFonts w:ascii="Book Antiqua" w:hAnsi="Book Antiqua"/>
          <w:sz w:val="24"/>
          <w:szCs w:val="24"/>
        </w:rPr>
        <w:t xml:space="preserve"> Naïve Patients in Crohn’s Di</w:t>
      </w:r>
      <w:r w:rsidR="00F938FB" w:rsidRPr="000E643C">
        <w:rPr>
          <w:rFonts w:ascii="Book Antiqua" w:hAnsi="Book Antiqua"/>
          <w:sz w:val="24"/>
          <w:szCs w:val="24"/>
        </w:rPr>
        <w:t>s</w:t>
      </w:r>
      <w:r w:rsidRPr="000E643C">
        <w:rPr>
          <w:rFonts w:ascii="Book Antiqua" w:hAnsi="Book Antiqua"/>
          <w:sz w:val="24"/>
          <w:szCs w:val="24"/>
        </w:rPr>
        <w:t>ease (SONIC) trial was designed to answer the question of whether clinical response was superior with CT over monotherapy</w:t>
      </w:r>
      <w:r w:rsidR="001A1D32" w:rsidRPr="000E643C">
        <w:rPr>
          <w:rFonts w:ascii="Book Antiqua" w:hAnsi="Book Antiqua"/>
          <w:sz w:val="24"/>
          <w:szCs w:val="24"/>
          <w:vertAlign w:val="superscript"/>
        </w:rPr>
        <w:t>[11]</w:t>
      </w:r>
      <w:r w:rsidRPr="000E643C">
        <w:rPr>
          <w:rFonts w:ascii="Book Antiqua" w:hAnsi="Book Antiqua"/>
          <w:sz w:val="24"/>
          <w:szCs w:val="24"/>
        </w:rPr>
        <w:t>.</w:t>
      </w:r>
      <w:r w:rsidRPr="000E643C">
        <w:rPr>
          <w:rFonts w:ascii="Book Antiqua" w:hAnsi="Book Antiqua" w:cs="Arial"/>
          <w:sz w:val="24"/>
          <w:szCs w:val="24"/>
          <w:shd w:val="clear" w:color="auto" w:fill="FFFFFF"/>
        </w:rPr>
        <w:t xml:space="preserve"> </w:t>
      </w:r>
      <w:r w:rsidRPr="000E643C">
        <w:rPr>
          <w:rFonts w:ascii="Book Antiqua" w:hAnsi="Book Antiqua"/>
          <w:sz w:val="24"/>
          <w:szCs w:val="24"/>
        </w:rPr>
        <w:t xml:space="preserve">Unlike the earlier clinical trials, patients entering SONIC were entered into one of three treatment arms and followed prospectively. </w:t>
      </w:r>
      <w:r w:rsidR="00634D7E" w:rsidRPr="000E643C">
        <w:rPr>
          <w:rFonts w:ascii="Book Antiqua" w:hAnsi="Book Antiqua"/>
          <w:sz w:val="24"/>
          <w:szCs w:val="24"/>
        </w:rPr>
        <w:t xml:space="preserve">Additionally, given the strong association between episodic dosing, antibody formation </w:t>
      </w:r>
      <w:r w:rsidR="00634D7E" w:rsidRPr="000E643C">
        <w:rPr>
          <w:rFonts w:ascii="Book Antiqua" w:hAnsi="Book Antiqua"/>
          <w:sz w:val="24"/>
          <w:szCs w:val="24"/>
        </w:rPr>
        <w:lastRenderedPageBreak/>
        <w:t>and decreasing effectiveness of treatment, all patients in SONIC and future trials of CT were given IFX on a fixed schedule rather than episodically, as is the current practice.</w:t>
      </w:r>
      <w:r w:rsidRPr="000E643C">
        <w:rPr>
          <w:rFonts w:ascii="Book Antiqua" w:hAnsi="Book Antiqua"/>
          <w:sz w:val="24"/>
          <w:szCs w:val="24"/>
        </w:rPr>
        <w:t xml:space="preserve"> In total, 508 patients were randomized to either IFX mon</w:t>
      </w:r>
      <w:r w:rsidR="007C05E2" w:rsidRPr="000E643C">
        <w:rPr>
          <w:rFonts w:ascii="Book Antiqua" w:hAnsi="Book Antiqua"/>
          <w:sz w:val="24"/>
          <w:szCs w:val="24"/>
        </w:rPr>
        <w:t>o</w:t>
      </w:r>
      <w:r w:rsidRPr="000E643C">
        <w:rPr>
          <w:rFonts w:ascii="Book Antiqua" w:hAnsi="Book Antiqua"/>
          <w:sz w:val="24"/>
          <w:szCs w:val="24"/>
        </w:rPr>
        <w:t>therapy (with oral placebo), AZA monotherapy at 2.5</w:t>
      </w:r>
      <w:r w:rsidR="0032621D">
        <w:rPr>
          <w:rFonts w:ascii="Book Antiqua" w:hAnsi="Book Antiqua" w:hint="eastAsia"/>
          <w:sz w:val="24"/>
          <w:szCs w:val="24"/>
          <w:lang w:eastAsia="zh-CN"/>
        </w:rPr>
        <w:t xml:space="preserve"> </w:t>
      </w:r>
      <w:r w:rsidRPr="000E643C">
        <w:rPr>
          <w:rFonts w:ascii="Book Antiqua" w:hAnsi="Book Antiqua"/>
          <w:sz w:val="24"/>
          <w:szCs w:val="24"/>
        </w:rPr>
        <w:t>mg/kg (with IV placebo), and CT with IFX and AZA.</w:t>
      </w:r>
      <w:r w:rsidR="00E57DEB" w:rsidRPr="000E643C">
        <w:rPr>
          <w:rFonts w:ascii="Book Antiqua" w:hAnsi="Book Antiqua"/>
          <w:sz w:val="24"/>
          <w:szCs w:val="24"/>
        </w:rPr>
        <w:t xml:space="preserve"> </w:t>
      </w:r>
      <w:r w:rsidRPr="000E643C">
        <w:rPr>
          <w:rFonts w:ascii="Book Antiqua" w:hAnsi="Book Antiqua"/>
          <w:sz w:val="24"/>
          <w:szCs w:val="24"/>
        </w:rPr>
        <w:t>All patients in the study were naïve to both IMM and biologics, had a Crohn’s Disease Activity Index (CDAI) &gt;</w:t>
      </w:r>
      <w:r w:rsidR="0032621D">
        <w:rPr>
          <w:rFonts w:ascii="Book Antiqua" w:hAnsi="Book Antiqua" w:hint="eastAsia"/>
          <w:sz w:val="24"/>
          <w:szCs w:val="24"/>
          <w:lang w:eastAsia="zh-CN"/>
        </w:rPr>
        <w:t xml:space="preserve"> </w:t>
      </w:r>
      <w:r w:rsidRPr="000E643C">
        <w:rPr>
          <w:rFonts w:ascii="Book Antiqua" w:hAnsi="Book Antiqua"/>
          <w:sz w:val="24"/>
          <w:szCs w:val="24"/>
        </w:rPr>
        <w:t xml:space="preserve">220, and underwent </w:t>
      </w:r>
      <w:proofErr w:type="spellStart"/>
      <w:r w:rsidRPr="000E643C">
        <w:rPr>
          <w:rFonts w:ascii="Book Antiqua" w:hAnsi="Book Antiqua"/>
          <w:sz w:val="24"/>
          <w:szCs w:val="24"/>
        </w:rPr>
        <w:t>ileocolonoscopy</w:t>
      </w:r>
      <w:proofErr w:type="spellEnd"/>
      <w:r w:rsidRPr="000E643C">
        <w:rPr>
          <w:rFonts w:ascii="Book Antiqua" w:hAnsi="Book Antiqua"/>
          <w:sz w:val="24"/>
          <w:szCs w:val="24"/>
        </w:rPr>
        <w:t xml:space="preserve"> at baseline.</w:t>
      </w:r>
      <w:r w:rsidR="00E57DEB" w:rsidRPr="000E643C">
        <w:rPr>
          <w:rFonts w:ascii="Book Antiqua" w:hAnsi="Book Antiqua"/>
          <w:sz w:val="24"/>
          <w:szCs w:val="24"/>
        </w:rPr>
        <w:t xml:space="preserve"> </w:t>
      </w:r>
      <w:r w:rsidRPr="000E643C">
        <w:rPr>
          <w:rFonts w:ascii="Book Antiqua" w:hAnsi="Book Antiqua"/>
          <w:sz w:val="24"/>
          <w:szCs w:val="24"/>
        </w:rPr>
        <w:t xml:space="preserve">The primary study endpoint was steroid free clinical remission at 26 </w:t>
      </w:r>
      <w:proofErr w:type="spellStart"/>
      <w:r w:rsidRPr="000E643C">
        <w:rPr>
          <w:rFonts w:ascii="Book Antiqua" w:hAnsi="Book Antiqua"/>
          <w:sz w:val="24"/>
          <w:szCs w:val="24"/>
        </w:rPr>
        <w:t>w</w:t>
      </w:r>
      <w:r w:rsidR="0032621D">
        <w:rPr>
          <w:rFonts w:ascii="Book Antiqua" w:hAnsi="Book Antiqua" w:hint="eastAsia"/>
          <w:sz w:val="24"/>
          <w:szCs w:val="24"/>
          <w:lang w:eastAsia="zh-CN"/>
        </w:rPr>
        <w:t>k</w:t>
      </w:r>
      <w:proofErr w:type="spellEnd"/>
      <w:r w:rsidRPr="000E643C">
        <w:rPr>
          <w:rFonts w:ascii="Book Antiqua" w:hAnsi="Book Antiqua"/>
          <w:sz w:val="24"/>
          <w:szCs w:val="24"/>
        </w:rPr>
        <w:t>, defined by a CDAI</w:t>
      </w:r>
      <w:r w:rsidR="0032621D">
        <w:rPr>
          <w:rFonts w:ascii="Book Antiqua" w:hAnsi="Book Antiqua" w:hint="eastAsia"/>
          <w:sz w:val="24"/>
          <w:szCs w:val="24"/>
          <w:lang w:eastAsia="zh-CN"/>
        </w:rPr>
        <w:t xml:space="preserve"> </w:t>
      </w:r>
      <w:r w:rsidRPr="000E643C">
        <w:rPr>
          <w:rFonts w:ascii="Book Antiqua" w:hAnsi="Book Antiqua"/>
          <w:sz w:val="24"/>
          <w:szCs w:val="24"/>
        </w:rPr>
        <w:t>&lt;</w:t>
      </w:r>
      <w:r w:rsidR="0032621D">
        <w:rPr>
          <w:rFonts w:ascii="Book Antiqua" w:hAnsi="Book Antiqua" w:hint="eastAsia"/>
          <w:sz w:val="24"/>
          <w:szCs w:val="24"/>
          <w:lang w:eastAsia="zh-CN"/>
        </w:rPr>
        <w:t xml:space="preserve"> </w:t>
      </w:r>
      <w:r w:rsidRPr="000E643C">
        <w:rPr>
          <w:rFonts w:ascii="Book Antiqua" w:hAnsi="Book Antiqua"/>
          <w:sz w:val="24"/>
          <w:szCs w:val="24"/>
        </w:rPr>
        <w:t>150.</w:t>
      </w:r>
      <w:r w:rsidR="00E57DEB" w:rsidRPr="000E643C">
        <w:rPr>
          <w:rFonts w:ascii="Book Antiqua" w:hAnsi="Book Antiqua"/>
          <w:sz w:val="24"/>
          <w:szCs w:val="24"/>
        </w:rPr>
        <w:t xml:space="preserve"> </w:t>
      </w:r>
      <w:r w:rsidRPr="000E643C">
        <w:rPr>
          <w:rFonts w:ascii="Book Antiqua" w:hAnsi="Book Antiqua"/>
          <w:sz w:val="24"/>
          <w:szCs w:val="24"/>
        </w:rPr>
        <w:t xml:space="preserve">This endpoint was achieved by 30.0% of those on AZA monotherapy </w:t>
      </w:r>
      <w:r w:rsidRPr="0032621D">
        <w:rPr>
          <w:rFonts w:ascii="Book Antiqua" w:hAnsi="Book Antiqua"/>
          <w:i/>
          <w:sz w:val="24"/>
          <w:szCs w:val="24"/>
        </w:rPr>
        <w:t>vs</w:t>
      </w:r>
      <w:r w:rsidRPr="000E643C">
        <w:rPr>
          <w:rFonts w:ascii="Book Antiqua" w:hAnsi="Book Antiqua"/>
          <w:sz w:val="24"/>
          <w:szCs w:val="24"/>
        </w:rPr>
        <w:t xml:space="preserve"> 44.4% on IFX monotherapy, (</w:t>
      </w:r>
      <w:r w:rsidR="0032621D" w:rsidRPr="000E643C">
        <w:rPr>
          <w:rFonts w:ascii="Book Antiqua" w:hAnsi="Book Antiqua"/>
          <w:i/>
          <w:sz w:val="24"/>
          <w:szCs w:val="24"/>
        </w:rPr>
        <w:t>P</w:t>
      </w:r>
      <w:r w:rsidR="0032621D" w:rsidRPr="000E643C">
        <w:rPr>
          <w:rFonts w:ascii="Book Antiqua" w:hAnsi="Book Antiqua"/>
          <w:sz w:val="24"/>
          <w:szCs w:val="24"/>
        </w:rPr>
        <w:t xml:space="preserve"> </w:t>
      </w:r>
      <w:r w:rsidRPr="000E643C">
        <w:rPr>
          <w:rFonts w:ascii="Book Antiqua" w:hAnsi="Book Antiqua"/>
          <w:sz w:val="24"/>
          <w:szCs w:val="24"/>
        </w:rPr>
        <w:t>=</w:t>
      </w:r>
      <w:r w:rsidR="0032621D">
        <w:rPr>
          <w:rFonts w:ascii="Book Antiqua" w:hAnsi="Book Antiqua" w:hint="eastAsia"/>
          <w:sz w:val="24"/>
          <w:szCs w:val="24"/>
          <w:lang w:eastAsia="zh-CN"/>
        </w:rPr>
        <w:t xml:space="preserve"> </w:t>
      </w:r>
      <w:r w:rsidRPr="000E643C">
        <w:rPr>
          <w:rFonts w:ascii="Book Antiqua" w:hAnsi="Book Antiqua"/>
          <w:sz w:val="24"/>
          <w:szCs w:val="24"/>
        </w:rPr>
        <w:t>0.006) and 56.8% of those on CT, which was significantly greater than either AZA (</w:t>
      </w:r>
      <w:r w:rsidR="000E643C" w:rsidRPr="0032621D">
        <w:rPr>
          <w:rFonts w:ascii="Book Antiqua" w:hAnsi="Book Antiqua"/>
          <w:i/>
          <w:sz w:val="24"/>
          <w:szCs w:val="24"/>
        </w:rPr>
        <w:t>P</w:t>
      </w:r>
      <w:r w:rsidR="000E643C">
        <w:rPr>
          <w:rFonts w:ascii="Book Antiqua" w:hAnsi="Book Antiqua"/>
          <w:sz w:val="24"/>
          <w:szCs w:val="24"/>
        </w:rPr>
        <w:t xml:space="preserve"> &lt; </w:t>
      </w:r>
      <w:r w:rsidRPr="000E643C">
        <w:rPr>
          <w:rFonts w:ascii="Book Antiqua" w:hAnsi="Book Antiqua"/>
          <w:sz w:val="24"/>
          <w:szCs w:val="24"/>
        </w:rPr>
        <w:t>0.001) or IFX monotherapy (</w:t>
      </w:r>
      <w:r w:rsidR="0032621D" w:rsidRPr="000E643C">
        <w:rPr>
          <w:rFonts w:ascii="Book Antiqua" w:hAnsi="Book Antiqua"/>
          <w:i/>
          <w:sz w:val="24"/>
          <w:szCs w:val="24"/>
        </w:rPr>
        <w:t>P</w:t>
      </w:r>
      <w:r w:rsidR="0032621D" w:rsidRPr="000E643C">
        <w:rPr>
          <w:rFonts w:ascii="Book Antiqua" w:hAnsi="Book Antiqua"/>
          <w:sz w:val="24"/>
          <w:szCs w:val="24"/>
        </w:rPr>
        <w:t xml:space="preserve"> </w:t>
      </w:r>
      <w:r w:rsidRPr="000E643C">
        <w:rPr>
          <w:rFonts w:ascii="Book Antiqua" w:hAnsi="Book Antiqua"/>
          <w:sz w:val="24"/>
          <w:szCs w:val="24"/>
        </w:rPr>
        <w:t>=</w:t>
      </w:r>
      <w:r w:rsidR="0032621D">
        <w:rPr>
          <w:rFonts w:ascii="Book Antiqua" w:hAnsi="Book Antiqua" w:hint="eastAsia"/>
          <w:sz w:val="24"/>
          <w:szCs w:val="24"/>
          <w:lang w:eastAsia="zh-CN"/>
        </w:rPr>
        <w:t xml:space="preserve"> </w:t>
      </w:r>
      <w:r w:rsidRPr="000E643C">
        <w:rPr>
          <w:rFonts w:ascii="Book Antiqua" w:hAnsi="Book Antiqua"/>
          <w:sz w:val="24"/>
          <w:szCs w:val="24"/>
        </w:rPr>
        <w:t>0.02).</w:t>
      </w:r>
      <w:r w:rsidR="00E57DEB" w:rsidRPr="000E643C">
        <w:rPr>
          <w:rFonts w:ascii="Book Antiqua" w:hAnsi="Book Antiqua"/>
          <w:sz w:val="24"/>
          <w:szCs w:val="24"/>
        </w:rPr>
        <w:t xml:space="preserve"> </w:t>
      </w:r>
      <w:r w:rsidRPr="000E643C">
        <w:rPr>
          <w:rFonts w:ascii="Book Antiqua" w:hAnsi="Book Antiqua"/>
          <w:sz w:val="24"/>
          <w:szCs w:val="24"/>
        </w:rPr>
        <w:t>Though CT achieved higher rates of mucosal healing than IFX alone, 43.9</w:t>
      </w:r>
      <w:r w:rsidR="0032621D">
        <w:rPr>
          <w:rFonts w:ascii="Book Antiqua" w:hAnsi="Book Antiqua" w:hint="eastAsia"/>
          <w:sz w:val="24"/>
          <w:szCs w:val="24"/>
          <w:lang w:eastAsia="zh-CN"/>
        </w:rPr>
        <w:t>%</w:t>
      </w:r>
      <w:r w:rsidRPr="000E643C">
        <w:rPr>
          <w:rFonts w:ascii="Book Antiqua" w:hAnsi="Book Antiqua"/>
          <w:sz w:val="24"/>
          <w:szCs w:val="24"/>
        </w:rPr>
        <w:t xml:space="preserve"> </w:t>
      </w:r>
      <w:r w:rsidRPr="0032621D">
        <w:rPr>
          <w:rFonts w:ascii="Book Antiqua" w:hAnsi="Book Antiqua"/>
          <w:i/>
          <w:sz w:val="24"/>
          <w:szCs w:val="24"/>
        </w:rPr>
        <w:t>vs</w:t>
      </w:r>
      <w:r w:rsidR="00447F6D">
        <w:rPr>
          <w:rFonts w:ascii="Book Antiqua" w:hAnsi="Book Antiqua"/>
          <w:sz w:val="24"/>
          <w:szCs w:val="24"/>
        </w:rPr>
        <w:t xml:space="preserve"> 30.1</w:t>
      </w:r>
      <w:r w:rsidRPr="000E643C">
        <w:rPr>
          <w:rFonts w:ascii="Book Antiqua" w:hAnsi="Book Antiqua"/>
          <w:sz w:val="24"/>
          <w:szCs w:val="24"/>
        </w:rPr>
        <w:t xml:space="preserve">%, this result was not found to be statistically significant, </w:t>
      </w:r>
      <w:r w:rsidR="00387D45" w:rsidRPr="000E643C">
        <w:rPr>
          <w:rFonts w:ascii="Book Antiqua" w:hAnsi="Book Antiqua"/>
          <w:i/>
          <w:sz w:val="24"/>
          <w:szCs w:val="24"/>
        </w:rPr>
        <w:t>P</w:t>
      </w:r>
      <w:r w:rsidR="00387D45" w:rsidRPr="000E643C">
        <w:rPr>
          <w:rFonts w:ascii="Book Antiqua" w:hAnsi="Book Antiqua"/>
          <w:sz w:val="24"/>
          <w:szCs w:val="24"/>
        </w:rPr>
        <w:t xml:space="preserve"> </w:t>
      </w:r>
      <w:r w:rsidRPr="000E643C">
        <w:rPr>
          <w:rFonts w:ascii="Book Antiqua" w:hAnsi="Book Antiqua"/>
          <w:sz w:val="24"/>
          <w:szCs w:val="24"/>
        </w:rPr>
        <w:t>=</w:t>
      </w:r>
      <w:r w:rsidR="00387D45">
        <w:rPr>
          <w:rFonts w:ascii="Book Antiqua" w:hAnsi="Book Antiqua" w:hint="eastAsia"/>
          <w:sz w:val="24"/>
          <w:szCs w:val="24"/>
          <w:lang w:eastAsia="zh-CN"/>
        </w:rPr>
        <w:t xml:space="preserve"> </w:t>
      </w:r>
      <w:r w:rsidRPr="000E643C">
        <w:rPr>
          <w:rFonts w:ascii="Book Antiqua" w:hAnsi="Book Antiqua"/>
          <w:sz w:val="24"/>
          <w:szCs w:val="24"/>
        </w:rPr>
        <w:t xml:space="preserve">0.06, likely due to the large number of patients without active disease found on baseline </w:t>
      </w:r>
      <w:proofErr w:type="spellStart"/>
      <w:r w:rsidRPr="000E643C">
        <w:rPr>
          <w:rFonts w:ascii="Book Antiqua" w:hAnsi="Book Antiqua"/>
          <w:sz w:val="24"/>
          <w:szCs w:val="24"/>
        </w:rPr>
        <w:t>ileocolonoscopy</w:t>
      </w:r>
      <w:proofErr w:type="spellEnd"/>
      <w:r w:rsidRPr="000E643C">
        <w:rPr>
          <w:rFonts w:ascii="Book Antiqua" w:hAnsi="Book Antiqua"/>
          <w:sz w:val="24"/>
          <w:szCs w:val="24"/>
        </w:rPr>
        <w:t>.</w:t>
      </w:r>
      <w:r w:rsidR="00E57DEB" w:rsidRPr="000E643C">
        <w:rPr>
          <w:rFonts w:ascii="Book Antiqua" w:hAnsi="Book Antiqua"/>
          <w:sz w:val="24"/>
          <w:szCs w:val="24"/>
        </w:rPr>
        <w:t xml:space="preserve"> </w:t>
      </w:r>
      <w:r w:rsidRPr="000E643C">
        <w:rPr>
          <w:rFonts w:ascii="Book Antiqua" w:hAnsi="Book Antiqua"/>
          <w:sz w:val="24"/>
          <w:szCs w:val="24"/>
        </w:rPr>
        <w:t xml:space="preserve">Additional findings again mirrored those of earlier studies, showing higher week 30 IFX trough levels with CT </w:t>
      </w:r>
      <w:r w:rsidRPr="00387D45">
        <w:rPr>
          <w:rFonts w:ascii="Book Antiqua" w:hAnsi="Book Antiqua"/>
          <w:i/>
          <w:sz w:val="24"/>
          <w:szCs w:val="24"/>
        </w:rPr>
        <w:t xml:space="preserve">vs </w:t>
      </w:r>
      <w:r w:rsidRPr="000E643C">
        <w:rPr>
          <w:rFonts w:ascii="Book Antiqua" w:hAnsi="Book Antiqua"/>
          <w:sz w:val="24"/>
          <w:szCs w:val="24"/>
        </w:rPr>
        <w:t xml:space="preserve">IFX monotherapy, 3.5 </w:t>
      </w:r>
      <w:r w:rsidRPr="00387D45">
        <w:rPr>
          <w:rFonts w:ascii="Book Antiqua" w:hAnsi="Book Antiqua"/>
          <w:i/>
          <w:sz w:val="24"/>
          <w:szCs w:val="24"/>
        </w:rPr>
        <w:t xml:space="preserve">vs </w:t>
      </w:r>
      <w:r w:rsidRPr="000E643C">
        <w:rPr>
          <w:rFonts w:ascii="Book Antiqua" w:hAnsi="Book Antiqua"/>
          <w:sz w:val="24"/>
          <w:szCs w:val="24"/>
        </w:rPr>
        <w:t>1.6</w:t>
      </w:r>
      <w:r w:rsidR="00387D45">
        <w:rPr>
          <w:rFonts w:ascii="Book Antiqua" w:hAnsi="Book Antiqua" w:hint="eastAsia"/>
          <w:sz w:val="24"/>
          <w:szCs w:val="24"/>
          <w:lang w:eastAsia="zh-CN"/>
        </w:rPr>
        <w:t xml:space="preserve"> </w:t>
      </w:r>
      <w:r w:rsidRPr="000E643C">
        <w:rPr>
          <w:rFonts w:ascii="Book Antiqua" w:hAnsi="Book Antiqua"/>
          <w:sz w:val="24"/>
          <w:szCs w:val="24"/>
        </w:rPr>
        <w:t>µg/m</w:t>
      </w:r>
      <w:r w:rsidR="00387D45">
        <w:rPr>
          <w:rFonts w:ascii="Book Antiqua" w:hAnsi="Book Antiqua" w:hint="eastAsia"/>
          <w:sz w:val="24"/>
          <w:szCs w:val="24"/>
          <w:lang w:eastAsia="zh-CN"/>
        </w:rPr>
        <w:t>L</w:t>
      </w:r>
      <w:r w:rsidRPr="000E643C">
        <w:rPr>
          <w:rFonts w:ascii="Book Antiqua" w:hAnsi="Book Antiqua"/>
          <w:sz w:val="24"/>
          <w:szCs w:val="24"/>
        </w:rPr>
        <w:t xml:space="preserve"> (</w:t>
      </w:r>
      <w:r w:rsidR="000E643C" w:rsidRPr="00387D45">
        <w:rPr>
          <w:rFonts w:ascii="Book Antiqua" w:hAnsi="Book Antiqua"/>
          <w:i/>
          <w:sz w:val="24"/>
          <w:szCs w:val="24"/>
        </w:rPr>
        <w:t>P</w:t>
      </w:r>
      <w:r w:rsidR="000E643C">
        <w:rPr>
          <w:rFonts w:ascii="Book Antiqua" w:hAnsi="Book Antiqua"/>
          <w:sz w:val="24"/>
          <w:szCs w:val="24"/>
        </w:rPr>
        <w:t xml:space="preserve"> &lt; </w:t>
      </w:r>
      <w:r w:rsidRPr="000E643C">
        <w:rPr>
          <w:rFonts w:ascii="Book Antiqua" w:hAnsi="Book Antiqua"/>
          <w:sz w:val="24"/>
          <w:szCs w:val="24"/>
        </w:rPr>
        <w:t>0.001), and lower incidence of ATI, 0.9</w:t>
      </w:r>
      <w:r w:rsidR="00387D45">
        <w:rPr>
          <w:rFonts w:ascii="Book Antiqua" w:hAnsi="Book Antiqua" w:hint="eastAsia"/>
          <w:sz w:val="24"/>
          <w:szCs w:val="24"/>
          <w:lang w:eastAsia="zh-CN"/>
        </w:rPr>
        <w:t>%</w:t>
      </w:r>
      <w:r w:rsidRPr="000E643C">
        <w:rPr>
          <w:rFonts w:ascii="Book Antiqua" w:hAnsi="Book Antiqua"/>
          <w:sz w:val="24"/>
          <w:szCs w:val="24"/>
        </w:rPr>
        <w:t xml:space="preserve"> </w:t>
      </w:r>
      <w:r w:rsidRPr="00387D45">
        <w:rPr>
          <w:rFonts w:ascii="Book Antiqua" w:hAnsi="Book Antiqua"/>
          <w:i/>
          <w:sz w:val="24"/>
          <w:szCs w:val="24"/>
        </w:rPr>
        <w:t>vs</w:t>
      </w:r>
      <w:r w:rsidRPr="000E643C">
        <w:rPr>
          <w:rFonts w:ascii="Book Antiqua" w:hAnsi="Book Antiqua"/>
          <w:sz w:val="24"/>
          <w:szCs w:val="24"/>
        </w:rPr>
        <w:t xml:space="preserve"> 14.6%. Notably, serious adverse events (SAE) were actually lower with CT than IFX monotherapy (15.1% </w:t>
      </w:r>
      <w:r w:rsidRPr="00387D45">
        <w:rPr>
          <w:rFonts w:ascii="Book Antiqua" w:hAnsi="Book Antiqua"/>
          <w:i/>
          <w:sz w:val="24"/>
          <w:szCs w:val="24"/>
        </w:rPr>
        <w:t xml:space="preserve">vs </w:t>
      </w:r>
      <w:r w:rsidRPr="000E643C">
        <w:rPr>
          <w:rFonts w:ascii="Book Antiqua" w:hAnsi="Book Antiqua"/>
          <w:sz w:val="24"/>
          <w:szCs w:val="24"/>
        </w:rPr>
        <w:t xml:space="preserve">23.9%, </w:t>
      </w:r>
      <w:r w:rsidR="00387D45" w:rsidRPr="000E643C">
        <w:rPr>
          <w:rFonts w:ascii="Book Antiqua" w:hAnsi="Book Antiqua"/>
          <w:i/>
          <w:sz w:val="24"/>
          <w:szCs w:val="24"/>
        </w:rPr>
        <w:t>P</w:t>
      </w:r>
      <w:r w:rsidR="00387D45">
        <w:rPr>
          <w:rFonts w:ascii="Book Antiqua" w:hAnsi="Book Antiqua" w:hint="eastAsia"/>
          <w:sz w:val="24"/>
          <w:szCs w:val="24"/>
          <w:lang w:eastAsia="zh-CN"/>
        </w:rPr>
        <w:t xml:space="preserve"> </w:t>
      </w:r>
      <w:r w:rsidRPr="000E643C">
        <w:rPr>
          <w:rFonts w:ascii="Book Antiqua" w:hAnsi="Book Antiqua"/>
          <w:sz w:val="24"/>
          <w:szCs w:val="24"/>
        </w:rPr>
        <w:t>=</w:t>
      </w:r>
      <w:r w:rsidR="00387D45">
        <w:rPr>
          <w:rFonts w:ascii="Book Antiqua" w:hAnsi="Book Antiqua" w:hint="eastAsia"/>
          <w:sz w:val="24"/>
          <w:szCs w:val="24"/>
          <w:lang w:eastAsia="zh-CN"/>
        </w:rPr>
        <w:t xml:space="preserve"> </w:t>
      </w:r>
      <w:r w:rsidRPr="000E643C">
        <w:rPr>
          <w:rFonts w:ascii="Book Antiqua" w:hAnsi="Book Antiqua"/>
          <w:sz w:val="24"/>
          <w:szCs w:val="24"/>
        </w:rPr>
        <w:t>0.04).</w:t>
      </w:r>
      <w:r w:rsidR="00E57DEB" w:rsidRPr="000E643C">
        <w:rPr>
          <w:rFonts w:ascii="Book Antiqua" w:hAnsi="Book Antiqua"/>
          <w:sz w:val="24"/>
          <w:szCs w:val="24"/>
        </w:rPr>
        <w:t xml:space="preserve"> </w:t>
      </w:r>
      <w:r w:rsidRPr="000E643C">
        <w:rPr>
          <w:rFonts w:ascii="Book Antiqua" w:hAnsi="Book Antiqua"/>
          <w:sz w:val="24"/>
          <w:szCs w:val="24"/>
        </w:rPr>
        <w:t>Serious infections were similar across treatment groups, with 3.9% of patients on CT, 4.9% of those on IFX monotherapy, and 5.6% of those on AZA alone.</w:t>
      </w:r>
    </w:p>
    <w:p w14:paraId="56B4ED89" w14:textId="77777777" w:rsidR="00447F6D" w:rsidRDefault="00447F6D" w:rsidP="00E57DEB">
      <w:pPr>
        <w:widowControl w:val="0"/>
        <w:adjustRightInd w:val="0"/>
        <w:snapToGrid w:val="0"/>
        <w:spacing w:after="0" w:line="360" w:lineRule="auto"/>
        <w:jc w:val="both"/>
        <w:rPr>
          <w:rFonts w:ascii="Book Antiqua" w:hAnsi="Book Antiqua"/>
          <w:b/>
          <w:sz w:val="24"/>
          <w:szCs w:val="24"/>
          <w:u w:val="single"/>
          <w:lang w:eastAsia="zh-CN"/>
        </w:rPr>
      </w:pPr>
    </w:p>
    <w:p w14:paraId="5EFED1DD" w14:textId="2E1C6D2F" w:rsidR="0069331F" w:rsidRPr="00447F6D" w:rsidRDefault="00447F6D" w:rsidP="00E57DEB">
      <w:pPr>
        <w:widowControl w:val="0"/>
        <w:adjustRightInd w:val="0"/>
        <w:snapToGrid w:val="0"/>
        <w:spacing w:after="0" w:line="360" w:lineRule="auto"/>
        <w:jc w:val="both"/>
        <w:rPr>
          <w:rFonts w:ascii="Book Antiqua" w:hAnsi="Book Antiqua"/>
          <w:b/>
          <w:sz w:val="24"/>
          <w:szCs w:val="24"/>
        </w:rPr>
      </w:pPr>
      <w:r w:rsidRPr="00447F6D">
        <w:rPr>
          <w:rFonts w:ascii="Book Antiqua" w:hAnsi="Book Antiqua"/>
          <w:b/>
          <w:sz w:val="24"/>
          <w:szCs w:val="24"/>
        </w:rPr>
        <w:t>IS CT EFFECTIVE FOR UC?</w:t>
      </w:r>
    </w:p>
    <w:p w14:paraId="70C5E20D" w14:textId="5AF6C477" w:rsidR="0069331F" w:rsidRPr="000E643C" w:rsidRDefault="00796CB0"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Though SONIC was notable in regards to the generally short median disease duration of 2.3 years of participants, it did appear to provide an answer to the question of the superiority of CT over monotherapy with IFX, at least for the select group of treatment naïve patients with CD.</w:t>
      </w:r>
      <w:r w:rsidR="00E57DEB" w:rsidRPr="000E643C">
        <w:rPr>
          <w:rFonts w:ascii="Book Antiqua" w:hAnsi="Book Antiqua"/>
          <w:sz w:val="24"/>
          <w:szCs w:val="24"/>
        </w:rPr>
        <w:t xml:space="preserve"> </w:t>
      </w:r>
      <w:r w:rsidRPr="000E643C">
        <w:rPr>
          <w:rFonts w:ascii="Book Antiqua" w:hAnsi="Book Antiqua"/>
          <w:sz w:val="24"/>
          <w:szCs w:val="24"/>
        </w:rPr>
        <w:t xml:space="preserve">Following up on these findings the UC SUCCESS trial was designed to answer the same question, and determine if CT with IFX and AZA was also more effective for </w:t>
      </w:r>
      <w:proofErr w:type="gramStart"/>
      <w:r w:rsidRPr="000E643C">
        <w:rPr>
          <w:rFonts w:ascii="Book Antiqua" w:hAnsi="Book Antiqua"/>
          <w:sz w:val="24"/>
          <w:szCs w:val="24"/>
        </w:rPr>
        <w:t>UC</w:t>
      </w:r>
      <w:r w:rsidR="00447F6D" w:rsidRPr="000E643C">
        <w:rPr>
          <w:rFonts w:ascii="Book Antiqua" w:hAnsi="Book Antiqua"/>
          <w:sz w:val="24"/>
          <w:szCs w:val="24"/>
          <w:vertAlign w:val="superscript"/>
        </w:rPr>
        <w:t>[</w:t>
      </w:r>
      <w:proofErr w:type="gramEnd"/>
      <w:r w:rsidR="00447F6D" w:rsidRPr="000E643C">
        <w:rPr>
          <w:rFonts w:ascii="Book Antiqua" w:hAnsi="Book Antiqua"/>
          <w:sz w:val="24"/>
          <w:szCs w:val="24"/>
          <w:vertAlign w:val="superscript"/>
        </w:rPr>
        <w:t>12]</w:t>
      </w:r>
      <w:r w:rsidRPr="000E643C">
        <w:rPr>
          <w:rFonts w:ascii="Book Antiqua" w:hAnsi="Book Antiqua"/>
          <w:sz w:val="24"/>
          <w:szCs w:val="24"/>
        </w:rPr>
        <w:t>.</w:t>
      </w:r>
      <w:r w:rsidR="007C05E2" w:rsidRPr="000E643C">
        <w:rPr>
          <w:rFonts w:ascii="Book Antiqua" w:hAnsi="Book Antiqua"/>
          <w:sz w:val="24"/>
          <w:szCs w:val="24"/>
        </w:rPr>
        <w:t xml:space="preserve"> With a similar study</w:t>
      </w:r>
      <w:r w:rsidRPr="000E643C">
        <w:rPr>
          <w:rFonts w:ascii="Book Antiqua" w:hAnsi="Book Antiqua"/>
          <w:sz w:val="24"/>
          <w:szCs w:val="24"/>
        </w:rPr>
        <w:t>, 239 patients with active UC confirmed by sigmoidoscopy were enrolled to treatment arms of IFX with oral placebo, AZA with IV placebo, and AZA.</w:t>
      </w:r>
      <w:r w:rsidR="00E57DEB" w:rsidRPr="000E643C">
        <w:rPr>
          <w:rFonts w:ascii="Book Antiqua" w:hAnsi="Book Antiqua"/>
          <w:sz w:val="24"/>
          <w:szCs w:val="24"/>
        </w:rPr>
        <w:t xml:space="preserve"> </w:t>
      </w:r>
      <w:r w:rsidRPr="000E643C">
        <w:rPr>
          <w:rFonts w:ascii="Book Antiqua" w:hAnsi="Book Antiqua"/>
          <w:sz w:val="24"/>
          <w:szCs w:val="24"/>
        </w:rPr>
        <w:t xml:space="preserve">Again, all patients were biologic naïve, though prior AZA </w:t>
      </w:r>
      <w:r w:rsidR="008A66F3" w:rsidRPr="000E643C">
        <w:rPr>
          <w:rFonts w:ascii="Book Antiqua" w:hAnsi="Book Antiqua"/>
          <w:sz w:val="24"/>
          <w:szCs w:val="24"/>
        </w:rPr>
        <w:t>exposure (discontinued at least</w:t>
      </w:r>
      <w:r w:rsidRPr="000E643C">
        <w:rPr>
          <w:rFonts w:ascii="Book Antiqua" w:hAnsi="Book Antiqua"/>
          <w:sz w:val="24"/>
          <w:szCs w:val="24"/>
        </w:rPr>
        <w:t xml:space="preserve"> 3 </w:t>
      </w:r>
      <w:proofErr w:type="spellStart"/>
      <w:r w:rsidRPr="000E643C">
        <w:rPr>
          <w:rFonts w:ascii="Book Antiqua" w:hAnsi="Book Antiqua"/>
          <w:sz w:val="24"/>
          <w:szCs w:val="24"/>
        </w:rPr>
        <w:t>mo</w:t>
      </w:r>
      <w:proofErr w:type="spellEnd"/>
      <w:r w:rsidRPr="000E643C">
        <w:rPr>
          <w:rFonts w:ascii="Book Antiqua" w:hAnsi="Book Antiqua"/>
          <w:sz w:val="24"/>
          <w:szCs w:val="24"/>
        </w:rPr>
        <w:t xml:space="preserve"> earlier) was permitted.</w:t>
      </w:r>
      <w:r w:rsidR="00E57DEB" w:rsidRPr="000E643C">
        <w:rPr>
          <w:rFonts w:ascii="Book Antiqua" w:hAnsi="Book Antiqua"/>
          <w:sz w:val="24"/>
          <w:szCs w:val="24"/>
        </w:rPr>
        <w:t xml:space="preserve"> </w:t>
      </w:r>
      <w:r w:rsidRPr="000E643C">
        <w:rPr>
          <w:rFonts w:ascii="Book Antiqua" w:hAnsi="Book Antiqua"/>
          <w:sz w:val="24"/>
          <w:szCs w:val="24"/>
        </w:rPr>
        <w:t xml:space="preserve">The primary study </w:t>
      </w:r>
      <w:r w:rsidRPr="000E643C">
        <w:rPr>
          <w:rFonts w:ascii="Book Antiqua" w:hAnsi="Book Antiqua"/>
          <w:sz w:val="24"/>
          <w:szCs w:val="24"/>
        </w:rPr>
        <w:lastRenderedPageBreak/>
        <w:t>endpoint of steroid free remission a</w:t>
      </w:r>
      <w:r w:rsidR="00D022A0" w:rsidRPr="000E643C">
        <w:rPr>
          <w:rFonts w:ascii="Book Antiqua" w:hAnsi="Book Antiqua"/>
          <w:sz w:val="24"/>
          <w:szCs w:val="24"/>
        </w:rPr>
        <w:t>t week 16, defined by a MAYO sc</w:t>
      </w:r>
      <w:r w:rsidRPr="000E643C">
        <w:rPr>
          <w:rFonts w:ascii="Book Antiqua" w:hAnsi="Book Antiqua"/>
          <w:sz w:val="24"/>
          <w:szCs w:val="24"/>
        </w:rPr>
        <w:t xml:space="preserve">ore </w:t>
      </w:r>
      <w:r w:rsidRPr="000E643C">
        <w:rPr>
          <w:rFonts w:ascii="Book Antiqua" w:hAnsi="Book Antiqua" w:cstheme="minorHAnsi"/>
          <w:sz w:val="24"/>
          <w:szCs w:val="24"/>
        </w:rPr>
        <w:t>≤</w:t>
      </w:r>
      <w:r w:rsidR="00447F6D">
        <w:rPr>
          <w:rFonts w:ascii="Book Antiqua" w:hAnsi="Book Antiqua" w:cstheme="minorHAnsi" w:hint="eastAsia"/>
          <w:sz w:val="24"/>
          <w:szCs w:val="24"/>
          <w:lang w:eastAsia="zh-CN"/>
        </w:rPr>
        <w:t xml:space="preserve"> </w:t>
      </w:r>
      <w:r w:rsidR="004A5B54" w:rsidRPr="000E643C">
        <w:rPr>
          <w:rFonts w:ascii="Book Antiqua" w:hAnsi="Book Antiqua" w:cstheme="minorHAnsi"/>
          <w:sz w:val="24"/>
          <w:szCs w:val="24"/>
        </w:rPr>
        <w:t>2</w:t>
      </w:r>
      <w:r w:rsidRPr="000E643C">
        <w:rPr>
          <w:rFonts w:ascii="Book Antiqua" w:hAnsi="Book Antiqua"/>
          <w:sz w:val="24"/>
          <w:szCs w:val="24"/>
        </w:rPr>
        <w:t>,</w:t>
      </w:r>
      <w:r w:rsidR="00447F6D">
        <w:rPr>
          <w:rFonts w:ascii="Book Antiqua" w:hAnsi="Book Antiqua"/>
          <w:sz w:val="24"/>
          <w:szCs w:val="24"/>
        </w:rPr>
        <w:t xml:space="preserve"> was achieved by 39.7% of CT </w:t>
      </w:r>
      <w:r w:rsidR="00447F6D" w:rsidRPr="00447F6D">
        <w:rPr>
          <w:rFonts w:ascii="Book Antiqua" w:hAnsi="Book Antiqua"/>
          <w:i/>
          <w:sz w:val="24"/>
          <w:szCs w:val="24"/>
        </w:rPr>
        <w:t>vs</w:t>
      </w:r>
      <w:r w:rsidRPr="000E643C">
        <w:rPr>
          <w:rFonts w:ascii="Book Antiqua" w:hAnsi="Book Antiqua"/>
          <w:sz w:val="24"/>
          <w:szCs w:val="24"/>
        </w:rPr>
        <w:t xml:space="preserve"> IFX monotherapy 22.1%</w:t>
      </w:r>
      <w:r w:rsidR="004A177E" w:rsidRPr="000E643C">
        <w:rPr>
          <w:rFonts w:ascii="Book Antiqua" w:hAnsi="Book Antiqua"/>
          <w:sz w:val="24"/>
          <w:szCs w:val="24"/>
        </w:rPr>
        <w:t>, (</w:t>
      </w:r>
      <w:r w:rsidR="00447F6D" w:rsidRPr="000E643C">
        <w:rPr>
          <w:rFonts w:ascii="Book Antiqua" w:hAnsi="Book Antiqua"/>
          <w:i/>
          <w:sz w:val="24"/>
          <w:szCs w:val="24"/>
        </w:rPr>
        <w:t>P</w:t>
      </w:r>
      <w:r w:rsidR="00447F6D" w:rsidRPr="000E643C">
        <w:rPr>
          <w:rFonts w:ascii="Book Antiqua" w:hAnsi="Book Antiqua"/>
          <w:sz w:val="24"/>
          <w:szCs w:val="24"/>
        </w:rPr>
        <w:t xml:space="preserve"> </w:t>
      </w:r>
      <w:r w:rsidR="004A177E" w:rsidRPr="000E643C">
        <w:rPr>
          <w:rFonts w:ascii="Book Antiqua" w:hAnsi="Book Antiqua"/>
          <w:sz w:val="24"/>
          <w:szCs w:val="24"/>
        </w:rPr>
        <w:t>=</w:t>
      </w:r>
      <w:r w:rsidR="00447F6D">
        <w:rPr>
          <w:rFonts w:ascii="Book Antiqua" w:hAnsi="Book Antiqua" w:hint="eastAsia"/>
          <w:sz w:val="24"/>
          <w:szCs w:val="24"/>
          <w:lang w:eastAsia="zh-CN"/>
        </w:rPr>
        <w:t xml:space="preserve"> </w:t>
      </w:r>
      <w:r w:rsidR="004A177E" w:rsidRPr="000E643C">
        <w:rPr>
          <w:rFonts w:ascii="Book Antiqua" w:hAnsi="Book Antiqua"/>
          <w:sz w:val="24"/>
          <w:szCs w:val="24"/>
        </w:rPr>
        <w:t>0.017).</w:t>
      </w:r>
      <w:r w:rsidR="00E57DEB" w:rsidRPr="000E643C">
        <w:rPr>
          <w:rFonts w:ascii="Book Antiqua" w:hAnsi="Book Antiqua"/>
          <w:sz w:val="24"/>
          <w:szCs w:val="24"/>
        </w:rPr>
        <w:t xml:space="preserve"> </w:t>
      </w:r>
      <w:r w:rsidR="004A177E" w:rsidRPr="000E643C">
        <w:rPr>
          <w:rFonts w:ascii="Book Antiqua" w:hAnsi="Book Antiqua"/>
          <w:sz w:val="24"/>
          <w:szCs w:val="24"/>
        </w:rPr>
        <w:t xml:space="preserve">Mucosal healing, </w:t>
      </w:r>
      <w:r w:rsidRPr="000E643C">
        <w:rPr>
          <w:rFonts w:ascii="Book Antiqua" w:hAnsi="Book Antiqua"/>
          <w:sz w:val="24"/>
          <w:szCs w:val="24"/>
        </w:rPr>
        <w:t xml:space="preserve">defined by a </w:t>
      </w:r>
      <w:proofErr w:type="spellStart"/>
      <w:r w:rsidRPr="000E643C">
        <w:rPr>
          <w:rFonts w:ascii="Book Antiqua" w:hAnsi="Book Antiqua"/>
          <w:sz w:val="24"/>
          <w:szCs w:val="24"/>
        </w:rPr>
        <w:t>subscore</w:t>
      </w:r>
      <w:proofErr w:type="spellEnd"/>
      <w:r w:rsidRPr="000E643C">
        <w:rPr>
          <w:rFonts w:ascii="Book Antiqua" w:hAnsi="Book Antiqua"/>
          <w:sz w:val="24"/>
          <w:szCs w:val="24"/>
        </w:rPr>
        <w:t xml:space="preserve"> of 0 or 1, showed a trend towards greater effect for CT </w:t>
      </w:r>
      <w:r w:rsidRPr="00447F6D">
        <w:rPr>
          <w:rFonts w:ascii="Book Antiqua" w:hAnsi="Book Antiqua"/>
          <w:i/>
          <w:sz w:val="24"/>
          <w:szCs w:val="24"/>
        </w:rPr>
        <w:t>vs</w:t>
      </w:r>
      <w:r w:rsidRPr="000E643C">
        <w:rPr>
          <w:rFonts w:ascii="Book Antiqua" w:hAnsi="Book Antiqua"/>
          <w:sz w:val="24"/>
          <w:szCs w:val="24"/>
        </w:rPr>
        <w:t xml:space="preserve"> IFX </w:t>
      </w:r>
      <w:r w:rsidR="00447F6D">
        <w:rPr>
          <w:rFonts w:ascii="Book Antiqua" w:hAnsi="Book Antiqua"/>
          <w:sz w:val="24"/>
          <w:szCs w:val="24"/>
        </w:rPr>
        <w:t>monotherapy 62.8</w:t>
      </w:r>
      <w:r w:rsidR="00447F6D">
        <w:rPr>
          <w:rFonts w:ascii="Book Antiqua" w:hAnsi="Book Antiqua" w:hint="eastAsia"/>
          <w:sz w:val="24"/>
          <w:szCs w:val="24"/>
          <w:lang w:eastAsia="zh-CN"/>
        </w:rPr>
        <w:t>%</w:t>
      </w:r>
      <w:r w:rsidR="00447F6D">
        <w:rPr>
          <w:rFonts w:ascii="Book Antiqua" w:hAnsi="Book Antiqua"/>
          <w:sz w:val="24"/>
          <w:szCs w:val="24"/>
        </w:rPr>
        <w:t xml:space="preserve"> </w:t>
      </w:r>
      <w:r w:rsidR="00447F6D" w:rsidRPr="00447F6D">
        <w:rPr>
          <w:rFonts w:ascii="Book Antiqua" w:hAnsi="Book Antiqua"/>
          <w:i/>
          <w:sz w:val="24"/>
          <w:szCs w:val="24"/>
        </w:rPr>
        <w:t>vs</w:t>
      </w:r>
      <w:r w:rsidRPr="000E643C">
        <w:rPr>
          <w:rFonts w:ascii="Book Antiqua" w:hAnsi="Book Antiqua"/>
          <w:sz w:val="24"/>
          <w:szCs w:val="24"/>
        </w:rPr>
        <w:t xml:space="preserve"> 54.6% (</w:t>
      </w:r>
      <w:r w:rsidR="00447F6D" w:rsidRPr="000E643C">
        <w:rPr>
          <w:rFonts w:ascii="Book Antiqua" w:hAnsi="Book Antiqua"/>
          <w:i/>
          <w:sz w:val="24"/>
          <w:szCs w:val="24"/>
        </w:rPr>
        <w:t>P</w:t>
      </w:r>
      <w:r w:rsidR="00447F6D" w:rsidRPr="000E643C">
        <w:rPr>
          <w:rFonts w:ascii="Book Antiqua" w:hAnsi="Book Antiqua"/>
          <w:sz w:val="24"/>
          <w:szCs w:val="24"/>
        </w:rPr>
        <w:t xml:space="preserve"> </w:t>
      </w:r>
      <w:r w:rsidRPr="000E643C">
        <w:rPr>
          <w:rFonts w:ascii="Book Antiqua" w:hAnsi="Book Antiqua"/>
          <w:sz w:val="24"/>
          <w:szCs w:val="24"/>
        </w:rPr>
        <w:t>=</w:t>
      </w:r>
      <w:r w:rsidR="00447F6D">
        <w:rPr>
          <w:rFonts w:ascii="Book Antiqua" w:hAnsi="Book Antiqua" w:hint="eastAsia"/>
          <w:sz w:val="24"/>
          <w:szCs w:val="24"/>
          <w:lang w:eastAsia="zh-CN"/>
        </w:rPr>
        <w:t xml:space="preserve"> </w:t>
      </w:r>
      <w:r w:rsidRPr="000E643C">
        <w:rPr>
          <w:rFonts w:ascii="Book Antiqua" w:hAnsi="Book Antiqua"/>
          <w:sz w:val="24"/>
          <w:szCs w:val="24"/>
        </w:rPr>
        <w:t xml:space="preserve">NS), and complete mucosal healing defined by an endoscopic </w:t>
      </w:r>
      <w:proofErr w:type="spellStart"/>
      <w:r w:rsidRPr="000E643C">
        <w:rPr>
          <w:rFonts w:ascii="Book Antiqua" w:hAnsi="Book Antiqua"/>
          <w:sz w:val="24"/>
          <w:szCs w:val="24"/>
        </w:rPr>
        <w:t>subscore</w:t>
      </w:r>
      <w:proofErr w:type="spellEnd"/>
      <w:r w:rsidRPr="000E643C">
        <w:rPr>
          <w:rFonts w:ascii="Book Antiqua" w:hAnsi="Book Antiqua"/>
          <w:sz w:val="24"/>
          <w:szCs w:val="24"/>
        </w:rPr>
        <w:t xml:space="preserve"> of 0 was significa</w:t>
      </w:r>
      <w:r w:rsidR="00447F6D">
        <w:rPr>
          <w:rFonts w:ascii="Book Antiqua" w:hAnsi="Book Antiqua"/>
          <w:sz w:val="24"/>
          <w:szCs w:val="24"/>
        </w:rPr>
        <w:t xml:space="preserve">ntly greater for those on CT </w:t>
      </w:r>
      <w:r w:rsidR="00447F6D" w:rsidRPr="00447F6D">
        <w:rPr>
          <w:rFonts w:ascii="Book Antiqua" w:hAnsi="Book Antiqua"/>
          <w:i/>
          <w:sz w:val="24"/>
          <w:szCs w:val="24"/>
        </w:rPr>
        <w:t>vs</w:t>
      </w:r>
      <w:r w:rsidR="00447F6D" w:rsidRPr="00447F6D">
        <w:rPr>
          <w:rFonts w:ascii="Book Antiqua" w:hAnsi="Book Antiqua" w:hint="eastAsia"/>
          <w:i/>
          <w:sz w:val="24"/>
          <w:szCs w:val="24"/>
          <w:lang w:eastAsia="zh-CN"/>
        </w:rPr>
        <w:t xml:space="preserve"> </w:t>
      </w:r>
      <w:r w:rsidRPr="000E643C">
        <w:rPr>
          <w:rFonts w:ascii="Book Antiqua" w:hAnsi="Book Antiqua"/>
          <w:sz w:val="24"/>
          <w:szCs w:val="24"/>
        </w:rPr>
        <w:t>IFX monotherapy, 29.5</w:t>
      </w:r>
      <w:r w:rsidR="00447F6D">
        <w:rPr>
          <w:rFonts w:ascii="Book Antiqua" w:hAnsi="Book Antiqua" w:hint="eastAsia"/>
          <w:sz w:val="24"/>
          <w:szCs w:val="24"/>
          <w:lang w:eastAsia="zh-CN"/>
        </w:rPr>
        <w:t>%</w:t>
      </w:r>
      <w:r w:rsidRPr="000E643C">
        <w:rPr>
          <w:rFonts w:ascii="Book Antiqua" w:hAnsi="Book Antiqua"/>
          <w:sz w:val="24"/>
          <w:szCs w:val="24"/>
        </w:rPr>
        <w:t xml:space="preserve"> </w:t>
      </w:r>
      <w:r w:rsidRPr="00447F6D">
        <w:rPr>
          <w:rFonts w:ascii="Book Antiqua" w:hAnsi="Book Antiqua"/>
          <w:i/>
          <w:sz w:val="24"/>
          <w:szCs w:val="24"/>
        </w:rPr>
        <w:t>vs</w:t>
      </w:r>
      <w:r w:rsidRPr="000E643C">
        <w:rPr>
          <w:rFonts w:ascii="Book Antiqua" w:hAnsi="Book Antiqua"/>
          <w:sz w:val="24"/>
          <w:szCs w:val="24"/>
        </w:rPr>
        <w:t xml:space="preserve"> 11.7%, </w:t>
      </w:r>
      <w:r w:rsidR="00447F6D" w:rsidRPr="000E643C">
        <w:rPr>
          <w:rFonts w:ascii="Book Antiqua" w:hAnsi="Book Antiqua"/>
          <w:i/>
          <w:sz w:val="24"/>
          <w:szCs w:val="24"/>
        </w:rPr>
        <w:t>P</w:t>
      </w:r>
      <w:r w:rsidR="00447F6D" w:rsidRPr="000E643C">
        <w:rPr>
          <w:rFonts w:ascii="Book Antiqua" w:hAnsi="Book Antiqua"/>
          <w:sz w:val="24"/>
          <w:szCs w:val="24"/>
        </w:rPr>
        <w:t xml:space="preserve"> </w:t>
      </w:r>
      <w:r w:rsidRPr="000E643C">
        <w:rPr>
          <w:rFonts w:ascii="Book Antiqua" w:hAnsi="Book Antiqua"/>
          <w:sz w:val="24"/>
          <w:szCs w:val="24"/>
        </w:rPr>
        <w:t>=</w:t>
      </w:r>
      <w:r w:rsidR="00447F6D">
        <w:rPr>
          <w:rFonts w:ascii="Book Antiqua" w:hAnsi="Book Antiqua" w:hint="eastAsia"/>
          <w:sz w:val="24"/>
          <w:szCs w:val="24"/>
          <w:lang w:eastAsia="zh-CN"/>
        </w:rPr>
        <w:t xml:space="preserve"> </w:t>
      </w:r>
      <w:r w:rsidRPr="000E643C">
        <w:rPr>
          <w:rFonts w:ascii="Book Antiqua" w:hAnsi="Book Antiqua"/>
          <w:sz w:val="24"/>
          <w:szCs w:val="24"/>
        </w:rPr>
        <w:t>0.006.</w:t>
      </w:r>
      <w:r w:rsidR="00E57DEB" w:rsidRPr="000E643C">
        <w:rPr>
          <w:rFonts w:ascii="Book Antiqua" w:hAnsi="Book Antiqua"/>
          <w:sz w:val="24"/>
          <w:szCs w:val="24"/>
        </w:rPr>
        <w:t xml:space="preserve"> </w:t>
      </w:r>
      <w:r w:rsidRPr="000E643C">
        <w:rPr>
          <w:rFonts w:ascii="Book Antiqua" w:hAnsi="Book Antiqua"/>
          <w:sz w:val="24"/>
          <w:szCs w:val="24"/>
        </w:rPr>
        <w:t>Again, no increased incidence of SAE was observed with CT.</w:t>
      </w:r>
      <w:r w:rsidR="00E57DEB" w:rsidRPr="000E643C">
        <w:rPr>
          <w:rFonts w:ascii="Book Antiqua" w:hAnsi="Book Antiqua"/>
          <w:sz w:val="24"/>
          <w:szCs w:val="24"/>
        </w:rPr>
        <w:t xml:space="preserve"> </w:t>
      </w:r>
      <w:r w:rsidRPr="000E643C">
        <w:rPr>
          <w:rFonts w:ascii="Book Antiqua" w:hAnsi="Book Antiqua"/>
          <w:sz w:val="24"/>
          <w:szCs w:val="24"/>
        </w:rPr>
        <w:t>Serious infections were similar in all three groups, (0 in the CT group, 1 in the IFX monotherapy group, and 1 in the AZA monotherapy group).</w:t>
      </w:r>
    </w:p>
    <w:p w14:paraId="47DC010A" w14:textId="77777777" w:rsidR="00447F6D" w:rsidRDefault="00447F6D" w:rsidP="00E57DEB">
      <w:pPr>
        <w:widowControl w:val="0"/>
        <w:adjustRightInd w:val="0"/>
        <w:snapToGrid w:val="0"/>
        <w:spacing w:after="0" w:line="360" w:lineRule="auto"/>
        <w:jc w:val="both"/>
        <w:rPr>
          <w:rFonts w:ascii="Book Antiqua" w:hAnsi="Book Antiqua"/>
          <w:b/>
          <w:sz w:val="24"/>
          <w:szCs w:val="24"/>
          <w:u w:val="single"/>
          <w:lang w:eastAsia="zh-CN"/>
        </w:rPr>
      </w:pPr>
    </w:p>
    <w:p w14:paraId="727DF399" w14:textId="2A919446" w:rsidR="0069331F" w:rsidRPr="00447F6D" w:rsidRDefault="00447F6D" w:rsidP="00E57DEB">
      <w:pPr>
        <w:widowControl w:val="0"/>
        <w:adjustRightInd w:val="0"/>
        <w:snapToGrid w:val="0"/>
        <w:spacing w:after="0" w:line="360" w:lineRule="auto"/>
        <w:jc w:val="both"/>
        <w:rPr>
          <w:rFonts w:ascii="Book Antiqua" w:hAnsi="Book Antiqua"/>
          <w:b/>
          <w:sz w:val="24"/>
          <w:szCs w:val="24"/>
        </w:rPr>
      </w:pPr>
      <w:r w:rsidRPr="00447F6D">
        <w:rPr>
          <w:rFonts w:ascii="Book Antiqua" w:hAnsi="Book Antiqua"/>
          <w:b/>
          <w:sz w:val="24"/>
          <w:szCs w:val="24"/>
        </w:rPr>
        <w:t>IS CT EFFECTIVE FOR OTHER IMMS?</w:t>
      </w:r>
    </w:p>
    <w:p w14:paraId="64F71D8E" w14:textId="0AE96C69" w:rsidR="0069331F" w:rsidRPr="000E643C" w:rsidRDefault="00796CB0"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 xml:space="preserve">Of course </w:t>
      </w:r>
      <w:proofErr w:type="spellStart"/>
      <w:r w:rsidRPr="000E643C">
        <w:rPr>
          <w:rFonts w:ascii="Book Antiqua" w:hAnsi="Book Antiqua"/>
          <w:sz w:val="24"/>
          <w:szCs w:val="24"/>
        </w:rPr>
        <w:t>thiopurines</w:t>
      </w:r>
      <w:proofErr w:type="spellEnd"/>
      <w:r w:rsidRPr="000E643C">
        <w:rPr>
          <w:rFonts w:ascii="Book Antiqua" w:hAnsi="Book Antiqua"/>
          <w:sz w:val="24"/>
          <w:szCs w:val="24"/>
        </w:rPr>
        <w:t xml:space="preserve"> were not the only IMMs that had shown potential benefits when used with IFX.</w:t>
      </w:r>
      <w:r w:rsidR="00E57DEB" w:rsidRPr="000E643C">
        <w:rPr>
          <w:rFonts w:ascii="Book Antiqua" w:hAnsi="Book Antiqua"/>
          <w:sz w:val="24"/>
          <w:szCs w:val="24"/>
        </w:rPr>
        <w:t xml:space="preserve"> </w:t>
      </w:r>
      <w:r w:rsidRPr="000E643C">
        <w:rPr>
          <w:rFonts w:ascii="Book Antiqua" w:hAnsi="Book Antiqua"/>
          <w:sz w:val="24"/>
          <w:szCs w:val="24"/>
        </w:rPr>
        <w:t>MTX had demonstrated similar effects of decreasing ATI and increasing IFX trough levels.</w:t>
      </w:r>
      <w:r w:rsidR="00E57DEB" w:rsidRPr="000E643C">
        <w:rPr>
          <w:rFonts w:ascii="Book Antiqua" w:hAnsi="Book Antiqua"/>
          <w:sz w:val="24"/>
          <w:szCs w:val="24"/>
        </w:rPr>
        <w:t xml:space="preserve"> </w:t>
      </w:r>
      <w:r w:rsidRPr="000E643C">
        <w:rPr>
          <w:rFonts w:ascii="Book Antiqua" w:hAnsi="Book Antiqua"/>
          <w:sz w:val="24"/>
          <w:szCs w:val="24"/>
        </w:rPr>
        <w:t xml:space="preserve">With that in mind, a prospective study of MTX with IFX, the COMMIT trial, was preformed comparing IFX monotherapy and subcutaneous placebo to IFX with subcutaneous MTX for patients with </w:t>
      </w:r>
      <w:proofErr w:type="gramStart"/>
      <w:r w:rsidRPr="000E643C">
        <w:rPr>
          <w:rFonts w:ascii="Book Antiqua" w:hAnsi="Book Antiqua"/>
          <w:sz w:val="24"/>
          <w:szCs w:val="24"/>
        </w:rPr>
        <w:t>CD</w:t>
      </w:r>
      <w:r w:rsidR="00447F6D" w:rsidRPr="000E643C">
        <w:rPr>
          <w:rFonts w:ascii="Book Antiqua" w:hAnsi="Book Antiqua"/>
          <w:sz w:val="24"/>
          <w:szCs w:val="24"/>
          <w:vertAlign w:val="superscript"/>
        </w:rPr>
        <w:t>[</w:t>
      </w:r>
      <w:proofErr w:type="gramEnd"/>
      <w:r w:rsidR="00447F6D" w:rsidRPr="000E643C">
        <w:rPr>
          <w:rFonts w:ascii="Book Antiqua" w:hAnsi="Book Antiqua"/>
          <w:sz w:val="24"/>
          <w:szCs w:val="24"/>
          <w:vertAlign w:val="superscript"/>
        </w:rPr>
        <w:t>13]</w:t>
      </w:r>
      <w:r w:rsidRPr="000E643C">
        <w:rPr>
          <w:rFonts w:ascii="Book Antiqua" w:hAnsi="Book Antiqua"/>
          <w:sz w:val="24"/>
          <w:szCs w:val="24"/>
        </w:rPr>
        <w:t>.</w:t>
      </w:r>
      <w:r w:rsidRPr="000E643C">
        <w:rPr>
          <w:rFonts w:ascii="Book Antiqua" w:eastAsia="+mn-ea" w:hAnsi="Book Antiqua" w:cs="+mn-cs"/>
          <w:kern w:val="24"/>
          <w:sz w:val="24"/>
          <w:szCs w:val="24"/>
        </w:rPr>
        <w:t xml:space="preserve"> </w:t>
      </w:r>
      <w:r w:rsidRPr="000E643C">
        <w:rPr>
          <w:rFonts w:ascii="Book Antiqua" w:hAnsi="Book Antiqua"/>
          <w:sz w:val="24"/>
          <w:szCs w:val="24"/>
        </w:rPr>
        <w:t>Like SONIC the study enrolled biologic naïve patients, but other inclusion criteria and study methods were notably different.</w:t>
      </w:r>
      <w:r w:rsidR="00E57DEB" w:rsidRPr="000E643C">
        <w:rPr>
          <w:rFonts w:ascii="Book Antiqua" w:hAnsi="Book Antiqua"/>
          <w:sz w:val="24"/>
          <w:szCs w:val="24"/>
        </w:rPr>
        <w:t xml:space="preserve"> </w:t>
      </w:r>
      <w:r w:rsidRPr="000E643C">
        <w:rPr>
          <w:rFonts w:ascii="Book Antiqua" w:hAnsi="Book Antiqua"/>
          <w:sz w:val="24"/>
          <w:szCs w:val="24"/>
        </w:rPr>
        <w:t xml:space="preserve">There was no need for minimum baseline CDAI, and inclusion only required that patients had required steroids within 6 </w:t>
      </w:r>
      <w:proofErr w:type="spellStart"/>
      <w:r w:rsidRPr="000E643C">
        <w:rPr>
          <w:rFonts w:ascii="Book Antiqua" w:hAnsi="Book Antiqua"/>
          <w:sz w:val="24"/>
          <w:szCs w:val="24"/>
        </w:rPr>
        <w:t>w</w:t>
      </w:r>
      <w:r w:rsidR="00447F6D">
        <w:rPr>
          <w:rFonts w:ascii="Book Antiqua" w:hAnsi="Book Antiqua" w:hint="eastAsia"/>
          <w:sz w:val="24"/>
          <w:szCs w:val="24"/>
          <w:lang w:eastAsia="zh-CN"/>
        </w:rPr>
        <w:t>k</w:t>
      </w:r>
      <w:proofErr w:type="spellEnd"/>
      <w:r w:rsidRPr="000E643C">
        <w:rPr>
          <w:rFonts w:ascii="Book Antiqua" w:hAnsi="Book Antiqua"/>
          <w:sz w:val="24"/>
          <w:szCs w:val="24"/>
        </w:rPr>
        <w:t xml:space="preserve"> prior to enrollment.</w:t>
      </w:r>
      <w:r w:rsidR="00E57DEB" w:rsidRPr="000E643C">
        <w:rPr>
          <w:rFonts w:ascii="Book Antiqua" w:hAnsi="Book Antiqua"/>
          <w:sz w:val="24"/>
          <w:szCs w:val="24"/>
        </w:rPr>
        <w:t xml:space="preserve"> </w:t>
      </w:r>
      <w:r w:rsidRPr="000E643C">
        <w:rPr>
          <w:rFonts w:ascii="Book Antiqua" w:hAnsi="Book Antiqua"/>
          <w:sz w:val="24"/>
          <w:szCs w:val="24"/>
        </w:rPr>
        <w:t>Additionally, all IFX infusions were given along with 200</w:t>
      </w:r>
      <w:r w:rsidR="00447F6D">
        <w:rPr>
          <w:rFonts w:ascii="Book Antiqua" w:hAnsi="Book Antiqua" w:hint="eastAsia"/>
          <w:sz w:val="24"/>
          <w:szCs w:val="24"/>
          <w:lang w:eastAsia="zh-CN"/>
        </w:rPr>
        <w:t xml:space="preserve"> </w:t>
      </w:r>
      <w:r w:rsidRPr="000E643C">
        <w:rPr>
          <w:rFonts w:ascii="Book Antiqua" w:hAnsi="Book Antiqua"/>
          <w:sz w:val="24"/>
          <w:szCs w:val="24"/>
        </w:rPr>
        <w:t>mg of IV hydrocortisone as premedication.</w:t>
      </w:r>
      <w:r w:rsidR="00E57DEB" w:rsidRPr="000E643C">
        <w:rPr>
          <w:rFonts w:ascii="Book Antiqua" w:hAnsi="Book Antiqua"/>
          <w:sz w:val="24"/>
          <w:szCs w:val="24"/>
        </w:rPr>
        <w:t xml:space="preserve"> </w:t>
      </w:r>
      <w:r w:rsidRPr="000E643C">
        <w:rPr>
          <w:rFonts w:ascii="Book Antiqua" w:hAnsi="Book Antiqua"/>
          <w:sz w:val="24"/>
          <w:szCs w:val="24"/>
        </w:rPr>
        <w:t>The primary study endpoint was failure to achieve steroid free remission at week 16 (defined by a CDAI</w:t>
      </w:r>
      <w:r w:rsidR="00447F6D">
        <w:rPr>
          <w:rFonts w:ascii="Book Antiqua" w:hAnsi="Book Antiqua" w:hint="eastAsia"/>
          <w:sz w:val="24"/>
          <w:szCs w:val="24"/>
          <w:lang w:eastAsia="zh-CN"/>
        </w:rPr>
        <w:t xml:space="preserve"> </w:t>
      </w:r>
      <w:r w:rsidRPr="000E643C">
        <w:rPr>
          <w:rFonts w:ascii="Book Antiqua" w:hAnsi="Book Antiqua"/>
          <w:sz w:val="24"/>
          <w:szCs w:val="24"/>
        </w:rPr>
        <w:t>&lt;</w:t>
      </w:r>
      <w:r w:rsidR="00447F6D">
        <w:rPr>
          <w:rFonts w:ascii="Book Antiqua" w:hAnsi="Book Antiqua" w:hint="eastAsia"/>
          <w:sz w:val="24"/>
          <w:szCs w:val="24"/>
          <w:lang w:eastAsia="zh-CN"/>
        </w:rPr>
        <w:t xml:space="preserve"> </w:t>
      </w:r>
      <w:r w:rsidRPr="000E643C">
        <w:rPr>
          <w:rFonts w:ascii="Book Antiqua" w:hAnsi="Book Antiqua"/>
          <w:sz w:val="24"/>
          <w:szCs w:val="24"/>
        </w:rPr>
        <w:t>150), or failure to maintain remission through week 50.</w:t>
      </w:r>
      <w:r w:rsidR="00E57DEB" w:rsidRPr="000E643C">
        <w:rPr>
          <w:rFonts w:ascii="Book Antiqua" w:hAnsi="Book Antiqua"/>
          <w:sz w:val="24"/>
          <w:szCs w:val="24"/>
        </w:rPr>
        <w:t xml:space="preserve"> </w:t>
      </w:r>
      <w:r w:rsidRPr="000E643C">
        <w:rPr>
          <w:rFonts w:ascii="Book Antiqua" w:hAnsi="Book Antiqua"/>
          <w:sz w:val="24"/>
          <w:szCs w:val="24"/>
        </w:rPr>
        <w:t>In total 126 patients were enrolled, with an average disease duration of over 10 years in each treatment arm, as well as a relatively low CD</w:t>
      </w:r>
      <w:r w:rsidR="00867681" w:rsidRPr="000E643C">
        <w:rPr>
          <w:rFonts w:ascii="Book Antiqua" w:hAnsi="Book Antiqua"/>
          <w:sz w:val="24"/>
          <w:szCs w:val="24"/>
        </w:rPr>
        <w:t>A</w:t>
      </w:r>
      <w:r w:rsidRPr="000E643C">
        <w:rPr>
          <w:rFonts w:ascii="Book Antiqua" w:hAnsi="Book Antiqua"/>
          <w:sz w:val="24"/>
          <w:szCs w:val="24"/>
        </w:rPr>
        <w:t>I of 207 for both CT and monotherapy groups.</w:t>
      </w:r>
      <w:r w:rsidR="00E57DEB" w:rsidRPr="000E643C">
        <w:rPr>
          <w:rFonts w:ascii="Book Antiqua" w:hAnsi="Book Antiqua"/>
          <w:sz w:val="24"/>
          <w:szCs w:val="24"/>
        </w:rPr>
        <w:t xml:space="preserve"> </w:t>
      </w:r>
      <w:r w:rsidRPr="000E643C">
        <w:rPr>
          <w:rFonts w:ascii="Book Antiqua" w:hAnsi="Book Antiqua"/>
          <w:sz w:val="24"/>
          <w:szCs w:val="24"/>
        </w:rPr>
        <w:t>The week 14 primary endpoint of steroid free</w:t>
      </w:r>
      <w:r w:rsidR="00FA11AF" w:rsidRPr="000E643C">
        <w:rPr>
          <w:rFonts w:ascii="Book Antiqua" w:hAnsi="Book Antiqua"/>
          <w:sz w:val="24"/>
          <w:szCs w:val="24"/>
        </w:rPr>
        <w:t xml:space="preserve"> remission was not found to be </w:t>
      </w:r>
      <w:r w:rsidRPr="000E643C">
        <w:rPr>
          <w:rFonts w:ascii="Book Antiqua" w:hAnsi="Book Antiqua"/>
          <w:sz w:val="24"/>
          <w:szCs w:val="24"/>
        </w:rPr>
        <w:t xml:space="preserve">greater for CT </w:t>
      </w:r>
      <w:r w:rsidRPr="00447F6D">
        <w:rPr>
          <w:rFonts w:ascii="Book Antiqua" w:hAnsi="Book Antiqua"/>
          <w:i/>
          <w:sz w:val="24"/>
          <w:szCs w:val="24"/>
        </w:rPr>
        <w:t xml:space="preserve">vs </w:t>
      </w:r>
      <w:r w:rsidRPr="000E643C">
        <w:rPr>
          <w:rFonts w:ascii="Book Antiqua" w:hAnsi="Book Antiqua"/>
          <w:sz w:val="24"/>
          <w:szCs w:val="24"/>
        </w:rPr>
        <w:t>monotherapy, 76</w:t>
      </w:r>
      <w:r w:rsidR="00447F6D">
        <w:rPr>
          <w:rFonts w:ascii="Book Antiqua" w:hAnsi="Book Antiqua" w:hint="eastAsia"/>
          <w:sz w:val="24"/>
          <w:szCs w:val="24"/>
          <w:lang w:eastAsia="zh-CN"/>
        </w:rPr>
        <w:t>%</w:t>
      </w:r>
      <w:r w:rsidRPr="000E643C">
        <w:rPr>
          <w:rFonts w:ascii="Book Antiqua" w:hAnsi="Book Antiqua"/>
          <w:sz w:val="24"/>
          <w:szCs w:val="24"/>
        </w:rPr>
        <w:t xml:space="preserve"> </w:t>
      </w:r>
      <w:r w:rsidRPr="00447F6D">
        <w:rPr>
          <w:rFonts w:ascii="Book Antiqua" w:hAnsi="Book Antiqua"/>
          <w:i/>
          <w:sz w:val="24"/>
          <w:szCs w:val="24"/>
        </w:rPr>
        <w:t xml:space="preserve">vs </w:t>
      </w:r>
      <w:r w:rsidRPr="000E643C">
        <w:rPr>
          <w:rFonts w:ascii="Book Antiqua" w:hAnsi="Book Antiqua"/>
          <w:sz w:val="24"/>
          <w:szCs w:val="24"/>
        </w:rPr>
        <w:t xml:space="preserve">78%, and neither was the week </w:t>
      </w:r>
      <w:proofErr w:type="gramStart"/>
      <w:r w:rsidRPr="000E643C">
        <w:rPr>
          <w:rFonts w:ascii="Book Antiqua" w:hAnsi="Book Antiqua"/>
          <w:sz w:val="24"/>
          <w:szCs w:val="24"/>
        </w:rPr>
        <w:t>50 endpoint,</w:t>
      </w:r>
      <w:proofErr w:type="gramEnd"/>
      <w:r w:rsidRPr="000E643C">
        <w:rPr>
          <w:rFonts w:ascii="Book Antiqua" w:hAnsi="Book Antiqua"/>
          <w:sz w:val="24"/>
          <w:szCs w:val="24"/>
        </w:rPr>
        <w:t xml:space="preserve"> 56</w:t>
      </w:r>
      <w:r w:rsidR="00447F6D">
        <w:rPr>
          <w:rFonts w:ascii="Book Antiqua" w:hAnsi="Book Antiqua" w:hint="eastAsia"/>
          <w:sz w:val="24"/>
          <w:szCs w:val="24"/>
          <w:lang w:eastAsia="zh-CN"/>
        </w:rPr>
        <w:t>%</w:t>
      </w:r>
      <w:r w:rsidR="00447F6D">
        <w:rPr>
          <w:rFonts w:ascii="Book Antiqua" w:hAnsi="Book Antiqua"/>
          <w:sz w:val="24"/>
          <w:szCs w:val="24"/>
        </w:rPr>
        <w:t xml:space="preserve"> </w:t>
      </w:r>
      <w:r w:rsidR="00447F6D" w:rsidRPr="00447F6D">
        <w:rPr>
          <w:rFonts w:ascii="Book Antiqua" w:hAnsi="Book Antiqua"/>
          <w:i/>
          <w:sz w:val="24"/>
          <w:szCs w:val="24"/>
        </w:rPr>
        <w:t>vs</w:t>
      </w:r>
      <w:r w:rsidRPr="000E643C">
        <w:rPr>
          <w:rFonts w:ascii="Book Antiqua" w:hAnsi="Book Antiqua"/>
          <w:sz w:val="24"/>
          <w:szCs w:val="24"/>
        </w:rPr>
        <w:t xml:space="preserve"> 57%. Critiques of the trial have pointed at the overall low baseline levels of CDAI, suggesting that it is more difficult to detect a significant respon</w:t>
      </w:r>
      <w:r w:rsidR="00AF1B86" w:rsidRPr="000E643C">
        <w:rPr>
          <w:rFonts w:ascii="Book Antiqua" w:hAnsi="Book Antiqua"/>
          <w:sz w:val="24"/>
          <w:szCs w:val="24"/>
        </w:rPr>
        <w:t xml:space="preserve">se to therapy when the disease </w:t>
      </w:r>
      <w:r w:rsidRPr="000E643C">
        <w:rPr>
          <w:rFonts w:ascii="Book Antiqua" w:hAnsi="Book Antiqua"/>
          <w:sz w:val="24"/>
          <w:szCs w:val="24"/>
        </w:rPr>
        <w:t>is less severe. Also, the use of hydrocortisone along with all infusions may have offered additional clinical benefit, again obscuring any distinct MTX effect.</w:t>
      </w:r>
      <w:r w:rsidR="00E57DEB" w:rsidRPr="000E643C">
        <w:rPr>
          <w:rFonts w:ascii="Book Antiqua" w:hAnsi="Book Antiqua"/>
          <w:sz w:val="24"/>
          <w:szCs w:val="24"/>
        </w:rPr>
        <w:t xml:space="preserve"> </w:t>
      </w:r>
      <w:r w:rsidRPr="000E643C">
        <w:rPr>
          <w:rFonts w:ascii="Book Antiqua" w:hAnsi="Book Antiqua"/>
          <w:sz w:val="24"/>
          <w:szCs w:val="24"/>
        </w:rPr>
        <w:t xml:space="preserve">Even so, the trial again demonstrated the ability of MTX to modify immune response to IFX, with </w:t>
      </w:r>
      <w:r w:rsidRPr="000E643C">
        <w:rPr>
          <w:rFonts w:ascii="Book Antiqua" w:hAnsi="Book Antiqua"/>
          <w:sz w:val="24"/>
          <w:szCs w:val="24"/>
        </w:rPr>
        <w:lastRenderedPageBreak/>
        <w:t xml:space="preserve">lower ATI in the MTX arm </w:t>
      </w:r>
      <w:r w:rsidRPr="00447F6D">
        <w:rPr>
          <w:rFonts w:ascii="Book Antiqua" w:hAnsi="Book Antiqua"/>
          <w:i/>
          <w:sz w:val="24"/>
          <w:szCs w:val="24"/>
        </w:rPr>
        <w:t>vs</w:t>
      </w:r>
      <w:r w:rsidR="00EF7D47" w:rsidRPr="000E643C">
        <w:rPr>
          <w:rFonts w:ascii="Book Antiqua" w:hAnsi="Book Antiqua"/>
          <w:sz w:val="24"/>
          <w:szCs w:val="24"/>
        </w:rPr>
        <w:t xml:space="preserve"> </w:t>
      </w:r>
      <w:r w:rsidR="00447F6D">
        <w:rPr>
          <w:rFonts w:ascii="Book Antiqua" w:hAnsi="Book Antiqua"/>
          <w:sz w:val="24"/>
          <w:szCs w:val="24"/>
        </w:rPr>
        <w:t>placebo, 4</w:t>
      </w:r>
      <w:r w:rsidR="00447F6D">
        <w:rPr>
          <w:rFonts w:ascii="Book Antiqua" w:hAnsi="Book Antiqua" w:hint="eastAsia"/>
          <w:sz w:val="24"/>
          <w:szCs w:val="24"/>
          <w:lang w:eastAsia="zh-CN"/>
        </w:rPr>
        <w:t>%</w:t>
      </w:r>
      <w:r w:rsidR="00447F6D">
        <w:rPr>
          <w:rFonts w:ascii="Book Antiqua" w:hAnsi="Book Antiqua"/>
          <w:sz w:val="24"/>
          <w:szCs w:val="24"/>
        </w:rPr>
        <w:t xml:space="preserve"> </w:t>
      </w:r>
      <w:r w:rsidR="00447F6D" w:rsidRPr="00447F6D">
        <w:rPr>
          <w:rFonts w:ascii="Book Antiqua" w:hAnsi="Book Antiqua"/>
          <w:i/>
          <w:sz w:val="24"/>
          <w:szCs w:val="24"/>
        </w:rPr>
        <w:t>vs</w:t>
      </w:r>
      <w:r w:rsidRPr="000E643C">
        <w:rPr>
          <w:rFonts w:ascii="Book Antiqua" w:hAnsi="Book Antiqua"/>
          <w:sz w:val="24"/>
          <w:szCs w:val="24"/>
        </w:rPr>
        <w:t xml:space="preserve"> 20% (</w:t>
      </w:r>
      <w:r w:rsidR="00105513" w:rsidRPr="000E643C">
        <w:rPr>
          <w:rFonts w:ascii="Book Antiqua" w:hAnsi="Book Antiqua"/>
          <w:i/>
          <w:sz w:val="24"/>
          <w:szCs w:val="24"/>
        </w:rPr>
        <w:t>P</w:t>
      </w:r>
      <w:r w:rsidR="00105513" w:rsidRPr="000E643C">
        <w:rPr>
          <w:rFonts w:ascii="Book Antiqua" w:hAnsi="Book Antiqua"/>
          <w:sz w:val="24"/>
          <w:szCs w:val="24"/>
        </w:rPr>
        <w:t xml:space="preserve"> </w:t>
      </w:r>
      <w:r w:rsidRPr="000E643C">
        <w:rPr>
          <w:rFonts w:ascii="Book Antiqua" w:hAnsi="Book Antiqua"/>
          <w:sz w:val="24"/>
          <w:szCs w:val="24"/>
        </w:rPr>
        <w:t>=</w:t>
      </w:r>
      <w:r w:rsidR="00105513">
        <w:rPr>
          <w:rFonts w:ascii="Book Antiqua" w:hAnsi="Book Antiqua" w:hint="eastAsia"/>
          <w:sz w:val="24"/>
          <w:szCs w:val="24"/>
          <w:lang w:eastAsia="zh-CN"/>
        </w:rPr>
        <w:t xml:space="preserve"> </w:t>
      </w:r>
      <w:r w:rsidRPr="000E643C">
        <w:rPr>
          <w:rFonts w:ascii="Book Antiqua" w:hAnsi="Book Antiqua"/>
          <w:sz w:val="24"/>
          <w:szCs w:val="24"/>
        </w:rPr>
        <w:t>0.01), and a trend towards hi</w:t>
      </w:r>
      <w:r w:rsidR="00105513">
        <w:rPr>
          <w:rFonts w:ascii="Book Antiqua" w:hAnsi="Book Antiqua"/>
          <w:sz w:val="24"/>
          <w:szCs w:val="24"/>
        </w:rPr>
        <w:t xml:space="preserve">gher IFX trough levels, 6.35 </w:t>
      </w:r>
      <w:r w:rsidR="00105513" w:rsidRPr="00105513">
        <w:rPr>
          <w:rFonts w:ascii="Book Antiqua" w:hAnsi="Book Antiqua"/>
          <w:i/>
          <w:sz w:val="24"/>
          <w:szCs w:val="24"/>
        </w:rPr>
        <w:t>vs</w:t>
      </w:r>
      <w:r w:rsidRPr="000E643C">
        <w:rPr>
          <w:rFonts w:ascii="Book Antiqua" w:hAnsi="Book Antiqua"/>
          <w:sz w:val="24"/>
          <w:szCs w:val="24"/>
        </w:rPr>
        <w:t xml:space="preserve"> 3.75</w:t>
      </w:r>
      <w:r w:rsidR="00105513">
        <w:rPr>
          <w:rFonts w:ascii="Book Antiqua" w:hAnsi="Book Antiqua" w:hint="eastAsia"/>
          <w:sz w:val="24"/>
          <w:szCs w:val="24"/>
          <w:lang w:eastAsia="zh-CN"/>
        </w:rPr>
        <w:t xml:space="preserve"> </w:t>
      </w:r>
      <w:r w:rsidRPr="000E643C">
        <w:rPr>
          <w:rFonts w:ascii="Book Antiqua" w:hAnsi="Book Antiqua"/>
          <w:sz w:val="24"/>
          <w:szCs w:val="24"/>
        </w:rPr>
        <w:t>µg/m</w:t>
      </w:r>
      <w:r w:rsidR="00105513">
        <w:rPr>
          <w:rFonts w:ascii="Book Antiqua" w:hAnsi="Book Antiqua" w:hint="eastAsia"/>
          <w:sz w:val="24"/>
          <w:szCs w:val="24"/>
          <w:lang w:eastAsia="zh-CN"/>
        </w:rPr>
        <w:t xml:space="preserve">L </w:t>
      </w:r>
      <w:r w:rsidRPr="000E643C">
        <w:rPr>
          <w:rFonts w:ascii="Book Antiqua" w:hAnsi="Book Antiqua"/>
          <w:sz w:val="24"/>
          <w:szCs w:val="24"/>
        </w:rPr>
        <w:t>(</w:t>
      </w:r>
      <w:r w:rsidR="00105513" w:rsidRPr="000E643C">
        <w:rPr>
          <w:rFonts w:ascii="Book Antiqua" w:hAnsi="Book Antiqua"/>
          <w:i/>
          <w:sz w:val="24"/>
          <w:szCs w:val="24"/>
        </w:rPr>
        <w:t>P</w:t>
      </w:r>
      <w:r w:rsidR="00105513" w:rsidRPr="000E643C">
        <w:rPr>
          <w:rFonts w:ascii="Book Antiqua" w:hAnsi="Book Antiqua"/>
          <w:sz w:val="24"/>
          <w:szCs w:val="24"/>
        </w:rPr>
        <w:t xml:space="preserve"> </w:t>
      </w:r>
      <w:r w:rsidRPr="000E643C">
        <w:rPr>
          <w:rFonts w:ascii="Book Antiqua" w:hAnsi="Book Antiqua"/>
          <w:sz w:val="24"/>
          <w:szCs w:val="24"/>
        </w:rPr>
        <w:t>=</w:t>
      </w:r>
      <w:r w:rsidR="00105513">
        <w:rPr>
          <w:rFonts w:ascii="Book Antiqua" w:hAnsi="Book Antiqua" w:hint="eastAsia"/>
          <w:sz w:val="24"/>
          <w:szCs w:val="24"/>
          <w:lang w:eastAsia="zh-CN"/>
        </w:rPr>
        <w:t xml:space="preserve"> </w:t>
      </w:r>
      <w:r w:rsidRPr="000E643C">
        <w:rPr>
          <w:rFonts w:ascii="Book Antiqua" w:hAnsi="Book Antiqua"/>
          <w:sz w:val="24"/>
          <w:szCs w:val="24"/>
        </w:rPr>
        <w:t>NS).</w:t>
      </w:r>
    </w:p>
    <w:p w14:paraId="7FA5355A" w14:textId="77777777" w:rsidR="00FA1321" w:rsidRDefault="00FA1321" w:rsidP="00E57DEB">
      <w:pPr>
        <w:widowControl w:val="0"/>
        <w:adjustRightInd w:val="0"/>
        <w:snapToGrid w:val="0"/>
        <w:spacing w:after="0" w:line="360" w:lineRule="auto"/>
        <w:jc w:val="both"/>
        <w:rPr>
          <w:rFonts w:ascii="Book Antiqua" w:hAnsi="Book Antiqua"/>
          <w:b/>
          <w:sz w:val="24"/>
          <w:szCs w:val="24"/>
          <w:u w:val="single"/>
          <w:lang w:eastAsia="zh-CN"/>
        </w:rPr>
      </w:pPr>
    </w:p>
    <w:p w14:paraId="7735BCDB" w14:textId="1C4D867B" w:rsidR="0069331F" w:rsidRPr="00FA1321" w:rsidRDefault="00FA1321" w:rsidP="00E57DEB">
      <w:pPr>
        <w:widowControl w:val="0"/>
        <w:adjustRightInd w:val="0"/>
        <w:snapToGrid w:val="0"/>
        <w:spacing w:after="0" w:line="360" w:lineRule="auto"/>
        <w:jc w:val="both"/>
        <w:rPr>
          <w:rFonts w:ascii="Book Antiqua" w:hAnsi="Book Antiqua"/>
          <w:b/>
          <w:sz w:val="24"/>
          <w:szCs w:val="24"/>
        </w:rPr>
      </w:pPr>
      <w:r w:rsidRPr="00FA1321">
        <w:rPr>
          <w:rFonts w:ascii="Book Antiqua" w:hAnsi="Book Antiqua"/>
          <w:b/>
          <w:sz w:val="24"/>
          <w:szCs w:val="24"/>
        </w:rPr>
        <w:t>IS CT EFFECTIVE FOR OTHER BIOLOGICS WITH IMMS?</w:t>
      </w:r>
    </w:p>
    <w:p w14:paraId="639B0974" w14:textId="2679DEEE" w:rsidR="0069331F" w:rsidRPr="000E643C" w:rsidRDefault="00796CB0"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The next biologic, possessing a similar mechanism of action to IFX, was adalimumab (ADA).</w:t>
      </w:r>
      <w:r w:rsidR="00E57DEB" w:rsidRPr="000E643C">
        <w:rPr>
          <w:rFonts w:ascii="Book Antiqua" w:hAnsi="Book Antiqua"/>
          <w:sz w:val="24"/>
          <w:szCs w:val="24"/>
        </w:rPr>
        <w:t xml:space="preserve"> </w:t>
      </w:r>
      <w:r w:rsidRPr="000E643C">
        <w:rPr>
          <w:rFonts w:ascii="Book Antiqua" w:hAnsi="Book Antiqua"/>
          <w:sz w:val="24"/>
          <w:szCs w:val="24"/>
        </w:rPr>
        <w:t>ADA dif</w:t>
      </w:r>
      <w:r w:rsidR="00867681" w:rsidRPr="000E643C">
        <w:rPr>
          <w:rFonts w:ascii="Book Antiqua" w:hAnsi="Book Antiqua"/>
          <w:sz w:val="24"/>
          <w:szCs w:val="24"/>
        </w:rPr>
        <w:t>fers from IFX not only by its subcutaneous</w:t>
      </w:r>
      <w:r w:rsidRPr="000E643C">
        <w:rPr>
          <w:rFonts w:ascii="Book Antiqua" w:hAnsi="Book Antiqua"/>
          <w:sz w:val="24"/>
          <w:szCs w:val="24"/>
        </w:rPr>
        <w:t xml:space="preserve"> route of delivery, but by its fully humanized protein structure.</w:t>
      </w:r>
      <w:r w:rsidR="00E57DEB" w:rsidRPr="000E643C">
        <w:rPr>
          <w:rFonts w:ascii="Book Antiqua" w:hAnsi="Book Antiqua"/>
          <w:sz w:val="24"/>
          <w:szCs w:val="24"/>
        </w:rPr>
        <w:t xml:space="preserve"> </w:t>
      </w:r>
      <w:r w:rsidRPr="000E643C">
        <w:rPr>
          <w:rFonts w:ascii="Book Antiqua" w:hAnsi="Book Antiqua"/>
          <w:sz w:val="24"/>
          <w:szCs w:val="24"/>
        </w:rPr>
        <w:t>Given that the main benefit of IMM with IFX appeared to be linked to blunting an immune response, it could not be assumed that ADA would be as immunogenic, or that IMM with ADA would demonstrate the same benefits.</w:t>
      </w:r>
      <w:r w:rsidR="00E57DEB" w:rsidRPr="000E643C">
        <w:rPr>
          <w:rFonts w:ascii="Book Antiqua" w:hAnsi="Book Antiqua"/>
          <w:sz w:val="24"/>
          <w:szCs w:val="24"/>
        </w:rPr>
        <w:t xml:space="preserve"> </w:t>
      </w:r>
      <w:r w:rsidRPr="000E643C">
        <w:rPr>
          <w:rFonts w:ascii="Book Antiqua" w:hAnsi="Book Antiqua"/>
          <w:sz w:val="24"/>
          <w:szCs w:val="24"/>
        </w:rPr>
        <w:t>In fact, early studies of ADA pharmacokinetics and clinical outcomes did demonstrate a correlation of clinical response to higher ADA trough levels and lower antibody to adalimumab, similar to prior observations with IFX.</w:t>
      </w:r>
      <w:r w:rsidR="00E57DEB" w:rsidRPr="000E643C">
        <w:rPr>
          <w:rFonts w:ascii="Book Antiqua" w:hAnsi="Book Antiqua"/>
          <w:sz w:val="24"/>
          <w:szCs w:val="24"/>
        </w:rPr>
        <w:t xml:space="preserve"> </w:t>
      </w:r>
      <w:r w:rsidRPr="000E643C">
        <w:rPr>
          <w:rFonts w:ascii="Book Antiqua" w:hAnsi="Book Antiqua"/>
          <w:sz w:val="24"/>
          <w:szCs w:val="24"/>
        </w:rPr>
        <w:t xml:space="preserve">Unlike IFX however, early investigations did not find that IMM influenced these </w:t>
      </w:r>
      <w:proofErr w:type="gramStart"/>
      <w:r w:rsidRPr="000E643C">
        <w:rPr>
          <w:rFonts w:ascii="Book Antiqua" w:hAnsi="Book Antiqua"/>
          <w:sz w:val="24"/>
          <w:szCs w:val="24"/>
        </w:rPr>
        <w:t>outcomes</w:t>
      </w:r>
      <w:r w:rsidR="00E34CDA" w:rsidRPr="000E643C">
        <w:rPr>
          <w:rFonts w:ascii="Book Antiqua" w:hAnsi="Book Antiqua"/>
          <w:sz w:val="24"/>
          <w:szCs w:val="24"/>
          <w:vertAlign w:val="superscript"/>
        </w:rPr>
        <w:t>[</w:t>
      </w:r>
      <w:proofErr w:type="gramEnd"/>
      <w:r w:rsidR="00E34CDA" w:rsidRPr="000E643C">
        <w:rPr>
          <w:rFonts w:ascii="Book Antiqua" w:hAnsi="Book Antiqua"/>
          <w:sz w:val="24"/>
          <w:szCs w:val="24"/>
          <w:vertAlign w:val="superscript"/>
        </w:rPr>
        <w:t>14]</w:t>
      </w:r>
      <w:r w:rsidR="000D54E5" w:rsidRPr="000E643C">
        <w:rPr>
          <w:rFonts w:ascii="Book Antiqua" w:hAnsi="Book Antiqua"/>
          <w:sz w:val="24"/>
          <w:szCs w:val="24"/>
        </w:rPr>
        <w:t>.</w:t>
      </w:r>
      <w:r w:rsidRPr="000E643C">
        <w:rPr>
          <w:rFonts w:ascii="Book Antiqua" w:hAnsi="Book Antiqua"/>
          <w:sz w:val="24"/>
          <w:szCs w:val="24"/>
        </w:rPr>
        <w:t xml:space="preserve"> A retrospective analysis of mixed IBD patients using IFX (N</w:t>
      </w:r>
      <w:r w:rsidR="00E34CDA">
        <w:rPr>
          <w:rFonts w:ascii="Book Antiqua" w:hAnsi="Book Antiqua" w:hint="eastAsia"/>
          <w:sz w:val="24"/>
          <w:szCs w:val="24"/>
          <w:lang w:eastAsia="zh-CN"/>
        </w:rPr>
        <w:t xml:space="preserve"> </w:t>
      </w:r>
      <w:r w:rsidRPr="000E643C">
        <w:rPr>
          <w:rFonts w:ascii="Book Antiqua" w:hAnsi="Book Antiqua"/>
          <w:sz w:val="24"/>
          <w:szCs w:val="24"/>
        </w:rPr>
        <w:t>=</w:t>
      </w:r>
      <w:r w:rsidR="00E34CDA">
        <w:rPr>
          <w:rFonts w:ascii="Book Antiqua" w:hAnsi="Book Antiqua" w:hint="eastAsia"/>
          <w:sz w:val="24"/>
          <w:szCs w:val="24"/>
          <w:lang w:eastAsia="zh-CN"/>
        </w:rPr>
        <w:t xml:space="preserve"> </w:t>
      </w:r>
      <w:r w:rsidRPr="000E643C">
        <w:rPr>
          <w:rFonts w:ascii="Book Antiqua" w:hAnsi="Book Antiqua"/>
          <w:sz w:val="24"/>
          <w:szCs w:val="24"/>
        </w:rPr>
        <w:t>108) again showed increased drug levels (</w:t>
      </w:r>
      <w:r w:rsidR="00E34CDA" w:rsidRPr="000E643C">
        <w:rPr>
          <w:rFonts w:ascii="Book Antiqua" w:hAnsi="Book Antiqua"/>
          <w:i/>
          <w:sz w:val="24"/>
          <w:szCs w:val="24"/>
        </w:rPr>
        <w:t>P</w:t>
      </w:r>
      <w:r w:rsidR="00E34CDA" w:rsidRPr="000E643C">
        <w:rPr>
          <w:rFonts w:ascii="Book Antiqua" w:hAnsi="Book Antiqua"/>
          <w:sz w:val="24"/>
          <w:szCs w:val="24"/>
        </w:rPr>
        <w:t xml:space="preserve"> </w:t>
      </w:r>
      <w:r w:rsidRPr="000E643C">
        <w:rPr>
          <w:rFonts w:ascii="Book Antiqua" w:hAnsi="Book Antiqua"/>
          <w:sz w:val="24"/>
          <w:szCs w:val="24"/>
        </w:rPr>
        <w:t>=</w:t>
      </w:r>
      <w:r w:rsidR="00E34CDA">
        <w:rPr>
          <w:rFonts w:ascii="Book Antiqua" w:hAnsi="Book Antiqua" w:hint="eastAsia"/>
          <w:sz w:val="24"/>
          <w:szCs w:val="24"/>
          <w:lang w:eastAsia="zh-CN"/>
        </w:rPr>
        <w:t xml:space="preserve"> </w:t>
      </w:r>
      <w:r w:rsidRPr="000E643C">
        <w:rPr>
          <w:rFonts w:ascii="Book Antiqua" w:hAnsi="Book Antiqua"/>
          <w:sz w:val="24"/>
          <w:szCs w:val="24"/>
        </w:rPr>
        <w:t>0.037) and decreased antibodies to IFX (</w:t>
      </w:r>
      <w:r w:rsidR="00E34CDA" w:rsidRPr="000E643C">
        <w:rPr>
          <w:rFonts w:ascii="Book Antiqua" w:hAnsi="Book Antiqua"/>
          <w:i/>
          <w:sz w:val="24"/>
          <w:szCs w:val="24"/>
        </w:rPr>
        <w:t>P</w:t>
      </w:r>
      <w:r w:rsidR="00E34CDA" w:rsidRPr="000E643C">
        <w:rPr>
          <w:rFonts w:ascii="Book Antiqua" w:hAnsi="Book Antiqua"/>
          <w:sz w:val="24"/>
          <w:szCs w:val="24"/>
        </w:rPr>
        <w:t xml:space="preserve"> </w:t>
      </w:r>
      <w:r w:rsidRPr="000E643C">
        <w:rPr>
          <w:rFonts w:ascii="Book Antiqua" w:hAnsi="Book Antiqua"/>
          <w:sz w:val="24"/>
          <w:szCs w:val="24"/>
        </w:rPr>
        <w:t>=</w:t>
      </w:r>
      <w:r w:rsidR="00E34CDA">
        <w:rPr>
          <w:rFonts w:ascii="Book Antiqua" w:hAnsi="Book Antiqua" w:hint="eastAsia"/>
          <w:sz w:val="24"/>
          <w:szCs w:val="24"/>
          <w:lang w:eastAsia="zh-CN"/>
        </w:rPr>
        <w:t xml:space="preserve"> </w:t>
      </w:r>
      <w:r w:rsidRPr="000E643C">
        <w:rPr>
          <w:rFonts w:ascii="Book Antiqua" w:hAnsi="Book Antiqua"/>
          <w:sz w:val="24"/>
          <w:szCs w:val="24"/>
        </w:rPr>
        <w:t>0.001) among those using IMM.</w:t>
      </w:r>
      <w:r w:rsidR="00E57DEB" w:rsidRPr="000E643C">
        <w:rPr>
          <w:rFonts w:ascii="Book Antiqua" w:hAnsi="Book Antiqua"/>
          <w:sz w:val="24"/>
          <w:szCs w:val="24"/>
        </w:rPr>
        <w:t xml:space="preserve"> </w:t>
      </w:r>
      <w:r w:rsidRPr="000E643C">
        <w:rPr>
          <w:rFonts w:ascii="Book Antiqua" w:hAnsi="Book Antiqua"/>
          <w:sz w:val="24"/>
          <w:szCs w:val="24"/>
        </w:rPr>
        <w:t>This benefit to IMM was not found among the 109 ADA treated patients, with CT showing similar drug trough levels (</w:t>
      </w:r>
      <w:r w:rsidR="00E34CDA" w:rsidRPr="000E643C">
        <w:rPr>
          <w:rFonts w:ascii="Book Antiqua" w:hAnsi="Book Antiqua"/>
          <w:i/>
          <w:sz w:val="24"/>
          <w:szCs w:val="24"/>
        </w:rPr>
        <w:t>P</w:t>
      </w:r>
      <w:r w:rsidR="00E34CDA" w:rsidRPr="000E643C">
        <w:rPr>
          <w:rFonts w:ascii="Book Antiqua" w:hAnsi="Book Antiqua"/>
          <w:sz w:val="24"/>
          <w:szCs w:val="24"/>
        </w:rPr>
        <w:t xml:space="preserve"> </w:t>
      </w:r>
      <w:r w:rsidRPr="000E643C">
        <w:rPr>
          <w:rFonts w:ascii="Book Antiqua" w:hAnsi="Book Antiqua"/>
          <w:sz w:val="24"/>
          <w:szCs w:val="24"/>
        </w:rPr>
        <w:t>=</w:t>
      </w:r>
      <w:r w:rsidR="00E34CDA">
        <w:rPr>
          <w:rFonts w:ascii="Book Antiqua" w:hAnsi="Book Antiqua" w:hint="eastAsia"/>
          <w:sz w:val="24"/>
          <w:szCs w:val="24"/>
          <w:lang w:eastAsia="zh-CN"/>
        </w:rPr>
        <w:t xml:space="preserve"> </w:t>
      </w:r>
      <w:r w:rsidRPr="000E643C">
        <w:rPr>
          <w:rFonts w:ascii="Book Antiqua" w:hAnsi="Book Antiqua"/>
          <w:sz w:val="24"/>
          <w:szCs w:val="24"/>
        </w:rPr>
        <w:t>0.4</w:t>
      </w:r>
      <w:r w:rsidR="006673A5" w:rsidRPr="000E643C">
        <w:rPr>
          <w:rFonts w:ascii="Book Antiqua" w:hAnsi="Book Antiqua"/>
          <w:sz w:val="24"/>
          <w:szCs w:val="24"/>
        </w:rPr>
        <w:t>96) and antibody levels (</w:t>
      </w:r>
      <w:r w:rsidR="00E34CDA" w:rsidRPr="000E643C">
        <w:rPr>
          <w:rFonts w:ascii="Book Antiqua" w:hAnsi="Book Antiqua"/>
          <w:i/>
          <w:sz w:val="24"/>
          <w:szCs w:val="24"/>
        </w:rPr>
        <w:t>P</w:t>
      </w:r>
      <w:r w:rsidR="00E34CDA" w:rsidRPr="000E643C">
        <w:rPr>
          <w:rFonts w:ascii="Book Antiqua" w:hAnsi="Book Antiqua"/>
          <w:sz w:val="24"/>
          <w:szCs w:val="24"/>
        </w:rPr>
        <w:t xml:space="preserve"> </w:t>
      </w:r>
      <w:r w:rsidR="006673A5" w:rsidRPr="000E643C">
        <w:rPr>
          <w:rFonts w:ascii="Book Antiqua" w:hAnsi="Book Antiqua"/>
          <w:sz w:val="24"/>
          <w:szCs w:val="24"/>
        </w:rPr>
        <w:t>=</w:t>
      </w:r>
      <w:r w:rsidR="00E34CDA">
        <w:rPr>
          <w:rFonts w:ascii="Book Antiqua" w:hAnsi="Book Antiqua" w:hint="eastAsia"/>
          <w:sz w:val="24"/>
          <w:szCs w:val="24"/>
          <w:lang w:eastAsia="zh-CN"/>
        </w:rPr>
        <w:t xml:space="preserve"> </w:t>
      </w:r>
      <w:r w:rsidR="006673A5" w:rsidRPr="000E643C">
        <w:rPr>
          <w:rFonts w:ascii="Book Antiqua" w:hAnsi="Book Antiqua"/>
          <w:sz w:val="24"/>
          <w:szCs w:val="24"/>
        </w:rPr>
        <w:t>0.63</w:t>
      </w:r>
      <w:r w:rsidRPr="000E643C">
        <w:rPr>
          <w:rFonts w:ascii="Book Antiqua" w:hAnsi="Book Antiqua"/>
          <w:sz w:val="24"/>
          <w:szCs w:val="24"/>
        </w:rPr>
        <w:t>)</w:t>
      </w:r>
      <w:r w:rsidRPr="000E643C">
        <w:rPr>
          <w:rFonts w:ascii="Book Antiqua" w:hAnsi="Book Antiqua"/>
          <w:sz w:val="24"/>
          <w:szCs w:val="24"/>
          <w:vertAlign w:val="superscript"/>
        </w:rPr>
        <w:t>[15]</w:t>
      </w:r>
      <w:r w:rsidRPr="000E643C">
        <w:rPr>
          <w:rFonts w:ascii="Book Antiqua" w:hAnsi="Book Antiqua"/>
          <w:sz w:val="24"/>
          <w:szCs w:val="24"/>
        </w:rPr>
        <w:t xml:space="preserve"> </w:t>
      </w:r>
      <w:r w:rsidR="000D54E5" w:rsidRPr="000E643C">
        <w:rPr>
          <w:rFonts w:ascii="Book Antiqua" w:hAnsi="Book Antiqua"/>
          <w:sz w:val="24"/>
          <w:szCs w:val="24"/>
        </w:rPr>
        <w:t>to t</w:t>
      </w:r>
      <w:r w:rsidRPr="000E643C">
        <w:rPr>
          <w:rFonts w:ascii="Book Antiqua" w:hAnsi="Book Antiqua"/>
          <w:sz w:val="24"/>
          <w:szCs w:val="24"/>
        </w:rPr>
        <w:t>hose on ADA monotherapy.</w:t>
      </w:r>
      <w:r w:rsidR="00E57DEB" w:rsidRPr="000E643C">
        <w:rPr>
          <w:rFonts w:ascii="Book Antiqua" w:hAnsi="Book Antiqua"/>
          <w:sz w:val="24"/>
          <w:szCs w:val="24"/>
        </w:rPr>
        <w:t xml:space="preserve"> </w:t>
      </w:r>
      <w:r w:rsidRPr="000E643C">
        <w:rPr>
          <w:rFonts w:ascii="Book Antiqua" w:hAnsi="Book Antiqua"/>
          <w:sz w:val="24"/>
          <w:szCs w:val="24"/>
        </w:rPr>
        <w:t>A recent large meta-analysis of ADA pharmacokinetics of 14 studies included 1941 patients with mixed IBD diagnoses with available clinical outcome, drug trough and antibody data available.</w:t>
      </w:r>
      <w:r w:rsidR="00E57DEB" w:rsidRPr="000E643C">
        <w:rPr>
          <w:rFonts w:ascii="Book Antiqua" w:hAnsi="Book Antiqua"/>
          <w:sz w:val="24"/>
          <w:szCs w:val="24"/>
        </w:rPr>
        <w:t xml:space="preserve"> </w:t>
      </w:r>
      <w:r w:rsidRPr="000E643C">
        <w:rPr>
          <w:rFonts w:ascii="Book Antiqua" w:hAnsi="Book Antiqua"/>
          <w:sz w:val="24"/>
          <w:szCs w:val="24"/>
        </w:rPr>
        <w:t xml:space="preserve">Once again, clinical response was associated with higher drug trough and low antibody to ADA, but CT did not appear to influence either antibody or drug trough </w:t>
      </w:r>
      <w:proofErr w:type="gramStart"/>
      <w:r w:rsidRPr="000E643C">
        <w:rPr>
          <w:rFonts w:ascii="Book Antiqua" w:hAnsi="Book Antiqua"/>
          <w:sz w:val="24"/>
          <w:szCs w:val="24"/>
        </w:rPr>
        <w:t>levels</w:t>
      </w:r>
      <w:r w:rsidR="00E34CDA" w:rsidRPr="000E643C">
        <w:rPr>
          <w:rFonts w:ascii="Book Antiqua" w:hAnsi="Book Antiqua"/>
          <w:sz w:val="24"/>
          <w:szCs w:val="24"/>
          <w:vertAlign w:val="superscript"/>
        </w:rPr>
        <w:t>[</w:t>
      </w:r>
      <w:proofErr w:type="gramEnd"/>
      <w:r w:rsidR="00E34CDA" w:rsidRPr="000E643C">
        <w:rPr>
          <w:rFonts w:ascii="Book Antiqua" w:hAnsi="Book Antiqua"/>
          <w:sz w:val="24"/>
          <w:szCs w:val="24"/>
          <w:vertAlign w:val="superscript"/>
        </w:rPr>
        <w:t>16]</w:t>
      </w:r>
      <w:r w:rsidRPr="000E643C">
        <w:rPr>
          <w:rFonts w:ascii="Book Antiqua" w:hAnsi="Book Antiqua"/>
          <w:sz w:val="24"/>
          <w:szCs w:val="24"/>
        </w:rPr>
        <w:t>. The study suggests that antibodies to ADA do occur, they do appear to cause low levels of trough ADA and lessened clinical effect, but there is a lack of evidence suggesting that IMM have the ability to prevent the development of these antibodies.</w:t>
      </w:r>
    </w:p>
    <w:p w14:paraId="4DC6968F" w14:textId="41E975E8" w:rsidR="0069331F" w:rsidRPr="000E643C" w:rsidRDefault="00796CB0" w:rsidP="00E34CDA">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To the present time there has been no trial of ADA matching the designs of either SOINIC or UC SUCCESS.</w:t>
      </w:r>
      <w:r w:rsidR="00E57DEB" w:rsidRPr="000E643C">
        <w:rPr>
          <w:rFonts w:ascii="Book Antiqua" w:hAnsi="Book Antiqua"/>
          <w:sz w:val="24"/>
          <w:szCs w:val="24"/>
        </w:rPr>
        <w:t xml:space="preserve"> </w:t>
      </w:r>
      <w:r w:rsidRPr="000E643C">
        <w:rPr>
          <w:rFonts w:ascii="Book Antiqua" w:hAnsi="Book Antiqua"/>
          <w:sz w:val="24"/>
          <w:szCs w:val="24"/>
        </w:rPr>
        <w:t>While not a substitute for a prospectively designed trial, there is still clinical data available addressing the issue of CT with ADA and IMM.</w:t>
      </w:r>
      <w:r w:rsidR="00E57DEB" w:rsidRPr="000E643C">
        <w:rPr>
          <w:rFonts w:ascii="Book Antiqua" w:hAnsi="Book Antiqua"/>
          <w:sz w:val="24"/>
          <w:szCs w:val="24"/>
        </w:rPr>
        <w:t xml:space="preserve"> </w:t>
      </w:r>
      <w:r w:rsidRPr="000E643C">
        <w:rPr>
          <w:rFonts w:ascii="Book Antiqua" w:hAnsi="Book Antiqua"/>
          <w:sz w:val="24"/>
          <w:szCs w:val="24"/>
        </w:rPr>
        <w:t>Another meta-analysis designed to look specifically at clinical outcomes with ADA monother</w:t>
      </w:r>
      <w:r w:rsidR="00E34CDA">
        <w:rPr>
          <w:rFonts w:ascii="Book Antiqua" w:hAnsi="Book Antiqua"/>
          <w:sz w:val="24"/>
          <w:szCs w:val="24"/>
        </w:rPr>
        <w:t xml:space="preserve">apy </w:t>
      </w:r>
      <w:r w:rsidR="00E34CDA" w:rsidRPr="00E34CDA">
        <w:rPr>
          <w:rFonts w:ascii="Book Antiqua" w:hAnsi="Book Antiqua"/>
          <w:i/>
          <w:sz w:val="24"/>
          <w:szCs w:val="24"/>
        </w:rPr>
        <w:t>vs</w:t>
      </w:r>
      <w:r w:rsidRPr="000E643C">
        <w:rPr>
          <w:rFonts w:ascii="Book Antiqua" w:hAnsi="Book Antiqua"/>
          <w:sz w:val="24"/>
          <w:szCs w:val="24"/>
        </w:rPr>
        <w:t xml:space="preserve"> CT among CD patients included 18 studies </w:t>
      </w:r>
      <w:r w:rsidR="00E34CDA">
        <w:rPr>
          <w:rFonts w:ascii="Book Antiqua" w:hAnsi="Book Antiqua" w:hint="eastAsia"/>
          <w:sz w:val="24"/>
          <w:szCs w:val="24"/>
          <w:lang w:eastAsia="zh-CN"/>
        </w:rPr>
        <w:t>[</w:t>
      </w:r>
      <w:r w:rsidRPr="000E643C">
        <w:rPr>
          <w:rFonts w:ascii="Book Antiqua" w:hAnsi="Book Antiqua"/>
          <w:sz w:val="24"/>
          <w:szCs w:val="24"/>
        </w:rPr>
        <w:t>randomized control trials (RCT), open-</w:t>
      </w:r>
      <w:r w:rsidRPr="000E643C">
        <w:rPr>
          <w:rFonts w:ascii="Book Antiqua" w:hAnsi="Book Antiqua"/>
          <w:sz w:val="24"/>
          <w:szCs w:val="24"/>
        </w:rPr>
        <w:lastRenderedPageBreak/>
        <w:t>label prospective, observational studies, cohort and case–control studies</w:t>
      </w:r>
      <w:r w:rsidR="00E34CDA">
        <w:rPr>
          <w:rFonts w:ascii="Book Antiqua" w:hAnsi="Book Antiqua" w:hint="eastAsia"/>
          <w:sz w:val="24"/>
          <w:szCs w:val="24"/>
          <w:lang w:eastAsia="zh-CN"/>
        </w:rPr>
        <w:t>]</w:t>
      </w:r>
      <w:r w:rsidR="00E34CDA">
        <w:rPr>
          <w:rFonts w:ascii="Book Antiqua" w:hAnsi="Book Antiqua"/>
          <w:sz w:val="24"/>
          <w:szCs w:val="24"/>
        </w:rPr>
        <w:t xml:space="preserve"> with 2</w:t>
      </w:r>
      <w:r w:rsidRPr="000E643C">
        <w:rPr>
          <w:rFonts w:ascii="Book Antiqua" w:hAnsi="Book Antiqua"/>
          <w:sz w:val="24"/>
          <w:szCs w:val="24"/>
        </w:rPr>
        <w:t>280</w:t>
      </w:r>
      <w:r w:rsidR="00E34CDA">
        <w:rPr>
          <w:rFonts w:ascii="Book Antiqua" w:hAnsi="Book Antiqua"/>
          <w:sz w:val="24"/>
          <w:szCs w:val="24"/>
        </w:rPr>
        <w:t xml:space="preserve"> ADA monotherapy patients and 2</w:t>
      </w:r>
      <w:r w:rsidRPr="000E643C">
        <w:rPr>
          <w:rFonts w:ascii="Book Antiqua" w:hAnsi="Book Antiqua"/>
          <w:sz w:val="24"/>
          <w:szCs w:val="24"/>
        </w:rPr>
        <w:t xml:space="preserve">014 CT </w:t>
      </w:r>
      <w:proofErr w:type="gramStart"/>
      <w:r w:rsidRPr="000E643C">
        <w:rPr>
          <w:rFonts w:ascii="Book Antiqua" w:hAnsi="Book Antiqua"/>
          <w:sz w:val="24"/>
          <w:szCs w:val="24"/>
        </w:rPr>
        <w:t>patients</w:t>
      </w:r>
      <w:r w:rsidR="00E34CDA" w:rsidRPr="000E643C">
        <w:rPr>
          <w:rFonts w:ascii="Book Antiqua" w:hAnsi="Book Antiqua"/>
          <w:sz w:val="24"/>
          <w:szCs w:val="24"/>
          <w:vertAlign w:val="superscript"/>
        </w:rPr>
        <w:t>[</w:t>
      </w:r>
      <w:proofErr w:type="gramEnd"/>
      <w:r w:rsidR="00E34CDA" w:rsidRPr="000E643C">
        <w:rPr>
          <w:rFonts w:ascii="Book Antiqua" w:hAnsi="Book Antiqua"/>
          <w:sz w:val="24"/>
          <w:szCs w:val="24"/>
          <w:vertAlign w:val="superscript"/>
        </w:rPr>
        <w:t>17]</w:t>
      </w:r>
      <w:r w:rsidRPr="000E643C">
        <w:rPr>
          <w:rFonts w:ascii="Book Antiqua" w:hAnsi="Book Antiqua"/>
          <w:sz w:val="24"/>
          <w:szCs w:val="24"/>
        </w:rPr>
        <w:t xml:space="preserve">. Of the 6 studies analyzing induction of remission (960 ADA, 997 CT), the use of CT was associated with greater clinical response OR 0.79 (0.65-0.96); </w:t>
      </w:r>
      <w:r w:rsidR="00E34CDA" w:rsidRPr="000E643C">
        <w:rPr>
          <w:rFonts w:ascii="Book Antiqua" w:hAnsi="Book Antiqua"/>
          <w:i/>
          <w:sz w:val="24"/>
          <w:szCs w:val="24"/>
        </w:rPr>
        <w:t>P</w:t>
      </w:r>
      <w:r w:rsidR="00E34CDA" w:rsidRPr="000E643C">
        <w:rPr>
          <w:rFonts w:ascii="Book Antiqua" w:hAnsi="Book Antiqua"/>
          <w:sz w:val="24"/>
          <w:szCs w:val="24"/>
        </w:rPr>
        <w:t xml:space="preserve"> </w:t>
      </w:r>
      <w:r w:rsidRPr="000E643C">
        <w:rPr>
          <w:rFonts w:ascii="Book Antiqua" w:hAnsi="Book Antiqua"/>
          <w:sz w:val="24"/>
          <w:szCs w:val="24"/>
        </w:rPr>
        <w:t>=</w:t>
      </w:r>
      <w:r w:rsidR="00E34CDA">
        <w:rPr>
          <w:rFonts w:ascii="Book Antiqua" w:hAnsi="Book Antiqua" w:hint="eastAsia"/>
          <w:sz w:val="24"/>
          <w:szCs w:val="24"/>
          <w:lang w:eastAsia="zh-CN"/>
        </w:rPr>
        <w:t xml:space="preserve"> </w:t>
      </w:r>
      <w:r w:rsidRPr="000E643C">
        <w:rPr>
          <w:rFonts w:ascii="Book Antiqua" w:hAnsi="Book Antiqua"/>
          <w:sz w:val="24"/>
          <w:szCs w:val="24"/>
        </w:rPr>
        <w:t xml:space="preserve">0.02, though this was not found to be the case when the analysis was limited to the RCT, OR 1.11 (0.72-1.73); </w:t>
      </w:r>
      <w:r w:rsidR="00E34CDA" w:rsidRPr="000E643C">
        <w:rPr>
          <w:rFonts w:ascii="Book Antiqua" w:hAnsi="Book Antiqua"/>
          <w:i/>
          <w:sz w:val="24"/>
          <w:szCs w:val="24"/>
        </w:rPr>
        <w:t>P</w:t>
      </w:r>
      <w:r w:rsidR="00E34CDA" w:rsidRPr="000E643C">
        <w:rPr>
          <w:rFonts w:ascii="Book Antiqua" w:hAnsi="Book Antiqua"/>
          <w:sz w:val="24"/>
          <w:szCs w:val="24"/>
        </w:rPr>
        <w:t xml:space="preserve"> </w:t>
      </w:r>
      <w:r w:rsidRPr="000E643C">
        <w:rPr>
          <w:rFonts w:ascii="Book Antiqua" w:hAnsi="Book Antiqua"/>
          <w:sz w:val="24"/>
          <w:szCs w:val="24"/>
        </w:rPr>
        <w:t>=</w:t>
      </w:r>
      <w:r w:rsidR="00E34CDA">
        <w:rPr>
          <w:rFonts w:ascii="Book Antiqua" w:hAnsi="Book Antiqua" w:hint="eastAsia"/>
          <w:sz w:val="24"/>
          <w:szCs w:val="24"/>
          <w:lang w:eastAsia="zh-CN"/>
        </w:rPr>
        <w:t xml:space="preserve"> </w:t>
      </w:r>
      <w:r w:rsidRPr="000E643C">
        <w:rPr>
          <w:rFonts w:ascii="Book Antiqua" w:hAnsi="Book Antiqua"/>
          <w:sz w:val="24"/>
          <w:szCs w:val="24"/>
        </w:rPr>
        <w:t>0.64.</w:t>
      </w:r>
      <w:r w:rsidR="00E57DEB" w:rsidRPr="000E643C">
        <w:rPr>
          <w:rFonts w:ascii="Book Antiqua" w:hAnsi="Book Antiqua"/>
          <w:sz w:val="24"/>
          <w:szCs w:val="24"/>
        </w:rPr>
        <w:t xml:space="preserve"> </w:t>
      </w:r>
      <w:r w:rsidRPr="000E643C">
        <w:rPr>
          <w:rFonts w:ascii="Book Antiqua" w:hAnsi="Book Antiqua"/>
          <w:sz w:val="24"/>
          <w:szCs w:val="24"/>
        </w:rPr>
        <w:t>There was also no evidence of clinical benefit to CT for induction of response OR 0.68</w:t>
      </w:r>
      <w:r w:rsidR="00E34CDA">
        <w:rPr>
          <w:rFonts w:ascii="Book Antiqua" w:hAnsi="Book Antiqua" w:hint="eastAsia"/>
          <w:sz w:val="24"/>
          <w:szCs w:val="24"/>
          <w:lang w:eastAsia="zh-CN"/>
        </w:rPr>
        <w:t xml:space="preserve"> </w:t>
      </w:r>
      <w:r w:rsidRPr="000E643C">
        <w:rPr>
          <w:rFonts w:ascii="Book Antiqua" w:hAnsi="Book Antiqua"/>
          <w:sz w:val="24"/>
          <w:szCs w:val="24"/>
        </w:rPr>
        <w:t xml:space="preserve">(0.37-1.25); </w:t>
      </w:r>
      <w:r w:rsidR="00E34CDA" w:rsidRPr="000E643C">
        <w:rPr>
          <w:rFonts w:ascii="Book Antiqua" w:hAnsi="Book Antiqua"/>
          <w:i/>
          <w:sz w:val="24"/>
          <w:szCs w:val="24"/>
        </w:rPr>
        <w:t>P</w:t>
      </w:r>
      <w:r w:rsidR="00E34CDA" w:rsidRPr="000E643C">
        <w:rPr>
          <w:rFonts w:ascii="Book Antiqua" w:hAnsi="Book Antiqua"/>
          <w:sz w:val="24"/>
          <w:szCs w:val="24"/>
        </w:rPr>
        <w:t xml:space="preserve"> </w:t>
      </w:r>
      <w:r w:rsidRPr="000E643C">
        <w:rPr>
          <w:rFonts w:ascii="Book Antiqua" w:hAnsi="Book Antiqua"/>
          <w:sz w:val="24"/>
          <w:szCs w:val="24"/>
        </w:rPr>
        <w:t>=</w:t>
      </w:r>
      <w:r w:rsidR="00E34CDA">
        <w:rPr>
          <w:rFonts w:ascii="Book Antiqua" w:hAnsi="Book Antiqua" w:hint="eastAsia"/>
          <w:sz w:val="24"/>
          <w:szCs w:val="24"/>
          <w:lang w:eastAsia="zh-CN"/>
        </w:rPr>
        <w:t xml:space="preserve"> </w:t>
      </w:r>
      <w:r w:rsidRPr="000E643C">
        <w:rPr>
          <w:rFonts w:ascii="Book Antiqua" w:hAnsi="Book Antiqua"/>
          <w:sz w:val="24"/>
          <w:szCs w:val="24"/>
        </w:rPr>
        <w:t xml:space="preserve">0.22, 12 </w:t>
      </w:r>
      <w:proofErr w:type="spellStart"/>
      <w:r w:rsidRPr="000E643C">
        <w:rPr>
          <w:rFonts w:ascii="Book Antiqua" w:hAnsi="Book Antiqua"/>
          <w:sz w:val="24"/>
          <w:szCs w:val="24"/>
        </w:rPr>
        <w:t>moremission</w:t>
      </w:r>
      <w:proofErr w:type="spellEnd"/>
      <w:r w:rsidRPr="000E643C">
        <w:rPr>
          <w:rFonts w:ascii="Book Antiqua" w:hAnsi="Book Antiqua"/>
          <w:sz w:val="24"/>
          <w:szCs w:val="24"/>
        </w:rPr>
        <w:t xml:space="preserve"> OR 1.08 (0.79-1.48); </w:t>
      </w:r>
      <w:r w:rsidR="00E34CDA" w:rsidRPr="000E643C">
        <w:rPr>
          <w:rFonts w:ascii="Book Antiqua" w:hAnsi="Book Antiqua"/>
          <w:i/>
          <w:sz w:val="24"/>
          <w:szCs w:val="24"/>
        </w:rPr>
        <w:t>P</w:t>
      </w:r>
      <w:r w:rsidR="00E34CDA" w:rsidRPr="000E643C">
        <w:rPr>
          <w:rFonts w:ascii="Book Antiqua" w:hAnsi="Book Antiqua"/>
          <w:sz w:val="24"/>
          <w:szCs w:val="24"/>
        </w:rPr>
        <w:t xml:space="preserve"> </w:t>
      </w:r>
      <w:r w:rsidRPr="000E643C">
        <w:rPr>
          <w:rFonts w:ascii="Book Antiqua" w:hAnsi="Book Antiqua"/>
          <w:sz w:val="24"/>
          <w:szCs w:val="24"/>
        </w:rPr>
        <w:t>=</w:t>
      </w:r>
      <w:r w:rsidR="00E34CDA">
        <w:rPr>
          <w:rFonts w:ascii="Book Antiqua" w:hAnsi="Book Antiqua" w:hint="eastAsia"/>
          <w:sz w:val="24"/>
          <w:szCs w:val="24"/>
          <w:lang w:eastAsia="zh-CN"/>
        </w:rPr>
        <w:t xml:space="preserve"> </w:t>
      </w:r>
      <w:r w:rsidRPr="000E643C">
        <w:rPr>
          <w:rFonts w:ascii="Book Antiqua" w:hAnsi="Book Antiqua"/>
          <w:sz w:val="24"/>
          <w:szCs w:val="24"/>
        </w:rPr>
        <w:t xml:space="preserve">0.61, or 12 </w:t>
      </w:r>
      <w:proofErr w:type="spellStart"/>
      <w:r w:rsidRPr="000E643C">
        <w:rPr>
          <w:rFonts w:ascii="Book Antiqua" w:hAnsi="Book Antiqua"/>
          <w:sz w:val="24"/>
          <w:szCs w:val="24"/>
        </w:rPr>
        <w:t>mo</w:t>
      </w:r>
      <w:proofErr w:type="spellEnd"/>
      <w:r w:rsidR="00E34CDA">
        <w:rPr>
          <w:rFonts w:ascii="Book Antiqua" w:hAnsi="Book Antiqua" w:hint="eastAsia"/>
          <w:sz w:val="24"/>
          <w:szCs w:val="24"/>
          <w:lang w:eastAsia="zh-CN"/>
        </w:rPr>
        <w:t xml:space="preserve"> </w:t>
      </w:r>
      <w:r w:rsidRPr="000E643C">
        <w:rPr>
          <w:rFonts w:ascii="Book Antiqua" w:hAnsi="Book Antiqua"/>
          <w:sz w:val="24"/>
          <w:szCs w:val="24"/>
        </w:rPr>
        <w:t xml:space="preserve">response OR 1.21 (0.74-1.99); </w:t>
      </w:r>
      <w:r w:rsidR="00E34CDA" w:rsidRPr="000E643C">
        <w:rPr>
          <w:rFonts w:ascii="Book Antiqua" w:hAnsi="Book Antiqua"/>
          <w:i/>
          <w:sz w:val="24"/>
          <w:szCs w:val="24"/>
        </w:rPr>
        <w:t>P</w:t>
      </w:r>
      <w:r w:rsidR="00E34CDA" w:rsidRPr="000E643C">
        <w:rPr>
          <w:rFonts w:ascii="Book Antiqua" w:hAnsi="Book Antiqua"/>
          <w:sz w:val="24"/>
          <w:szCs w:val="24"/>
        </w:rPr>
        <w:t xml:space="preserve"> </w:t>
      </w:r>
      <w:r w:rsidRPr="000E643C">
        <w:rPr>
          <w:rFonts w:ascii="Book Antiqua" w:hAnsi="Book Antiqua"/>
          <w:sz w:val="24"/>
          <w:szCs w:val="24"/>
        </w:rPr>
        <w:t>=</w:t>
      </w:r>
      <w:r w:rsidR="00E34CDA">
        <w:rPr>
          <w:rFonts w:ascii="Book Antiqua" w:hAnsi="Book Antiqua" w:hint="eastAsia"/>
          <w:sz w:val="24"/>
          <w:szCs w:val="24"/>
          <w:lang w:eastAsia="zh-CN"/>
        </w:rPr>
        <w:t xml:space="preserve"> </w:t>
      </w:r>
      <w:r w:rsidRPr="000E643C">
        <w:rPr>
          <w:rFonts w:ascii="Book Antiqua" w:hAnsi="Book Antiqua"/>
          <w:sz w:val="24"/>
          <w:szCs w:val="24"/>
        </w:rPr>
        <w:t>0.44.</w:t>
      </w:r>
      <w:r w:rsidR="00E57DEB" w:rsidRPr="000E643C">
        <w:rPr>
          <w:rFonts w:ascii="Book Antiqua" w:hAnsi="Book Antiqua"/>
          <w:sz w:val="24"/>
          <w:szCs w:val="24"/>
        </w:rPr>
        <w:t xml:space="preserve"> </w:t>
      </w:r>
      <w:r w:rsidRPr="000E643C">
        <w:rPr>
          <w:rFonts w:ascii="Book Antiqua" w:hAnsi="Book Antiqua"/>
          <w:sz w:val="24"/>
          <w:szCs w:val="24"/>
        </w:rPr>
        <w:t>At present there is even less data specifically addressing the clinical impact of IMM with ADA for UC.</w:t>
      </w:r>
      <w:r w:rsidR="00E57DEB" w:rsidRPr="000E643C">
        <w:rPr>
          <w:rFonts w:ascii="Book Antiqua" w:hAnsi="Book Antiqua"/>
          <w:sz w:val="24"/>
          <w:szCs w:val="24"/>
        </w:rPr>
        <w:t xml:space="preserve"> </w:t>
      </w:r>
      <w:r w:rsidRPr="000E643C">
        <w:rPr>
          <w:rFonts w:ascii="Book Antiqua" w:hAnsi="Book Antiqua"/>
          <w:sz w:val="24"/>
          <w:szCs w:val="24"/>
        </w:rPr>
        <w:t>As was the case with the early IFX trials, almost half of the patients in the initial clinical trials were using IMM at enrollment.</w:t>
      </w:r>
      <w:r w:rsidR="00E57DEB" w:rsidRPr="000E643C">
        <w:rPr>
          <w:rFonts w:ascii="Book Antiqua" w:hAnsi="Book Antiqua"/>
          <w:sz w:val="24"/>
          <w:szCs w:val="24"/>
        </w:rPr>
        <w:t xml:space="preserve"> </w:t>
      </w:r>
      <w:r w:rsidRPr="000E643C">
        <w:rPr>
          <w:rFonts w:ascii="Book Antiqua" w:hAnsi="Book Antiqua"/>
          <w:sz w:val="24"/>
          <w:szCs w:val="24"/>
        </w:rPr>
        <w:t>Though the remission rates were higher with CT, the small absolute number of patients involved and the absence of a specific prospective trial design should caution against any definitive conclusions.</w:t>
      </w:r>
    </w:p>
    <w:p w14:paraId="568AC99C" w14:textId="322EE7A2" w:rsidR="0069331F" w:rsidRPr="000E643C" w:rsidRDefault="00796CB0" w:rsidP="00CD3E9F">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Since IFX and ADA were the first biologics approved for IBD treatment, most of the current dat</w:t>
      </w:r>
      <w:r w:rsidR="00304E6C" w:rsidRPr="000E643C">
        <w:rPr>
          <w:rFonts w:ascii="Book Antiqua" w:hAnsi="Book Antiqua"/>
          <w:sz w:val="24"/>
          <w:szCs w:val="24"/>
        </w:rPr>
        <w:t>a on CT deals with IFX and ADA.</w:t>
      </w:r>
      <w:r w:rsidR="00E57DEB" w:rsidRPr="000E643C">
        <w:rPr>
          <w:rFonts w:ascii="Book Antiqua" w:hAnsi="Book Antiqua"/>
          <w:sz w:val="24"/>
          <w:szCs w:val="24"/>
        </w:rPr>
        <w:t xml:space="preserve"> </w:t>
      </w:r>
      <w:r w:rsidRPr="000E643C">
        <w:rPr>
          <w:rFonts w:ascii="Book Antiqua" w:hAnsi="Book Antiqua"/>
          <w:sz w:val="24"/>
          <w:szCs w:val="24"/>
        </w:rPr>
        <w:t>Of course, biologic development has continued beyond this class of medications, most recently with the addition of the new integrin inhibitor, VDZ.</w:t>
      </w:r>
      <w:r w:rsidR="00E57DEB" w:rsidRPr="000E643C">
        <w:rPr>
          <w:rFonts w:ascii="Book Antiqua" w:hAnsi="Book Antiqua"/>
          <w:sz w:val="24"/>
          <w:szCs w:val="24"/>
        </w:rPr>
        <w:t xml:space="preserve"> </w:t>
      </w:r>
      <w:r w:rsidR="0066090C" w:rsidRPr="000E643C">
        <w:rPr>
          <w:rFonts w:ascii="Book Antiqua" w:hAnsi="Book Antiqua"/>
          <w:sz w:val="24"/>
          <w:szCs w:val="24"/>
        </w:rPr>
        <w:t>While not the first in class,</w:t>
      </w:r>
      <w:r w:rsidR="00D82954" w:rsidRPr="000E643C">
        <w:rPr>
          <w:rFonts w:ascii="Book Antiqua" w:hAnsi="Book Antiqua"/>
          <w:sz w:val="24"/>
          <w:szCs w:val="24"/>
        </w:rPr>
        <w:t xml:space="preserve"> </w:t>
      </w:r>
      <w:r w:rsidRPr="000E643C">
        <w:rPr>
          <w:rFonts w:ascii="Book Antiqua" w:hAnsi="Book Antiqua"/>
          <w:sz w:val="24"/>
          <w:szCs w:val="24"/>
        </w:rPr>
        <w:t>with that d</w:t>
      </w:r>
      <w:r w:rsidR="0066090C" w:rsidRPr="000E643C">
        <w:rPr>
          <w:rFonts w:ascii="Book Antiqua" w:hAnsi="Book Antiqua"/>
          <w:sz w:val="24"/>
          <w:szCs w:val="24"/>
        </w:rPr>
        <w:t xml:space="preserve">istinction going to </w:t>
      </w:r>
      <w:proofErr w:type="spellStart"/>
      <w:r w:rsidR="0066090C" w:rsidRPr="000E643C">
        <w:rPr>
          <w:rFonts w:ascii="Book Antiqua" w:hAnsi="Book Antiqua"/>
          <w:sz w:val="24"/>
          <w:szCs w:val="24"/>
        </w:rPr>
        <w:t>natalizumab</w:t>
      </w:r>
      <w:proofErr w:type="spellEnd"/>
      <w:r w:rsidR="0066090C" w:rsidRPr="000E643C">
        <w:rPr>
          <w:rFonts w:ascii="Book Antiqua" w:hAnsi="Book Antiqua"/>
          <w:sz w:val="24"/>
          <w:szCs w:val="24"/>
        </w:rPr>
        <w:t>,</w:t>
      </w:r>
      <w:r w:rsidR="00D82954" w:rsidRPr="000E643C">
        <w:rPr>
          <w:rFonts w:ascii="Book Antiqua" w:hAnsi="Book Antiqua"/>
          <w:sz w:val="24"/>
          <w:szCs w:val="24"/>
        </w:rPr>
        <w:t xml:space="preserve"> </w:t>
      </w:r>
      <w:r w:rsidRPr="000E643C">
        <w:rPr>
          <w:rFonts w:ascii="Book Antiqua" w:hAnsi="Book Antiqua"/>
          <w:sz w:val="24"/>
          <w:szCs w:val="24"/>
        </w:rPr>
        <w:t xml:space="preserve">the updated mechanism of action targets </w:t>
      </w:r>
      <w:r w:rsidRPr="000E643C">
        <w:rPr>
          <w:rFonts w:ascii="Book Antiqua" w:hAnsi="Book Antiqua" w:cs="Times New Roman"/>
          <w:sz w:val="24"/>
          <w:szCs w:val="24"/>
        </w:rPr>
        <w:t>α</w:t>
      </w:r>
      <w:r w:rsidRPr="000E643C">
        <w:rPr>
          <w:rFonts w:ascii="Book Antiqua" w:hAnsi="Book Antiqua"/>
          <w:sz w:val="24"/>
          <w:szCs w:val="24"/>
        </w:rPr>
        <w:t>4</w:t>
      </w:r>
      <w:r w:rsidRPr="000E643C">
        <w:rPr>
          <w:rFonts w:ascii="Book Antiqua" w:hAnsi="Book Antiqua" w:cs="Times New Roman"/>
          <w:sz w:val="24"/>
          <w:szCs w:val="24"/>
        </w:rPr>
        <w:t>β</w:t>
      </w:r>
      <w:r w:rsidRPr="000E643C">
        <w:rPr>
          <w:rFonts w:ascii="Book Antiqua" w:hAnsi="Book Antiqua"/>
          <w:sz w:val="24"/>
          <w:szCs w:val="24"/>
        </w:rPr>
        <w:t>7 on circulating white blood cells.</w:t>
      </w:r>
      <w:r w:rsidR="00E57DEB" w:rsidRPr="000E643C">
        <w:rPr>
          <w:rFonts w:ascii="Book Antiqua" w:hAnsi="Book Antiqua"/>
          <w:sz w:val="24"/>
          <w:szCs w:val="24"/>
        </w:rPr>
        <w:t xml:space="preserve"> </w:t>
      </w:r>
      <w:r w:rsidRPr="000E643C">
        <w:rPr>
          <w:rFonts w:ascii="Book Antiqua" w:hAnsi="Book Antiqua"/>
          <w:sz w:val="24"/>
          <w:szCs w:val="24"/>
        </w:rPr>
        <w:t>Blockade of this gut specific integrin decreases WBC adherence to the vascular endothelial wall, and subsequent migration to areas of inflammati</w:t>
      </w:r>
      <w:r w:rsidR="00604FA1" w:rsidRPr="000E643C">
        <w:rPr>
          <w:rFonts w:ascii="Book Antiqua" w:hAnsi="Book Antiqua"/>
          <w:sz w:val="24"/>
          <w:szCs w:val="24"/>
        </w:rPr>
        <w:t>on.</w:t>
      </w:r>
      <w:r w:rsidR="00E57DEB" w:rsidRPr="000E643C">
        <w:rPr>
          <w:rFonts w:ascii="Book Antiqua" w:hAnsi="Book Antiqua"/>
          <w:sz w:val="24"/>
          <w:szCs w:val="24"/>
        </w:rPr>
        <w:t xml:space="preserve"> </w:t>
      </w:r>
      <w:r w:rsidR="00604FA1" w:rsidRPr="000E643C">
        <w:rPr>
          <w:rFonts w:ascii="Book Antiqua" w:hAnsi="Book Antiqua"/>
          <w:sz w:val="24"/>
          <w:szCs w:val="24"/>
        </w:rPr>
        <w:t>As is the case for all non-</w:t>
      </w:r>
      <w:r w:rsidRPr="000E643C">
        <w:rPr>
          <w:rFonts w:ascii="Book Antiqua" w:hAnsi="Book Antiqua"/>
          <w:sz w:val="24"/>
          <w:szCs w:val="24"/>
        </w:rPr>
        <w:t>IFX biologics, there is currently no prospectively designed study addressing CT of VDZ with IMM.</w:t>
      </w:r>
      <w:r w:rsidR="00E57DEB" w:rsidRPr="000E643C">
        <w:rPr>
          <w:rFonts w:ascii="Book Antiqua" w:hAnsi="Book Antiqua"/>
          <w:sz w:val="24"/>
          <w:szCs w:val="24"/>
        </w:rPr>
        <w:t xml:space="preserve"> </w:t>
      </w:r>
      <w:r w:rsidRPr="000E643C">
        <w:rPr>
          <w:rFonts w:ascii="Book Antiqua" w:hAnsi="Book Antiqua"/>
          <w:sz w:val="24"/>
          <w:szCs w:val="24"/>
        </w:rPr>
        <w:t>Review of the results of the large phase 3 clinical trials offers some of the early immunologic data seen with earlier biologics.</w:t>
      </w:r>
      <w:r w:rsidR="00E57DEB" w:rsidRPr="000E643C">
        <w:rPr>
          <w:rFonts w:ascii="Book Antiqua" w:hAnsi="Book Antiqua"/>
          <w:sz w:val="24"/>
          <w:szCs w:val="24"/>
        </w:rPr>
        <w:t xml:space="preserve"> </w:t>
      </w:r>
      <w:r w:rsidRPr="000E643C">
        <w:rPr>
          <w:rFonts w:ascii="Book Antiqua" w:hAnsi="Book Antiqua"/>
          <w:sz w:val="24"/>
          <w:szCs w:val="24"/>
        </w:rPr>
        <w:t>GEMINI 1, enrolling 895 patients with UC for induction and maintenance, included a third of patients with concurrent IMM use.</w:t>
      </w:r>
      <w:r w:rsidR="00E57DEB" w:rsidRPr="000E643C">
        <w:rPr>
          <w:rFonts w:ascii="Book Antiqua" w:hAnsi="Book Antiqua"/>
          <w:sz w:val="24"/>
          <w:szCs w:val="24"/>
        </w:rPr>
        <w:t xml:space="preserve"> </w:t>
      </w:r>
      <w:r w:rsidRPr="000E643C">
        <w:rPr>
          <w:rFonts w:ascii="Book Antiqua" w:hAnsi="Book Antiqua"/>
          <w:sz w:val="24"/>
          <w:szCs w:val="24"/>
        </w:rPr>
        <w:t xml:space="preserve">Overall, antibodies to </w:t>
      </w:r>
      <w:proofErr w:type="spellStart"/>
      <w:r w:rsidRPr="000E643C">
        <w:rPr>
          <w:rFonts w:ascii="Book Antiqua" w:hAnsi="Book Antiqua"/>
          <w:sz w:val="24"/>
          <w:szCs w:val="24"/>
        </w:rPr>
        <w:t>vedolizumab</w:t>
      </w:r>
      <w:proofErr w:type="spellEnd"/>
      <w:r w:rsidRPr="000E643C">
        <w:rPr>
          <w:rFonts w:ascii="Book Antiqua" w:hAnsi="Book Antiqua"/>
          <w:sz w:val="24"/>
          <w:szCs w:val="24"/>
        </w:rPr>
        <w:t xml:space="preserve"> (AVA) were infrequent, found in 3.7% of patients at “any time” during testing, with a mere 1.0% testing positive on ≥</w:t>
      </w:r>
      <w:r w:rsidR="00CD3E9F">
        <w:rPr>
          <w:rFonts w:ascii="Book Antiqua" w:hAnsi="Book Antiqua" w:hint="eastAsia"/>
          <w:sz w:val="24"/>
          <w:szCs w:val="24"/>
          <w:lang w:eastAsia="zh-CN"/>
        </w:rPr>
        <w:t xml:space="preserve"> </w:t>
      </w:r>
      <w:r w:rsidRPr="000E643C">
        <w:rPr>
          <w:rFonts w:ascii="Book Antiqua" w:hAnsi="Book Antiqua"/>
          <w:sz w:val="24"/>
          <w:szCs w:val="24"/>
        </w:rPr>
        <w:t xml:space="preserve">2 </w:t>
      </w:r>
      <w:proofErr w:type="gramStart"/>
      <w:r w:rsidRPr="000E643C">
        <w:rPr>
          <w:rFonts w:ascii="Book Antiqua" w:hAnsi="Book Antiqua"/>
          <w:sz w:val="24"/>
          <w:szCs w:val="24"/>
        </w:rPr>
        <w:t>samples</w:t>
      </w:r>
      <w:r w:rsidR="00CD3E9F" w:rsidRPr="000E643C">
        <w:rPr>
          <w:rFonts w:ascii="Book Antiqua" w:hAnsi="Book Antiqua"/>
          <w:sz w:val="24"/>
          <w:szCs w:val="24"/>
          <w:vertAlign w:val="superscript"/>
        </w:rPr>
        <w:t>[</w:t>
      </w:r>
      <w:proofErr w:type="gramEnd"/>
      <w:r w:rsidR="00CD3E9F" w:rsidRPr="000E643C">
        <w:rPr>
          <w:rFonts w:ascii="Book Antiqua" w:hAnsi="Book Antiqua"/>
          <w:sz w:val="24"/>
          <w:szCs w:val="24"/>
          <w:vertAlign w:val="superscript"/>
        </w:rPr>
        <w:t>18]</w:t>
      </w:r>
      <w:r w:rsidRPr="000E643C">
        <w:rPr>
          <w:rFonts w:ascii="Book Antiqua" w:hAnsi="Book Antiqua"/>
          <w:sz w:val="24"/>
          <w:szCs w:val="24"/>
        </w:rPr>
        <w:t>.</w:t>
      </w:r>
      <w:r w:rsidR="00CD3E9F">
        <w:rPr>
          <w:rFonts w:ascii="Book Antiqua" w:hAnsi="Book Antiqua"/>
          <w:sz w:val="24"/>
          <w:szCs w:val="24"/>
        </w:rPr>
        <w:t xml:space="preserve"> GEMINI 2, enrolling 1</w:t>
      </w:r>
      <w:r w:rsidRPr="000E643C">
        <w:rPr>
          <w:rFonts w:ascii="Book Antiqua" w:hAnsi="Book Antiqua"/>
          <w:sz w:val="24"/>
          <w:szCs w:val="24"/>
        </w:rPr>
        <w:t xml:space="preserve">115 patients with CD for induction and maintenance also included a third with concurrent IMM </w:t>
      </w:r>
      <w:proofErr w:type="gramStart"/>
      <w:r w:rsidRPr="000E643C">
        <w:rPr>
          <w:rFonts w:ascii="Book Antiqua" w:hAnsi="Book Antiqua"/>
          <w:sz w:val="24"/>
          <w:szCs w:val="24"/>
        </w:rPr>
        <w:t>use</w:t>
      </w:r>
      <w:r w:rsidR="00CD3E9F" w:rsidRPr="000E643C">
        <w:rPr>
          <w:rFonts w:ascii="Book Antiqua" w:hAnsi="Book Antiqua"/>
          <w:sz w:val="24"/>
          <w:szCs w:val="24"/>
          <w:vertAlign w:val="superscript"/>
        </w:rPr>
        <w:t>[</w:t>
      </w:r>
      <w:proofErr w:type="gramEnd"/>
      <w:r w:rsidR="00CD3E9F" w:rsidRPr="000E643C">
        <w:rPr>
          <w:rFonts w:ascii="Book Antiqua" w:hAnsi="Book Antiqua"/>
          <w:sz w:val="24"/>
          <w:szCs w:val="24"/>
          <w:vertAlign w:val="superscript"/>
        </w:rPr>
        <w:t>19]</w:t>
      </w:r>
      <w:r w:rsidRPr="000E643C">
        <w:rPr>
          <w:rFonts w:ascii="Book Antiqua" w:hAnsi="Book Antiqua"/>
          <w:sz w:val="24"/>
          <w:szCs w:val="24"/>
        </w:rPr>
        <w:t>. Overall AVA were again infrequent, 4.1% at “any time”, and 0.4% on ≥</w:t>
      </w:r>
      <w:r w:rsidR="00CD3E9F">
        <w:rPr>
          <w:rFonts w:ascii="Book Antiqua" w:hAnsi="Book Antiqua" w:hint="eastAsia"/>
          <w:sz w:val="24"/>
          <w:szCs w:val="24"/>
          <w:lang w:eastAsia="zh-CN"/>
        </w:rPr>
        <w:t xml:space="preserve"> </w:t>
      </w:r>
      <w:r w:rsidRPr="000E643C">
        <w:rPr>
          <w:rFonts w:ascii="Book Antiqua" w:hAnsi="Book Antiqua"/>
          <w:sz w:val="24"/>
          <w:szCs w:val="24"/>
        </w:rPr>
        <w:t>2 samples.</w:t>
      </w:r>
      <w:r w:rsidR="00E57DEB" w:rsidRPr="000E643C">
        <w:rPr>
          <w:rFonts w:ascii="Book Antiqua" w:hAnsi="Book Antiqua"/>
          <w:sz w:val="24"/>
          <w:szCs w:val="24"/>
        </w:rPr>
        <w:t xml:space="preserve"> </w:t>
      </w:r>
      <w:r w:rsidRPr="000E643C">
        <w:rPr>
          <w:rFonts w:ascii="Book Antiqua" w:hAnsi="Book Antiqua"/>
          <w:sz w:val="24"/>
          <w:szCs w:val="24"/>
        </w:rPr>
        <w:t>The authors of each study commented that “concomitant immunosuppressive therapy was associa</w:t>
      </w:r>
      <w:r w:rsidR="00612FF7" w:rsidRPr="000E643C">
        <w:rPr>
          <w:rFonts w:ascii="Book Antiqua" w:hAnsi="Book Antiqua"/>
          <w:sz w:val="24"/>
          <w:szCs w:val="24"/>
        </w:rPr>
        <w:t xml:space="preserve">ted with decreased </w:t>
      </w:r>
      <w:r w:rsidR="00612FF7" w:rsidRPr="000E643C">
        <w:rPr>
          <w:rFonts w:ascii="Book Antiqua" w:hAnsi="Book Antiqua"/>
          <w:sz w:val="24"/>
          <w:szCs w:val="24"/>
        </w:rPr>
        <w:lastRenderedPageBreak/>
        <w:t>immunogenicit</w:t>
      </w:r>
      <w:r w:rsidR="006673A5" w:rsidRPr="000E643C">
        <w:rPr>
          <w:rFonts w:ascii="Book Antiqua" w:hAnsi="Book Antiqua"/>
          <w:sz w:val="24"/>
          <w:szCs w:val="24"/>
        </w:rPr>
        <w:t>y (data not shown)</w:t>
      </w:r>
      <w:r w:rsidRPr="000E643C">
        <w:rPr>
          <w:rFonts w:ascii="Book Antiqua" w:hAnsi="Book Antiqua"/>
          <w:sz w:val="24"/>
          <w:szCs w:val="24"/>
        </w:rPr>
        <w:t>.</w:t>
      </w:r>
      <w:r w:rsidR="006673A5" w:rsidRPr="000E643C">
        <w:rPr>
          <w:rFonts w:ascii="Book Antiqua" w:hAnsi="Book Antiqua"/>
          <w:sz w:val="24"/>
          <w:szCs w:val="24"/>
        </w:rPr>
        <w:t>”</w:t>
      </w:r>
      <w:r w:rsidR="00E57DEB" w:rsidRPr="000E643C">
        <w:rPr>
          <w:rFonts w:ascii="Book Antiqua" w:hAnsi="Book Antiqua"/>
          <w:sz w:val="24"/>
          <w:szCs w:val="24"/>
        </w:rPr>
        <w:t xml:space="preserve"> </w:t>
      </w:r>
    </w:p>
    <w:p w14:paraId="25654176" w14:textId="7D98E7EB" w:rsidR="0069331F" w:rsidRPr="000E643C" w:rsidRDefault="00796CB0" w:rsidP="00CD3E9F">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 xml:space="preserve">More recently an analysis of the phase 2 and 3 trials for both CD and UC has been preformed, addressing the issue of </w:t>
      </w:r>
      <w:proofErr w:type="gramStart"/>
      <w:r w:rsidRPr="000E643C">
        <w:rPr>
          <w:rFonts w:ascii="Book Antiqua" w:hAnsi="Book Antiqua"/>
          <w:sz w:val="24"/>
          <w:szCs w:val="24"/>
        </w:rPr>
        <w:t>CT</w:t>
      </w:r>
      <w:r w:rsidR="00CD3E9F" w:rsidRPr="000E643C">
        <w:rPr>
          <w:rFonts w:ascii="Book Antiqua" w:hAnsi="Book Antiqua"/>
          <w:sz w:val="24"/>
          <w:szCs w:val="24"/>
          <w:vertAlign w:val="superscript"/>
        </w:rPr>
        <w:t>[</w:t>
      </w:r>
      <w:proofErr w:type="gramEnd"/>
      <w:r w:rsidR="00CD3E9F" w:rsidRPr="000E643C">
        <w:rPr>
          <w:rFonts w:ascii="Book Antiqua" w:hAnsi="Book Antiqua"/>
          <w:sz w:val="24"/>
          <w:szCs w:val="24"/>
          <w:vertAlign w:val="superscript"/>
        </w:rPr>
        <w:t>20]</w:t>
      </w:r>
      <w:r w:rsidRPr="000E643C">
        <w:rPr>
          <w:rFonts w:ascii="Book Antiqua" w:hAnsi="Book Antiqua"/>
          <w:sz w:val="24"/>
          <w:szCs w:val="24"/>
        </w:rPr>
        <w:t>.</w:t>
      </w:r>
      <w:r w:rsidR="00CD3E9F">
        <w:rPr>
          <w:rFonts w:ascii="Book Antiqua" w:hAnsi="Book Antiqua"/>
          <w:sz w:val="24"/>
          <w:szCs w:val="24"/>
        </w:rPr>
        <w:t xml:space="preserve"> Among a total of 2</w:t>
      </w:r>
      <w:r w:rsidRPr="000E643C">
        <w:rPr>
          <w:rFonts w:ascii="Book Antiqua" w:hAnsi="Book Antiqua"/>
          <w:sz w:val="24"/>
          <w:szCs w:val="24"/>
        </w:rPr>
        <w:t>830 patients, covering 4,811 patient years there was no observed increased risk of adverse events.</w:t>
      </w:r>
      <w:r w:rsidR="00E57DEB" w:rsidRPr="000E643C">
        <w:rPr>
          <w:rFonts w:ascii="Book Antiqua" w:hAnsi="Book Antiqua"/>
          <w:sz w:val="24"/>
          <w:szCs w:val="24"/>
        </w:rPr>
        <w:t xml:space="preserve"> </w:t>
      </w:r>
      <w:r w:rsidRPr="000E643C">
        <w:rPr>
          <w:rFonts w:ascii="Book Antiqua" w:hAnsi="Book Antiqua"/>
          <w:sz w:val="24"/>
          <w:szCs w:val="24"/>
        </w:rPr>
        <w:t>During active VDZ therapy, CT patients had a 3% risk of AVA, compared to 4% for VDZ monotherapy.</w:t>
      </w:r>
      <w:r w:rsidR="00E57DEB" w:rsidRPr="000E643C">
        <w:rPr>
          <w:rFonts w:ascii="Book Antiqua" w:hAnsi="Book Antiqua"/>
          <w:sz w:val="24"/>
          <w:szCs w:val="24"/>
        </w:rPr>
        <w:t xml:space="preserve"> </w:t>
      </w:r>
      <w:r w:rsidRPr="000E643C">
        <w:rPr>
          <w:rFonts w:ascii="Book Antiqua" w:hAnsi="Book Antiqua"/>
          <w:sz w:val="24"/>
          <w:szCs w:val="24"/>
        </w:rPr>
        <w:t>As has previously been noted for TNF-</w:t>
      </w:r>
      <w:r w:rsidRPr="000E643C">
        <w:rPr>
          <w:rFonts w:ascii="Book Antiqua" w:hAnsi="Book Antiqua" w:cs="Times New Roman"/>
          <w:sz w:val="24"/>
          <w:szCs w:val="24"/>
        </w:rPr>
        <w:t>α</w:t>
      </w:r>
      <w:r w:rsidRPr="000E643C">
        <w:rPr>
          <w:rFonts w:ascii="Book Antiqua" w:hAnsi="Book Antiqua"/>
          <w:sz w:val="24"/>
          <w:szCs w:val="24"/>
        </w:rPr>
        <w:t xml:space="preserve"> inhibitors, higher levels of anti-drug antibody were seen following completion of VDZ therapy among those patients without IMM as compared to tho</w:t>
      </w:r>
      <w:r w:rsidR="00CD3E9F">
        <w:rPr>
          <w:rFonts w:ascii="Book Antiqua" w:hAnsi="Book Antiqua"/>
          <w:sz w:val="24"/>
          <w:szCs w:val="24"/>
        </w:rPr>
        <w:t xml:space="preserve">se with ongoing IMM use, 18% </w:t>
      </w:r>
      <w:r w:rsidR="00CD3E9F" w:rsidRPr="00CD3E9F">
        <w:rPr>
          <w:rFonts w:ascii="Book Antiqua" w:hAnsi="Book Antiqua"/>
          <w:i/>
          <w:sz w:val="24"/>
          <w:szCs w:val="24"/>
        </w:rPr>
        <w:t>vs</w:t>
      </w:r>
      <w:r w:rsidRPr="000E643C">
        <w:rPr>
          <w:rFonts w:ascii="Book Antiqua" w:hAnsi="Book Antiqua"/>
          <w:sz w:val="24"/>
          <w:szCs w:val="24"/>
        </w:rPr>
        <w:t xml:space="preserve"> 3%.</w:t>
      </w:r>
      <w:r w:rsidR="00E57DEB" w:rsidRPr="000E643C">
        <w:rPr>
          <w:rFonts w:ascii="Book Antiqua" w:hAnsi="Book Antiqua"/>
          <w:sz w:val="24"/>
          <w:szCs w:val="24"/>
        </w:rPr>
        <w:t xml:space="preserve"> </w:t>
      </w:r>
      <w:r w:rsidRPr="000E643C">
        <w:rPr>
          <w:rFonts w:ascii="Book Antiqua" w:hAnsi="Book Antiqua"/>
          <w:sz w:val="24"/>
          <w:szCs w:val="24"/>
        </w:rPr>
        <w:t>Theoretically, this may have implications for issues such as prevention of AVA during VDZ drug holiday, and potential infusion reactions and/or drug effectiveness on resuming therapy.</w:t>
      </w:r>
      <w:r w:rsidR="00E57DEB" w:rsidRPr="000E643C">
        <w:rPr>
          <w:rFonts w:ascii="Book Antiqua" w:hAnsi="Book Antiqua"/>
          <w:sz w:val="24"/>
          <w:szCs w:val="24"/>
        </w:rPr>
        <w:t xml:space="preserve"> </w:t>
      </w:r>
      <w:r w:rsidRPr="000E643C">
        <w:rPr>
          <w:rFonts w:ascii="Book Antiqua" w:hAnsi="Book Antiqua"/>
          <w:sz w:val="24"/>
          <w:szCs w:val="24"/>
        </w:rPr>
        <w:t>It does not however offer answers to the key question of risks and benefits of CT with VDZ and IMM.</w:t>
      </w:r>
    </w:p>
    <w:p w14:paraId="388D12E6" w14:textId="65548AAB" w:rsidR="0069331F" w:rsidRPr="000E643C" w:rsidRDefault="00796CB0" w:rsidP="00CD3E9F">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 xml:space="preserve">Even more recently </w:t>
      </w:r>
      <w:proofErr w:type="spellStart"/>
      <w:r w:rsidRPr="000E643C">
        <w:rPr>
          <w:rFonts w:ascii="Book Antiqua" w:hAnsi="Book Antiqua"/>
          <w:sz w:val="24"/>
          <w:szCs w:val="24"/>
        </w:rPr>
        <w:t>Ustekinumab</w:t>
      </w:r>
      <w:proofErr w:type="spellEnd"/>
      <w:r w:rsidRPr="000E643C">
        <w:rPr>
          <w:rFonts w:ascii="Book Antiqua" w:hAnsi="Book Antiqua"/>
          <w:sz w:val="24"/>
          <w:szCs w:val="24"/>
        </w:rPr>
        <w:t xml:space="preserve">, targeting the p40 subunit of IL-12/23 has obtained regulatory approval for induction and maintenance therapy for CD. In the recently published phase 3 induction and maintenance trials, approximately a third of patients received concurrent IMM with </w:t>
      </w:r>
      <w:proofErr w:type="spellStart"/>
      <w:r w:rsidRPr="000E643C">
        <w:rPr>
          <w:rFonts w:ascii="Book Antiqua" w:hAnsi="Book Antiqua"/>
          <w:sz w:val="24"/>
          <w:szCs w:val="24"/>
        </w:rPr>
        <w:t>Ustekinumab</w:t>
      </w:r>
      <w:proofErr w:type="spellEnd"/>
      <w:r w:rsidRPr="000E643C">
        <w:rPr>
          <w:rFonts w:ascii="Book Antiqua" w:hAnsi="Book Antiqua"/>
          <w:sz w:val="24"/>
          <w:szCs w:val="24"/>
        </w:rPr>
        <w:t xml:space="preserve"> or </w:t>
      </w:r>
      <w:proofErr w:type="gramStart"/>
      <w:r w:rsidRPr="000E643C">
        <w:rPr>
          <w:rFonts w:ascii="Book Antiqua" w:hAnsi="Book Antiqua"/>
          <w:sz w:val="24"/>
          <w:szCs w:val="24"/>
        </w:rPr>
        <w:t>placebo</w:t>
      </w:r>
      <w:r w:rsidR="00CD3E9F" w:rsidRPr="000E643C">
        <w:rPr>
          <w:rFonts w:ascii="Book Antiqua" w:hAnsi="Book Antiqua"/>
          <w:sz w:val="24"/>
          <w:szCs w:val="24"/>
          <w:vertAlign w:val="superscript"/>
        </w:rPr>
        <w:t>[</w:t>
      </w:r>
      <w:proofErr w:type="gramEnd"/>
      <w:r w:rsidR="00CD3E9F" w:rsidRPr="000E643C">
        <w:rPr>
          <w:rFonts w:ascii="Book Antiqua" w:hAnsi="Book Antiqua"/>
          <w:sz w:val="24"/>
          <w:szCs w:val="24"/>
          <w:vertAlign w:val="superscript"/>
        </w:rPr>
        <w:t>21]</w:t>
      </w:r>
      <w:r w:rsidRPr="000E643C">
        <w:rPr>
          <w:rFonts w:ascii="Book Antiqua" w:hAnsi="Book Antiqua"/>
          <w:sz w:val="24"/>
          <w:szCs w:val="24"/>
        </w:rPr>
        <w:t xml:space="preserve">. The investigators have yet to publish data analyzing the effect of CT, though they did report an overall low level </w:t>
      </w:r>
      <w:r w:rsidR="00CD3E9F">
        <w:rPr>
          <w:rFonts w:ascii="Book Antiqua" w:hAnsi="Book Antiqua"/>
          <w:sz w:val="24"/>
          <w:szCs w:val="24"/>
        </w:rPr>
        <w:t xml:space="preserve">of antidrug antibodies at 44 </w:t>
      </w:r>
      <w:proofErr w:type="spellStart"/>
      <w:r w:rsidR="00CD3E9F">
        <w:rPr>
          <w:rFonts w:ascii="Book Antiqua" w:hAnsi="Book Antiqua"/>
          <w:sz w:val="24"/>
          <w:szCs w:val="24"/>
        </w:rPr>
        <w:t>wk</w:t>
      </w:r>
      <w:proofErr w:type="spellEnd"/>
      <w:r w:rsidRPr="000E643C">
        <w:rPr>
          <w:rFonts w:ascii="Book Antiqua" w:hAnsi="Book Antiqua"/>
          <w:sz w:val="24"/>
          <w:szCs w:val="24"/>
        </w:rPr>
        <w:t xml:space="preserve"> of 2.3%.</w:t>
      </w:r>
      <w:r w:rsidR="00E57DEB" w:rsidRPr="000E643C">
        <w:rPr>
          <w:rFonts w:ascii="Book Antiqua" w:hAnsi="Book Antiqua"/>
          <w:sz w:val="24"/>
          <w:szCs w:val="24"/>
        </w:rPr>
        <w:t xml:space="preserve"> </w:t>
      </w:r>
      <w:r w:rsidRPr="000E643C">
        <w:rPr>
          <w:rFonts w:ascii="Book Antiqua" w:hAnsi="Book Antiqua"/>
          <w:sz w:val="24"/>
          <w:szCs w:val="24"/>
        </w:rPr>
        <w:t xml:space="preserve">Again, while there is no prospective clinical trial data yet available on CT, a recent retrospective study from the GETAID group analyzed their experience with 122 treated </w:t>
      </w:r>
      <w:proofErr w:type="gramStart"/>
      <w:r w:rsidRPr="000E643C">
        <w:rPr>
          <w:rFonts w:ascii="Book Antiqua" w:hAnsi="Book Antiqua"/>
          <w:sz w:val="24"/>
          <w:szCs w:val="24"/>
        </w:rPr>
        <w:t>patients</w:t>
      </w:r>
      <w:r w:rsidR="00CD3E9F" w:rsidRPr="000E643C">
        <w:rPr>
          <w:rFonts w:ascii="Book Antiqua" w:hAnsi="Book Antiqua"/>
          <w:sz w:val="24"/>
          <w:szCs w:val="24"/>
          <w:vertAlign w:val="superscript"/>
        </w:rPr>
        <w:t>[</w:t>
      </w:r>
      <w:proofErr w:type="gramEnd"/>
      <w:r w:rsidR="00CD3E9F" w:rsidRPr="000E643C">
        <w:rPr>
          <w:rFonts w:ascii="Book Antiqua" w:hAnsi="Book Antiqua"/>
          <w:sz w:val="24"/>
          <w:szCs w:val="24"/>
          <w:vertAlign w:val="superscript"/>
        </w:rPr>
        <w:t>22]</w:t>
      </w:r>
      <w:r w:rsidRPr="000E643C">
        <w:rPr>
          <w:rFonts w:ascii="Book Antiqua" w:hAnsi="Book Antiqua"/>
          <w:sz w:val="24"/>
          <w:szCs w:val="24"/>
        </w:rPr>
        <w:t>.</w:t>
      </w:r>
      <w:r w:rsidR="00E57DEB" w:rsidRPr="000E643C">
        <w:rPr>
          <w:rFonts w:ascii="Book Antiqua" w:hAnsi="Book Antiqua"/>
          <w:sz w:val="24"/>
          <w:szCs w:val="24"/>
        </w:rPr>
        <w:t xml:space="preserve"> </w:t>
      </w:r>
      <w:r w:rsidRPr="000E643C">
        <w:rPr>
          <w:rFonts w:ascii="Book Antiqua" w:hAnsi="Book Antiqua"/>
          <w:sz w:val="24"/>
          <w:szCs w:val="24"/>
        </w:rPr>
        <w:t>All 122 patients were prior treatment failures with TNF-</w:t>
      </w:r>
      <w:r w:rsidRPr="000E643C">
        <w:rPr>
          <w:rFonts w:ascii="Book Antiqua" w:hAnsi="Book Antiqua" w:cs="Times New Roman"/>
          <w:sz w:val="24"/>
          <w:szCs w:val="24"/>
        </w:rPr>
        <w:t>α</w:t>
      </w:r>
      <w:r w:rsidRPr="000E643C">
        <w:rPr>
          <w:rFonts w:ascii="Book Antiqua" w:hAnsi="Book Antiqua"/>
          <w:sz w:val="24"/>
          <w:szCs w:val="24"/>
        </w:rPr>
        <w:t xml:space="preserve"> inhibitors, with only 18 using IMM at the time of </w:t>
      </w:r>
      <w:proofErr w:type="spellStart"/>
      <w:r w:rsidRPr="000E643C">
        <w:rPr>
          <w:rFonts w:ascii="Book Antiqua" w:hAnsi="Book Antiqua"/>
          <w:sz w:val="24"/>
          <w:szCs w:val="24"/>
        </w:rPr>
        <w:t>ustekinumab</w:t>
      </w:r>
      <w:proofErr w:type="spellEnd"/>
      <w:r w:rsidRPr="000E643C">
        <w:rPr>
          <w:rFonts w:ascii="Book Antiqua" w:hAnsi="Book Antiqua"/>
          <w:sz w:val="24"/>
          <w:szCs w:val="24"/>
        </w:rPr>
        <w:t xml:space="preserve"> therapy.</w:t>
      </w:r>
      <w:r w:rsidR="00E57DEB" w:rsidRPr="000E643C">
        <w:rPr>
          <w:rFonts w:ascii="Book Antiqua" w:hAnsi="Book Antiqua"/>
          <w:sz w:val="24"/>
          <w:szCs w:val="24"/>
        </w:rPr>
        <w:t xml:space="preserve"> </w:t>
      </w:r>
      <w:r w:rsidRPr="000E643C">
        <w:rPr>
          <w:rFonts w:ascii="Book Antiqua" w:hAnsi="Book Antiqua"/>
          <w:sz w:val="24"/>
          <w:szCs w:val="24"/>
        </w:rPr>
        <w:t>Of all factors analyzed, only IMM use was found to be a predictor of 3 month clinical benefit, OR 5.43</w:t>
      </w:r>
      <w:r w:rsidR="002D04D8">
        <w:rPr>
          <w:rFonts w:ascii="Book Antiqua" w:hAnsi="Book Antiqua"/>
          <w:sz w:val="24"/>
          <w:szCs w:val="24"/>
        </w:rPr>
        <w:t>; 95%</w:t>
      </w:r>
      <w:r w:rsidR="00682BCD" w:rsidRPr="000E643C">
        <w:rPr>
          <w:rFonts w:ascii="Book Antiqua" w:hAnsi="Book Antiqua"/>
          <w:sz w:val="24"/>
          <w:szCs w:val="24"/>
        </w:rPr>
        <w:t>CI</w:t>
      </w:r>
      <w:r w:rsidR="002D04D8">
        <w:rPr>
          <w:rFonts w:ascii="Book Antiqua" w:hAnsi="Book Antiqua" w:hint="eastAsia"/>
          <w:sz w:val="24"/>
          <w:szCs w:val="24"/>
          <w:lang w:eastAsia="zh-CN"/>
        </w:rPr>
        <w:t>:</w:t>
      </w:r>
      <w:r w:rsidR="00682BCD" w:rsidRPr="000E643C">
        <w:rPr>
          <w:rFonts w:ascii="Book Antiqua" w:hAnsi="Book Antiqua"/>
          <w:sz w:val="24"/>
          <w:szCs w:val="24"/>
        </w:rPr>
        <w:t xml:space="preserve"> 1.14-25.77; </w:t>
      </w:r>
      <w:r w:rsidR="002D04D8" w:rsidRPr="000E643C">
        <w:rPr>
          <w:rFonts w:ascii="Book Antiqua" w:hAnsi="Book Antiqua"/>
          <w:i/>
          <w:sz w:val="24"/>
          <w:szCs w:val="24"/>
        </w:rPr>
        <w:t>P</w:t>
      </w:r>
      <w:r w:rsidR="002D04D8" w:rsidRPr="000E643C">
        <w:rPr>
          <w:rFonts w:ascii="Book Antiqua" w:hAnsi="Book Antiqua"/>
          <w:sz w:val="24"/>
          <w:szCs w:val="24"/>
        </w:rPr>
        <w:t xml:space="preserve"> </w:t>
      </w:r>
      <w:r w:rsidR="00682BCD" w:rsidRPr="000E643C">
        <w:rPr>
          <w:rFonts w:ascii="Book Antiqua" w:hAnsi="Book Antiqua"/>
          <w:sz w:val="24"/>
          <w:szCs w:val="24"/>
        </w:rPr>
        <w:t>=</w:t>
      </w:r>
      <w:r w:rsidR="002D04D8">
        <w:rPr>
          <w:rFonts w:ascii="Book Antiqua" w:hAnsi="Book Antiqua" w:hint="eastAsia"/>
          <w:sz w:val="24"/>
          <w:szCs w:val="24"/>
          <w:lang w:eastAsia="zh-CN"/>
        </w:rPr>
        <w:t xml:space="preserve"> </w:t>
      </w:r>
      <w:r w:rsidR="002D04D8">
        <w:rPr>
          <w:rFonts w:ascii="Book Antiqua" w:hAnsi="Book Antiqua"/>
          <w:sz w:val="24"/>
          <w:szCs w:val="24"/>
        </w:rPr>
        <w:t>0.03</w:t>
      </w:r>
      <w:r w:rsidR="00682BCD" w:rsidRPr="000E643C">
        <w:rPr>
          <w:rFonts w:ascii="Book Antiqua" w:hAnsi="Book Antiqua"/>
          <w:sz w:val="24"/>
          <w:szCs w:val="24"/>
        </w:rPr>
        <w:t xml:space="preserve"> </w:t>
      </w:r>
      <w:r w:rsidR="003E4DEE" w:rsidRPr="000E643C">
        <w:rPr>
          <w:rFonts w:ascii="Book Antiqua" w:hAnsi="Book Antiqua"/>
          <w:sz w:val="24"/>
          <w:szCs w:val="24"/>
        </w:rPr>
        <w:t>(</w:t>
      </w:r>
      <w:r w:rsidR="004A6219" w:rsidRPr="000E643C">
        <w:rPr>
          <w:rFonts w:ascii="Book Antiqua" w:hAnsi="Book Antiqua"/>
          <w:sz w:val="24"/>
          <w:szCs w:val="24"/>
        </w:rPr>
        <w:t>S</w:t>
      </w:r>
      <w:r w:rsidR="00586E10" w:rsidRPr="000E643C">
        <w:rPr>
          <w:rFonts w:ascii="Book Antiqua" w:hAnsi="Book Antiqua"/>
          <w:sz w:val="24"/>
          <w:szCs w:val="24"/>
        </w:rPr>
        <w:t>ee s</w:t>
      </w:r>
      <w:r w:rsidR="00634D7E" w:rsidRPr="000E643C">
        <w:rPr>
          <w:rFonts w:ascii="Book Antiqua" w:hAnsi="Book Antiqua"/>
          <w:sz w:val="24"/>
          <w:szCs w:val="24"/>
        </w:rPr>
        <w:t xml:space="preserve">ummary of </w:t>
      </w:r>
      <w:r w:rsidR="00457B9C" w:rsidRPr="000E643C">
        <w:rPr>
          <w:rFonts w:ascii="Book Antiqua" w:hAnsi="Book Antiqua"/>
          <w:sz w:val="24"/>
          <w:szCs w:val="24"/>
        </w:rPr>
        <w:t>evidence</w:t>
      </w:r>
      <w:r w:rsidR="00687F27" w:rsidRPr="000E643C">
        <w:rPr>
          <w:rFonts w:ascii="Book Antiqua" w:hAnsi="Book Antiqua"/>
          <w:sz w:val="24"/>
          <w:szCs w:val="24"/>
        </w:rPr>
        <w:t xml:space="preserve"> for induction CT, Table 1</w:t>
      </w:r>
      <w:r w:rsidR="003E4DEE" w:rsidRPr="000E643C">
        <w:rPr>
          <w:rFonts w:ascii="Book Antiqua" w:hAnsi="Book Antiqua"/>
          <w:sz w:val="24"/>
          <w:szCs w:val="24"/>
        </w:rPr>
        <w:t>)</w:t>
      </w:r>
      <w:r w:rsidR="00687F27" w:rsidRPr="000E643C">
        <w:rPr>
          <w:rFonts w:ascii="Book Antiqua" w:hAnsi="Book Antiqua"/>
          <w:sz w:val="24"/>
          <w:szCs w:val="24"/>
        </w:rPr>
        <w:t>.</w:t>
      </w:r>
    </w:p>
    <w:p w14:paraId="7758B056" w14:textId="77777777" w:rsidR="002D04D8" w:rsidRDefault="002D04D8" w:rsidP="00E57DEB">
      <w:pPr>
        <w:widowControl w:val="0"/>
        <w:adjustRightInd w:val="0"/>
        <w:snapToGrid w:val="0"/>
        <w:spacing w:after="0" w:line="360" w:lineRule="auto"/>
        <w:jc w:val="both"/>
        <w:rPr>
          <w:rFonts w:ascii="Book Antiqua" w:hAnsi="Book Antiqua"/>
          <w:b/>
          <w:sz w:val="24"/>
          <w:szCs w:val="24"/>
          <w:u w:val="single"/>
          <w:lang w:eastAsia="zh-CN"/>
        </w:rPr>
      </w:pPr>
    </w:p>
    <w:p w14:paraId="171AE2E4" w14:textId="4AE62148" w:rsidR="0069331F" w:rsidRPr="002D04D8" w:rsidRDefault="002D04D8" w:rsidP="00E57DEB">
      <w:pPr>
        <w:widowControl w:val="0"/>
        <w:adjustRightInd w:val="0"/>
        <w:snapToGrid w:val="0"/>
        <w:spacing w:after="0" w:line="360" w:lineRule="auto"/>
        <w:jc w:val="both"/>
        <w:rPr>
          <w:rFonts w:ascii="Book Antiqua" w:hAnsi="Book Antiqua"/>
          <w:b/>
          <w:sz w:val="24"/>
          <w:szCs w:val="24"/>
        </w:rPr>
      </w:pPr>
      <w:r w:rsidRPr="002D04D8">
        <w:rPr>
          <w:rFonts w:ascii="Book Antiqua" w:hAnsi="Book Antiqua"/>
          <w:b/>
          <w:sz w:val="24"/>
          <w:szCs w:val="24"/>
        </w:rPr>
        <w:t>IS CT EFFECTIVE AT ALL STAGES OF IBD THERAPY?</w:t>
      </w:r>
    </w:p>
    <w:p w14:paraId="7D7EF66D" w14:textId="77777777" w:rsidR="0069331F" w:rsidRPr="002D04D8" w:rsidRDefault="00796CB0" w:rsidP="00E57DEB">
      <w:pPr>
        <w:widowControl w:val="0"/>
        <w:adjustRightInd w:val="0"/>
        <w:snapToGrid w:val="0"/>
        <w:spacing w:after="0" w:line="360" w:lineRule="auto"/>
        <w:jc w:val="both"/>
        <w:rPr>
          <w:rFonts w:ascii="Book Antiqua" w:hAnsi="Book Antiqua"/>
          <w:b/>
          <w:i/>
          <w:sz w:val="24"/>
          <w:szCs w:val="24"/>
        </w:rPr>
      </w:pPr>
      <w:r w:rsidRPr="002D04D8">
        <w:rPr>
          <w:rFonts w:ascii="Book Antiqua" w:hAnsi="Book Antiqua"/>
          <w:b/>
          <w:i/>
          <w:sz w:val="24"/>
          <w:szCs w:val="24"/>
        </w:rPr>
        <w:t>Step up therapy: Adding biologic to failing IMM</w:t>
      </w:r>
    </w:p>
    <w:p w14:paraId="0AC0BD3F" w14:textId="4BBB6528" w:rsidR="0069331F" w:rsidRPr="000E643C" w:rsidRDefault="00796CB0"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As we have seen, most of the available evidence suggesting a benefit to CT involves the use of IFX and IMM begun simultaneously, especially in those naïve to biologic as well as to IMM.</w:t>
      </w:r>
      <w:r w:rsidR="00E57DEB" w:rsidRPr="000E643C">
        <w:rPr>
          <w:rFonts w:ascii="Book Antiqua" w:hAnsi="Book Antiqua"/>
          <w:sz w:val="24"/>
          <w:szCs w:val="24"/>
        </w:rPr>
        <w:t xml:space="preserve"> </w:t>
      </w:r>
      <w:r w:rsidRPr="000E643C">
        <w:rPr>
          <w:rFonts w:ascii="Book Antiqua" w:hAnsi="Book Antiqua"/>
          <w:sz w:val="24"/>
          <w:szCs w:val="24"/>
        </w:rPr>
        <w:t xml:space="preserve">In reality, IMM is still widely used as part of a step up algorithm of care, </w:t>
      </w:r>
      <w:r w:rsidRPr="000E643C">
        <w:rPr>
          <w:rFonts w:ascii="Book Antiqua" w:hAnsi="Book Antiqua"/>
          <w:sz w:val="24"/>
          <w:szCs w:val="24"/>
        </w:rPr>
        <w:lastRenderedPageBreak/>
        <w:t>with biologics employed as additional therapy in cases of IMM failure as in the early clinical trials. Given the frequent positioning of IMM as mono-therapy prior to biologic, a specific look is required into the role of continuing IMM as part of a combination step-up therapy.</w:t>
      </w:r>
      <w:r w:rsidR="00E57DEB" w:rsidRPr="000E643C">
        <w:rPr>
          <w:rFonts w:ascii="Book Antiqua" w:hAnsi="Book Antiqua"/>
          <w:sz w:val="24"/>
          <w:szCs w:val="24"/>
        </w:rPr>
        <w:t xml:space="preserve"> </w:t>
      </w:r>
    </w:p>
    <w:p w14:paraId="1F28C0ED" w14:textId="1928AEAC" w:rsidR="0069331F" w:rsidRPr="000E643C" w:rsidRDefault="00796CB0" w:rsidP="002D04D8">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A recent analysis by Osterman et al. retrospectively analyzed a cohort of CD patients beginning biologic th</w:t>
      </w:r>
      <w:r w:rsidR="002D04D8">
        <w:rPr>
          <w:rFonts w:ascii="Book Antiqua" w:hAnsi="Book Antiqua"/>
          <w:sz w:val="24"/>
          <w:szCs w:val="24"/>
        </w:rPr>
        <w:t>erapy with either IFX or ADA, 1</w:t>
      </w:r>
      <w:r w:rsidRPr="000E643C">
        <w:rPr>
          <w:rFonts w:ascii="Book Antiqua" w:hAnsi="Book Antiqua"/>
          <w:sz w:val="24"/>
          <w:szCs w:val="24"/>
        </w:rPr>
        <w:t xml:space="preserve">459 and 871 patients </w:t>
      </w:r>
      <w:proofErr w:type="gramStart"/>
      <w:r w:rsidRPr="000E643C">
        <w:rPr>
          <w:rFonts w:ascii="Book Antiqua" w:hAnsi="Book Antiqua"/>
          <w:sz w:val="24"/>
          <w:szCs w:val="24"/>
        </w:rPr>
        <w:t>respectively</w:t>
      </w:r>
      <w:r w:rsidR="002D04D8" w:rsidRPr="000E643C">
        <w:rPr>
          <w:rFonts w:ascii="Book Antiqua" w:hAnsi="Book Antiqua"/>
          <w:sz w:val="24"/>
          <w:szCs w:val="24"/>
          <w:vertAlign w:val="superscript"/>
        </w:rPr>
        <w:t>[</w:t>
      </w:r>
      <w:proofErr w:type="gramEnd"/>
      <w:r w:rsidR="002D04D8" w:rsidRPr="000E643C">
        <w:rPr>
          <w:rFonts w:ascii="Book Antiqua" w:hAnsi="Book Antiqua"/>
          <w:sz w:val="24"/>
          <w:szCs w:val="24"/>
          <w:vertAlign w:val="superscript"/>
        </w:rPr>
        <w:t>23]</w:t>
      </w:r>
      <w:r w:rsidRPr="000E643C">
        <w:rPr>
          <w:rFonts w:ascii="Book Antiqua" w:hAnsi="Book Antiqua"/>
          <w:sz w:val="24"/>
          <w:szCs w:val="24"/>
        </w:rPr>
        <w:t>. In total 381 CT patients using IFX a</w:t>
      </w:r>
      <w:r w:rsidR="0001324C" w:rsidRPr="000E643C">
        <w:rPr>
          <w:rFonts w:ascii="Book Antiqua" w:hAnsi="Book Antiqua"/>
          <w:sz w:val="24"/>
          <w:szCs w:val="24"/>
        </w:rPr>
        <w:t>nd IMM were matched to 912 mono</w:t>
      </w:r>
      <w:r w:rsidRPr="000E643C">
        <w:rPr>
          <w:rFonts w:ascii="Book Antiqua" w:hAnsi="Book Antiqua"/>
          <w:sz w:val="24"/>
          <w:szCs w:val="24"/>
        </w:rPr>
        <w:t>therapy IFX patients, as were 196 CT using ADA a</w:t>
      </w:r>
      <w:r w:rsidR="0001324C" w:rsidRPr="000E643C">
        <w:rPr>
          <w:rFonts w:ascii="Book Antiqua" w:hAnsi="Book Antiqua"/>
          <w:sz w:val="24"/>
          <w:szCs w:val="24"/>
        </w:rPr>
        <w:t>nd IMM matched to 505 ADA mono</w:t>
      </w:r>
      <w:r w:rsidRPr="000E643C">
        <w:rPr>
          <w:rFonts w:ascii="Book Antiqua" w:hAnsi="Book Antiqua"/>
          <w:sz w:val="24"/>
          <w:szCs w:val="24"/>
        </w:rPr>
        <w:t>therapy patients.</w:t>
      </w:r>
      <w:r w:rsidR="00E57DEB" w:rsidRPr="000E643C">
        <w:rPr>
          <w:rFonts w:ascii="Book Antiqua" w:hAnsi="Book Antiqua"/>
          <w:sz w:val="24"/>
          <w:szCs w:val="24"/>
        </w:rPr>
        <w:t xml:space="preserve"> </w:t>
      </w:r>
      <w:r w:rsidRPr="000E643C">
        <w:rPr>
          <w:rFonts w:ascii="Book Antiqua" w:hAnsi="Book Antiqua"/>
          <w:sz w:val="24"/>
          <w:szCs w:val="24"/>
        </w:rPr>
        <w:t>In the IFX group, 86% of the CT patients were part of a step-up protocol, adding biologic to existing IMM, as were 89% in the ADA group.</w:t>
      </w:r>
      <w:r w:rsidR="00E57DEB" w:rsidRPr="000E643C">
        <w:rPr>
          <w:rFonts w:ascii="Book Antiqua" w:hAnsi="Book Antiqua"/>
          <w:sz w:val="24"/>
          <w:szCs w:val="24"/>
        </w:rPr>
        <w:t xml:space="preserve"> </w:t>
      </w:r>
      <w:r w:rsidRPr="000E643C">
        <w:rPr>
          <w:rFonts w:ascii="Book Antiqua" w:hAnsi="Book Antiqua"/>
          <w:sz w:val="24"/>
          <w:szCs w:val="24"/>
        </w:rPr>
        <w:t>These high percentages effectively made the analysis of the effect of CT into an analysis of CT as part of a step-up treatment approach.</w:t>
      </w:r>
      <w:r w:rsidR="00E57DEB" w:rsidRPr="000E643C">
        <w:rPr>
          <w:rFonts w:ascii="Book Antiqua" w:hAnsi="Book Antiqua"/>
          <w:sz w:val="24"/>
          <w:szCs w:val="24"/>
        </w:rPr>
        <w:t xml:space="preserve"> </w:t>
      </w:r>
      <w:proofErr w:type="spellStart"/>
      <w:r w:rsidRPr="000E643C">
        <w:rPr>
          <w:rFonts w:ascii="Book Antiqua" w:hAnsi="Book Antiqua"/>
          <w:sz w:val="24"/>
          <w:szCs w:val="24"/>
        </w:rPr>
        <w:t>Thiopurines</w:t>
      </w:r>
      <w:proofErr w:type="spellEnd"/>
      <w:r w:rsidRPr="000E643C">
        <w:rPr>
          <w:rFonts w:ascii="Book Antiqua" w:hAnsi="Book Antiqua"/>
          <w:sz w:val="24"/>
          <w:szCs w:val="24"/>
        </w:rPr>
        <w:t xml:space="preserve"> accounted for 90% of IMM use.</w:t>
      </w:r>
      <w:r w:rsidR="00E57DEB" w:rsidRPr="000E643C">
        <w:rPr>
          <w:rFonts w:ascii="Book Antiqua" w:hAnsi="Book Antiqua"/>
          <w:sz w:val="24"/>
          <w:szCs w:val="24"/>
        </w:rPr>
        <w:t xml:space="preserve"> </w:t>
      </w:r>
      <w:r w:rsidRPr="000E643C">
        <w:rPr>
          <w:rFonts w:ascii="Book Antiqua" w:hAnsi="Book Antiqua"/>
          <w:sz w:val="24"/>
          <w:szCs w:val="24"/>
        </w:rPr>
        <w:t>Given the retrospective design, the authors were unable to analyze for common clinical trial outcomes such as improvement in CDAI or endoscopic response and remission.</w:t>
      </w:r>
      <w:r w:rsidR="00E57DEB" w:rsidRPr="000E643C">
        <w:rPr>
          <w:rFonts w:ascii="Book Antiqua" w:hAnsi="Book Antiqua"/>
          <w:sz w:val="24"/>
          <w:szCs w:val="24"/>
        </w:rPr>
        <w:t xml:space="preserve"> </w:t>
      </w:r>
      <w:r w:rsidRPr="000E643C">
        <w:rPr>
          <w:rFonts w:ascii="Book Antiqua" w:hAnsi="Book Antiqua"/>
          <w:sz w:val="24"/>
          <w:szCs w:val="24"/>
        </w:rPr>
        <w:t>Looking at alternate outcomes, they were unable to show any benefit to CT in terms of surgery (HR 1.20, OR 0.73-1.96), hospitalization (HR 0.82, OR 0.57-1.19), rates of combined biologic discontinuation and surgery (HR 1.09, OR 0.88-1.34) or serious infections overall (HR 0.93, OR 0.88-1.34).</w:t>
      </w:r>
      <w:r w:rsidR="00E57DEB" w:rsidRPr="000E643C">
        <w:rPr>
          <w:rFonts w:ascii="Book Antiqua" w:hAnsi="Book Antiqua"/>
          <w:sz w:val="24"/>
          <w:szCs w:val="24"/>
        </w:rPr>
        <w:t xml:space="preserve"> </w:t>
      </w:r>
      <w:r w:rsidRPr="000E643C">
        <w:rPr>
          <w:rFonts w:ascii="Book Antiqua" w:hAnsi="Book Antiqua"/>
          <w:sz w:val="24"/>
          <w:szCs w:val="24"/>
        </w:rPr>
        <w:t>Rates of opportunistic infections were significantly increased (HR 2.64, OR 1.21-5.73), mostly due to increased rates of herpes zoster (HR 3.16, OR 1.25-7.97).</w:t>
      </w:r>
      <w:r w:rsidR="00E57DEB" w:rsidRPr="000E643C">
        <w:rPr>
          <w:rFonts w:ascii="Book Antiqua" w:hAnsi="Book Antiqua"/>
          <w:sz w:val="24"/>
          <w:szCs w:val="24"/>
        </w:rPr>
        <w:t xml:space="preserve"> </w:t>
      </w:r>
      <w:r w:rsidRPr="000E643C">
        <w:rPr>
          <w:rFonts w:ascii="Book Antiqua" w:hAnsi="Book Antiqua"/>
          <w:sz w:val="24"/>
          <w:szCs w:val="24"/>
        </w:rPr>
        <w:t>These findings were consistent across the subgroups for both IFX and ADA.</w:t>
      </w:r>
      <w:r w:rsidR="00E57DEB" w:rsidRPr="000E643C">
        <w:rPr>
          <w:rFonts w:ascii="Book Antiqua" w:hAnsi="Book Antiqua"/>
          <w:sz w:val="24"/>
          <w:szCs w:val="24"/>
        </w:rPr>
        <w:t xml:space="preserve"> </w:t>
      </w:r>
      <w:r w:rsidRPr="000E643C">
        <w:rPr>
          <w:rFonts w:ascii="Book Antiqua" w:hAnsi="Book Antiqua"/>
          <w:sz w:val="24"/>
          <w:szCs w:val="24"/>
        </w:rPr>
        <w:t>The overall conclusion: there is no apparent benefit to continuing IMM, in cases of IMM failure, once biologic therapy is begun.</w:t>
      </w:r>
      <w:r w:rsidR="00E57DEB" w:rsidRPr="000E643C">
        <w:rPr>
          <w:rFonts w:ascii="Book Antiqua" w:hAnsi="Book Antiqua"/>
          <w:sz w:val="24"/>
          <w:szCs w:val="24"/>
        </w:rPr>
        <w:t xml:space="preserve"> </w:t>
      </w:r>
      <w:r w:rsidRPr="000E643C">
        <w:rPr>
          <w:rFonts w:ascii="Book Antiqua" w:hAnsi="Book Antiqua"/>
          <w:sz w:val="24"/>
          <w:szCs w:val="24"/>
        </w:rPr>
        <w:t>Similarly, a rece</w:t>
      </w:r>
      <w:r w:rsidR="002D04D8">
        <w:rPr>
          <w:rFonts w:ascii="Book Antiqua" w:hAnsi="Book Antiqua"/>
          <w:sz w:val="24"/>
          <w:szCs w:val="24"/>
        </w:rPr>
        <w:t>nt meta-analysis by Jones</w:t>
      </w:r>
      <w:r w:rsidR="002D04D8" w:rsidRPr="002D04D8">
        <w:rPr>
          <w:rFonts w:ascii="Book Antiqua" w:hAnsi="Book Antiqua"/>
          <w:i/>
          <w:sz w:val="24"/>
          <w:szCs w:val="24"/>
        </w:rPr>
        <w:t xml:space="preserve"> et </w:t>
      </w:r>
      <w:proofErr w:type="gramStart"/>
      <w:r w:rsidR="002D04D8" w:rsidRPr="002D04D8">
        <w:rPr>
          <w:rFonts w:ascii="Book Antiqua" w:hAnsi="Book Antiqua"/>
          <w:i/>
          <w:sz w:val="24"/>
          <w:szCs w:val="24"/>
        </w:rPr>
        <w:t>al</w:t>
      </w:r>
      <w:r w:rsidR="002D04D8" w:rsidRPr="000E643C">
        <w:rPr>
          <w:rFonts w:ascii="Book Antiqua" w:hAnsi="Book Antiqua"/>
          <w:sz w:val="24"/>
          <w:szCs w:val="24"/>
          <w:vertAlign w:val="superscript"/>
        </w:rPr>
        <w:t>[</w:t>
      </w:r>
      <w:proofErr w:type="gramEnd"/>
      <w:r w:rsidR="002D04D8" w:rsidRPr="000E643C">
        <w:rPr>
          <w:rFonts w:ascii="Book Antiqua" w:hAnsi="Book Antiqua"/>
          <w:sz w:val="24"/>
          <w:szCs w:val="24"/>
          <w:vertAlign w:val="superscript"/>
        </w:rPr>
        <w:t>24]</w:t>
      </w:r>
      <w:r w:rsidRPr="000E643C">
        <w:rPr>
          <w:rFonts w:ascii="Book Antiqua" w:hAnsi="Book Antiqua"/>
          <w:sz w:val="24"/>
          <w:szCs w:val="24"/>
        </w:rPr>
        <w:t xml:space="preserve"> reviewed the results of 11 randomized trials of anti-TNF</w:t>
      </w:r>
      <w:r w:rsidR="005F3DBD" w:rsidRPr="000E643C">
        <w:rPr>
          <w:rFonts w:ascii="Book Antiqua" w:hAnsi="Book Antiqua"/>
          <w:sz w:val="24"/>
          <w:szCs w:val="24"/>
        </w:rPr>
        <w:t>-</w:t>
      </w:r>
      <w:r w:rsidRPr="000E643C">
        <w:rPr>
          <w:rFonts w:ascii="Book Antiqua" w:hAnsi="Book Antiqua" w:cs="Times New Roman"/>
          <w:sz w:val="24"/>
          <w:szCs w:val="24"/>
        </w:rPr>
        <w:t>α</w:t>
      </w:r>
      <w:r w:rsidRPr="000E643C">
        <w:rPr>
          <w:rFonts w:ascii="Book Antiqua" w:hAnsi="Book Antiqua"/>
          <w:sz w:val="24"/>
          <w:szCs w:val="24"/>
        </w:rPr>
        <w:t xml:space="preserve"> therap</w:t>
      </w:r>
      <w:r w:rsidR="009F2670" w:rsidRPr="000E643C">
        <w:rPr>
          <w:rFonts w:ascii="Book Antiqua" w:hAnsi="Book Antiqua"/>
          <w:sz w:val="24"/>
          <w:szCs w:val="24"/>
        </w:rPr>
        <w:t xml:space="preserve">ies including IFX, ADA and </w:t>
      </w:r>
      <w:proofErr w:type="spellStart"/>
      <w:r w:rsidR="009F2670" w:rsidRPr="000E643C">
        <w:rPr>
          <w:rFonts w:ascii="Book Antiqua" w:hAnsi="Book Antiqua"/>
          <w:sz w:val="24"/>
          <w:szCs w:val="24"/>
        </w:rPr>
        <w:t>certo</w:t>
      </w:r>
      <w:r w:rsidR="0079572A">
        <w:rPr>
          <w:rFonts w:ascii="Book Antiqua" w:hAnsi="Book Antiqua"/>
          <w:sz w:val="24"/>
          <w:szCs w:val="24"/>
        </w:rPr>
        <w:t>lizumab</w:t>
      </w:r>
      <w:proofErr w:type="spellEnd"/>
      <w:r w:rsidR="0079572A">
        <w:rPr>
          <w:rFonts w:ascii="Book Antiqua" w:hAnsi="Book Antiqua"/>
          <w:sz w:val="24"/>
          <w:szCs w:val="24"/>
        </w:rPr>
        <w:t>, among 1</w:t>
      </w:r>
      <w:r w:rsidRPr="000E643C">
        <w:rPr>
          <w:rFonts w:ascii="Book Antiqua" w:hAnsi="Book Antiqua"/>
          <w:sz w:val="24"/>
          <w:szCs w:val="24"/>
        </w:rPr>
        <w:t>601 patients of which 40% were on CT. All patients on CT received biologic as part of a step-up approach after failing to achieve remission with IMM.</w:t>
      </w:r>
      <w:r w:rsidR="00E57DEB" w:rsidRPr="000E643C">
        <w:rPr>
          <w:rFonts w:ascii="Book Antiqua" w:hAnsi="Book Antiqua"/>
          <w:sz w:val="24"/>
          <w:szCs w:val="24"/>
        </w:rPr>
        <w:t xml:space="preserve"> </w:t>
      </w:r>
      <w:r w:rsidRPr="000E643C">
        <w:rPr>
          <w:rFonts w:ascii="Book Antiqua" w:hAnsi="Book Antiqua"/>
          <w:sz w:val="24"/>
          <w:szCs w:val="24"/>
        </w:rPr>
        <w:t>Again, there was no bene</w:t>
      </w:r>
      <w:r w:rsidR="00307E77" w:rsidRPr="000E643C">
        <w:rPr>
          <w:rFonts w:ascii="Book Antiqua" w:hAnsi="Book Antiqua"/>
          <w:sz w:val="24"/>
          <w:szCs w:val="24"/>
        </w:rPr>
        <w:t>fit to CT for the outcomes of 6-</w:t>
      </w:r>
      <w:r w:rsidRPr="000E643C">
        <w:rPr>
          <w:rFonts w:ascii="Book Antiqua" w:hAnsi="Book Antiqua"/>
          <w:sz w:val="24"/>
          <w:szCs w:val="24"/>
        </w:rPr>
        <w:t>moremis</w:t>
      </w:r>
      <w:r w:rsidR="00945CA0" w:rsidRPr="000E643C">
        <w:rPr>
          <w:rFonts w:ascii="Book Antiqua" w:hAnsi="Book Antiqua"/>
          <w:sz w:val="24"/>
          <w:szCs w:val="24"/>
        </w:rPr>
        <w:t>sion (OR 1.02; CI 0.80-1.31), 6-</w:t>
      </w:r>
      <w:r w:rsidRPr="000E643C">
        <w:rPr>
          <w:rFonts w:ascii="Book Antiqua" w:hAnsi="Book Antiqua"/>
          <w:sz w:val="24"/>
          <w:szCs w:val="24"/>
        </w:rPr>
        <w:t>mo response (OR 1.08; CI</w:t>
      </w:r>
      <w:r w:rsidR="0079572A">
        <w:rPr>
          <w:rFonts w:ascii="Book Antiqua" w:hAnsi="Book Antiqua" w:hint="eastAsia"/>
          <w:sz w:val="24"/>
          <w:szCs w:val="24"/>
          <w:lang w:eastAsia="zh-CN"/>
        </w:rPr>
        <w:t>:</w:t>
      </w:r>
      <w:r w:rsidRPr="000E643C">
        <w:rPr>
          <w:rFonts w:ascii="Book Antiqua" w:hAnsi="Book Antiqua"/>
          <w:sz w:val="24"/>
          <w:szCs w:val="24"/>
        </w:rPr>
        <w:t xml:space="preserve"> 0.79-1.48).</w:t>
      </w:r>
      <w:r w:rsidR="00E57DEB" w:rsidRPr="000E643C">
        <w:rPr>
          <w:rFonts w:ascii="Book Antiqua" w:hAnsi="Book Antiqua"/>
          <w:sz w:val="24"/>
          <w:szCs w:val="24"/>
        </w:rPr>
        <w:t xml:space="preserve"> </w:t>
      </w:r>
      <w:r w:rsidRPr="000E643C">
        <w:rPr>
          <w:rFonts w:ascii="Book Antiqua" w:hAnsi="Book Antiqua"/>
          <w:sz w:val="24"/>
          <w:szCs w:val="24"/>
        </w:rPr>
        <w:t>Neither however was there any increase risks of adverse</w:t>
      </w:r>
      <w:r w:rsidR="0079572A">
        <w:rPr>
          <w:rFonts w:ascii="Book Antiqua" w:hAnsi="Book Antiqua"/>
          <w:sz w:val="24"/>
          <w:szCs w:val="24"/>
        </w:rPr>
        <w:t xml:space="preserve"> events with CT (OR, 0.71; 95%</w:t>
      </w:r>
      <w:r w:rsidRPr="000E643C">
        <w:rPr>
          <w:rFonts w:ascii="Book Antiqua" w:hAnsi="Book Antiqua"/>
          <w:sz w:val="24"/>
          <w:szCs w:val="24"/>
        </w:rPr>
        <w:t>CI</w:t>
      </w:r>
      <w:r w:rsidR="0079572A">
        <w:rPr>
          <w:rFonts w:ascii="Book Antiqua" w:hAnsi="Book Antiqua" w:hint="eastAsia"/>
          <w:sz w:val="24"/>
          <w:szCs w:val="24"/>
          <w:lang w:eastAsia="zh-CN"/>
        </w:rPr>
        <w:t>:</w:t>
      </w:r>
      <w:r w:rsidRPr="000E643C">
        <w:rPr>
          <w:rFonts w:ascii="Book Antiqua" w:hAnsi="Book Antiqua"/>
          <w:sz w:val="24"/>
          <w:szCs w:val="24"/>
        </w:rPr>
        <w:t xml:space="preserve"> 0.41–1.25).</w:t>
      </w:r>
    </w:p>
    <w:p w14:paraId="48C1B894" w14:textId="77777777" w:rsidR="0079572A" w:rsidRDefault="0079572A" w:rsidP="00E57DEB">
      <w:pPr>
        <w:widowControl w:val="0"/>
        <w:adjustRightInd w:val="0"/>
        <w:snapToGrid w:val="0"/>
        <w:spacing w:after="0" w:line="360" w:lineRule="auto"/>
        <w:jc w:val="both"/>
        <w:rPr>
          <w:rFonts w:ascii="Book Antiqua" w:hAnsi="Book Antiqua"/>
          <w:b/>
          <w:sz w:val="24"/>
          <w:szCs w:val="24"/>
          <w:lang w:eastAsia="zh-CN"/>
        </w:rPr>
      </w:pPr>
    </w:p>
    <w:p w14:paraId="797E0FEC" w14:textId="77777777" w:rsidR="0069331F" w:rsidRPr="0079572A" w:rsidRDefault="00796CB0" w:rsidP="00E57DEB">
      <w:pPr>
        <w:widowControl w:val="0"/>
        <w:adjustRightInd w:val="0"/>
        <w:snapToGrid w:val="0"/>
        <w:spacing w:after="0" w:line="360" w:lineRule="auto"/>
        <w:jc w:val="both"/>
        <w:rPr>
          <w:rFonts w:ascii="Book Antiqua" w:hAnsi="Book Antiqua"/>
          <w:b/>
          <w:i/>
          <w:sz w:val="24"/>
          <w:szCs w:val="24"/>
        </w:rPr>
      </w:pPr>
      <w:r w:rsidRPr="0079572A">
        <w:rPr>
          <w:rFonts w:ascii="Book Antiqua" w:hAnsi="Book Antiqua"/>
          <w:b/>
          <w:i/>
          <w:sz w:val="24"/>
          <w:szCs w:val="24"/>
        </w:rPr>
        <w:lastRenderedPageBreak/>
        <w:t>Step up therapy: Adding IMM to failing biologic</w:t>
      </w:r>
    </w:p>
    <w:p w14:paraId="7435CA0A" w14:textId="2466A021" w:rsidR="0069331F" w:rsidRPr="000E643C" w:rsidRDefault="00796CB0"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The issue of stepping up to CT by the addition of IMM to failing biologic is less well studied.</w:t>
      </w:r>
      <w:r w:rsidR="00E57DEB" w:rsidRPr="000E643C">
        <w:rPr>
          <w:rFonts w:ascii="Book Antiqua" w:hAnsi="Book Antiqua"/>
          <w:sz w:val="24"/>
          <w:szCs w:val="24"/>
        </w:rPr>
        <w:t xml:space="preserve"> </w:t>
      </w:r>
      <w:r w:rsidRPr="000E643C">
        <w:rPr>
          <w:rFonts w:ascii="Book Antiqua" w:hAnsi="Book Antiqua"/>
          <w:sz w:val="24"/>
          <w:szCs w:val="24"/>
        </w:rPr>
        <w:t>A small retrospective cohort analysis by Ben-</w:t>
      </w:r>
      <w:proofErr w:type="spellStart"/>
      <w:r w:rsidRPr="000E643C">
        <w:rPr>
          <w:rFonts w:ascii="Book Antiqua" w:hAnsi="Book Antiqua"/>
          <w:sz w:val="24"/>
          <w:szCs w:val="24"/>
        </w:rPr>
        <w:t>Horin</w:t>
      </w:r>
      <w:proofErr w:type="spellEnd"/>
      <w:r w:rsidRPr="000E643C">
        <w:rPr>
          <w:rFonts w:ascii="Book Antiqua" w:hAnsi="Book Antiqua"/>
          <w:sz w:val="24"/>
          <w:szCs w:val="24"/>
        </w:rPr>
        <w:t xml:space="preserve"> </w:t>
      </w:r>
      <w:r w:rsidRPr="0079572A">
        <w:rPr>
          <w:rFonts w:ascii="Book Antiqua" w:hAnsi="Book Antiqua"/>
          <w:i/>
          <w:sz w:val="24"/>
          <w:szCs w:val="24"/>
        </w:rPr>
        <w:t xml:space="preserve">et </w:t>
      </w:r>
      <w:proofErr w:type="gramStart"/>
      <w:r w:rsidRPr="0079572A">
        <w:rPr>
          <w:rFonts w:ascii="Book Antiqua" w:hAnsi="Book Antiqua"/>
          <w:i/>
          <w:sz w:val="24"/>
          <w:szCs w:val="24"/>
        </w:rPr>
        <w:t>al</w:t>
      </w:r>
      <w:r w:rsidR="0079572A" w:rsidRPr="000E643C">
        <w:rPr>
          <w:rFonts w:ascii="Book Antiqua" w:hAnsi="Book Antiqua"/>
          <w:sz w:val="24"/>
          <w:szCs w:val="24"/>
          <w:vertAlign w:val="superscript"/>
        </w:rPr>
        <w:t>[</w:t>
      </w:r>
      <w:proofErr w:type="gramEnd"/>
      <w:r w:rsidR="0079572A" w:rsidRPr="000E643C">
        <w:rPr>
          <w:rFonts w:ascii="Book Antiqua" w:hAnsi="Book Antiqua"/>
          <w:sz w:val="24"/>
          <w:szCs w:val="24"/>
          <w:vertAlign w:val="superscript"/>
        </w:rPr>
        <w:t>25]</w:t>
      </w:r>
      <w:r w:rsidRPr="000E643C">
        <w:rPr>
          <w:rFonts w:ascii="Book Antiqua" w:hAnsi="Book Antiqua"/>
          <w:sz w:val="24"/>
          <w:szCs w:val="24"/>
        </w:rPr>
        <w:t xml:space="preserve"> examined the outcomes of 5 patients (3</w:t>
      </w:r>
      <w:r w:rsidR="00520D97" w:rsidRPr="000E643C">
        <w:rPr>
          <w:rFonts w:ascii="Book Antiqua" w:hAnsi="Book Antiqua"/>
          <w:sz w:val="24"/>
          <w:szCs w:val="24"/>
        </w:rPr>
        <w:t xml:space="preserve"> with </w:t>
      </w:r>
      <w:r w:rsidRPr="000E643C">
        <w:rPr>
          <w:rFonts w:ascii="Book Antiqua" w:hAnsi="Book Antiqua"/>
          <w:sz w:val="24"/>
          <w:szCs w:val="24"/>
        </w:rPr>
        <w:t>CD, 2</w:t>
      </w:r>
      <w:r w:rsidR="00520D97" w:rsidRPr="000E643C">
        <w:rPr>
          <w:rFonts w:ascii="Book Antiqua" w:hAnsi="Book Antiqua"/>
          <w:sz w:val="24"/>
          <w:szCs w:val="24"/>
        </w:rPr>
        <w:t xml:space="preserve"> with </w:t>
      </w:r>
      <w:r w:rsidRPr="000E643C">
        <w:rPr>
          <w:rFonts w:ascii="Book Antiqua" w:hAnsi="Book Antiqua"/>
          <w:sz w:val="24"/>
          <w:szCs w:val="24"/>
        </w:rPr>
        <w:t>UC) with a secondary loss of response to IFX associated with high ATI levels and undetectable trough. Two patients were treated with MTX and 3 received either AZA/6MP.</w:t>
      </w:r>
      <w:r w:rsidR="00E57DEB" w:rsidRPr="000E643C">
        <w:rPr>
          <w:rFonts w:ascii="Book Antiqua" w:hAnsi="Book Antiqua"/>
          <w:sz w:val="24"/>
          <w:szCs w:val="24"/>
        </w:rPr>
        <w:t xml:space="preserve"> </w:t>
      </w:r>
      <w:r w:rsidRPr="000E643C">
        <w:rPr>
          <w:rFonts w:ascii="Book Antiqua" w:hAnsi="Book Antiqua"/>
          <w:sz w:val="24"/>
          <w:szCs w:val="24"/>
        </w:rPr>
        <w:t xml:space="preserve">In all cases patients saw experienced a decrease in ATI, an increase in trough, and a recapturing of clinical response. Despite the questionable efficacy of CT when the anti-TNF is ADA, the same group has recently shown a similar result when adding IMM as salvage therapy to failing ADA in 23 patients (21 </w:t>
      </w:r>
      <w:r w:rsidR="00401670" w:rsidRPr="000E643C">
        <w:rPr>
          <w:rFonts w:ascii="Book Antiqua" w:hAnsi="Book Antiqua"/>
          <w:sz w:val="24"/>
          <w:szCs w:val="24"/>
        </w:rPr>
        <w:t xml:space="preserve">with </w:t>
      </w:r>
      <w:r w:rsidRPr="000E643C">
        <w:rPr>
          <w:rFonts w:ascii="Book Antiqua" w:hAnsi="Book Antiqua"/>
          <w:sz w:val="24"/>
          <w:szCs w:val="24"/>
        </w:rPr>
        <w:t>CD, 2</w:t>
      </w:r>
      <w:r w:rsidR="00401670" w:rsidRPr="000E643C">
        <w:rPr>
          <w:rFonts w:ascii="Book Antiqua" w:hAnsi="Book Antiqua"/>
          <w:sz w:val="24"/>
          <w:szCs w:val="24"/>
        </w:rPr>
        <w:t xml:space="preserve"> with </w:t>
      </w:r>
      <w:r w:rsidRPr="000E643C">
        <w:rPr>
          <w:rFonts w:ascii="Book Antiqua" w:hAnsi="Book Antiqua"/>
          <w:sz w:val="24"/>
          <w:szCs w:val="24"/>
        </w:rPr>
        <w:t>UC) with confirmed antibodies to ADA.</w:t>
      </w:r>
      <w:r w:rsidR="00E57DEB" w:rsidRPr="000E643C">
        <w:rPr>
          <w:rFonts w:ascii="Book Antiqua" w:hAnsi="Book Antiqua"/>
          <w:sz w:val="24"/>
          <w:szCs w:val="24"/>
        </w:rPr>
        <w:t xml:space="preserve"> </w:t>
      </w:r>
      <w:r w:rsidRPr="000E643C">
        <w:rPr>
          <w:rFonts w:ascii="Book Antiqua" w:hAnsi="Book Antiqua"/>
          <w:sz w:val="24"/>
          <w:szCs w:val="24"/>
        </w:rPr>
        <w:t>Salvage therapy with</w:t>
      </w:r>
      <w:r w:rsidR="00401670" w:rsidRPr="000E643C">
        <w:rPr>
          <w:rFonts w:ascii="Book Antiqua" w:hAnsi="Book Antiqua"/>
          <w:sz w:val="24"/>
          <w:szCs w:val="24"/>
        </w:rPr>
        <w:t xml:space="preserve"> IMM</w:t>
      </w:r>
      <w:r w:rsidRPr="000E643C">
        <w:rPr>
          <w:rFonts w:ascii="Book Antiqua" w:hAnsi="Book Antiqua"/>
          <w:sz w:val="24"/>
          <w:szCs w:val="24"/>
        </w:rPr>
        <w:t xml:space="preserve"> (14 </w:t>
      </w:r>
      <w:r w:rsidR="00401670" w:rsidRPr="000E643C">
        <w:rPr>
          <w:rFonts w:ascii="Book Antiqua" w:hAnsi="Book Antiqua"/>
          <w:sz w:val="24"/>
          <w:szCs w:val="24"/>
        </w:rPr>
        <w:t xml:space="preserve">with </w:t>
      </w:r>
      <w:proofErr w:type="spellStart"/>
      <w:r w:rsidRPr="000E643C">
        <w:rPr>
          <w:rFonts w:ascii="Book Antiqua" w:hAnsi="Book Antiqua"/>
          <w:sz w:val="24"/>
          <w:szCs w:val="24"/>
        </w:rPr>
        <w:t>thiopurine</w:t>
      </w:r>
      <w:r w:rsidR="00401670" w:rsidRPr="000E643C">
        <w:rPr>
          <w:rFonts w:ascii="Book Antiqua" w:hAnsi="Book Antiqua"/>
          <w:sz w:val="24"/>
          <w:szCs w:val="24"/>
        </w:rPr>
        <w:t>s</w:t>
      </w:r>
      <w:proofErr w:type="spellEnd"/>
      <w:r w:rsidRPr="000E643C">
        <w:rPr>
          <w:rFonts w:ascii="Book Antiqua" w:hAnsi="Book Antiqua"/>
          <w:sz w:val="24"/>
          <w:szCs w:val="24"/>
        </w:rPr>
        <w:t>, 9</w:t>
      </w:r>
      <w:r w:rsidR="007048D1" w:rsidRPr="000E643C">
        <w:rPr>
          <w:rFonts w:ascii="Book Antiqua" w:hAnsi="Book Antiqua"/>
          <w:sz w:val="24"/>
          <w:szCs w:val="24"/>
        </w:rPr>
        <w:t xml:space="preserve"> </w:t>
      </w:r>
      <w:r w:rsidR="00401670" w:rsidRPr="000E643C">
        <w:rPr>
          <w:rFonts w:ascii="Book Antiqua" w:hAnsi="Book Antiqua"/>
          <w:sz w:val="24"/>
          <w:szCs w:val="24"/>
        </w:rPr>
        <w:t xml:space="preserve">with </w:t>
      </w:r>
      <w:r w:rsidRPr="000E643C">
        <w:rPr>
          <w:rFonts w:ascii="Book Antiqua" w:hAnsi="Book Antiqua"/>
          <w:sz w:val="24"/>
          <w:szCs w:val="24"/>
        </w:rPr>
        <w:t>MTX) was associated with elimination of antibodies to ADA, increase</w:t>
      </w:r>
      <w:r w:rsidR="00781DFA" w:rsidRPr="000E643C">
        <w:rPr>
          <w:rFonts w:ascii="Book Antiqua" w:hAnsi="Book Antiqua"/>
          <w:sz w:val="24"/>
          <w:szCs w:val="24"/>
        </w:rPr>
        <w:t>d</w:t>
      </w:r>
      <w:r w:rsidRPr="000E643C">
        <w:rPr>
          <w:rFonts w:ascii="Book Antiqua" w:hAnsi="Book Antiqua"/>
          <w:sz w:val="24"/>
          <w:szCs w:val="24"/>
        </w:rPr>
        <w:t xml:space="preserve"> ADA levels, and recapturing of response (median time to </w:t>
      </w:r>
      <w:proofErr w:type="spellStart"/>
      <w:r w:rsidRPr="000E643C">
        <w:rPr>
          <w:rFonts w:ascii="Book Antiqua" w:hAnsi="Book Antiqua"/>
          <w:sz w:val="24"/>
          <w:szCs w:val="24"/>
        </w:rPr>
        <w:t>sero</w:t>
      </w:r>
      <w:proofErr w:type="spellEnd"/>
      <w:r w:rsidRPr="000E643C">
        <w:rPr>
          <w:rFonts w:ascii="Book Antiqua" w:hAnsi="Book Antiqua"/>
          <w:sz w:val="24"/>
          <w:szCs w:val="24"/>
        </w:rPr>
        <w:t xml:space="preserve">-reversal 5 </w:t>
      </w:r>
      <w:proofErr w:type="spellStart"/>
      <w:r w:rsidRPr="000E643C">
        <w:rPr>
          <w:rFonts w:ascii="Book Antiqua" w:hAnsi="Book Antiqua"/>
          <w:sz w:val="24"/>
          <w:szCs w:val="24"/>
        </w:rPr>
        <w:t>mo</w:t>
      </w:r>
      <w:proofErr w:type="spellEnd"/>
      <w:r w:rsidRPr="000E643C">
        <w:rPr>
          <w:rFonts w:ascii="Book Antiqua" w:hAnsi="Book Antiqua"/>
          <w:sz w:val="24"/>
          <w:szCs w:val="24"/>
        </w:rPr>
        <w:t>) in 11 patients (48%)</w:t>
      </w:r>
      <w:r w:rsidR="001A2346" w:rsidRPr="000E643C">
        <w:rPr>
          <w:rFonts w:ascii="Book Antiqua" w:hAnsi="Book Antiqua"/>
          <w:sz w:val="24"/>
          <w:szCs w:val="24"/>
          <w:vertAlign w:val="superscript"/>
        </w:rPr>
        <w:t>[26]</w:t>
      </w:r>
      <w:r w:rsidRPr="000E643C">
        <w:rPr>
          <w:rFonts w:ascii="Book Antiqua" w:hAnsi="Book Antiqua"/>
          <w:sz w:val="24"/>
          <w:szCs w:val="24"/>
        </w:rPr>
        <w:t>.</w:t>
      </w:r>
    </w:p>
    <w:p w14:paraId="750C9365" w14:textId="77777777" w:rsidR="001A2346" w:rsidRDefault="001A2346" w:rsidP="00E57DEB">
      <w:pPr>
        <w:widowControl w:val="0"/>
        <w:adjustRightInd w:val="0"/>
        <w:snapToGrid w:val="0"/>
        <w:spacing w:after="0" w:line="360" w:lineRule="auto"/>
        <w:jc w:val="both"/>
        <w:rPr>
          <w:rFonts w:ascii="Book Antiqua" w:hAnsi="Book Antiqua"/>
          <w:b/>
          <w:sz w:val="24"/>
          <w:szCs w:val="24"/>
          <w:lang w:eastAsia="zh-CN"/>
        </w:rPr>
      </w:pPr>
    </w:p>
    <w:p w14:paraId="4E94E4D5" w14:textId="77777777" w:rsidR="0069331F" w:rsidRPr="001A2346" w:rsidRDefault="00796CB0" w:rsidP="00E57DEB">
      <w:pPr>
        <w:widowControl w:val="0"/>
        <w:adjustRightInd w:val="0"/>
        <w:snapToGrid w:val="0"/>
        <w:spacing w:after="0" w:line="360" w:lineRule="auto"/>
        <w:jc w:val="both"/>
        <w:rPr>
          <w:rFonts w:ascii="Book Antiqua" w:hAnsi="Book Antiqua"/>
          <w:b/>
          <w:i/>
          <w:sz w:val="24"/>
          <w:szCs w:val="24"/>
        </w:rPr>
      </w:pPr>
      <w:r w:rsidRPr="001A2346">
        <w:rPr>
          <w:rFonts w:ascii="Book Antiqua" w:hAnsi="Book Antiqua"/>
          <w:b/>
          <w:i/>
          <w:sz w:val="24"/>
          <w:szCs w:val="24"/>
        </w:rPr>
        <w:t>Optimal Duration of Successful CT</w:t>
      </w:r>
    </w:p>
    <w:p w14:paraId="411B9B51" w14:textId="39D26B98" w:rsidR="0069331F" w:rsidRPr="000E643C" w:rsidRDefault="00796CB0"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 xml:space="preserve">The final issue to address with regard to effectiveness of CT is the question of duration: For those patients in remission on CT, for how long should they continue to take the IMM? The retrospective data on de-escalation is </w:t>
      </w:r>
      <w:proofErr w:type="gramStart"/>
      <w:r w:rsidRPr="000E643C">
        <w:rPr>
          <w:rFonts w:ascii="Book Antiqua" w:hAnsi="Book Antiqua"/>
          <w:sz w:val="24"/>
          <w:szCs w:val="24"/>
        </w:rPr>
        <w:t>mixed</w:t>
      </w:r>
      <w:r w:rsidR="001A2346" w:rsidRPr="000E643C">
        <w:rPr>
          <w:rFonts w:ascii="Book Antiqua" w:hAnsi="Book Antiqua"/>
          <w:sz w:val="24"/>
          <w:szCs w:val="24"/>
          <w:vertAlign w:val="superscript"/>
        </w:rPr>
        <w:t>[</w:t>
      </w:r>
      <w:proofErr w:type="gramEnd"/>
      <w:r w:rsidR="001A2346" w:rsidRPr="000E643C">
        <w:rPr>
          <w:rFonts w:ascii="Book Antiqua" w:hAnsi="Book Antiqua"/>
          <w:sz w:val="24"/>
          <w:szCs w:val="24"/>
          <w:vertAlign w:val="superscript"/>
        </w:rPr>
        <w:t>27]</w:t>
      </w:r>
      <w:r w:rsidRPr="000E643C">
        <w:rPr>
          <w:rFonts w:ascii="Book Antiqua" w:hAnsi="Book Antiqua"/>
          <w:sz w:val="24"/>
          <w:szCs w:val="24"/>
        </w:rPr>
        <w:t>. There is very limited prospective controlled data to guide therapy.</w:t>
      </w:r>
      <w:r w:rsidR="00E57DEB" w:rsidRPr="000E643C">
        <w:rPr>
          <w:rFonts w:ascii="Book Antiqua" w:hAnsi="Book Antiqua"/>
          <w:sz w:val="24"/>
          <w:szCs w:val="24"/>
        </w:rPr>
        <w:t xml:space="preserve"> </w:t>
      </w:r>
      <w:r w:rsidRPr="000E643C">
        <w:rPr>
          <w:rFonts w:ascii="Book Antiqua" w:hAnsi="Book Antiqua"/>
          <w:sz w:val="24"/>
          <w:szCs w:val="24"/>
        </w:rPr>
        <w:t xml:space="preserve">Van </w:t>
      </w:r>
      <w:proofErr w:type="spellStart"/>
      <w:r w:rsidRPr="000E643C">
        <w:rPr>
          <w:rFonts w:ascii="Book Antiqua" w:hAnsi="Book Antiqua"/>
          <w:sz w:val="24"/>
          <w:szCs w:val="24"/>
        </w:rPr>
        <w:t>Assche</w:t>
      </w:r>
      <w:proofErr w:type="spellEnd"/>
      <w:r w:rsidRPr="000E643C">
        <w:rPr>
          <w:rFonts w:ascii="Book Antiqua" w:hAnsi="Book Antiqua"/>
          <w:sz w:val="24"/>
          <w:szCs w:val="24"/>
        </w:rPr>
        <w:t xml:space="preserve"> </w:t>
      </w:r>
      <w:r w:rsidRPr="001A2346">
        <w:rPr>
          <w:rFonts w:ascii="Book Antiqua" w:hAnsi="Book Antiqua"/>
          <w:i/>
          <w:sz w:val="24"/>
          <w:szCs w:val="24"/>
        </w:rPr>
        <w:t xml:space="preserve">et </w:t>
      </w:r>
      <w:proofErr w:type="gramStart"/>
      <w:r w:rsidRPr="001A2346">
        <w:rPr>
          <w:rFonts w:ascii="Book Antiqua" w:hAnsi="Book Antiqua"/>
          <w:i/>
          <w:sz w:val="24"/>
          <w:szCs w:val="24"/>
        </w:rPr>
        <w:t>al</w:t>
      </w:r>
      <w:r w:rsidR="001A2346" w:rsidRPr="000E643C">
        <w:rPr>
          <w:rFonts w:ascii="Book Antiqua" w:hAnsi="Book Antiqua"/>
          <w:sz w:val="24"/>
          <w:szCs w:val="24"/>
          <w:vertAlign w:val="superscript"/>
        </w:rPr>
        <w:t>[</w:t>
      </w:r>
      <w:proofErr w:type="gramEnd"/>
      <w:r w:rsidR="001A2346" w:rsidRPr="000E643C">
        <w:rPr>
          <w:rFonts w:ascii="Book Antiqua" w:hAnsi="Book Antiqua"/>
          <w:sz w:val="24"/>
          <w:szCs w:val="24"/>
          <w:vertAlign w:val="superscript"/>
        </w:rPr>
        <w:t>28]</w:t>
      </w:r>
      <w:r w:rsidRPr="000E643C">
        <w:rPr>
          <w:rFonts w:ascii="Book Antiqua" w:hAnsi="Book Antiqua"/>
          <w:sz w:val="24"/>
          <w:szCs w:val="24"/>
        </w:rPr>
        <w:t xml:space="preserve"> from Belgium</w:t>
      </w:r>
      <w:r w:rsidR="007048D1" w:rsidRPr="000E643C">
        <w:rPr>
          <w:rFonts w:ascii="Book Antiqua" w:hAnsi="Book Antiqua"/>
          <w:sz w:val="24"/>
          <w:szCs w:val="24"/>
        </w:rPr>
        <w:t xml:space="preserve"> reported on </w:t>
      </w:r>
      <w:r w:rsidRPr="000E643C">
        <w:rPr>
          <w:rFonts w:ascii="Book Antiqua" w:hAnsi="Book Antiqua"/>
          <w:sz w:val="24"/>
          <w:szCs w:val="24"/>
        </w:rPr>
        <w:t xml:space="preserve">a group of 80 CD patients with disease controlled on CT for a minimum of 6 </w:t>
      </w:r>
      <w:proofErr w:type="spellStart"/>
      <w:r w:rsidRPr="000E643C">
        <w:rPr>
          <w:rFonts w:ascii="Book Antiqua" w:hAnsi="Book Antiqua"/>
          <w:sz w:val="24"/>
          <w:szCs w:val="24"/>
        </w:rPr>
        <w:t>mo</w:t>
      </w:r>
      <w:proofErr w:type="spellEnd"/>
      <w:r w:rsidRPr="000E643C">
        <w:rPr>
          <w:rFonts w:ascii="Book Antiqua" w:hAnsi="Book Antiqua"/>
          <w:sz w:val="24"/>
          <w:szCs w:val="24"/>
        </w:rPr>
        <w:t>, at IFX doses of 5</w:t>
      </w:r>
      <w:r w:rsidR="001A2346">
        <w:rPr>
          <w:rFonts w:ascii="Book Antiqua" w:hAnsi="Book Antiqua" w:hint="eastAsia"/>
          <w:sz w:val="24"/>
          <w:szCs w:val="24"/>
          <w:lang w:eastAsia="zh-CN"/>
        </w:rPr>
        <w:t xml:space="preserve"> </w:t>
      </w:r>
      <w:r w:rsidRPr="000E643C">
        <w:rPr>
          <w:rFonts w:ascii="Book Antiqua" w:hAnsi="Book Antiqua"/>
          <w:sz w:val="24"/>
          <w:szCs w:val="24"/>
        </w:rPr>
        <w:t xml:space="preserve">mg/kg, at intervals of every 8 </w:t>
      </w:r>
      <w:proofErr w:type="spellStart"/>
      <w:r w:rsidRPr="000E643C">
        <w:rPr>
          <w:rFonts w:ascii="Book Antiqua" w:hAnsi="Book Antiqua"/>
          <w:sz w:val="24"/>
          <w:szCs w:val="24"/>
        </w:rPr>
        <w:t>w</w:t>
      </w:r>
      <w:r w:rsidR="001A2346">
        <w:rPr>
          <w:rFonts w:ascii="Book Antiqua" w:hAnsi="Book Antiqua" w:hint="eastAsia"/>
          <w:sz w:val="24"/>
          <w:szCs w:val="24"/>
          <w:lang w:eastAsia="zh-CN"/>
        </w:rPr>
        <w:t>k</w:t>
      </w:r>
      <w:proofErr w:type="spellEnd"/>
      <w:r w:rsidRPr="000E643C">
        <w:rPr>
          <w:rFonts w:ascii="Book Antiqua" w:hAnsi="Book Antiqua"/>
          <w:sz w:val="24"/>
          <w:szCs w:val="24"/>
        </w:rPr>
        <w:t xml:space="preserve"> or greater.</w:t>
      </w:r>
      <w:r w:rsidR="00E57DEB" w:rsidRPr="000E643C">
        <w:rPr>
          <w:rFonts w:ascii="Book Antiqua" w:hAnsi="Book Antiqua"/>
          <w:sz w:val="24"/>
          <w:szCs w:val="24"/>
        </w:rPr>
        <w:t xml:space="preserve"> </w:t>
      </w:r>
      <w:r w:rsidRPr="000E643C">
        <w:rPr>
          <w:rFonts w:ascii="Book Antiqua" w:hAnsi="Book Antiqua"/>
          <w:sz w:val="24"/>
          <w:szCs w:val="24"/>
        </w:rPr>
        <w:t>Patients were randomized to maintenance with IFX and p</w:t>
      </w:r>
      <w:r w:rsidR="001A2346">
        <w:rPr>
          <w:rFonts w:ascii="Book Antiqua" w:hAnsi="Book Antiqua"/>
          <w:sz w:val="24"/>
          <w:szCs w:val="24"/>
        </w:rPr>
        <w:t xml:space="preserve">lacebo </w:t>
      </w:r>
      <w:r w:rsidR="001A2346" w:rsidRPr="001A2346">
        <w:rPr>
          <w:rFonts w:ascii="Book Antiqua" w:hAnsi="Book Antiqua"/>
          <w:i/>
          <w:sz w:val="24"/>
          <w:szCs w:val="24"/>
        </w:rPr>
        <w:t>vs</w:t>
      </w:r>
      <w:r w:rsidRPr="000E643C">
        <w:rPr>
          <w:rFonts w:ascii="Book Antiqua" w:hAnsi="Book Antiqua"/>
          <w:sz w:val="24"/>
          <w:szCs w:val="24"/>
        </w:rPr>
        <w:t xml:space="preserve"> contin</w:t>
      </w:r>
      <w:r w:rsidR="001A2346">
        <w:rPr>
          <w:rFonts w:ascii="Book Antiqua" w:hAnsi="Book Antiqua"/>
          <w:sz w:val="24"/>
          <w:szCs w:val="24"/>
        </w:rPr>
        <w:t>ued CT, and followed for 104 w</w:t>
      </w:r>
      <w:r w:rsidRPr="000E643C">
        <w:rPr>
          <w:rFonts w:ascii="Book Antiqua" w:hAnsi="Book Antiqua"/>
          <w:sz w:val="24"/>
          <w:szCs w:val="24"/>
        </w:rPr>
        <w:t>k.</w:t>
      </w:r>
      <w:r w:rsidR="00E57DEB" w:rsidRPr="000E643C">
        <w:rPr>
          <w:rFonts w:ascii="Book Antiqua" w:hAnsi="Book Antiqua"/>
          <w:sz w:val="24"/>
          <w:szCs w:val="24"/>
        </w:rPr>
        <w:t xml:space="preserve"> </w:t>
      </w:r>
      <w:r w:rsidRPr="000E643C">
        <w:rPr>
          <w:rFonts w:ascii="Book Antiqua" w:hAnsi="Book Antiqua"/>
          <w:sz w:val="24"/>
          <w:szCs w:val="24"/>
        </w:rPr>
        <w:t>The primary outcome was the need to decrease the IFX dosing interval or discontinuation of IFX.</w:t>
      </w:r>
      <w:r w:rsidR="00E57DEB" w:rsidRPr="000E643C">
        <w:rPr>
          <w:rFonts w:ascii="Book Antiqua" w:hAnsi="Book Antiqua"/>
          <w:sz w:val="24"/>
          <w:szCs w:val="24"/>
        </w:rPr>
        <w:t xml:space="preserve"> </w:t>
      </w:r>
      <w:r w:rsidRPr="000E643C">
        <w:rPr>
          <w:rFonts w:ascii="Book Antiqua" w:hAnsi="Book Antiqua"/>
          <w:sz w:val="24"/>
          <w:szCs w:val="24"/>
        </w:rPr>
        <w:t>Secondary outcomes included IFX trough levels and safety.</w:t>
      </w:r>
      <w:r w:rsidR="00E57DEB" w:rsidRPr="000E643C">
        <w:rPr>
          <w:rFonts w:ascii="Book Antiqua" w:hAnsi="Book Antiqua"/>
          <w:sz w:val="24"/>
          <w:szCs w:val="24"/>
        </w:rPr>
        <w:t xml:space="preserve"> </w:t>
      </w:r>
      <w:r w:rsidRPr="000E643C">
        <w:rPr>
          <w:rFonts w:ascii="Book Antiqua" w:hAnsi="Book Antiqua"/>
          <w:sz w:val="24"/>
          <w:szCs w:val="24"/>
        </w:rPr>
        <w:t>While those patients discontinuing IMM showed significantly l</w:t>
      </w:r>
      <w:r w:rsidR="001A2346">
        <w:rPr>
          <w:rFonts w:ascii="Book Antiqua" w:hAnsi="Book Antiqua"/>
          <w:sz w:val="24"/>
          <w:szCs w:val="24"/>
        </w:rPr>
        <w:t xml:space="preserve">ower IFX trough levels at 54 </w:t>
      </w:r>
      <w:proofErr w:type="spellStart"/>
      <w:r w:rsidR="001A2346">
        <w:rPr>
          <w:rFonts w:ascii="Book Antiqua" w:hAnsi="Book Antiqua"/>
          <w:sz w:val="24"/>
          <w:szCs w:val="24"/>
        </w:rPr>
        <w:t>w</w:t>
      </w:r>
      <w:r w:rsidRPr="000E643C">
        <w:rPr>
          <w:rFonts w:ascii="Book Antiqua" w:hAnsi="Book Antiqua"/>
          <w:sz w:val="24"/>
          <w:szCs w:val="24"/>
        </w:rPr>
        <w:t>k</w:t>
      </w:r>
      <w:proofErr w:type="spellEnd"/>
      <w:r w:rsidRPr="000E643C">
        <w:rPr>
          <w:rFonts w:ascii="Book Antiqua" w:hAnsi="Book Antiqua"/>
          <w:sz w:val="24"/>
          <w:szCs w:val="24"/>
        </w:rPr>
        <w:t xml:space="preserve">, 1.65 </w:t>
      </w:r>
      <w:r w:rsidRPr="001A2346">
        <w:rPr>
          <w:rFonts w:ascii="Book Antiqua" w:hAnsi="Book Antiqua"/>
          <w:i/>
          <w:sz w:val="24"/>
          <w:szCs w:val="24"/>
        </w:rPr>
        <w:t>vs</w:t>
      </w:r>
      <w:r w:rsidRPr="000E643C">
        <w:rPr>
          <w:rFonts w:ascii="Book Antiqua" w:hAnsi="Book Antiqua"/>
          <w:sz w:val="24"/>
          <w:szCs w:val="24"/>
        </w:rPr>
        <w:t xml:space="preserve"> 2.87 µg/m</w:t>
      </w:r>
      <w:r w:rsidR="001A2346">
        <w:rPr>
          <w:rFonts w:ascii="Book Antiqua" w:hAnsi="Book Antiqua" w:hint="eastAsia"/>
          <w:sz w:val="24"/>
          <w:szCs w:val="24"/>
          <w:lang w:eastAsia="zh-CN"/>
        </w:rPr>
        <w:t>L</w:t>
      </w:r>
      <w:r w:rsidRPr="000E643C">
        <w:rPr>
          <w:rFonts w:ascii="Book Antiqua" w:hAnsi="Book Antiqua"/>
          <w:sz w:val="24"/>
          <w:szCs w:val="24"/>
        </w:rPr>
        <w:t xml:space="preserve"> (</w:t>
      </w:r>
      <w:r w:rsidR="000E643C" w:rsidRPr="001A2346">
        <w:rPr>
          <w:rFonts w:ascii="Book Antiqua" w:hAnsi="Book Antiqua"/>
          <w:i/>
          <w:sz w:val="24"/>
          <w:szCs w:val="24"/>
        </w:rPr>
        <w:t>P</w:t>
      </w:r>
      <w:r w:rsidR="000E643C">
        <w:rPr>
          <w:rFonts w:ascii="Book Antiqua" w:hAnsi="Book Antiqua"/>
          <w:sz w:val="24"/>
          <w:szCs w:val="24"/>
        </w:rPr>
        <w:t xml:space="preserve"> &lt; </w:t>
      </w:r>
      <w:r w:rsidRPr="000E643C">
        <w:rPr>
          <w:rFonts w:ascii="Book Antiqua" w:hAnsi="Book Antiqua"/>
          <w:sz w:val="24"/>
          <w:szCs w:val="24"/>
        </w:rPr>
        <w:t>0.0001), and a trend towards higher CRP levels, there was no difference at 104 weeks with regards to the need for rescue IFX, discontinuation of IFX.</w:t>
      </w:r>
      <w:r w:rsidR="00E57DEB" w:rsidRPr="000E643C">
        <w:rPr>
          <w:rFonts w:ascii="Book Antiqua" w:hAnsi="Book Antiqua"/>
          <w:sz w:val="24"/>
          <w:szCs w:val="24"/>
        </w:rPr>
        <w:t xml:space="preserve"> </w:t>
      </w:r>
      <w:r w:rsidRPr="000E643C">
        <w:rPr>
          <w:rFonts w:ascii="Book Antiqua" w:hAnsi="Book Antiqua"/>
          <w:sz w:val="24"/>
          <w:szCs w:val="24"/>
        </w:rPr>
        <w:t xml:space="preserve">The authors concluded that there was no benefit to IMM beyond 6 </w:t>
      </w:r>
      <w:proofErr w:type="spellStart"/>
      <w:r w:rsidRPr="000E643C">
        <w:rPr>
          <w:rFonts w:ascii="Book Antiqua" w:hAnsi="Book Antiqua"/>
          <w:sz w:val="24"/>
          <w:szCs w:val="24"/>
        </w:rPr>
        <w:t>mo</w:t>
      </w:r>
      <w:proofErr w:type="spellEnd"/>
      <w:r w:rsidRPr="000E643C">
        <w:rPr>
          <w:rFonts w:ascii="Book Antiqua" w:hAnsi="Book Antiqua"/>
          <w:sz w:val="24"/>
          <w:szCs w:val="24"/>
        </w:rPr>
        <w:t xml:space="preserve"> in patients achieving remission with combination IFX and IMM.</w:t>
      </w:r>
      <w:r w:rsidR="00BD6BE4" w:rsidRPr="000E643C">
        <w:rPr>
          <w:rFonts w:ascii="Book Antiqua" w:hAnsi="Book Antiqua"/>
          <w:sz w:val="24"/>
          <w:szCs w:val="24"/>
        </w:rPr>
        <w:t xml:space="preserve"> Another </w:t>
      </w:r>
      <w:r w:rsidR="00CB3FFB" w:rsidRPr="000E643C">
        <w:rPr>
          <w:rFonts w:ascii="Book Antiqua" w:hAnsi="Book Antiqua"/>
          <w:sz w:val="24"/>
          <w:szCs w:val="24"/>
        </w:rPr>
        <w:t xml:space="preserve">more recent </w:t>
      </w:r>
      <w:r w:rsidR="00BD6BE4" w:rsidRPr="000E643C">
        <w:rPr>
          <w:rFonts w:ascii="Book Antiqua" w:hAnsi="Book Antiqua"/>
          <w:sz w:val="24"/>
          <w:szCs w:val="24"/>
        </w:rPr>
        <w:t>prospective study</w:t>
      </w:r>
      <w:r w:rsidR="008F6D3F" w:rsidRPr="000E643C">
        <w:rPr>
          <w:rFonts w:ascii="Book Antiqua" w:hAnsi="Book Antiqua"/>
          <w:sz w:val="24"/>
          <w:szCs w:val="24"/>
        </w:rPr>
        <w:t xml:space="preserve"> </w:t>
      </w:r>
      <w:r w:rsidR="00C44737" w:rsidRPr="000E643C">
        <w:rPr>
          <w:rFonts w:ascii="Book Antiqua" w:hAnsi="Book Antiqua"/>
          <w:sz w:val="24"/>
          <w:szCs w:val="24"/>
        </w:rPr>
        <w:t>however suggested</w:t>
      </w:r>
      <w:r w:rsidR="00D66567" w:rsidRPr="000E643C">
        <w:rPr>
          <w:rFonts w:ascii="Book Antiqua" w:hAnsi="Book Antiqua"/>
          <w:sz w:val="24"/>
          <w:szCs w:val="24"/>
        </w:rPr>
        <w:t xml:space="preserve"> a possible benefit to continued CT. </w:t>
      </w:r>
      <w:r w:rsidR="001A2346">
        <w:rPr>
          <w:rFonts w:ascii="Book Antiqua" w:hAnsi="Book Antiqua" w:hint="eastAsia"/>
          <w:sz w:val="24"/>
          <w:szCs w:val="24"/>
          <w:lang w:eastAsia="zh-CN"/>
        </w:rPr>
        <w:t>E</w:t>
      </w:r>
      <w:r w:rsidR="001A2346" w:rsidRPr="001A2346">
        <w:rPr>
          <w:rFonts w:ascii="Book Antiqua" w:hAnsi="Book Antiqua"/>
          <w:sz w:val="24"/>
          <w:szCs w:val="24"/>
        </w:rPr>
        <w:t>ighty</w:t>
      </w:r>
      <w:r w:rsidR="001A2346">
        <w:rPr>
          <w:rFonts w:ascii="Book Antiqua" w:hAnsi="Book Antiqua" w:hint="eastAsia"/>
          <w:sz w:val="24"/>
          <w:szCs w:val="24"/>
          <w:lang w:eastAsia="zh-CN"/>
        </w:rPr>
        <w:t>-one</w:t>
      </w:r>
      <w:r w:rsidR="00D66567" w:rsidRPr="000E643C">
        <w:rPr>
          <w:rFonts w:ascii="Book Antiqua" w:hAnsi="Book Antiqua"/>
          <w:sz w:val="24"/>
          <w:szCs w:val="24"/>
        </w:rPr>
        <w:t xml:space="preserve"> patients </w:t>
      </w:r>
      <w:r w:rsidR="00A12982" w:rsidRPr="000E643C">
        <w:rPr>
          <w:rFonts w:ascii="Book Antiqua" w:hAnsi="Book Antiqua"/>
          <w:sz w:val="24"/>
          <w:szCs w:val="24"/>
        </w:rPr>
        <w:t xml:space="preserve">on CT for at </w:t>
      </w:r>
      <w:r w:rsidR="00A12982" w:rsidRPr="000E643C">
        <w:rPr>
          <w:rFonts w:ascii="Book Antiqua" w:hAnsi="Book Antiqua"/>
          <w:sz w:val="24"/>
          <w:szCs w:val="24"/>
        </w:rPr>
        <w:lastRenderedPageBreak/>
        <w:t>least 1 year</w:t>
      </w:r>
      <w:r w:rsidR="00D66567" w:rsidRPr="000E643C">
        <w:rPr>
          <w:rFonts w:ascii="Book Antiqua" w:hAnsi="Book Antiqua"/>
          <w:sz w:val="24"/>
          <w:szCs w:val="24"/>
        </w:rPr>
        <w:t xml:space="preserve"> were randomized</w:t>
      </w:r>
      <w:r w:rsidR="00A12982" w:rsidRPr="000E643C">
        <w:rPr>
          <w:rFonts w:ascii="Book Antiqua" w:hAnsi="Book Antiqua"/>
          <w:sz w:val="24"/>
          <w:szCs w:val="24"/>
        </w:rPr>
        <w:t xml:space="preserve"> </w:t>
      </w:r>
      <w:r w:rsidR="00BD6BE4" w:rsidRPr="000E643C">
        <w:rPr>
          <w:rFonts w:ascii="Book Antiqua" w:hAnsi="Book Antiqua"/>
          <w:sz w:val="24"/>
          <w:szCs w:val="24"/>
        </w:rPr>
        <w:t xml:space="preserve">to continuation </w:t>
      </w:r>
      <w:r w:rsidR="00876D7A" w:rsidRPr="000E643C">
        <w:rPr>
          <w:rFonts w:ascii="Book Antiqua" w:hAnsi="Book Antiqua"/>
          <w:sz w:val="24"/>
          <w:szCs w:val="24"/>
        </w:rPr>
        <w:t xml:space="preserve">of </w:t>
      </w:r>
      <w:r w:rsidR="00EF070E" w:rsidRPr="000E643C">
        <w:rPr>
          <w:rFonts w:ascii="Book Antiqua" w:hAnsi="Book Antiqua" w:hint="eastAsia"/>
          <w:sz w:val="24"/>
          <w:szCs w:val="24"/>
          <w:lang w:eastAsia="zh-CN"/>
        </w:rPr>
        <w:t>CT</w:t>
      </w:r>
      <w:r w:rsidR="00BD6BE4" w:rsidRPr="000E643C">
        <w:rPr>
          <w:rFonts w:ascii="Book Antiqua" w:hAnsi="Book Antiqua"/>
          <w:sz w:val="24"/>
          <w:szCs w:val="24"/>
        </w:rPr>
        <w:t xml:space="preserve"> at the same dose</w:t>
      </w:r>
      <w:r w:rsidR="008A24D7" w:rsidRPr="000E643C">
        <w:rPr>
          <w:rFonts w:ascii="Book Antiqua" w:hAnsi="Book Antiqua"/>
          <w:sz w:val="24"/>
          <w:szCs w:val="24"/>
        </w:rPr>
        <w:t xml:space="preserve"> (Cohort A)</w:t>
      </w:r>
      <w:r w:rsidR="00BD6BE4" w:rsidRPr="000E643C">
        <w:rPr>
          <w:rFonts w:ascii="Book Antiqua" w:hAnsi="Book Antiqua"/>
          <w:sz w:val="24"/>
          <w:szCs w:val="24"/>
        </w:rPr>
        <w:t xml:space="preserve">, reduction of azathioprine </w:t>
      </w:r>
      <w:r w:rsidR="00FC3A0A" w:rsidRPr="000E643C">
        <w:rPr>
          <w:rFonts w:ascii="Book Antiqua" w:hAnsi="Book Antiqua"/>
          <w:sz w:val="24"/>
          <w:szCs w:val="24"/>
        </w:rPr>
        <w:t xml:space="preserve">dose </w:t>
      </w:r>
      <w:r w:rsidR="00BD6BE4" w:rsidRPr="000E643C">
        <w:rPr>
          <w:rFonts w:ascii="Book Antiqua" w:hAnsi="Book Antiqua"/>
          <w:sz w:val="24"/>
          <w:szCs w:val="24"/>
        </w:rPr>
        <w:t>by 50%</w:t>
      </w:r>
      <w:r w:rsidR="008A24D7" w:rsidRPr="000E643C">
        <w:rPr>
          <w:rFonts w:ascii="Book Antiqua" w:hAnsi="Book Antiqua"/>
          <w:sz w:val="24"/>
          <w:szCs w:val="24"/>
        </w:rPr>
        <w:t xml:space="preserve"> (Cohort B)</w:t>
      </w:r>
      <w:r w:rsidR="004272A3" w:rsidRPr="000E643C">
        <w:rPr>
          <w:rFonts w:ascii="Book Antiqua" w:hAnsi="Book Antiqua"/>
          <w:sz w:val="24"/>
          <w:szCs w:val="24"/>
        </w:rPr>
        <w:t>, or</w:t>
      </w:r>
      <w:r w:rsidR="00BD6BE4" w:rsidRPr="000E643C">
        <w:rPr>
          <w:rFonts w:ascii="Book Antiqua" w:hAnsi="Book Antiqua"/>
          <w:sz w:val="24"/>
          <w:szCs w:val="24"/>
        </w:rPr>
        <w:t xml:space="preserve"> complete cessation of azathioprine</w:t>
      </w:r>
      <w:r w:rsidR="008A24D7" w:rsidRPr="000E643C">
        <w:rPr>
          <w:rFonts w:ascii="Book Antiqua" w:hAnsi="Book Antiqua"/>
          <w:sz w:val="24"/>
          <w:szCs w:val="24"/>
        </w:rPr>
        <w:t xml:space="preserve"> (Cohort C)</w:t>
      </w:r>
      <w:r w:rsidR="0085045D" w:rsidRPr="0085045D">
        <w:rPr>
          <w:rFonts w:ascii="Book Antiqua" w:hAnsi="Book Antiqua"/>
          <w:sz w:val="24"/>
          <w:szCs w:val="24"/>
          <w:vertAlign w:val="superscript"/>
        </w:rPr>
        <w:t xml:space="preserve"> </w:t>
      </w:r>
      <w:r w:rsidR="0085045D" w:rsidRPr="000E643C">
        <w:rPr>
          <w:rFonts w:ascii="Book Antiqua" w:hAnsi="Book Antiqua"/>
          <w:sz w:val="24"/>
          <w:szCs w:val="24"/>
          <w:vertAlign w:val="superscript"/>
        </w:rPr>
        <w:t>[29]</w:t>
      </w:r>
      <w:r w:rsidR="00BD6BE4" w:rsidRPr="000E643C">
        <w:rPr>
          <w:rFonts w:ascii="Book Antiqua" w:hAnsi="Book Antiqua"/>
          <w:sz w:val="24"/>
          <w:szCs w:val="24"/>
        </w:rPr>
        <w:t xml:space="preserve">. </w:t>
      </w:r>
      <w:r w:rsidR="00D340CE" w:rsidRPr="000E643C">
        <w:rPr>
          <w:rFonts w:ascii="Book Antiqua" w:hAnsi="Book Antiqua"/>
          <w:sz w:val="24"/>
          <w:szCs w:val="24"/>
        </w:rPr>
        <w:t>While d</w:t>
      </w:r>
      <w:r w:rsidR="008A24D7" w:rsidRPr="000E643C">
        <w:rPr>
          <w:rFonts w:ascii="Book Antiqua" w:hAnsi="Book Antiqua"/>
          <w:sz w:val="24"/>
          <w:szCs w:val="24"/>
        </w:rPr>
        <w:t>ifferences in clinical outcomes at one year were not statistic</w:t>
      </w:r>
      <w:r w:rsidR="00A677D2" w:rsidRPr="000E643C">
        <w:rPr>
          <w:rFonts w:ascii="Book Antiqua" w:hAnsi="Book Antiqua"/>
          <w:sz w:val="24"/>
          <w:szCs w:val="24"/>
        </w:rPr>
        <w:t>ally significant (</w:t>
      </w:r>
      <w:r w:rsidR="00A677D2" w:rsidRPr="0085045D">
        <w:rPr>
          <w:rFonts w:ascii="Book Antiqua" w:hAnsi="Book Antiqua"/>
          <w:i/>
          <w:sz w:val="24"/>
          <w:szCs w:val="24"/>
        </w:rPr>
        <w:t>P</w:t>
      </w:r>
      <w:r w:rsidR="0085045D">
        <w:rPr>
          <w:rFonts w:ascii="Book Antiqua" w:hAnsi="Book Antiqua" w:hint="eastAsia"/>
          <w:i/>
          <w:sz w:val="24"/>
          <w:szCs w:val="24"/>
          <w:lang w:eastAsia="zh-CN"/>
        </w:rPr>
        <w:t xml:space="preserve"> </w:t>
      </w:r>
      <w:r w:rsidR="00A677D2" w:rsidRPr="000E643C">
        <w:rPr>
          <w:rFonts w:ascii="Book Antiqua" w:hAnsi="Book Antiqua"/>
          <w:sz w:val="24"/>
          <w:szCs w:val="24"/>
        </w:rPr>
        <w:t>=</w:t>
      </w:r>
      <w:r w:rsidR="0085045D">
        <w:rPr>
          <w:rFonts w:ascii="Book Antiqua" w:hAnsi="Book Antiqua" w:hint="eastAsia"/>
          <w:sz w:val="24"/>
          <w:szCs w:val="24"/>
          <w:lang w:eastAsia="zh-CN"/>
        </w:rPr>
        <w:t xml:space="preserve"> </w:t>
      </w:r>
      <w:r w:rsidR="00A677D2" w:rsidRPr="000E643C">
        <w:rPr>
          <w:rFonts w:ascii="Book Antiqua" w:hAnsi="Book Antiqua"/>
          <w:sz w:val="24"/>
          <w:szCs w:val="24"/>
        </w:rPr>
        <w:t>0.1),</w:t>
      </w:r>
      <w:r w:rsidR="008A24D7" w:rsidRPr="000E643C">
        <w:rPr>
          <w:rFonts w:ascii="Book Antiqua" w:hAnsi="Book Antiqua"/>
          <w:sz w:val="24"/>
          <w:szCs w:val="24"/>
        </w:rPr>
        <w:t xml:space="preserve"> there was a trend to towards higher relapse rates in </w:t>
      </w:r>
      <w:r w:rsidR="00B93FED" w:rsidRPr="000E643C">
        <w:rPr>
          <w:rFonts w:ascii="Book Antiqua" w:hAnsi="Book Antiqua"/>
          <w:sz w:val="24"/>
          <w:szCs w:val="24"/>
        </w:rPr>
        <w:t>Cohort C</w:t>
      </w:r>
      <w:r w:rsidR="0085045D">
        <w:rPr>
          <w:rFonts w:ascii="Book Antiqua" w:hAnsi="Book Antiqua"/>
          <w:sz w:val="24"/>
          <w:szCs w:val="24"/>
        </w:rPr>
        <w:t xml:space="preserve"> (30.7% </w:t>
      </w:r>
      <w:r w:rsidR="0085045D" w:rsidRPr="0085045D">
        <w:rPr>
          <w:rFonts w:ascii="Book Antiqua" w:hAnsi="Book Antiqua"/>
          <w:i/>
          <w:sz w:val="24"/>
          <w:szCs w:val="24"/>
        </w:rPr>
        <w:t>vs</w:t>
      </w:r>
      <w:r w:rsidR="008A24D7" w:rsidRPr="0085045D">
        <w:rPr>
          <w:rFonts w:ascii="Book Antiqua" w:hAnsi="Book Antiqua"/>
          <w:i/>
          <w:sz w:val="24"/>
          <w:szCs w:val="24"/>
        </w:rPr>
        <w:t xml:space="preserve"> </w:t>
      </w:r>
      <w:r w:rsidR="008A24D7" w:rsidRPr="000E643C">
        <w:rPr>
          <w:rFonts w:ascii="Book Antiqua" w:hAnsi="Book Antiqua"/>
          <w:sz w:val="24"/>
          <w:szCs w:val="24"/>
        </w:rPr>
        <w:t xml:space="preserve">17.8% and 11.5% in </w:t>
      </w:r>
      <w:r w:rsidR="00B93FED" w:rsidRPr="000E643C">
        <w:rPr>
          <w:rFonts w:ascii="Book Antiqua" w:hAnsi="Book Antiqua"/>
          <w:sz w:val="24"/>
          <w:szCs w:val="24"/>
        </w:rPr>
        <w:t xml:space="preserve">Cohorts A and B). </w:t>
      </w:r>
      <w:r w:rsidR="00187651" w:rsidRPr="000E643C">
        <w:rPr>
          <w:rFonts w:ascii="Book Antiqua" w:hAnsi="Book Antiqua"/>
          <w:sz w:val="24"/>
          <w:szCs w:val="24"/>
        </w:rPr>
        <w:t>Only in Cohort C were infliximab trough levels significantly decreased at one year as compa</w:t>
      </w:r>
      <w:r w:rsidR="0085045D">
        <w:rPr>
          <w:rFonts w:ascii="Book Antiqua" w:hAnsi="Book Antiqua"/>
          <w:sz w:val="24"/>
          <w:szCs w:val="24"/>
        </w:rPr>
        <w:t xml:space="preserve">red to study initiation (4.2 </w:t>
      </w:r>
      <w:r w:rsidR="0085045D" w:rsidRPr="0085045D">
        <w:rPr>
          <w:rFonts w:ascii="Book Antiqua" w:hAnsi="Book Antiqua"/>
          <w:i/>
          <w:sz w:val="24"/>
          <w:szCs w:val="24"/>
        </w:rPr>
        <w:t>vs</w:t>
      </w:r>
      <w:r w:rsidR="00187651" w:rsidRPr="000E643C">
        <w:rPr>
          <w:rFonts w:ascii="Book Antiqua" w:hAnsi="Book Antiqua"/>
          <w:sz w:val="24"/>
          <w:szCs w:val="24"/>
        </w:rPr>
        <w:t xml:space="preserve"> 2.1 </w:t>
      </w:r>
      <w:proofErr w:type="spellStart"/>
      <w:r w:rsidR="00187651" w:rsidRPr="000E643C">
        <w:rPr>
          <w:rFonts w:ascii="Book Antiqua" w:hAnsi="Book Antiqua"/>
          <w:sz w:val="24"/>
          <w:szCs w:val="24"/>
        </w:rPr>
        <w:t>ug</w:t>
      </w:r>
      <w:proofErr w:type="spellEnd"/>
      <w:r w:rsidR="00187651" w:rsidRPr="000E643C">
        <w:rPr>
          <w:rFonts w:ascii="Book Antiqua" w:hAnsi="Book Antiqua"/>
          <w:sz w:val="24"/>
          <w:szCs w:val="24"/>
        </w:rPr>
        <w:t>/m</w:t>
      </w:r>
      <w:r w:rsidR="0085045D">
        <w:rPr>
          <w:rFonts w:ascii="Book Antiqua" w:hAnsi="Book Antiqua" w:hint="eastAsia"/>
          <w:sz w:val="24"/>
          <w:szCs w:val="24"/>
          <w:lang w:eastAsia="zh-CN"/>
        </w:rPr>
        <w:t>L</w:t>
      </w:r>
      <w:r w:rsidR="00187651" w:rsidRPr="000E643C">
        <w:rPr>
          <w:rFonts w:ascii="Book Antiqua" w:hAnsi="Book Antiqua"/>
          <w:sz w:val="24"/>
          <w:szCs w:val="24"/>
        </w:rPr>
        <w:t xml:space="preserve">, </w:t>
      </w:r>
      <w:r w:rsidR="0085045D" w:rsidRPr="0085045D">
        <w:rPr>
          <w:rFonts w:ascii="Book Antiqua" w:hAnsi="Book Antiqua"/>
          <w:i/>
          <w:sz w:val="24"/>
          <w:szCs w:val="24"/>
        </w:rPr>
        <w:t>P</w:t>
      </w:r>
      <w:r w:rsidR="0085045D" w:rsidRPr="000E643C">
        <w:rPr>
          <w:rFonts w:ascii="Book Antiqua" w:hAnsi="Book Antiqua"/>
          <w:sz w:val="24"/>
          <w:szCs w:val="24"/>
        </w:rPr>
        <w:t xml:space="preserve"> </w:t>
      </w:r>
      <w:r w:rsidR="00187651" w:rsidRPr="000E643C">
        <w:rPr>
          <w:rFonts w:ascii="Book Antiqua" w:hAnsi="Book Antiqua"/>
          <w:sz w:val="24"/>
          <w:szCs w:val="24"/>
        </w:rPr>
        <w:t>=</w:t>
      </w:r>
      <w:r w:rsidR="0085045D">
        <w:rPr>
          <w:rFonts w:ascii="Book Antiqua" w:hAnsi="Book Antiqua" w:hint="eastAsia"/>
          <w:sz w:val="24"/>
          <w:szCs w:val="24"/>
          <w:lang w:eastAsia="zh-CN"/>
        </w:rPr>
        <w:t xml:space="preserve"> </w:t>
      </w:r>
      <w:r w:rsidR="00187651" w:rsidRPr="000E643C">
        <w:rPr>
          <w:rFonts w:ascii="Book Antiqua" w:hAnsi="Book Antiqua"/>
          <w:sz w:val="24"/>
          <w:szCs w:val="24"/>
        </w:rPr>
        <w:t xml:space="preserve">0.02). </w:t>
      </w:r>
      <w:r w:rsidR="00A63BE4" w:rsidRPr="000E643C">
        <w:rPr>
          <w:rFonts w:ascii="Book Antiqua" w:hAnsi="Book Antiqua"/>
          <w:sz w:val="24"/>
          <w:szCs w:val="24"/>
        </w:rPr>
        <w:t xml:space="preserve">This data also </w:t>
      </w:r>
      <w:r w:rsidR="00187651" w:rsidRPr="000E643C">
        <w:rPr>
          <w:rFonts w:ascii="Book Antiqua" w:hAnsi="Book Antiqua"/>
          <w:sz w:val="24"/>
          <w:szCs w:val="24"/>
        </w:rPr>
        <w:t xml:space="preserve">suggests that a reduced dose of </w:t>
      </w:r>
      <w:r w:rsidR="0020735A" w:rsidRPr="000E643C">
        <w:rPr>
          <w:rFonts w:ascii="Book Antiqua" w:hAnsi="Book Antiqua"/>
          <w:sz w:val="24"/>
          <w:szCs w:val="24"/>
        </w:rPr>
        <w:t xml:space="preserve">maintenance </w:t>
      </w:r>
      <w:proofErr w:type="spellStart"/>
      <w:r w:rsidR="0020735A" w:rsidRPr="000E643C">
        <w:rPr>
          <w:rFonts w:ascii="Book Antiqua" w:hAnsi="Book Antiqua"/>
          <w:sz w:val="24"/>
          <w:szCs w:val="24"/>
        </w:rPr>
        <w:t>immunomodulator</w:t>
      </w:r>
      <w:proofErr w:type="spellEnd"/>
      <w:r w:rsidR="00187651" w:rsidRPr="000E643C">
        <w:rPr>
          <w:rFonts w:ascii="Book Antiqua" w:hAnsi="Book Antiqua"/>
          <w:sz w:val="24"/>
          <w:szCs w:val="24"/>
        </w:rPr>
        <w:t xml:space="preserve"> may </w:t>
      </w:r>
      <w:r w:rsidR="0020735A" w:rsidRPr="000E643C">
        <w:rPr>
          <w:rFonts w:ascii="Book Antiqua" w:hAnsi="Book Antiqua"/>
          <w:sz w:val="24"/>
          <w:szCs w:val="24"/>
        </w:rPr>
        <w:t xml:space="preserve">provide similar </w:t>
      </w:r>
      <w:r w:rsidR="00187651" w:rsidRPr="000E643C">
        <w:rPr>
          <w:rFonts w:ascii="Book Antiqua" w:hAnsi="Book Antiqua"/>
          <w:sz w:val="24"/>
          <w:szCs w:val="24"/>
        </w:rPr>
        <w:t>benefits as full dose maintenance CT.</w:t>
      </w:r>
    </w:p>
    <w:p w14:paraId="1C0DDB29" w14:textId="77777777" w:rsidR="00F028B0" w:rsidRDefault="00F028B0" w:rsidP="00E57DEB">
      <w:pPr>
        <w:widowControl w:val="0"/>
        <w:adjustRightInd w:val="0"/>
        <w:snapToGrid w:val="0"/>
        <w:spacing w:after="0" w:line="360" w:lineRule="auto"/>
        <w:jc w:val="both"/>
        <w:rPr>
          <w:rFonts w:ascii="Book Antiqua" w:hAnsi="Book Antiqua"/>
          <w:b/>
          <w:sz w:val="24"/>
          <w:szCs w:val="24"/>
          <w:u w:val="single"/>
          <w:lang w:eastAsia="zh-CN"/>
        </w:rPr>
      </w:pPr>
    </w:p>
    <w:p w14:paraId="5B224765" w14:textId="63685B1F" w:rsidR="0069331F" w:rsidRPr="00F028B0" w:rsidRDefault="00F028B0" w:rsidP="00E57DEB">
      <w:pPr>
        <w:widowControl w:val="0"/>
        <w:adjustRightInd w:val="0"/>
        <w:snapToGrid w:val="0"/>
        <w:spacing w:after="0" w:line="360" w:lineRule="auto"/>
        <w:jc w:val="both"/>
        <w:rPr>
          <w:rFonts w:ascii="Book Antiqua" w:hAnsi="Book Antiqua"/>
          <w:b/>
          <w:sz w:val="24"/>
          <w:szCs w:val="24"/>
        </w:rPr>
      </w:pPr>
      <w:r w:rsidRPr="00F028B0">
        <w:rPr>
          <w:rFonts w:ascii="Book Antiqua" w:hAnsi="Book Antiqua"/>
          <w:b/>
          <w:sz w:val="24"/>
          <w:szCs w:val="24"/>
        </w:rPr>
        <w:t>IS CT SAFE?</w:t>
      </w:r>
    </w:p>
    <w:p w14:paraId="4D19C6C8" w14:textId="09D6C56B" w:rsidR="0069331F" w:rsidRPr="00F028B0" w:rsidRDefault="00796CB0" w:rsidP="00E57DEB">
      <w:pPr>
        <w:widowControl w:val="0"/>
        <w:adjustRightInd w:val="0"/>
        <w:snapToGrid w:val="0"/>
        <w:spacing w:after="0" w:line="360" w:lineRule="auto"/>
        <w:jc w:val="both"/>
        <w:rPr>
          <w:rFonts w:ascii="Book Antiqua" w:hAnsi="Book Antiqua"/>
          <w:b/>
          <w:i/>
          <w:sz w:val="24"/>
          <w:szCs w:val="24"/>
        </w:rPr>
      </w:pPr>
      <w:r w:rsidRPr="00F028B0">
        <w:rPr>
          <w:rFonts w:ascii="Book Antiqua" w:hAnsi="Book Antiqua"/>
          <w:b/>
          <w:i/>
          <w:sz w:val="24"/>
          <w:szCs w:val="24"/>
        </w:rPr>
        <w:t xml:space="preserve">CT and </w:t>
      </w:r>
      <w:r w:rsidR="00F028B0" w:rsidRPr="00F028B0">
        <w:rPr>
          <w:rFonts w:ascii="Book Antiqua" w:hAnsi="Book Antiqua" w:hint="eastAsia"/>
          <w:b/>
          <w:i/>
          <w:sz w:val="24"/>
          <w:szCs w:val="24"/>
          <w:lang w:eastAsia="zh-CN"/>
        </w:rPr>
        <w:t>l</w:t>
      </w:r>
      <w:r w:rsidRPr="00F028B0">
        <w:rPr>
          <w:rFonts w:ascii="Book Antiqua" w:hAnsi="Book Antiqua"/>
          <w:b/>
          <w:i/>
          <w:sz w:val="24"/>
          <w:szCs w:val="24"/>
        </w:rPr>
        <w:t>ymphoma</w:t>
      </w:r>
    </w:p>
    <w:p w14:paraId="70EBBF5E" w14:textId="1622B4AE" w:rsidR="0069331F" w:rsidRPr="000E643C" w:rsidRDefault="00796CB0"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 xml:space="preserve">Though most of the additional risk associated with CT relates to an increased risk of infections, particularly opportunistic infections with Candida and Herpes </w:t>
      </w:r>
      <w:proofErr w:type="gramStart"/>
      <w:r w:rsidRPr="000E643C">
        <w:rPr>
          <w:rFonts w:ascii="Book Antiqua" w:hAnsi="Book Antiqua"/>
          <w:sz w:val="24"/>
          <w:szCs w:val="24"/>
        </w:rPr>
        <w:t>Zoster</w:t>
      </w:r>
      <w:r w:rsidRPr="000E643C">
        <w:rPr>
          <w:rFonts w:ascii="Book Antiqua" w:hAnsi="Book Antiqua"/>
          <w:sz w:val="24"/>
          <w:szCs w:val="24"/>
          <w:vertAlign w:val="superscript"/>
        </w:rPr>
        <w:t>[</w:t>
      </w:r>
      <w:proofErr w:type="gramEnd"/>
      <w:r w:rsidR="00B7115C" w:rsidRPr="000E643C">
        <w:rPr>
          <w:rFonts w:ascii="Book Antiqua" w:hAnsi="Book Antiqua"/>
          <w:sz w:val="24"/>
          <w:szCs w:val="24"/>
          <w:vertAlign w:val="superscript"/>
        </w:rPr>
        <w:t>30</w:t>
      </w:r>
      <w:r w:rsidRPr="000E643C">
        <w:rPr>
          <w:rFonts w:ascii="Book Antiqua" w:hAnsi="Book Antiqua"/>
          <w:sz w:val="24"/>
          <w:szCs w:val="24"/>
          <w:vertAlign w:val="superscript"/>
        </w:rPr>
        <w:t>]</w:t>
      </w:r>
      <w:r w:rsidR="0021277B" w:rsidRPr="000E643C">
        <w:rPr>
          <w:rFonts w:ascii="Book Antiqua" w:hAnsi="Book Antiqua"/>
          <w:sz w:val="24"/>
          <w:szCs w:val="24"/>
        </w:rPr>
        <w:t xml:space="preserve"> risk of l</w:t>
      </w:r>
      <w:r w:rsidRPr="000E643C">
        <w:rPr>
          <w:rFonts w:ascii="Book Antiqua" w:hAnsi="Book Antiqua"/>
          <w:sz w:val="24"/>
          <w:szCs w:val="24"/>
        </w:rPr>
        <w:t>ymphoma casts a long shadow over any discussion of CT.</w:t>
      </w:r>
      <w:r w:rsidR="00E57DEB" w:rsidRPr="000E643C">
        <w:rPr>
          <w:rFonts w:ascii="Book Antiqua" w:hAnsi="Book Antiqua"/>
          <w:sz w:val="24"/>
          <w:szCs w:val="24"/>
        </w:rPr>
        <w:t xml:space="preserve"> </w:t>
      </w:r>
      <w:r w:rsidRPr="000E643C">
        <w:rPr>
          <w:rFonts w:ascii="Book Antiqua" w:hAnsi="Book Antiqua"/>
          <w:sz w:val="24"/>
          <w:szCs w:val="24"/>
        </w:rPr>
        <w:t xml:space="preserve">Since CT has typically meant </w:t>
      </w:r>
      <w:proofErr w:type="spellStart"/>
      <w:r w:rsidRPr="000E643C">
        <w:rPr>
          <w:rFonts w:ascii="Book Antiqua" w:hAnsi="Book Antiqua"/>
          <w:sz w:val="24"/>
          <w:szCs w:val="24"/>
        </w:rPr>
        <w:t>thiopurines</w:t>
      </w:r>
      <w:proofErr w:type="spellEnd"/>
      <w:r w:rsidRPr="000E643C">
        <w:rPr>
          <w:rFonts w:ascii="Book Antiqua" w:hAnsi="Book Antiqua"/>
          <w:sz w:val="24"/>
          <w:szCs w:val="24"/>
        </w:rPr>
        <w:t xml:space="preserve"> with biologic, it is first important to acknowledge that the vast majority of evidence points to a 4 to 5 fold increased risk of lymphoma associated with </w:t>
      </w:r>
      <w:proofErr w:type="spellStart"/>
      <w:r w:rsidRPr="000E643C">
        <w:rPr>
          <w:rFonts w:ascii="Book Antiqua" w:hAnsi="Book Antiqua"/>
          <w:sz w:val="24"/>
          <w:szCs w:val="24"/>
        </w:rPr>
        <w:t>thiopurine</w:t>
      </w:r>
      <w:proofErr w:type="spellEnd"/>
      <w:r w:rsidRPr="000E643C">
        <w:rPr>
          <w:rFonts w:ascii="Book Antiqua" w:hAnsi="Book Antiqua"/>
          <w:sz w:val="24"/>
          <w:szCs w:val="24"/>
        </w:rPr>
        <w:t xml:space="preserve"> use.</w:t>
      </w:r>
      <w:r w:rsidR="00E57DEB" w:rsidRPr="000E643C">
        <w:rPr>
          <w:rFonts w:ascii="Book Antiqua" w:hAnsi="Book Antiqua"/>
          <w:sz w:val="24"/>
          <w:szCs w:val="24"/>
        </w:rPr>
        <w:t xml:space="preserve"> </w:t>
      </w:r>
      <w:r w:rsidRPr="000E643C">
        <w:rPr>
          <w:rFonts w:ascii="Book Antiqua" w:hAnsi="Book Antiqua"/>
          <w:sz w:val="24"/>
          <w:szCs w:val="24"/>
        </w:rPr>
        <w:t xml:space="preserve">This figure has been observed both in a meta-analysis of referral center IBD patients, as well as in the recent CESAME population study from France, which noted that this risk was primarily associated with active </w:t>
      </w:r>
      <w:proofErr w:type="spellStart"/>
      <w:r w:rsidRPr="000E643C">
        <w:rPr>
          <w:rFonts w:ascii="Book Antiqua" w:hAnsi="Book Antiqua"/>
          <w:sz w:val="24"/>
          <w:szCs w:val="24"/>
        </w:rPr>
        <w:t>thiopurine</w:t>
      </w:r>
      <w:proofErr w:type="spellEnd"/>
      <w:r w:rsidRPr="000E643C">
        <w:rPr>
          <w:rFonts w:ascii="Book Antiqua" w:hAnsi="Book Antiqua"/>
          <w:sz w:val="24"/>
          <w:szCs w:val="24"/>
        </w:rPr>
        <w:t xml:space="preserve"> use</w:t>
      </w:r>
      <w:r w:rsidR="00F028B0" w:rsidRPr="000E643C">
        <w:rPr>
          <w:rFonts w:ascii="Book Antiqua" w:hAnsi="Book Antiqua"/>
          <w:sz w:val="24"/>
          <w:szCs w:val="24"/>
          <w:vertAlign w:val="superscript"/>
        </w:rPr>
        <w:t>[31,32]</w:t>
      </w:r>
      <w:r w:rsidRPr="000E643C">
        <w:rPr>
          <w:rFonts w:ascii="Book Antiqua" w:hAnsi="Book Antiqua"/>
          <w:sz w:val="24"/>
          <w:szCs w:val="24"/>
        </w:rPr>
        <w:t xml:space="preserve">. The case for an increased risk of lymphoma with biologic monotherapy is far weaker, particularly for those with </w:t>
      </w:r>
      <w:proofErr w:type="gramStart"/>
      <w:r w:rsidRPr="000E643C">
        <w:rPr>
          <w:rFonts w:ascii="Book Antiqua" w:hAnsi="Book Antiqua"/>
          <w:sz w:val="24"/>
          <w:szCs w:val="24"/>
        </w:rPr>
        <w:t>IBD</w:t>
      </w:r>
      <w:r w:rsidR="00F028B0" w:rsidRPr="000E643C">
        <w:rPr>
          <w:rFonts w:ascii="Book Antiqua" w:hAnsi="Book Antiqua"/>
          <w:sz w:val="24"/>
          <w:szCs w:val="24"/>
          <w:vertAlign w:val="superscript"/>
        </w:rPr>
        <w:t>[</w:t>
      </w:r>
      <w:proofErr w:type="gramEnd"/>
      <w:r w:rsidR="00F028B0" w:rsidRPr="000E643C">
        <w:rPr>
          <w:rFonts w:ascii="Book Antiqua" w:hAnsi="Book Antiqua"/>
          <w:sz w:val="24"/>
          <w:szCs w:val="24"/>
          <w:vertAlign w:val="superscript"/>
        </w:rPr>
        <w:t>33]</w:t>
      </w:r>
      <w:r w:rsidRPr="000E643C">
        <w:rPr>
          <w:rFonts w:ascii="Book Antiqua" w:hAnsi="Book Antiqua"/>
          <w:sz w:val="24"/>
          <w:szCs w:val="24"/>
        </w:rPr>
        <w:t xml:space="preserve">. Most evidence supporting this increased risk is drawn from the larger rheumatoid arthritis population, for which the disease itself is known to carry an increased </w:t>
      </w:r>
      <w:proofErr w:type="gramStart"/>
      <w:r w:rsidRPr="000E643C">
        <w:rPr>
          <w:rFonts w:ascii="Book Antiqua" w:hAnsi="Book Antiqua"/>
          <w:sz w:val="24"/>
          <w:szCs w:val="24"/>
        </w:rPr>
        <w:t>risk</w:t>
      </w:r>
      <w:r w:rsidR="00F028B0" w:rsidRPr="000E643C">
        <w:rPr>
          <w:rFonts w:ascii="Book Antiqua" w:hAnsi="Book Antiqua"/>
          <w:sz w:val="24"/>
          <w:szCs w:val="24"/>
          <w:vertAlign w:val="superscript"/>
        </w:rPr>
        <w:t>[</w:t>
      </w:r>
      <w:proofErr w:type="gramEnd"/>
      <w:r w:rsidR="00F028B0" w:rsidRPr="000E643C">
        <w:rPr>
          <w:rFonts w:ascii="Book Antiqua" w:hAnsi="Book Antiqua"/>
          <w:sz w:val="24"/>
          <w:szCs w:val="24"/>
          <w:vertAlign w:val="superscript"/>
        </w:rPr>
        <w:t>34]</w:t>
      </w:r>
      <w:r w:rsidRPr="000E643C">
        <w:rPr>
          <w:rFonts w:ascii="Book Antiqua" w:hAnsi="Book Antiqua"/>
          <w:sz w:val="24"/>
          <w:szCs w:val="24"/>
        </w:rPr>
        <w:t xml:space="preserve">. </w:t>
      </w:r>
    </w:p>
    <w:p w14:paraId="1F197BC0" w14:textId="6387FE47" w:rsidR="0069331F" w:rsidRPr="000E643C" w:rsidRDefault="00796CB0" w:rsidP="00F028B0">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 xml:space="preserve">In the absence of large population data on lymphoma risk with CT, investigators have employed mathematical modeling incorporating the observed increased risk with </w:t>
      </w:r>
      <w:proofErr w:type="spellStart"/>
      <w:r w:rsidRPr="000E643C">
        <w:rPr>
          <w:rFonts w:ascii="Book Antiqua" w:hAnsi="Book Antiqua"/>
          <w:sz w:val="24"/>
          <w:szCs w:val="24"/>
        </w:rPr>
        <w:t>thiopurines</w:t>
      </w:r>
      <w:proofErr w:type="spellEnd"/>
      <w:r w:rsidRPr="000E643C">
        <w:rPr>
          <w:rFonts w:ascii="Book Antiqua" w:hAnsi="Book Antiqua"/>
          <w:sz w:val="24"/>
          <w:szCs w:val="24"/>
        </w:rPr>
        <w:t xml:space="preserve"> to predict the risk/benefit of lymphoma with CT.</w:t>
      </w:r>
      <w:r w:rsidR="00E57DEB" w:rsidRPr="000E643C">
        <w:rPr>
          <w:rFonts w:ascii="Book Antiqua" w:hAnsi="Book Antiqua"/>
          <w:sz w:val="24"/>
          <w:szCs w:val="24"/>
        </w:rPr>
        <w:t xml:space="preserve"> </w:t>
      </w:r>
      <w:r w:rsidRPr="000E643C">
        <w:rPr>
          <w:rFonts w:ascii="Book Antiqua" w:hAnsi="Book Antiqua"/>
          <w:sz w:val="24"/>
          <w:szCs w:val="24"/>
        </w:rPr>
        <w:t xml:space="preserve">Scott </w:t>
      </w:r>
      <w:r w:rsidRPr="00F028B0">
        <w:rPr>
          <w:rFonts w:ascii="Book Antiqua" w:hAnsi="Book Antiqua"/>
          <w:i/>
          <w:sz w:val="24"/>
          <w:szCs w:val="24"/>
        </w:rPr>
        <w:t xml:space="preserve">et </w:t>
      </w:r>
      <w:proofErr w:type="gramStart"/>
      <w:r w:rsidRPr="00F028B0">
        <w:rPr>
          <w:rFonts w:ascii="Book Antiqua" w:hAnsi="Book Antiqua"/>
          <w:i/>
          <w:sz w:val="24"/>
          <w:szCs w:val="24"/>
        </w:rPr>
        <w:t>al</w:t>
      </w:r>
      <w:r w:rsidR="00F028B0" w:rsidRPr="000E643C">
        <w:rPr>
          <w:rFonts w:ascii="Book Antiqua" w:hAnsi="Book Antiqua"/>
          <w:sz w:val="24"/>
          <w:szCs w:val="24"/>
          <w:vertAlign w:val="superscript"/>
        </w:rPr>
        <w:t>[</w:t>
      </w:r>
      <w:proofErr w:type="gramEnd"/>
      <w:r w:rsidR="00F028B0" w:rsidRPr="000E643C">
        <w:rPr>
          <w:rFonts w:ascii="Book Antiqua" w:hAnsi="Book Antiqua"/>
          <w:sz w:val="24"/>
          <w:szCs w:val="24"/>
          <w:vertAlign w:val="superscript"/>
        </w:rPr>
        <w:t>35]</w:t>
      </w:r>
      <w:r w:rsidR="00F028B0">
        <w:rPr>
          <w:rFonts w:ascii="Book Antiqua" w:hAnsi="Book Antiqua" w:hint="eastAsia"/>
          <w:sz w:val="24"/>
          <w:szCs w:val="24"/>
          <w:lang w:eastAsia="zh-CN"/>
        </w:rPr>
        <w:t xml:space="preserve"> </w:t>
      </w:r>
      <w:r w:rsidRPr="000E643C">
        <w:rPr>
          <w:rFonts w:ascii="Book Antiqua" w:hAnsi="Book Antiqua"/>
          <w:sz w:val="24"/>
          <w:szCs w:val="24"/>
        </w:rPr>
        <w:t>in a recent Markov model analyzed the ris</w:t>
      </w:r>
      <w:r w:rsidR="00F028B0">
        <w:rPr>
          <w:rFonts w:ascii="Book Antiqua" w:hAnsi="Book Antiqua"/>
          <w:sz w:val="24"/>
          <w:szCs w:val="24"/>
        </w:rPr>
        <w:t xml:space="preserve">k/benefit of IFX monotherapy </w:t>
      </w:r>
      <w:r w:rsidR="00F028B0" w:rsidRPr="00F028B0">
        <w:rPr>
          <w:rFonts w:ascii="Book Antiqua" w:hAnsi="Book Antiqua"/>
          <w:i/>
          <w:sz w:val="24"/>
          <w:szCs w:val="24"/>
        </w:rPr>
        <w:t>vs</w:t>
      </w:r>
      <w:r w:rsidRPr="000E643C">
        <w:rPr>
          <w:rFonts w:ascii="Book Antiqua" w:hAnsi="Book Antiqua"/>
          <w:sz w:val="24"/>
          <w:szCs w:val="24"/>
        </w:rPr>
        <w:t xml:space="preserve"> CT at a vari</w:t>
      </w:r>
      <w:r w:rsidR="00D309A5" w:rsidRPr="000E643C">
        <w:rPr>
          <w:rFonts w:ascii="Book Antiqua" w:hAnsi="Book Antiqua"/>
          <w:sz w:val="24"/>
          <w:szCs w:val="24"/>
        </w:rPr>
        <w:t>ety of patient ages, utilizing q</w:t>
      </w:r>
      <w:r w:rsidRPr="000E643C">
        <w:rPr>
          <w:rFonts w:ascii="Book Antiqua" w:hAnsi="Book Antiqua"/>
          <w:sz w:val="24"/>
          <w:szCs w:val="24"/>
        </w:rPr>
        <w:t xml:space="preserve">uality of adjusted life years (QALY) as their primary outcome measure. The analysis accounted for the benefits of CT including increased response and remission rates, decreased surgery and less CD related death, balanced against the </w:t>
      </w:r>
      <w:r w:rsidRPr="000E643C">
        <w:rPr>
          <w:rFonts w:ascii="Book Antiqua" w:hAnsi="Book Antiqua"/>
          <w:sz w:val="24"/>
          <w:szCs w:val="24"/>
        </w:rPr>
        <w:lastRenderedPageBreak/>
        <w:t>risk of death related to lymphoma and infections.</w:t>
      </w:r>
      <w:r w:rsidR="00E57DEB" w:rsidRPr="000E643C">
        <w:rPr>
          <w:rFonts w:ascii="Book Antiqua" w:hAnsi="Book Antiqua"/>
          <w:sz w:val="24"/>
          <w:szCs w:val="24"/>
        </w:rPr>
        <w:t xml:space="preserve"> </w:t>
      </w:r>
      <w:r w:rsidRPr="000E643C">
        <w:rPr>
          <w:rFonts w:ascii="Book Antiqua" w:hAnsi="Book Antiqua"/>
          <w:sz w:val="24"/>
          <w:szCs w:val="24"/>
        </w:rPr>
        <w:t>They concluded that CT increased QALY for all patients, with that benefit decreasing as the patients aged.</w:t>
      </w:r>
      <w:r w:rsidR="00E57DEB" w:rsidRPr="000E643C">
        <w:rPr>
          <w:rFonts w:ascii="Book Antiqua" w:hAnsi="Book Antiqua"/>
          <w:sz w:val="24"/>
          <w:szCs w:val="24"/>
        </w:rPr>
        <w:t xml:space="preserve"> </w:t>
      </w:r>
      <w:r w:rsidRPr="000E643C">
        <w:rPr>
          <w:rFonts w:ascii="Book Antiqua" w:hAnsi="Book Antiqua"/>
          <w:sz w:val="24"/>
          <w:szCs w:val="24"/>
        </w:rPr>
        <w:t>A patient 55 years or younger could expect to benefit from CT for at least 7 years.</w:t>
      </w:r>
      <w:r w:rsidR="00E57DEB" w:rsidRPr="000E643C">
        <w:rPr>
          <w:rFonts w:ascii="Book Antiqua" w:hAnsi="Book Antiqua"/>
          <w:sz w:val="24"/>
          <w:szCs w:val="24"/>
        </w:rPr>
        <w:t xml:space="preserve"> </w:t>
      </w:r>
      <w:r w:rsidRPr="000E643C">
        <w:rPr>
          <w:rFonts w:ascii="Book Antiqua" w:hAnsi="Book Antiqua"/>
          <w:sz w:val="24"/>
          <w:szCs w:val="24"/>
        </w:rPr>
        <w:t>Even for those over 75 years, with the highest background risk of lymphoma, they estimated that it would ta</w:t>
      </w:r>
      <w:r w:rsidR="007434CE" w:rsidRPr="000E643C">
        <w:rPr>
          <w:rFonts w:ascii="Book Antiqua" w:hAnsi="Book Antiqua"/>
          <w:sz w:val="24"/>
          <w:szCs w:val="24"/>
        </w:rPr>
        <w:t>ke almost 5 years for QALY to</w:t>
      </w:r>
      <w:r w:rsidRPr="000E643C">
        <w:rPr>
          <w:rFonts w:ascii="Book Antiqua" w:hAnsi="Book Antiqua"/>
          <w:sz w:val="24"/>
          <w:szCs w:val="24"/>
        </w:rPr>
        <w:t xml:space="preserve"> suffer by continued use of CT.</w:t>
      </w:r>
      <w:r w:rsidR="00E57DEB" w:rsidRPr="000E643C">
        <w:rPr>
          <w:rFonts w:ascii="Book Antiqua" w:hAnsi="Book Antiqua"/>
          <w:sz w:val="24"/>
          <w:szCs w:val="24"/>
        </w:rPr>
        <w:t xml:space="preserve"> </w:t>
      </w:r>
      <w:r w:rsidRPr="000E643C">
        <w:rPr>
          <w:rFonts w:ascii="Book Antiqua" w:hAnsi="Book Antiqua"/>
          <w:sz w:val="24"/>
          <w:szCs w:val="24"/>
        </w:rPr>
        <w:t xml:space="preserve">Another </w:t>
      </w:r>
      <w:r w:rsidR="00803013" w:rsidRPr="000E643C">
        <w:rPr>
          <w:rFonts w:ascii="Book Antiqua" w:hAnsi="Book Antiqua"/>
          <w:sz w:val="24"/>
          <w:szCs w:val="24"/>
        </w:rPr>
        <w:t xml:space="preserve">recent analysis by Siegel </w:t>
      </w:r>
      <w:r w:rsidR="00803013" w:rsidRPr="00F028B0">
        <w:rPr>
          <w:rFonts w:ascii="Book Antiqua" w:hAnsi="Book Antiqua"/>
          <w:i/>
          <w:sz w:val="24"/>
          <w:szCs w:val="24"/>
        </w:rPr>
        <w:t xml:space="preserve">et </w:t>
      </w:r>
      <w:proofErr w:type="gramStart"/>
      <w:r w:rsidR="00803013" w:rsidRPr="00F028B0">
        <w:rPr>
          <w:rFonts w:ascii="Book Antiqua" w:hAnsi="Book Antiqua"/>
          <w:i/>
          <w:sz w:val="24"/>
          <w:szCs w:val="24"/>
        </w:rPr>
        <w:t>al</w:t>
      </w:r>
      <w:r w:rsidR="00F028B0" w:rsidRPr="000E643C">
        <w:rPr>
          <w:rFonts w:ascii="Book Antiqua" w:hAnsi="Book Antiqua"/>
          <w:sz w:val="24"/>
          <w:szCs w:val="24"/>
          <w:vertAlign w:val="superscript"/>
        </w:rPr>
        <w:t>[</w:t>
      </w:r>
      <w:proofErr w:type="gramEnd"/>
      <w:r w:rsidR="00F028B0" w:rsidRPr="000E643C">
        <w:rPr>
          <w:rFonts w:ascii="Book Antiqua" w:hAnsi="Book Antiqua"/>
          <w:sz w:val="24"/>
          <w:szCs w:val="24"/>
          <w:vertAlign w:val="superscript"/>
        </w:rPr>
        <w:t>36]</w:t>
      </w:r>
      <w:r w:rsidRPr="000E643C">
        <w:rPr>
          <w:rFonts w:ascii="Book Antiqua" w:hAnsi="Book Antiqua"/>
          <w:sz w:val="24"/>
          <w:szCs w:val="24"/>
        </w:rPr>
        <w:t xml:space="preserve"> utilized a Monte Carlo Simulation to predict the effects of one year of IFX monotherapy </w:t>
      </w:r>
      <w:r w:rsidRPr="00F028B0">
        <w:rPr>
          <w:rFonts w:ascii="Book Antiqua" w:hAnsi="Book Antiqua"/>
          <w:i/>
          <w:sz w:val="24"/>
          <w:szCs w:val="24"/>
        </w:rPr>
        <w:t>vs</w:t>
      </w:r>
      <w:r w:rsidRPr="000E643C">
        <w:rPr>
          <w:rFonts w:ascii="Book Antiqua" w:hAnsi="Book Antiqua"/>
          <w:sz w:val="24"/>
          <w:szCs w:val="24"/>
        </w:rPr>
        <w:t xml:space="preserve"> CT</w:t>
      </w:r>
      <w:r w:rsidR="00FA029D" w:rsidRPr="000E643C">
        <w:rPr>
          <w:rFonts w:ascii="Book Antiqua" w:hAnsi="Book Antiqua"/>
          <w:sz w:val="24"/>
          <w:szCs w:val="24"/>
        </w:rPr>
        <w:t>.</w:t>
      </w:r>
      <w:r w:rsidRPr="000E643C">
        <w:rPr>
          <w:rFonts w:ascii="Book Antiqua" w:hAnsi="Book Antiqua"/>
          <w:sz w:val="24"/>
          <w:szCs w:val="24"/>
        </w:rPr>
        <w:t xml:space="preserve"> in a theoret</w:t>
      </w:r>
      <w:r w:rsidR="00F028B0">
        <w:rPr>
          <w:rFonts w:ascii="Book Antiqua" w:hAnsi="Book Antiqua"/>
          <w:sz w:val="24"/>
          <w:szCs w:val="24"/>
        </w:rPr>
        <w:t>ical population of 100</w:t>
      </w:r>
      <w:r w:rsidR="00E11F13" w:rsidRPr="000E643C">
        <w:rPr>
          <w:rFonts w:ascii="Book Antiqua" w:hAnsi="Book Antiqua"/>
          <w:sz w:val="24"/>
          <w:szCs w:val="24"/>
        </w:rPr>
        <w:t>000 thirty-five-</w:t>
      </w:r>
      <w:r w:rsidRPr="000E643C">
        <w:rPr>
          <w:rFonts w:ascii="Book Antiqua" w:hAnsi="Book Antiqua"/>
          <w:sz w:val="24"/>
          <w:szCs w:val="24"/>
        </w:rPr>
        <w:t>y</w:t>
      </w:r>
      <w:r w:rsidR="007434CE" w:rsidRPr="000E643C">
        <w:rPr>
          <w:rFonts w:ascii="Book Antiqua" w:hAnsi="Book Antiqua"/>
          <w:sz w:val="24"/>
          <w:szCs w:val="24"/>
        </w:rPr>
        <w:t>ea</w:t>
      </w:r>
      <w:r w:rsidR="00E11F13" w:rsidRPr="000E643C">
        <w:rPr>
          <w:rFonts w:ascii="Book Antiqua" w:hAnsi="Book Antiqua"/>
          <w:sz w:val="24"/>
          <w:szCs w:val="24"/>
        </w:rPr>
        <w:t>r-</w:t>
      </w:r>
      <w:r w:rsidRPr="000E643C">
        <w:rPr>
          <w:rFonts w:ascii="Book Antiqua" w:hAnsi="Book Antiqua"/>
          <w:sz w:val="24"/>
          <w:szCs w:val="24"/>
        </w:rPr>
        <w:t>olds modeled on the SONIC trial.</w:t>
      </w:r>
      <w:r w:rsidRPr="000E643C">
        <w:rPr>
          <w:rFonts w:ascii="Book Antiqua" w:hAnsi="Book Antiqua"/>
          <w:b/>
          <w:sz w:val="24"/>
          <w:szCs w:val="24"/>
        </w:rPr>
        <w:t xml:space="preserve"> </w:t>
      </w:r>
      <w:r w:rsidRPr="000E643C">
        <w:rPr>
          <w:rFonts w:ascii="Book Antiqua" w:hAnsi="Book Antiqua"/>
          <w:sz w:val="24"/>
          <w:szCs w:val="24"/>
        </w:rPr>
        <w:t xml:space="preserve">Here again the authors predicted that CT would result in an increased numbers of lymphomas for CT </w:t>
      </w:r>
      <w:r w:rsidRPr="00F028B0">
        <w:rPr>
          <w:rFonts w:ascii="Book Antiqua" w:hAnsi="Book Antiqua"/>
          <w:i/>
          <w:sz w:val="24"/>
          <w:szCs w:val="24"/>
        </w:rPr>
        <w:t>vs</w:t>
      </w:r>
      <w:r w:rsidRPr="000E643C">
        <w:rPr>
          <w:rFonts w:ascii="Book Antiqua" w:hAnsi="Book Antiqua"/>
          <w:sz w:val="24"/>
          <w:szCs w:val="24"/>
        </w:rPr>
        <w:t xml:space="preserve"> IFX monotherapy, 60 </w:t>
      </w:r>
      <w:r w:rsidRPr="00F028B0">
        <w:rPr>
          <w:rFonts w:ascii="Book Antiqua" w:hAnsi="Book Antiqua"/>
          <w:i/>
          <w:sz w:val="24"/>
          <w:szCs w:val="24"/>
        </w:rPr>
        <w:t xml:space="preserve">vs </w:t>
      </w:r>
      <w:r w:rsidRPr="000E643C">
        <w:rPr>
          <w:rFonts w:ascii="Book Antiqua" w:hAnsi="Book Antiqua"/>
          <w:sz w:val="24"/>
          <w:szCs w:val="24"/>
        </w:rPr>
        <w:t>40 cases respectively.</w:t>
      </w:r>
      <w:r w:rsidR="00E57DEB" w:rsidRPr="000E643C">
        <w:rPr>
          <w:rFonts w:ascii="Book Antiqua" w:hAnsi="Book Antiqua"/>
          <w:sz w:val="24"/>
          <w:szCs w:val="24"/>
        </w:rPr>
        <w:t xml:space="preserve"> </w:t>
      </w:r>
      <w:r w:rsidRPr="000E643C">
        <w:rPr>
          <w:rFonts w:ascii="Book Antiqua" w:hAnsi="Book Antiqua"/>
          <w:sz w:val="24"/>
          <w:szCs w:val="24"/>
        </w:rPr>
        <w:t>However, since most infections observed in CD are related to the underlying disease activity rather than opportunistic infections, they also predicted that the more effective treatment of CD with CT would result in far fewe</w:t>
      </w:r>
      <w:r w:rsidR="00F028B0">
        <w:rPr>
          <w:rFonts w:ascii="Book Antiqua" w:hAnsi="Book Antiqua"/>
          <w:sz w:val="24"/>
          <w:szCs w:val="24"/>
        </w:rPr>
        <w:t xml:space="preserve">r serious infections with CT </w:t>
      </w:r>
      <w:r w:rsidR="00F028B0" w:rsidRPr="00F028B0">
        <w:rPr>
          <w:rFonts w:ascii="Book Antiqua" w:hAnsi="Book Antiqua"/>
          <w:i/>
          <w:sz w:val="24"/>
          <w:szCs w:val="24"/>
        </w:rPr>
        <w:t>vs</w:t>
      </w:r>
      <w:r w:rsidR="00F028B0">
        <w:rPr>
          <w:rFonts w:ascii="Book Antiqua" w:hAnsi="Book Antiqua" w:hint="eastAsia"/>
          <w:sz w:val="24"/>
          <w:szCs w:val="24"/>
          <w:lang w:eastAsia="zh-CN"/>
        </w:rPr>
        <w:t xml:space="preserve"> </w:t>
      </w:r>
      <w:r w:rsidR="00F028B0">
        <w:rPr>
          <w:rFonts w:ascii="Book Antiqua" w:hAnsi="Book Antiqua"/>
          <w:sz w:val="24"/>
          <w:szCs w:val="24"/>
        </w:rPr>
        <w:t xml:space="preserve">IFX monotherapy, 3892 </w:t>
      </w:r>
      <w:r w:rsidR="00F028B0" w:rsidRPr="00F028B0">
        <w:rPr>
          <w:rFonts w:ascii="Book Antiqua" w:hAnsi="Book Antiqua"/>
          <w:i/>
          <w:sz w:val="24"/>
          <w:szCs w:val="24"/>
        </w:rPr>
        <w:t xml:space="preserve">vs </w:t>
      </w:r>
      <w:r w:rsidR="00F028B0">
        <w:rPr>
          <w:rFonts w:ascii="Book Antiqua" w:hAnsi="Book Antiqua"/>
          <w:sz w:val="24"/>
          <w:szCs w:val="24"/>
        </w:rPr>
        <w:t>4</w:t>
      </w:r>
      <w:r w:rsidRPr="000E643C">
        <w:rPr>
          <w:rFonts w:ascii="Book Antiqua" w:hAnsi="Book Antiqua"/>
          <w:sz w:val="24"/>
          <w:szCs w:val="24"/>
        </w:rPr>
        <w:t xml:space="preserve">884, ultimately resulting in fewer deaths </w:t>
      </w:r>
      <w:r w:rsidR="00B35F14" w:rsidRPr="000E643C">
        <w:rPr>
          <w:rFonts w:ascii="Book Antiqua" w:hAnsi="Book Antiqua"/>
          <w:sz w:val="24"/>
          <w:szCs w:val="24"/>
        </w:rPr>
        <w:t>(</w:t>
      </w:r>
      <w:r w:rsidRPr="000E643C">
        <w:rPr>
          <w:rFonts w:ascii="Book Antiqua" w:hAnsi="Book Antiqua"/>
          <w:sz w:val="24"/>
          <w:szCs w:val="24"/>
        </w:rPr>
        <w:t xml:space="preserve">399 </w:t>
      </w:r>
      <w:r w:rsidRPr="00F028B0">
        <w:rPr>
          <w:rFonts w:ascii="Book Antiqua" w:hAnsi="Book Antiqua"/>
          <w:i/>
          <w:sz w:val="24"/>
          <w:szCs w:val="24"/>
        </w:rPr>
        <w:t>vs</w:t>
      </w:r>
      <w:r w:rsidRPr="000E643C">
        <w:rPr>
          <w:rFonts w:ascii="Book Antiqua" w:hAnsi="Book Antiqua"/>
          <w:sz w:val="24"/>
          <w:szCs w:val="24"/>
        </w:rPr>
        <w:t xml:space="preserve"> 446</w:t>
      </w:r>
      <w:r w:rsidR="00B35F14" w:rsidRPr="000E643C">
        <w:rPr>
          <w:rFonts w:ascii="Book Antiqua" w:hAnsi="Book Antiqua"/>
          <w:sz w:val="24"/>
          <w:szCs w:val="24"/>
        </w:rPr>
        <w:t>)</w:t>
      </w:r>
      <w:r w:rsidRPr="000E643C">
        <w:rPr>
          <w:rFonts w:ascii="Book Antiqua" w:hAnsi="Book Antiqua"/>
          <w:sz w:val="24"/>
          <w:szCs w:val="24"/>
        </w:rPr>
        <w:t>.</w:t>
      </w:r>
      <w:r w:rsidR="00E57DEB" w:rsidRPr="000E643C">
        <w:rPr>
          <w:rFonts w:ascii="Book Antiqua" w:hAnsi="Book Antiqua"/>
          <w:sz w:val="24"/>
          <w:szCs w:val="24"/>
        </w:rPr>
        <w:t xml:space="preserve"> </w:t>
      </w:r>
      <w:r w:rsidRPr="000E643C">
        <w:rPr>
          <w:rFonts w:ascii="Book Antiqua" w:hAnsi="Book Antiqua"/>
          <w:sz w:val="24"/>
          <w:szCs w:val="24"/>
        </w:rPr>
        <w:t xml:space="preserve">The authors concluded that the benefits of CT would continue to outweigh the risks unless serious infections occurred in over 20% of CT patients-a rate 5 fold greater than predicted, or if lymphoma occurred in over 3.9% of CT patients-a rate 65 fold higher than predicted. </w:t>
      </w:r>
    </w:p>
    <w:p w14:paraId="2FAD3F4E" w14:textId="074C02B5" w:rsidR="0069331F" w:rsidRPr="000E643C" w:rsidRDefault="00796CB0" w:rsidP="00F028B0">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No review</w:t>
      </w:r>
      <w:r w:rsidR="003C7DED" w:rsidRPr="000E643C">
        <w:rPr>
          <w:rFonts w:ascii="Book Antiqua" w:hAnsi="Book Antiqua"/>
          <w:sz w:val="24"/>
          <w:szCs w:val="24"/>
        </w:rPr>
        <w:t>,</w:t>
      </w:r>
      <w:r w:rsidRPr="000E643C">
        <w:rPr>
          <w:rFonts w:ascii="Book Antiqua" w:hAnsi="Book Antiqua"/>
          <w:sz w:val="24"/>
          <w:szCs w:val="24"/>
        </w:rPr>
        <w:t xml:space="preserve"> however</w:t>
      </w:r>
      <w:r w:rsidR="003C7DED" w:rsidRPr="000E643C">
        <w:rPr>
          <w:rFonts w:ascii="Book Antiqua" w:hAnsi="Book Antiqua"/>
          <w:sz w:val="24"/>
          <w:szCs w:val="24"/>
        </w:rPr>
        <w:t>,</w:t>
      </w:r>
      <w:r w:rsidRPr="000E643C">
        <w:rPr>
          <w:rFonts w:ascii="Book Antiqua" w:hAnsi="Book Antiqua"/>
          <w:sz w:val="24"/>
          <w:szCs w:val="24"/>
        </w:rPr>
        <w:t xml:space="preserve"> of CT can be complete without addressing the rare, b</w:t>
      </w:r>
      <w:r w:rsidR="001F0F8E" w:rsidRPr="000E643C">
        <w:rPr>
          <w:rFonts w:ascii="Book Antiqua" w:hAnsi="Book Antiqua"/>
          <w:sz w:val="24"/>
          <w:szCs w:val="24"/>
        </w:rPr>
        <w:t xml:space="preserve">ut frightening complication of </w:t>
      </w:r>
      <w:proofErr w:type="spellStart"/>
      <w:r w:rsidR="001F0F8E" w:rsidRPr="000E643C">
        <w:rPr>
          <w:rFonts w:ascii="Book Antiqua" w:hAnsi="Book Antiqua"/>
          <w:sz w:val="24"/>
          <w:szCs w:val="24"/>
        </w:rPr>
        <w:t>h</w:t>
      </w:r>
      <w:r w:rsidR="00BA43DC" w:rsidRPr="000E643C">
        <w:rPr>
          <w:rFonts w:ascii="Book Antiqua" w:hAnsi="Book Antiqua"/>
          <w:sz w:val="24"/>
          <w:szCs w:val="24"/>
        </w:rPr>
        <w:t>epatosplenic</w:t>
      </w:r>
      <w:proofErr w:type="spellEnd"/>
      <w:r w:rsidR="00BA43DC" w:rsidRPr="000E643C">
        <w:rPr>
          <w:rFonts w:ascii="Book Antiqua" w:hAnsi="Book Antiqua"/>
          <w:sz w:val="24"/>
          <w:szCs w:val="24"/>
        </w:rPr>
        <w:t xml:space="preserve"> T-</w:t>
      </w:r>
      <w:r w:rsidRPr="000E643C">
        <w:rPr>
          <w:rFonts w:ascii="Book Antiqua" w:hAnsi="Book Antiqua"/>
          <w:sz w:val="24"/>
          <w:szCs w:val="24"/>
        </w:rPr>
        <w:t>cell lymphoma (HSTL), an aggressive and almost uniformly fatal disease that has been described among IBD patients using CT.</w:t>
      </w:r>
      <w:r w:rsidR="00E57DEB" w:rsidRPr="000E643C">
        <w:rPr>
          <w:rFonts w:ascii="Book Antiqua" w:hAnsi="Book Antiqua"/>
          <w:sz w:val="24"/>
          <w:szCs w:val="24"/>
        </w:rPr>
        <w:t xml:space="preserve"> </w:t>
      </w:r>
      <w:r w:rsidRPr="000E643C">
        <w:rPr>
          <w:rFonts w:ascii="Book Antiqua" w:hAnsi="Book Antiqua"/>
          <w:sz w:val="24"/>
          <w:szCs w:val="24"/>
        </w:rPr>
        <w:t xml:space="preserve">A recent systematic review of the literature by </w:t>
      </w:r>
      <w:proofErr w:type="spellStart"/>
      <w:r w:rsidRPr="000E643C">
        <w:rPr>
          <w:rFonts w:ascii="Book Antiqua" w:hAnsi="Book Antiqua"/>
          <w:sz w:val="24"/>
          <w:szCs w:val="24"/>
        </w:rPr>
        <w:t>Kotlyar</w:t>
      </w:r>
      <w:proofErr w:type="spellEnd"/>
      <w:r w:rsidRPr="000E643C">
        <w:rPr>
          <w:rFonts w:ascii="Book Antiqua" w:hAnsi="Book Antiqua"/>
          <w:sz w:val="24"/>
          <w:szCs w:val="24"/>
        </w:rPr>
        <w:t xml:space="preserve"> et al</w:t>
      </w:r>
      <w:r w:rsidR="00867681" w:rsidRPr="000E643C">
        <w:rPr>
          <w:rFonts w:ascii="Book Antiqua" w:hAnsi="Book Antiqua"/>
          <w:sz w:val="24"/>
          <w:szCs w:val="24"/>
        </w:rPr>
        <w:t>.</w:t>
      </w:r>
      <w:r w:rsidRPr="000E643C">
        <w:rPr>
          <w:rFonts w:ascii="Book Antiqua" w:hAnsi="Book Antiqua"/>
          <w:sz w:val="24"/>
          <w:szCs w:val="24"/>
        </w:rPr>
        <w:t xml:space="preserve"> documented 36 IBD patients who developed </w:t>
      </w:r>
      <w:proofErr w:type="gramStart"/>
      <w:r w:rsidRPr="000E643C">
        <w:rPr>
          <w:rFonts w:ascii="Book Antiqua" w:hAnsi="Book Antiqua"/>
          <w:sz w:val="24"/>
          <w:szCs w:val="24"/>
        </w:rPr>
        <w:t>HSTCL</w:t>
      </w:r>
      <w:r w:rsidR="00643EFC" w:rsidRPr="000E643C">
        <w:rPr>
          <w:rFonts w:ascii="Book Antiqua" w:hAnsi="Book Antiqua"/>
          <w:sz w:val="24"/>
          <w:szCs w:val="24"/>
          <w:vertAlign w:val="superscript"/>
        </w:rPr>
        <w:t>[</w:t>
      </w:r>
      <w:proofErr w:type="gramEnd"/>
      <w:r w:rsidR="00643EFC" w:rsidRPr="000E643C">
        <w:rPr>
          <w:rFonts w:ascii="Book Antiqua" w:hAnsi="Book Antiqua"/>
          <w:sz w:val="24"/>
          <w:szCs w:val="24"/>
          <w:vertAlign w:val="superscript"/>
        </w:rPr>
        <w:t>37]</w:t>
      </w:r>
      <w:r w:rsidRPr="000E643C">
        <w:rPr>
          <w:rFonts w:ascii="Book Antiqua" w:hAnsi="Book Antiqua"/>
          <w:sz w:val="24"/>
          <w:szCs w:val="24"/>
        </w:rPr>
        <w:t xml:space="preserve">. Of these, 20 received CT with a </w:t>
      </w:r>
      <w:proofErr w:type="spellStart"/>
      <w:r w:rsidRPr="000E643C">
        <w:rPr>
          <w:rFonts w:ascii="Book Antiqua" w:hAnsi="Book Antiqua"/>
          <w:sz w:val="24"/>
          <w:szCs w:val="24"/>
        </w:rPr>
        <w:t>thiopurine</w:t>
      </w:r>
      <w:proofErr w:type="spellEnd"/>
      <w:r w:rsidRPr="000E643C">
        <w:rPr>
          <w:rFonts w:ascii="Book Antiqua" w:hAnsi="Book Antiqua"/>
          <w:sz w:val="24"/>
          <w:szCs w:val="24"/>
        </w:rPr>
        <w:t xml:space="preserve"> and a TNF</w:t>
      </w:r>
      <w:r w:rsidR="005F3DBD" w:rsidRPr="000E643C">
        <w:rPr>
          <w:rFonts w:ascii="Book Antiqua" w:hAnsi="Book Antiqua"/>
          <w:sz w:val="24"/>
          <w:szCs w:val="24"/>
        </w:rPr>
        <w:t>-</w:t>
      </w:r>
      <w:r w:rsidRPr="000E643C">
        <w:rPr>
          <w:rFonts w:ascii="Book Antiqua" w:hAnsi="Book Antiqua" w:cs="Times New Roman"/>
          <w:sz w:val="24"/>
          <w:szCs w:val="24"/>
        </w:rPr>
        <w:t>α</w:t>
      </w:r>
      <w:r w:rsidRPr="000E643C">
        <w:rPr>
          <w:rFonts w:ascii="Book Antiqua" w:hAnsi="Book Antiqua"/>
          <w:sz w:val="24"/>
          <w:szCs w:val="24"/>
        </w:rPr>
        <w:t xml:space="preserve"> inhibitor, and 16 had </w:t>
      </w:r>
      <w:proofErr w:type="spellStart"/>
      <w:r w:rsidRPr="000E643C">
        <w:rPr>
          <w:rFonts w:ascii="Book Antiqua" w:hAnsi="Book Antiqua"/>
          <w:sz w:val="24"/>
          <w:szCs w:val="24"/>
        </w:rPr>
        <w:t>thiopurine</w:t>
      </w:r>
      <w:proofErr w:type="spellEnd"/>
      <w:r w:rsidRPr="000E643C">
        <w:rPr>
          <w:rFonts w:ascii="Book Antiqua" w:hAnsi="Book Antiqua"/>
          <w:sz w:val="24"/>
          <w:szCs w:val="24"/>
        </w:rPr>
        <w:t xml:space="preserve"> monotherapy.</w:t>
      </w:r>
      <w:r w:rsidR="00E57DEB" w:rsidRPr="000E643C">
        <w:rPr>
          <w:rFonts w:ascii="Book Antiqua" w:hAnsi="Book Antiqua"/>
          <w:sz w:val="24"/>
          <w:szCs w:val="24"/>
        </w:rPr>
        <w:t xml:space="preserve"> </w:t>
      </w:r>
      <w:r w:rsidRPr="000E643C">
        <w:rPr>
          <w:rFonts w:ascii="Book Antiqua" w:hAnsi="Book Antiqua"/>
          <w:sz w:val="24"/>
          <w:szCs w:val="24"/>
        </w:rPr>
        <w:t>There were no cases reported of HSTCL with TNF</w:t>
      </w:r>
      <w:r w:rsidR="005F3DBD" w:rsidRPr="000E643C">
        <w:rPr>
          <w:rFonts w:ascii="Book Antiqua" w:hAnsi="Book Antiqua"/>
          <w:sz w:val="24"/>
          <w:szCs w:val="24"/>
        </w:rPr>
        <w:t>-</w:t>
      </w:r>
      <w:r w:rsidRPr="000E643C">
        <w:rPr>
          <w:rFonts w:ascii="Book Antiqua" w:hAnsi="Book Antiqua" w:cs="Times New Roman"/>
          <w:sz w:val="24"/>
          <w:szCs w:val="24"/>
        </w:rPr>
        <w:t>α</w:t>
      </w:r>
      <w:r w:rsidRPr="000E643C">
        <w:rPr>
          <w:rFonts w:ascii="Book Antiqua" w:hAnsi="Book Antiqua"/>
          <w:sz w:val="24"/>
          <w:szCs w:val="24"/>
        </w:rPr>
        <w:t xml:space="preserve"> inhibitor monotherapy. Only 2 (6.5%) were female, and the median age was 22.5 years.</w:t>
      </w:r>
      <w:r w:rsidR="00E57DEB" w:rsidRPr="000E643C">
        <w:rPr>
          <w:rFonts w:ascii="Book Antiqua" w:hAnsi="Book Antiqua"/>
          <w:sz w:val="24"/>
          <w:szCs w:val="24"/>
        </w:rPr>
        <w:t xml:space="preserve"> </w:t>
      </w:r>
      <w:r w:rsidRPr="000E643C">
        <w:rPr>
          <w:rFonts w:ascii="Book Antiqua" w:hAnsi="Book Antiqua"/>
          <w:sz w:val="24"/>
          <w:szCs w:val="24"/>
        </w:rPr>
        <w:t xml:space="preserve">Notably only one patient, in the CT group, had a history of less than 2 years of </w:t>
      </w:r>
      <w:proofErr w:type="spellStart"/>
      <w:r w:rsidRPr="000E643C">
        <w:rPr>
          <w:rFonts w:ascii="Book Antiqua" w:hAnsi="Book Antiqua"/>
          <w:sz w:val="24"/>
          <w:szCs w:val="24"/>
        </w:rPr>
        <w:t>thiopurine</w:t>
      </w:r>
      <w:proofErr w:type="spellEnd"/>
      <w:r w:rsidRPr="000E643C">
        <w:rPr>
          <w:rFonts w:ascii="Book Antiqua" w:hAnsi="Book Antiqua"/>
          <w:sz w:val="24"/>
          <w:szCs w:val="24"/>
        </w:rPr>
        <w:t xml:space="preserve"> use.</w:t>
      </w:r>
      <w:r w:rsidR="00E57DEB" w:rsidRPr="000E643C">
        <w:rPr>
          <w:rFonts w:ascii="Book Antiqua" w:hAnsi="Book Antiqua"/>
          <w:sz w:val="24"/>
          <w:szCs w:val="24"/>
        </w:rPr>
        <w:t xml:space="preserve"> </w:t>
      </w:r>
      <w:r w:rsidRPr="000E643C">
        <w:rPr>
          <w:rFonts w:ascii="Book Antiqua" w:hAnsi="Book Antiqua"/>
          <w:sz w:val="24"/>
          <w:szCs w:val="24"/>
        </w:rPr>
        <w:t>Overall, the authors concluded that the risk of HSTCL was highest for young men on CT, estimated at 1:3534.</w:t>
      </w:r>
    </w:p>
    <w:p w14:paraId="0A109A45" w14:textId="77777777" w:rsidR="00643EFC" w:rsidRDefault="00643EFC" w:rsidP="00E57DEB">
      <w:pPr>
        <w:widowControl w:val="0"/>
        <w:adjustRightInd w:val="0"/>
        <w:snapToGrid w:val="0"/>
        <w:spacing w:after="0" w:line="360" w:lineRule="auto"/>
        <w:jc w:val="both"/>
        <w:rPr>
          <w:rFonts w:ascii="Book Antiqua" w:hAnsi="Book Antiqua"/>
          <w:b/>
          <w:sz w:val="24"/>
          <w:szCs w:val="24"/>
          <w:u w:val="single"/>
          <w:lang w:eastAsia="zh-CN"/>
        </w:rPr>
      </w:pPr>
    </w:p>
    <w:p w14:paraId="246262E9" w14:textId="2A8137B4" w:rsidR="0069331F" w:rsidRPr="00643EFC" w:rsidRDefault="00796CB0" w:rsidP="00E57DEB">
      <w:pPr>
        <w:widowControl w:val="0"/>
        <w:adjustRightInd w:val="0"/>
        <w:snapToGrid w:val="0"/>
        <w:spacing w:after="0" w:line="360" w:lineRule="auto"/>
        <w:jc w:val="both"/>
        <w:rPr>
          <w:rFonts w:ascii="Book Antiqua" w:hAnsi="Book Antiqua"/>
          <w:b/>
          <w:i/>
          <w:sz w:val="24"/>
          <w:szCs w:val="24"/>
          <w:lang w:eastAsia="zh-CN"/>
        </w:rPr>
      </w:pPr>
      <w:r w:rsidRPr="00643EFC">
        <w:rPr>
          <w:rFonts w:ascii="Book Antiqua" w:hAnsi="Book Antiqua"/>
          <w:b/>
          <w:i/>
          <w:sz w:val="24"/>
          <w:szCs w:val="24"/>
        </w:rPr>
        <w:t xml:space="preserve">Utilization of </w:t>
      </w:r>
      <w:r w:rsidR="00EF070E" w:rsidRPr="00643EFC">
        <w:rPr>
          <w:rFonts w:ascii="Book Antiqua" w:hAnsi="Book Antiqua" w:hint="eastAsia"/>
          <w:b/>
          <w:i/>
          <w:sz w:val="24"/>
          <w:szCs w:val="24"/>
          <w:lang w:eastAsia="zh-CN"/>
        </w:rPr>
        <w:t>CT</w:t>
      </w:r>
    </w:p>
    <w:p w14:paraId="6D795ABC" w14:textId="66A3581D" w:rsidR="0069331F" w:rsidRPr="000E643C" w:rsidRDefault="00796CB0"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 xml:space="preserve">Just as the literature addressing CT provides a variety of outcomes depending upon the </w:t>
      </w:r>
      <w:r w:rsidRPr="000E643C">
        <w:rPr>
          <w:rFonts w:ascii="Book Antiqua" w:hAnsi="Book Antiqua"/>
          <w:sz w:val="24"/>
          <w:szCs w:val="24"/>
        </w:rPr>
        <w:lastRenderedPageBreak/>
        <w:t>population analyzed and the question being asked, so too does the real world data on the utilization of CT.</w:t>
      </w:r>
      <w:r w:rsidR="00E57DEB" w:rsidRPr="000E643C">
        <w:rPr>
          <w:rFonts w:ascii="Book Antiqua" w:hAnsi="Book Antiqua"/>
          <w:sz w:val="24"/>
          <w:szCs w:val="24"/>
        </w:rPr>
        <w:t xml:space="preserve"> </w:t>
      </w:r>
      <w:r w:rsidRPr="000E643C">
        <w:rPr>
          <w:rFonts w:ascii="Book Antiqua" w:hAnsi="Book Antiqua"/>
          <w:sz w:val="24"/>
          <w:szCs w:val="24"/>
        </w:rPr>
        <w:t>In a recent large prospective survey study of seven high volume tertiary referral IBD practices, 1659</w:t>
      </w:r>
      <w:r w:rsidR="007C1714" w:rsidRPr="000E643C">
        <w:rPr>
          <w:rFonts w:ascii="Book Antiqua" w:hAnsi="Book Antiqua"/>
          <w:sz w:val="24"/>
          <w:szCs w:val="24"/>
        </w:rPr>
        <w:t xml:space="preserve"> patients</w:t>
      </w:r>
      <w:r w:rsidRPr="000E643C">
        <w:rPr>
          <w:rFonts w:ascii="Book Antiqua" w:hAnsi="Book Antiqua"/>
          <w:sz w:val="24"/>
          <w:szCs w:val="24"/>
        </w:rPr>
        <w:t xml:space="preserve"> with CD, 946 with UC, and 60 indeterminate colitis, a wide variation of usage of CT was noted, particularly among those with CD</w:t>
      </w:r>
      <w:r w:rsidR="00782889" w:rsidRPr="000E643C">
        <w:rPr>
          <w:rFonts w:ascii="Book Antiqua" w:hAnsi="Book Antiqua"/>
          <w:sz w:val="24"/>
          <w:szCs w:val="24"/>
          <w:vertAlign w:val="superscript"/>
        </w:rPr>
        <w:t>[38]</w:t>
      </w:r>
      <w:r w:rsidRPr="000E643C">
        <w:rPr>
          <w:rFonts w:ascii="Book Antiqua" w:hAnsi="Book Antiqua"/>
          <w:sz w:val="24"/>
          <w:szCs w:val="24"/>
        </w:rPr>
        <w:t xml:space="preserve">. While initially only including those with an IBD diagnosis of less than 4 years, the authors ultimately included patients with all disease durations in their cohort. For those with CD, the lowest site utilization rate of CT was 8%, </w:t>
      </w:r>
      <w:r w:rsidRPr="00782889">
        <w:rPr>
          <w:rFonts w:ascii="Book Antiqua" w:hAnsi="Book Antiqua"/>
          <w:i/>
          <w:sz w:val="24"/>
          <w:szCs w:val="24"/>
        </w:rPr>
        <w:t>vs</w:t>
      </w:r>
      <w:r w:rsidRPr="000E643C">
        <w:rPr>
          <w:rFonts w:ascii="Book Antiqua" w:hAnsi="Book Antiqua"/>
          <w:sz w:val="24"/>
          <w:szCs w:val="24"/>
        </w:rPr>
        <w:t xml:space="preserve"> 32% at the site with the high</w:t>
      </w:r>
      <w:r w:rsidR="00782889">
        <w:rPr>
          <w:rFonts w:ascii="Book Antiqua" w:hAnsi="Book Antiqua"/>
          <w:sz w:val="24"/>
          <w:szCs w:val="24"/>
        </w:rPr>
        <w:t>est frequency, adjusted OR (95%</w:t>
      </w:r>
      <w:r w:rsidRPr="000E643C">
        <w:rPr>
          <w:rFonts w:ascii="Book Antiqua" w:hAnsi="Book Antiqua"/>
          <w:sz w:val="24"/>
          <w:szCs w:val="24"/>
        </w:rPr>
        <w:t>CI) 3.15 (1.79-5.56). The authors report that the results observed were similar when excluding the site with the lowest frequency from each parameter of analysis.</w:t>
      </w:r>
      <w:r w:rsidR="00E57DEB" w:rsidRPr="000E643C">
        <w:rPr>
          <w:rFonts w:ascii="Book Antiqua" w:hAnsi="Book Antiqua"/>
          <w:sz w:val="24"/>
          <w:szCs w:val="24"/>
        </w:rPr>
        <w:t xml:space="preserve"> </w:t>
      </w:r>
    </w:p>
    <w:p w14:paraId="639AD32F" w14:textId="09B14CEA" w:rsidR="0069331F" w:rsidRPr="000E643C" w:rsidRDefault="00796CB0" w:rsidP="00782889">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Among the entire CD cohort, slightly more than half of anti-TNF use was as part of CT, with 47% overall on anti-TNF and 21% on CT.</w:t>
      </w:r>
      <w:r w:rsidR="00E57DEB" w:rsidRPr="000E643C">
        <w:rPr>
          <w:rFonts w:ascii="Book Antiqua" w:hAnsi="Book Antiqua"/>
          <w:sz w:val="24"/>
          <w:szCs w:val="24"/>
        </w:rPr>
        <w:t xml:space="preserve"> </w:t>
      </w:r>
      <w:r w:rsidRPr="000E643C">
        <w:rPr>
          <w:rFonts w:ascii="Book Antiqua" w:hAnsi="Book Antiqua"/>
          <w:sz w:val="24"/>
          <w:szCs w:val="24"/>
        </w:rPr>
        <w:t>For those with UC, the range of usage of CT was 6% to 13%, OR 1.14 (0.48-2.78).</w:t>
      </w:r>
      <w:r w:rsidR="00E57DEB" w:rsidRPr="000E643C">
        <w:rPr>
          <w:rFonts w:ascii="Book Antiqua" w:hAnsi="Book Antiqua"/>
          <w:sz w:val="24"/>
          <w:szCs w:val="24"/>
        </w:rPr>
        <w:t xml:space="preserve"> </w:t>
      </w:r>
      <w:r w:rsidRPr="000E643C">
        <w:rPr>
          <w:rFonts w:ascii="Book Antiqua" w:hAnsi="Book Antiqua"/>
          <w:sz w:val="24"/>
          <w:szCs w:val="24"/>
        </w:rPr>
        <w:t>Among the entire UC cohort, less than a third of anti-TNF use was part of CT, with 23% overall on anti-TNF and 9% on CT.</w:t>
      </w:r>
      <w:r w:rsidR="00E57DEB" w:rsidRPr="000E643C">
        <w:rPr>
          <w:rFonts w:ascii="Book Antiqua" w:hAnsi="Book Antiqua"/>
          <w:sz w:val="24"/>
          <w:szCs w:val="24"/>
        </w:rPr>
        <w:t xml:space="preserve"> </w:t>
      </w:r>
      <w:r w:rsidRPr="000E643C">
        <w:rPr>
          <w:rFonts w:ascii="Book Antiqua" w:hAnsi="Book Antiqua"/>
          <w:sz w:val="24"/>
          <w:szCs w:val="24"/>
        </w:rPr>
        <w:t>It should be noted that the authors did not provide a breakdown of the type of biologic therapy used, so we have no way of knowing if the proportion of CT usage was higher among IFX patients, where the evidence to support CT is significantly stronger.</w:t>
      </w:r>
      <w:r w:rsidR="00E57DEB" w:rsidRPr="000E643C">
        <w:rPr>
          <w:rFonts w:ascii="Book Antiqua" w:hAnsi="Book Antiqua"/>
          <w:sz w:val="24"/>
          <w:szCs w:val="24"/>
        </w:rPr>
        <w:t xml:space="preserve"> </w:t>
      </w:r>
      <w:r w:rsidRPr="000E643C">
        <w:rPr>
          <w:rFonts w:ascii="Book Antiqua" w:hAnsi="Book Antiqua"/>
          <w:sz w:val="24"/>
          <w:szCs w:val="24"/>
        </w:rPr>
        <w:t>Additionally, the results do not specify rates of CT usage for induction vs. maintenance, where we have also seen differing degrees of supporting data.</w:t>
      </w:r>
      <w:r w:rsidR="00E57DEB" w:rsidRPr="000E643C">
        <w:rPr>
          <w:rFonts w:ascii="Book Antiqua" w:hAnsi="Book Antiqua"/>
          <w:sz w:val="24"/>
          <w:szCs w:val="24"/>
        </w:rPr>
        <w:t xml:space="preserve"> </w:t>
      </w:r>
    </w:p>
    <w:p w14:paraId="45A499B3" w14:textId="05D3720F" w:rsidR="0069331F" w:rsidRPr="000E643C" w:rsidRDefault="00796CB0" w:rsidP="00782889">
      <w:pPr>
        <w:widowControl w:val="0"/>
        <w:adjustRightInd w:val="0"/>
        <w:snapToGrid w:val="0"/>
        <w:spacing w:after="0" w:line="360" w:lineRule="auto"/>
        <w:ind w:firstLineChars="100" w:firstLine="240"/>
        <w:jc w:val="both"/>
        <w:rPr>
          <w:rFonts w:ascii="Book Antiqua" w:hAnsi="Book Antiqua"/>
          <w:sz w:val="24"/>
          <w:szCs w:val="24"/>
        </w:rPr>
      </w:pPr>
      <w:r w:rsidRPr="000E643C">
        <w:rPr>
          <w:rFonts w:ascii="Book Antiqua" w:hAnsi="Book Antiqua"/>
          <w:sz w:val="24"/>
          <w:szCs w:val="24"/>
        </w:rPr>
        <w:t xml:space="preserve">A recent population wide study from </w:t>
      </w:r>
      <w:proofErr w:type="gramStart"/>
      <w:r w:rsidRPr="000E643C">
        <w:rPr>
          <w:rFonts w:ascii="Book Antiqua" w:hAnsi="Book Antiqua"/>
          <w:sz w:val="24"/>
          <w:szCs w:val="24"/>
        </w:rPr>
        <w:t>France</w:t>
      </w:r>
      <w:r w:rsidRPr="000E643C">
        <w:rPr>
          <w:rFonts w:ascii="Book Antiqua" w:hAnsi="Book Antiqua"/>
          <w:sz w:val="24"/>
          <w:szCs w:val="24"/>
          <w:vertAlign w:val="superscript"/>
        </w:rPr>
        <w:t>[</w:t>
      </w:r>
      <w:proofErr w:type="gramEnd"/>
      <w:r w:rsidRPr="000E643C">
        <w:rPr>
          <w:rFonts w:ascii="Book Antiqua" w:hAnsi="Book Antiqua"/>
          <w:sz w:val="24"/>
          <w:szCs w:val="24"/>
          <w:vertAlign w:val="superscript"/>
        </w:rPr>
        <w:t>3</w:t>
      </w:r>
      <w:r w:rsidR="00B7115C" w:rsidRPr="000E643C">
        <w:rPr>
          <w:rFonts w:ascii="Book Antiqua" w:hAnsi="Book Antiqua"/>
          <w:sz w:val="24"/>
          <w:szCs w:val="24"/>
          <w:vertAlign w:val="superscript"/>
        </w:rPr>
        <w:t>9</w:t>
      </w:r>
      <w:r w:rsidRPr="000E643C">
        <w:rPr>
          <w:rFonts w:ascii="Book Antiqua" w:hAnsi="Book Antiqua"/>
          <w:sz w:val="24"/>
          <w:szCs w:val="24"/>
          <w:vertAlign w:val="superscript"/>
        </w:rPr>
        <w:t>]</w:t>
      </w:r>
      <w:r w:rsidRPr="000E643C">
        <w:rPr>
          <w:rFonts w:ascii="Book Antiqua" w:hAnsi="Book Antiqua"/>
          <w:sz w:val="24"/>
          <w:szCs w:val="24"/>
        </w:rPr>
        <w:t xml:space="preserve"> prospectively followed all IBD patients affiliated to the French national health insurance, tracking treatment and outcomes over the years 2009-2014.</w:t>
      </w:r>
      <w:r w:rsidR="00E57DEB" w:rsidRPr="000E643C">
        <w:rPr>
          <w:rFonts w:ascii="Book Antiqua" w:hAnsi="Book Antiqua"/>
          <w:sz w:val="24"/>
          <w:szCs w:val="24"/>
        </w:rPr>
        <w:t xml:space="preserve"> </w:t>
      </w:r>
      <w:r w:rsidRPr="000E643C">
        <w:rPr>
          <w:rFonts w:ascii="Book Antiqua" w:hAnsi="Book Antiqua"/>
          <w:sz w:val="24"/>
          <w:szCs w:val="24"/>
        </w:rPr>
        <w:t>During that time there were 69725 new incident patients with IBD. CT was defined as the concomitant initiation of anti-TNF</w:t>
      </w:r>
      <w:r w:rsidR="005F3DBD" w:rsidRPr="000E643C">
        <w:rPr>
          <w:rFonts w:ascii="Book Antiqua" w:hAnsi="Book Antiqua"/>
          <w:sz w:val="24"/>
          <w:szCs w:val="24"/>
        </w:rPr>
        <w:t>’</w:t>
      </w:r>
      <w:r w:rsidRPr="000E643C">
        <w:rPr>
          <w:rFonts w:ascii="Book Antiqua" w:hAnsi="Book Antiqua"/>
          <w:sz w:val="24"/>
          <w:szCs w:val="24"/>
        </w:rPr>
        <w:t xml:space="preserve">s and </w:t>
      </w:r>
      <w:proofErr w:type="spellStart"/>
      <w:r w:rsidRPr="000E643C">
        <w:rPr>
          <w:rFonts w:ascii="Book Antiqua" w:hAnsi="Book Antiqua"/>
          <w:sz w:val="24"/>
          <w:szCs w:val="24"/>
        </w:rPr>
        <w:t>thiopurines</w:t>
      </w:r>
      <w:proofErr w:type="spellEnd"/>
      <w:r w:rsidRPr="000E643C">
        <w:rPr>
          <w:rFonts w:ascii="Book Antiqua" w:hAnsi="Book Antiqua"/>
          <w:sz w:val="24"/>
          <w:szCs w:val="24"/>
        </w:rPr>
        <w:t xml:space="preserve"> in a period of 30 d.</w:t>
      </w:r>
      <w:r w:rsidR="00E57DEB" w:rsidRPr="000E643C">
        <w:rPr>
          <w:rFonts w:ascii="Book Antiqua" w:hAnsi="Book Antiqua"/>
          <w:sz w:val="24"/>
          <w:szCs w:val="24"/>
        </w:rPr>
        <w:t xml:space="preserve"> </w:t>
      </w:r>
      <w:r w:rsidRPr="000E643C">
        <w:rPr>
          <w:rFonts w:ascii="Book Antiqua" w:hAnsi="Book Antiqua"/>
          <w:sz w:val="24"/>
          <w:szCs w:val="24"/>
        </w:rPr>
        <w:t>Among these new</w:t>
      </w:r>
      <w:r w:rsidR="00137C70" w:rsidRPr="000E643C">
        <w:rPr>
          <w:rFonts w:ascii="Book Antiqua" w:hAnsi="Book Antiqua"/>
          <w:sz w:val="24"/>
          <w:szCs w:val="24"/>
        </w:rPr>
        <w:t>ly diagnosed CD patients, the 5-</w:t>
      </w:r>
      <w:r w:rsidRPr="000E643C">
        <w:rPr>
          <w:rFonts w:ascii="Book Antiqua" w:hAnsi="Book Antiqua"/>
          <w:sz w:val="24"/>
          <w:szCs w:val="24"/>
        </w:rPr>
        <w:t>year cumulative probability of CT and anti-TNF monotherapy was 18.3% and 33.</w:t>
      </w:r>
      <w:r w:rsidR="00137C70" w:rsidRPr="000E643C">
        <w:rPr>
          <w:rFonts w:ascii="Book Antiqua" w:hAnsi="Book Antiqua"/>
          <w:sz w:val="24"/>
          <w:szCs w:val="24"/>
        </w:rPr>
        <w:t>8% respectively.</w:t>
      </w:r>
      <w:r w:rsidR="00E57DEB" w:rsidRPr="000E643C">
        <w:rPr>
          <w:rFonts w:ascii="Book Antiqua" w:hAnsi="Book Antiqua"/>
          <w:sz w:val="24"/>
          <w:szCs w:val="24"/>
        </w:rPr>
        <w:t xml:space="preserve"> </w:t>
      </w:r>
      <w:r w:rsidR="00137C70" w:rsidRPr="000E643C">
        <w:rPr>
          <w:rFonts w:ascii="Book Antiqua" w:hAnsi="Book Antiqua"/>
          <w:sz w:val="24"/>
          <w:szCs w:val="24"/>
        </w:rPr>
        <w:t>For UC, the 5-</w:t>
      </w:r>
      <w:r w:rsidRPr="000E643C">
        <w:rPr>
          <w:rFonts w:ascii="Book Antiqua" w:hAnsi="Book Antiqua"/>
          <w:sz w:val="24"/>
          <w:szCs w:val="24"/>
        </w:rPr>
        <w:t>year cumulative probability of CT and anti-TNF monotherapy was 7.4% and 12.9</w:t>
      </w:r>
      <w:r w:rsidR="00137C70" w:rsidRPr="000E643C">
        <w:rPr>
          <w:rFonts w:ascii="Book Antiqua" w:hAnsi="Book Antiqua"/>
          <w:sz w:val="24"/>
          <w:szCs w:val="24"/>
        </w:rPr>
        <w:t>% respectively,</w:t>
      </w:r>
      <w:r w:rsidRPr="000E643C">
        <w:rPr>
          <w:rFonts w:ascii="Book Antiqua" w:hAnsi="Book Antiqua"/>
          <w:sz w:val="24"/>
          <w:szCs w:val="24"/>
        </w:rPr>
        <w:t xml:space="preserve"> </w:t>
      </w:r>
      <w:r w:rsidRPr="00782889">
        <w:rPr>
          <w:rFonts w:ascii="Book Antiqua" w:hAnsi="Book Antiqua"/>
          <w:i/>
          <w:sz w:val="24"/>
          <w:szCs w:val="24"/>
        </w:rPr>
        <w:t>i.e.</w:t>
      </w:r>
      <w:r w:rsidR="00782889">
        <w:rPr>
          <w:rFonts w:ascii="Book Antiqua" w:hAnsi="Book Antiqua" w:hint="eastAsia"/>
          <w:sz w:val="24"/>
          <w:szCs w:val="24"/>
          <w:lang w:eastAsia="zh-CN"/>
        </w:rPr>
        <w:t>,</w:t>
      </w:r>
      <w:r w:rsidRPr="000E643C">
        <w:rPr>
          <w:rFonts w:ascii="Book Antiqua" w:hAnsi="Book Antiqua"/>
          <w:sz w:val="24"/>
          <w:szCs w:val="24"/>
        </w:rPr>
        <w:t xml:space="preserve"> CT accounted for just slightly more than half of anti-TNF use.</w:t>
      </w:r>
      <w:r w:rsidR="00E57DEB" w:rsidRPr="000E643C">
        <w:rPr>
          <w:rFonts w:ascii="Book Antiqua" w:hAnsi="Book Antiqua"/>
          <w:sz w:val="24"/>
          <w:szCs w:val="24"/>
        </w:rPr>
        <w:t xml:space="preserve"> </w:t>
      </w:r>
      <w:r w:rsidRPr="000E643C">
        <w:rPr>
          <w:rFonts w:ascii="Book Antiqua" w:hAnsi="Book Antiqua"/>
          <w:sz w:val="24"/>
          <w:szCs w:val="24"/>
        </w:rPr>
        <w:t>The authors report that CT was more frequent with IFX after one year than with ADA for b</w:t>
      </w:r>
      <w:r w:rsidR="00782889">
        <w:rPr>
          <w:rFonts w:ascii="Book Antiqua" w:hAnsi="Book Antiqua"/>
          <w:sz w:val="24"/>
          <w:szCs w:val="24"/>
        </w:rPr>
        <w:t xml:space="preserve">oth CD and UC patients (4.2% </w:t>
      </w:r>
      <w:r w:rsidR="00782889" w:rsidRPr="00782889">
        <w:rPr>
          <w:rFonts w:ascii="Book Antiqua" w:hAnsi="Book Antiqua"/>
          <w:i/>
          <w:sz w:val="24"/>
          <w:szCs w:val="24"/>
        </w:rPr>
        <w:t>vs</w:t>
      </w:r>
      <w:r w:rsidR="00782889">
        <w:rPr>
          <w:rFonts w:ascii="Book Antiqua" w:hAnsi="Book Antiqua"/>
          <w:sz w:val="24"/>
          <w:szCs w:val="24"/>
        </w:rPr>
        <w:t xml:space="preserve"> 3.1% and 1.7% </w:t>
      </w:r>
      <w:r w:rsidR="00782889" w:rsidRPr="00782889">
        <w:rPr>
          <w:rFonts w:ascii="Book Antiqua" w:hAnsi="Book Antiqua"/>
          <w:i/>
          <w:sz w:val="24"/>
          <w:szCs w:val="24"/>
        </w:rPr>
        <w:t>vs</w:t>
      </w:r>
      <w:r w:rsidRPr="000E643C">
        <w:rPr>
          <w:rFonts w:ascii="Book Antiqua" w:hAnsi="Book Antiqua"/>
          <w:sz w:val="24"/>
          <w:szCs w:val="24"/>
        </w:rPr>
        <w:t xml:space="preserve"> 0.6) respectively.</w:t>
      </w:r>
      <w:r w:rsidR="00E57DEB" w:rsidRPr="000E643C">
        <w:rPr>
          <w:rFonts w:ascii="Book Antiqua" w:hAnsi="Book Antiqua"/>
          <w:sz w:val="24"/>
          <w:szCs w:val="24"/>
        </w:rPr>
        <w:t xml:space="preserve"> </w:t>
      </w:r>
      <w:r w:rsidRPr="000E643C">
        <w:rPr>
          <w:rFonts w:ascii="Book Antiqua" w:hAnsi="Book Antiqua"/>
          <w:sz w:val="24"/>
          <w:szCs w:val="24"/>
        </w:rPr>
        <w:t xml:space="preserve">Given the this data arises from a large/general population, it is not </w:t>
      </w:r>
      <w:r w:rsidRPr="000E643C">
        <w:rPr>
          <w:rFonts w:ascii="Book Antiqua" w:hAnsi="Book Antiqua"/>
          <w:sz w:val="24"/>
          <w:szCs w:val="24"/>
        </w:rPr>
        <w:lastRenderedPageBreak/>
        <w:t>surprising to see lower overall rates of biologic use and CT use than in the population from the IBD referral centers.</w:t>
      </w:r>
      <w:r w:rsidR="00E57DEB" w:rsidRPr="000E643C">
        <w:rPr>
          <w:rFonts w:ascii="Book Antiqua" w:hAnsi="Book Antiqua"/>
          <w:sz w:val="24"/>
          <w:szCs w:val="24"/>
        </w:rPr>
        <w:t xml:space="preserve"> </w:t>
      </w:r>
      <w:r w:rsidRPr="000E643C">
        <w:rPr>
          <w:rFonts w:ascii="Book Antiqua" w:hAnsi="Book Antiqua"/>
          <w:sz w:val="24"/>
          <w:szCs w:val="24"/>
        </w:rPr>
        <w:t>It is noteworthy however that the proportion of CT use among those using anti-TNF is fairly similar.</w:t>
      </w:r>
    </w:p>
    <w:p w14:paraId="56A949E2" w14:textId="203A3916" w:rsidR="0069331F" w:rsidRPr="000E643C" w:rsidRDefault="00796CB0" w:rsidP="00782889">
      <w:pPr>
        <w:widowControl w:val="0"/>
        <w:adjustRightInd w:val="0"/>
        <w:snapToGrid w:val="0"/>
        <w:spacing w:after="0" w:line="360" w:lineRule="auto"/>
        <w:ind w:firstLineChars="100" w:firstLine="240"/>
        <w:jc w:val="both"/>
        <w:rPr>
          <w:rFonts w:ascii="Book Antiqua" w:hAnsi="Book Antiqua"/>
          <w:b/>
          <w:sz w:val="24"/>
          <w:szCs w:val="24"/>
        </w:rPr>
      </w:pPr>
      <w:r w:rsidRPr="000E643C">
        <w:rPr>
          <w:rFonts w:ascii="Book Antiqua" w:hAnsi="Book Antiqua"/>
          <w:sz w:val="24"/>
          <w:szCs w:val="24"/>
        </w:rPr>
        <w:t xml:space="preserve">In a retrospective review of community trends of biologic use from the US, we analyzed referrals to our institution’s infusion center which provided IFX infusion services to both the full time teaching faculty, as well as to private practice </w:t>
      </w:r>
      <w:proofErr w:type="gramStart"/>
      <w:r w:rsidRPr="000E643C">
        <w:rPr>
          <w:rFonts w:ascii="Book Antiqua" w:hAnsi="Book Antiqua"/>
          <w:sz w:val="24"/>
          <w:szCs w:val="24"/>
        </w:rPr>
        <w:t>gastroenterologists</w:t>
      </w:r>
      <w:r w:rsidR="00782889" w:rsidRPr="000E643C">
        <w:rPr>
          <w:rFonts w:ascii="Book Antiqua" w:hAnsi="Book Antiqua"/>
          <w:sz w:val="24"/>
          <w:szCs w:val="24"/>
          <w:vertAlign w:val="superscript"/>
        </w:rPr>
        <w:t>[</w:t>
      </w:r>
      <w:proofErr w:type="gramEnd"/>
      <w:r w:rsidR="00782889" w:rsidRPr="000E643C">
        <w:rPr>
          <w:rFonts w:ascii="Book Antiqua" w:hAnsi="Book Antiqua"/>
          <w:sz w:val="24"/>
          <w:szCs w:val="24"/>
          <w:vertAlign w:val="superscript"/>
        </w:rPr>
        <w:t>40]</w:t>
      </w:r>
      <w:r w:rsidRPr="000E643C">
        <w:rPr>
          <w:rFonts w:ascii="Book Antiqua" w:hAnsi="Book Antiqua"/>
          <w:sz w:val="24"/>
          <w:szCs w:val="24"/>
        </w:rPr>
        <w:t>. Overall 247 new IFX referrals (154 CD, 93 UC) started on treatment from 2002 to 2014.</w:t>
      </w:r>
      <w:r w:rsidR="00E57DEB" w:rsidRPr="000E643C">
        <w:rPr>
          <w:rFonts w:ascii="Book Antiqua" w:hAnsi="Book Antiqua"/>
          <w:sz w:val="24"/>
          <w:szCs w:val="24"/>
        </w:rPr>
        <w:t xml:space="preserve"> </w:t>
      </w:r>
      <w:r w:rsidRPr="000E643C">
        <w:rPr>
          <w:rFonts w:ascii="Book Antiqua" w:hAnsi="Book Antiqua"/>
          <w:sz w:val="24"/>
          <w:szCs w:val="24"/>
        </w:rPr>
        <w:t>Only 23.3% of patients received CT at the time of their first infusion (24% CD, 20.4% UC).</w:t>
      </w:r>
      <w:r w:rsidR="00E57DEB" w:rsidRPr="000E643C">
        <w:rPr>
          <w:rFonts w:ascii="Book Antiqua" w:hAnsi="Book Antiqua"/>
          <w:sz w:val="24"/>
          <w:szCs w:val="24"/>
        </w:rPr>
        <w:t xml:space="preserve"> </w:t>
      </w:r>
      <w:r w:rsidRPr="000E643C">
        <w:rPr>
          <w:rFonts w:ascii="Book Antiqua" w:hAnsi="Book Antiqua"/>
          <w:sz w:val="24"/>
          <w:szCs w:val="24"/>
        </w:rPr>
        <w:t>These results were similar when analyzing the subgroup of 127 patients receiving IFX as part of a standard 0,</w:t>
      </w:r>
      <w:r w:rsidR="00782889">
        <w:rPr>
          <w:rFonts w:ascii="Book Antiqua" w:hAnsi="Book Antiqua" w:hint="eastAsia"/>
          <w:sz w:val="24"/>
          <w:szCs w:val="24"/>
          <w:lang w:eastAsia="zh-CN"/>
        </w:rPr>
        <w:t xml:space="preserve"> </w:t>
      </w:r>
      <w:r w:rsidRPr="000E643C">
        <w:rPr>
          <w:rFonts w:ascii="Book Antiqua" w:hAnsi="Book Antiqua"/>
          <w:sz w:val="24"/>
          <w:szCs w:val="24"/>
        </w:rPr>
        <w:t>2,</w:t>
      </w:r>
      <w:r w:rsidR="00782889">
        <w:rPr>
          <w:rFonts w:ascii="Book Antiqua" w:hAnsi="Book Antiqua" w:hint="eastAsia"/>
          <w:sz w:val="24"/>
          <w:szCs w:val="24"/>
          <w:lang w:eastAsia="zh-CN"/>
        </w:rPr>
        <w:t xml:space="preserve"> </w:t>
      </w:r>
      <w:r w:rsidRPr="000E643C">
        <w:rPr>
          <w:rFonts w:ascii="Book Antiqua" w:hAnsi="Book Antiqua"/>
          <w:sz w:val="24"/>
          <w:szCs w:val="24"/>
        </w:rPr>
        <w:t>6 week induction regimen.</w:t>
      </w:r>
      <w:r w:rsidR="00E57DEB" w:rsidRPr="000E643C">
        <w:rPr>
          <w:rFonts w:ascii="Book Antiqua" w:hAnsi="Book Antiqua"/>
          <w:sz w:val="24"/>
          <w:szCs w:val="24"/>
        </w:rPr>
        <w:t xml:space="preserve"> </w:t>
      </w:r>
      <w:r w:rsidRPr="000E643C">
        <w:rPr>
          <w:rFonts w:ascii="Book Antiqua" w:hAnsi="Book Antiqua"/>
          <w:sz w:val="24"/>
          <w:szCs w:val="24"/>
        </w:rPr>
        <w:t>Again, only 26% of CD and 28% of UC patients were on CT during their first induction IFX infusion.</w:t>
      </w:r>
      <w:r w:rsidR="00E57DEB" w:rsidRPr="000E643C">
        <w:rPr>
          <w:rFonts w:ascii="Book Antiqua" w:hAnsi="Book Antiqua"/>
          <w:sz w:val="24"/>
          <w:szCs w:val="24"/>
        </w:rPr>
        <w:t xml:space="preserve"> </w:t>
      </w:r>
      <w:r w:rsidRPr="000E643C">
        <w:rPr>
          <w:rFonts w:ascii="Book Antiqua" w:hAnsi="Book Antiqua"/>
          <w:sz w:val="24"/>
          <w:szCs w:val="24"/>
        </w:rPr>
        <w:t>Notably, there was no trend observed of increasing use of CT over the years, despite the accumulating evidence of its benefit.</w:t>
      </w:r>
    </w:p>
    <w:p w14:paraId="3784457C" w14:textId="77777777" w:rsidR="0069331F" w:rsidRPr="000E643C" w:rsidRDefault="0069331F" w:rsidP="00E57DEB">
      <w:pPr>
        <w:widowControl w:val="0"/>
        <w:adjustRightInd w:val="0"/>
        <w:snapToGrid w:val="0"/>
        <w:spacing w:after="0" w:line="360" w:lineRule="auto"/>
        <w:jc w:val="both"/>
        <w:rPr>
          <w:rFonts w:ascii="Book Antiqua" w:hAnsi="Book Antiqua"/>
          <w:sz w:val="24"/>
          <w:szCs w:val="24"/>
          <w:u w:val="single"/>
        </w:rPr>
      </w:pPr>
    </w:p>
    <w:p w14:paraId="686A6C7A" w14:textId="22B93891" w:rsidR="0069331F" w:rsidRPr="00782889" w:rsidRDefault="00782889" w:rsidP="00E57DEB">
      <w:pPr>
        <w:widowControl w:val="0"/>
        <w:adjustRightInd w:val="0"/>
        <w:snapToGrid w:val="0"/>
        <w:spacing w:after="0" w:line="360" w:lineRule="auto"/>
        <w:jc w:val="both"/>
        <w:rPr>
          <w:rFonts w:ascii="Book Antiqua" w:hAnsi="Book Antiqua"/>
          <w:b/>
          <w:sz w:val="24"/>
          <w:szCs w:val="24"/>
        </w:rPr>
      </w:pPr>
      <w:r w:rsidRPr="00782889">
        <w:rPr>
          <w:rFonts w:ascii="Book Antiqua" w:hAnsi="Book Antiqua"/>
          <w:b/>
          <w:sz w:val="24"/>
          <w:szCs w:val="24"/>
        </w:rPr>
        <w:t>WHAT DO THE EXPERTS SAY?</w:t>
      </w:r>
    </w:p>
    <w:p w14:paraId="55D07AA2" w14:textId="5F65388B" w:rsidR="0069331F" w:rsidRPr="00782889" w:rsidRDefault="00782889" w:rsidP="00E57DEB">
      <w:pPr>
        <w:widowControl w:val="0"/>
        <w:adjustRightInd w:val="0"/>
        <w:snapToGrid w:val="0"/>
        <w:spacing w:after="0" w:line="360" w:lineRule="auto"/>
        <w:jc w:val="both"/>
        <w:rPr>
          <w:rFonts w:ascii="Book Antiqua" w:hAnsi="Book Antiqua"/>
          <w:b/>
          <w:i/>
          <w:sz w:val="24"/>
          <w:szCs w:val="24"/>
          <w:lang w:eastAsia="zh-CN"/>
        </w:rPr>
      </w:pPr>
      <w:r w:rsidRPr="00782889">
        <w:rPr>
          <w:rFonts w:ascii="Book Antiqua" w:hAnsi="Book Antiqua"/>
          <w:b/>
          <w:i/>
          <w:sz w:val="24"/>
          <w:szCs w:val="24"/>
        </w:rPr>
        <w:t>Guideline recommendations</w:t>
      </w:r>
    </w:p>
    <w:p w14:paraId="39FD6B6C" w14:textId="20C65CD6" w:rsidR="0069331F" w:rsidRPr="000E643C" w:rsidRDefault="00796CB0"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Finally, taking into account the available evidence, major GI professional societies have provided their consensus guidelines regarding CT use in the management of IBD.</w:t>
      </w:r>
      <w:r w:rsidR="00E57DEB" w:rsidRPr="000E643C">
        <w:rPr>
          <w:rFonts w:ascii="Book Antiqua" w:hAnsi="Book Antiqua"/>
          <w:sz w:val="24"/>
          <w:szCs w:val="24"/>
        </w:rPr>
        <w:t xml:space="preserve"> </w:t>
      </w:r>
      <w:r w:rsidRPr="000E643C">
        <w:rPr>
          <w:rFonts w:ascii="Book Antiqua" w:hAnsi="Book Antiqua"/>
          <w:sz w:val="24"/>
          <w:szCs w:val="24"/>
        </w:rPr>
        <w:t>As with any guideline,</w:t>
      </w:r>
      <w:r w:rsidR="00E57DEB" w:rsidRPr="000E643C">
        <w:rPr>
          <w:rFonts w:ascii="Book Antiqua" w:hAnsi="Book Antiqua"/>
          <w:sz w:val="24"/>
          <w:szCs w:val="24"/>
        </w:rPr>
        <w:t xml:space="preserve"> </w:t>
      </w:r>
      <w:r w:rsidRPr="000E643C">
        <w:rPr>
          <w:rFonts w:ascii="Book Antiqua" w:hAnsi="Book Antiqua"/>
          <w:sz w:val="24"/>
          <w:szCs w:val="24"/>
        </w:rPr>
        <w:t>it is important to note not only the type of recommendation provided, but also the grading of the recommendation based on the quality of supporting evidence and the year in</w:t>
      </w:r>
      <w:r w:rsidR="00782889">
        <w:rPr>
          <w:rFonts w:ascii="Book Antiqua" w:hAnsi="Book Antiqua"/>
          <w:sz w:val="24"/>
          <w:szCs w:val="24"/>
        </w:rPr>
        <w:t xml:space="preserve"> which the guideline appeared</w:t>
      </w:r>
      <w:r w:rsidR="00742DA5" w:rsidRPr="000E643C">
        <w:rPr>
          <w:rFonts w:ascii="Book Antiqua" w:hAnsi="Book Antiqua"/>
          <w:sz w:val="24"/>
          <w:szCs w:val="24"/>
        </w:rPr>
        <w:t xml:space="preserve"> (Table 2).</w:t>
      </w:r>
    </w:p>
    <w:p w14:paraId="4A0EEE84" w14:textId="4DE1F5DB" w:rsidR="0069331F" w:rsidRPr="000E643C" w:rsidRDefault="00822730" w:rsidP="00782889">
      <w:pPr>
        <w:widowControl w:val="0"/>
        <w:adjustRightInd w:val="0"/>
        <w:snapToGrid w:val="0"/>
        <w:spacing w:after="0" w:line="360" w:lineRule="auto"/>
        <w:ind w:firstLineChars="100" w:firstLine="240"/>
        <w:jc w:val="both"/>
        <w:rPr>
          <w:rFonts w:ascii="Book Antiqua" w:hAnsi="Book Antiqua"/>
          <w:b/>
          <w:sz w:val="24"/>
          <w:szCs w:val="24"/>
        </w:rPr>
      </w:pPr>
      <w:r w:rsidRPr="000E643C">
        <w:rPr>
          <w:rFonts w:ascii="Book Antiqua" w:hAnsi="Book Antiqua"/>
          <w:sz w:val="24"/>
          <w:szCs w:val="24"/>
        </w:rPr>
        <w:t xml:space="preserve">In </w:t>
      </w:r>
      <w:r w:rsidR="00796CB0" w:rsidRPr="000E643C">
        <w:rPr>
          <w:rFonts w:ascii="Book Antiqua" w:hAnsi="Book Antiqua"/>
          <w:sz w:val="24"/>
          <w:szCs w:val="24"/>
        </w:rPr>
        <w:t xml:space="preserve">2009 the Practice Parameters Committee of the American College of Gastroenterology </w:t>
      </w:r>
      <w:r w:rsidR="002342A4" w:rsidRPr="000E643C">
        <w:rPr>
          <w:rFonts w:ascii="Book Antiqua" w:hAnsi="Book Antiqua"/>
          <w:sz w:val="24"/>
          <w:szCs w:val="24"/>
        </w:rPr>
        <w:t xml:space="preserve">(ACG) </w:t>
      </w:r>
      <w:r w:rsidR="00796CB0" w:rsidRPr="000E643C">
        <w:rPr>
          <w:rFonts w:ascii="Book Antiqua" w:hAnsi="Book Antiqua"/>
          <w:sz w:val="24"/>
          <w:szCs w:val="24"/>
        </w:rPr>
        <w:t>recommended IFX monoth</w:t>
      </w:r>
      <w:r w:rsidR="00300D7E" w:rsidRPr="000E643C">
        <w:rPr>
          <w:rFonts w:ascii="Book Antiqua" w:hAnsi="Book Antiqua"/>
          <w:sz w:val="24"/>
          <w:szCs w:val="24"/>
        </w:rPr>
        <w:t xml:space="preserve">erapy or IFX combined with AZA </w:t>
      </w:r>
      <w:r w:rsidRPr="000E643C">
        <w:rPr>
          <w:rFonts w:ascii="Book Antiqua" w:hAnsi="Book Antiqua"/>
          <w:sz w:val="24"/>
          <w:szCs w:val="24"/>
        </w:rPr>
        <w:t xml:space="preserve">as more effective than AZA in the treatment </w:t>
      </w:r>
      <w:r w:rsidR="00796CB0" w:rsidRPr="000E643C">
        <w:rPr>
          <w:rFonts w:ascii="Book Antiqua" w:hAnsi="Book Antiqua"/>
          <w:sz w:val="24"/>
          <w:szCs w:val="24"/>
        </w:rPr>
        <w:t xml:space="preserve">of patients with moderate to severe CD failing first-line therapy with </w:t>
      </w:r>
      <w:proofErr w:type="spellStart"/>
      <w:r w:rsidR="00796CB0" w:rsidRPr="000E643C">
        <w:rPr>
          <w:rFonts w:ascii="Book Antiqua" w:hAnsi="Book Antiqua"/>
          <w:sz w:val="24"/>
          <w:szCs w:val="24"/>
        </w:rPr>
        <w:t>mesalamine</w:t>
      </w:r>
      <w:proofErr w:type="spellEnd"/>
      <w:r w:rsidR="00796CB0" w:rsidRPr="000E643C">
        <w:rPr>
          <w:rFonts w:ascii="Book Antiqua" w:hAnsi="Book Antiqua"/>
          <w:sz w:val="24"/>
          <w:szCs w:val="24"/>
        </w:rPr>
        <w:t xml:space="preserve"> and/or corticosteroid who were naïve to IMM and biologic</w:t>
      </w:r>
      <w:r w:rsidR="00782889" w:rsidRPr="000E643C">
        <w:rPr>
          <w:rFonts w:ascii="Book Antiqua" w:hAnsi="Book Antiqua"/>
          <w:sz w:val="24"/>
          <w:szCs w:val="24"/>
          <w:vertAlign w:val="superscript"/>
        </w:rPr>
        <w:t>[41]</w:t>
      </w:r>
      <w:r w:rsidR="00796CB0" w:rsidRPr="000E643C">
        <w:rPr>
          <w:rFonts w:ascii="Book Antiqua" w:hAnsi="Book Antiqua"/>
          <w:sz w:val="24"/>
          <w:szCs w:val="24"/>
        </w:rPr>
        <w:t>.</w:t>
      </w:r>
      <w:r w:rsidR="00E57DEB" w:rsidRPr="000E643C">
        <w:rPr>
          <w:rFonts w:ascii="Book Antiqua" w:hAnsi="Book Antiqua"/>
          <w:sz w:val="24"/>
          <w:szCs w:val="24"/>
        </w:rPr>
        <w:t xml:space="preserve"> </w:t>
      </w:r>
      <w:r w:rsidR="009E6CE8" w:rsidRPr="000E643C">
        <w:rPr>
          <w:rFonts w:ascii="Book Antiqua" w:hAnsi="Book Antiqua"/>
          <w:sz w:val="24"/>
          <w:szCs w:val="24"/>
        </w:rPr>
        <w:t xml:space="preserve">Additional </w:t>
      </w:r>
      <w:r w:rsidR="002342A4" w:rsidRPr="000E643C">
        <w:rPr>
          <w:rFonts w:ascii="Book Antiqua" w:hAnsi="Book Antiqua"/>
          <w:sz w:val="24"/>
          <w:szCs w:val="24"/>
        </w:rPr>
        <w:t xml:space="preserve">ACG guidelines the following year were unable to support the same recommendation for </w:t>
      </w:r>
      <w:proofErr w:type="gramStart"/>
      <w:r w:rsidR="002342A4" w:rsidRPr="000E643C">
        <w:rPr>
          <w:rFonts w:ascii="Book Antiqua" w:hAnsi="Book Antiqua"/>
          <w:sz w:val="24"/>
          <w:szCs w:val="24"/>
        </w:rPr>
        <w:t>UC</w:t>
      </w:r>
      <w:r w:rsidR="00782889" w:rsidRPr="000E643C">
        <w:rPr>
          <w:rFonts w:ascii="Book Antiqua" w:hAnsi="Book Antiqua"/>
          <w:sz w:val="24"/>
          <w:szCs w:val="24"/>
          <w:vertAlign w:val="superscript"/>
        </w:rPr>
        <w:t>[</w:t>
      </w:r>
      <w:proofErr w:type="gramEnd"/>
      <w:r w:rsidR="00782889" w:rsidRPr="000E643C">
        <w:rPr>
          <w:rFonts w:ascii="Book Antiqua" w:hAnsi="Book Antiqua"/>
          <w:sz w:val="24"/>
          <w:szCs w:val="24"/>
          <w:vertAlign w:val="superscript"/>
        </w:rPr>
        <w:t>42]</w:t>
      </w:r>
      <w:r w:rsidR="002342A4" w:rsidRPr="000E643C">
        <w:rPr>
          <w:rFonts w:ascii="Book Antiqua" w:hAnsi="Book Antiqua"/>
          <w:sz w:val="24"/>
          <w:szCs w:val="24"/>
        </w:rPr>
        <w:t>.</w:t>
      </w:r>
      <w:r w:rsidR="00E57DEB" w:rsidRPr="000E643C">
        <w:rPr>
          <w:rFonts w:ascii="Book Antiqua" w:hAnsi="Book Antiqua"/>
          <w:sz w:val="24"/>
          <w:szCs w:val="24"/>
        </w:rPr>
        <w:t xml:space="preserve"> </w:t>
      </w:r>
      <w:r w:rsidR="00796CB0" w:rsidRPr="000E643C">
        <w:rPr>
          <w:rFonts w:ascii="Book Antiqua" w:hAnsi="Book Antiqua"/>
          <w:sz w:val="24"/>
          <w:szCs w:val="24"/>
        </w:rPr>
        <w:t>The 2011 guidelines from the World Congress of Gastroenterology with the European Crohn’s and Colitis Organization concluded that CT of IFX and AZA was superior to induction of remission and mucosal healing over a 1 year time period.</w:t>
      </w:r>
      <w:r w:rsidR="00E57DEB" w:rsidRPr="000E643C">
        <w:rPr>
          <w:rFonts w:ascii="Book Antiqua" w:hAnsi="Book Antiqua"/>
          <w:sz w:val="24"/>
          <w:szCs w:val="24"/>
        </w:rPr>
        <w:t xml:space="preserve"> </w:t>
      </w:r>
      <w:r w:rsidR="00796CB0" w:rsidRPr="000E643C">
        <w:rPr>
          <w:rFonts w:ascii="Book Antiqua" w:hAnsi="Book Antiqua"/>
          <w:sz w:val="24"/>
          <w:szCs w:val="24"/>
        </w:rPr>
        <w:t xml:space="preserve">The authors further stated that it was uncertain if this </w:t>
      </w:r>
      <w:r w:rsidR="00796CB0" w:rsidRPr="000E643C">
        <w:rPr>
          <w:rFonts w:ascii="Book Antiqua" w:hAnsi="Book Antiqua"/>
          <w:sz w:val="24"/>
          <w:szCs w:val="24"/>
        </w:rPr>
        <w:lastRenderedPageBreak/>
        <w:t xml:space="preserve">was the best strategy beyond one year of treatment, and that it was unknown if this was true for other biologic/IMM </w:t>
      </w:r>
      <w:proofErr w:type="gramStart"/>
      <w:r w:rsidR="00796CB0" w:rsidRPr="000E643C">
        <w:rPr>
          <w:rFonts w:ascii="Book Antiqua" w:hAnsi="Book Antiqua"/>
          <w:sz w:val="24"/>
          <w:szCs w:val="24"/>
        </w:rPr>
        <w:t>combinations</w:t>
      </w:r>
      <w:r w:rsidR="00A23F15" w:rsidRPr="000E643C">
        <w:rPr>
          <w:rFonts w:ascii="Book Antiqua" w:hAnsi="Book Antiqua"/>
          <w:sz w:val="24"/>
          <w:szCs w:val="24"/>
          <w:vertAlign w:val="superscript"/>
        </w:rPr>
        <w:t>[</w:t>
      </w:r>
      <w:proofErr w:type="gramEnd"/>
      <w:r w:rsidR="00A23F15" w:rsidRPr="000E643C">
        <w:rPr>
          <w:rFonts w:ascii="Book Antiqua" w:hAnsi="Book Antiqua"/>
          <w:sz w:val="24"/>
          <w:szCs w:val="24"/>
          <w:vertAlign w:val="superscript"/>
        </w:rPr>
        <w:t>43]</w:t>
      </w:r>
      <w:r w:rsidR="00796CB0" w:rsidRPr="000E643C">
        <w:rPr>
          <w:rFonts w:ascii="Book Antiqua" w:hAnsi="Book Antiqua"/>
          <w:sz w:val="24"/>
          <w:szCs w:val="24"/>
        </w:rPr>
        <w:t xml:space="preserve">. </w:t>
      </w:r>
      <w:r w:rsidR="002342A4" w:rsidRPr="000E643C">
        <w:rPr>
          <w:rFonts w:ascii="Book Antiqua" w:hAnsi="Book Antiqua"/>
          <w:sz w:val="24"/>
          <w:szCs w:val="24"/>
        </w:rPr>
        <w:t>In</w:t>
      </w:r>
      <w:r w:rsidR="00796CB0" w:rsidRPr="000E643C">
        <w:rPr>
          <w:rFonts w:ascii="Book Antiqua" w:hAnsi="Book Antiqua"/>
          <w:sz w:val="24"/>
          <w:szCs w:val="24"/>
        </w:rPr>
        <w:t xml:space="preserve"> 2013 the American Gastroenterological Association (AGA) published it’s guidelines on the use of </w:t>
      </w:r>
      <w:proofErr w:type="spellStart"/>
      <w:r w:rsidR="00796CB0" w:rsidRPr="000E643C">
        <w:rPr>
          <w:rFonts w:ascii="Book Antiqua" w:hAnsi="Book Antiqua"/>
          <w:sz w:val="24"/>
          <w:szCs w:val="24"/>
        </w:rPr>
        <w:t>thiopurines</w:t>
      </w:r>
      <w:proofErr w:type="spellEnd"/>
      <w:r w:rsidR="00796CB0" w:rsidRPr="000E643C">
        <w:rPr>
          <w:rFonts w:ascii="Book Antiqua" w:hAnsi="Book Antiqua"/>
          <w:sz w:val="24"/>
          <w:szCs w:val="24"/>
        </w:rPr>
        <w:t>, MTX and anti-TNF-</w:t>
      </w:r>
      <w:r w:rsidR="00796CB0" w:rsidRPr="000E643C">
        <w:rPr>
          <w:rFonts w:ascii="Book Antiqua" w:hAnsi="Book Antiqua" w:cs="Times New Roman"/>
          <w:sz w:val="24"/>
          <w:szCs w:val="24"/>
        </w:rPr>
        <w:t>α</w:t>
      </w:r>
      <w:r w:rsidR="00796CB0" w:rsidRPr="000E643C">
        <w:rPr>
          <w:rFonts w:ascii="Book Antiqua" w:hAnsi="Book Antiqua"/>
          <w:sz w:val="24"/>
          <w:szCs w:val="24"/>
        </w:rPr>
        <w:t xml:space="preserve"> drugs for the treatment of CD.</w:t>
      </w:r>
      <w:r w:rsidR="00E57DEB" w:rsidRPr="000E643C">
        <w:rPr>
          <w:rFonts w:ascii="Book Antiqua" w:hAnsi="Book Antiqua"/>
          <w:sz w:val="24"/>
          <w:szCs w:val="24"/>
        </w:rPr>
        <w:t xml:space="preserve"> </w:t>
      </w:r>
      <w:r w:rsidR="00796CB0" w:rsidRPr="000E643C">
        <w:rPr>
          <w:rFonts w:ascii="Book Antiqua" w:hAnsi="Book Antiqua"/>
          <w:sz w:val="24"/>
          <w:szCs w:val="24"/>
        </w:rPr>
        <w:t>The authors suggested using anti-TNF-</w:t>
      </w:r>
      <w:r w:rsidR="00796CB0" w:rsidRPr="000E643C">
        <w:rPr>
          <w:rFonts w:ascii="Book Antiqua" w:hAnsi="Book Antiqua" w:cs="Times New Roman"/>
          <w:sz w:val="24"/>
          <w:szCs w:val="24"/>
        </w:rPr>
        <w:t>α</w:t>
      </w:r>
      <w:r w:rsidR="00796CB0" w:rsidRPr="000E643C">
        <w:rPr>
          <w:rFonts w:ascii="Book Antiqua" w:hAnsi="Book Antiqua" w:cstheme="minorHAnsi"/>
          <w:sz w:val="24"/>
          <w:szCs w:val="24"/>
        </w:rPr>
        <w:t xml:space="preserve"> in combination with </w:t>
      </w:r>
      <w:proofErr w:type="spellStart"/>
      <w:r w:rsidR="00796CB0" w:rsidRPr="000E643C">
        <w:rPr>
          <w:rFonts w:ascii="Book Antiqua" w:hAnsi="Book Antiqua" w:cstheme="minorHAnsi"/>
          <w:sz w:val="24"/>
          <w:szCs w:val="24"/>
        </w:rPr>
        <w:t>thiopurines</w:t>
      </w:r>
      <w:proofErr w:type="spellEnd"/>
      <w:r w:rsidR="00796CB0" w:rsidRPr="000E643C">
        <w:rPr>
          <w:rFonts w:ascii="Book Antiqua" w:hAnsi="Book Antiqua" w:cstheme="minorHAnsi"/>
          <w:sz w:val="24"/>
          <w:szCs w:val="24"/>
        </w:rPr>
        <w:t xml:space="preserve"> over </w:t>
      </w:r>
      <w:r w:rsidR="00796CB0" w:rsidRPr="000E643C">
        <w:rPr>
          <w:rFonts w:ascii="Book Antiqua" w:hAnsi="Book Antiqua"/>
          <w:sz w:val="24"/>
          <w:szCs w:val="24"/>
        </w:rPr>
        <w:t>anti-TNF-</w:t>
      </w:r>
      <w:r w:rsidR="00796CB0" w:rsidRPr="000E643C">
        <w:rPr>
          <w:rFonts w:ascii="Book Antiqua" w:hAnsi="Book Antiqua" w:cs="Times New Roman"/>
          <w:sz w:val="24"/>
          <w:szCs w:val="24"/>
        </w:rPr>
        <w:t>α</w:t>
      </w:r>
      <w:r w:rsidR="00796CB0" w:rsidRPr="000E643C">
        <w:rPr>
          <w:rFonts w:ascii="Book Antiqua" w:hAnsi="Book Antiqua" w:cstheme="minorHAnsi"/>
          <w:sz w:val="24"/>
          <w:szCs w:val="24"/>
        </w:rPr>
        <w:t xml:space="preserve"> monotherapy to induce remission in cases of moderately severe CD (Weak Recommendation, moderate quality evidence), again showing the strong impact of SONIC on clinical thought.</w:t>
      </w:r>
      <w:r w:rsidR="00E57DEB" w:rsidRPr="000E643C">
        <w:rPr>
          <w:rFonts w:ascii="Book Antiqua" w:hAnsi="Book Antiqua" w:cstheme="minorHAnsi"/>
          <w:sz w:val="24"/>
          <w:szCs w:val="24"/>
        </w:rPr>
        <w:t xml:space="preserve"> </w:t>
      </w:r>
      <w:r w:rsidR="00796CB0" w:rsidRPr="000E643C">
        <w:rPr>
          <w:rFonts w:ascii="Book Antiqua" w:hAnsi="Book Antiqua" w:cstheme="minorHAnsi"/>
          <w:sz w:val="24"/>
          <w:szCs w:val="24"/>
        </w:rPr>
        <w:t xml:space="preserve">The authors go on to acknowledge the uncertain benefits of CT in cases of prior IMM failure, CT with other </w:t>
      </w:r>
      <w:r w:rsidR="00796CB0" w:rsidRPr="000E643C">
        <w:rPr>
          <w:rFonts w:ascii="Book Antiqua" w:hAnsi="Book Antiqua"/>
          <w:sz w:val="24"/>
          <w:szCs w:val="24"/>
        </w:rPr>
        <w:t>anti-TNF-</w:t>
      </w:r>
      <w:r w:rsidR="00796CB0" w:rsidRPr="000E643C">
        <w:rPr>
          <w:rFonts w:ascii="Book Antiqua" w:hAnsi="Book Antiqua" w:cs="Times New Roman"/>
          <w:sz w:val="24"/>
          <w:szCs w:val="24"/>
        </w:rPr>
        <w:t>α</w:t>
      </w:r>
      <w:r w:rsidR="00796CB0" w:rsidRPr="000E643C">
        <w:rPr>
          <w:rFonts w:ascii="Book Antiqua" w:hAnsi="Book Antiqua" w:cstheme="minorHAnsi"/>
          <w:sz w:val="24"/>
          <w:szCs w:val="24"/>
        </w:rPr>
        <w:t xml:space="preserve"> drugs, as well as CT using MTX</w:t>
      </w:r>
      <w:r w:rsidR="00A23F15" w:rsidRPr="000E643C">
        <w:rPr>
          <w:rFonts w:ascii="Book Antiqua" w:hAnsi="Book Antiqua" w:cstheme="minorHAnsi"/>
          <w:sz w:val="24"/>
          <w:szCs w:val="24"/>
          <w:vertAlign w:val="superscript"/>
        </w:rPr>
        <w:t>[44]</w:t>
      </w:r>
      <w:r w:rsidR="00796CB0" w:rsidRPr="000E643C">
        <w:rPr>
          <w:rFonts w:ascii="Book Antiqua" w:hAnsi="Book Antiqua" w:cstheme="minorHAnsi"/>
          <w:sz w:val="24"/>
          <w:szCs w:val="24"/>
        </w:rPr>
        <w:t>.</w:t>
      </w:r>
      <w:r w:rsidR="00796CB0" w:rsidRPr="000E643C">
        <w:rPr>
          <w:rFonts w:ascii="Book Antiqua" w:eastAsia="+mn-ea" w:hAnsi="Book Antiqua" w:cs="+mn-cs"/>
          <w:kern w:val="24"/>
          <w:sz w:val="24"/>
          <w:szCs w:val="24"/>
        </w:rPr>
        <w:t xml:space="preserve"> </w:t>
      </w:r>
    </w:p>
    <w:p w14:paraId="39E12774" w14:textId="11E7FDB2" w:rsidR="0069331F" w:rsidRPr="000E643C" w:rsidRDefault="00796CB0" w:rsidP="00A23F15">
      <w:pPr>
        <w:widowControl w:val="0"/>
        <w:adjustRightInd w:val="0"/>
        <w:snapToGrid w:val="0"/>
        <w:spacing w:after="0" w:line="360" w:lineRule="auto"/>
        <w:ind w:firstLineChars="100" w:firstLine="240"/>
        <w:jc w:val="both"/>
        <w:rPr>
          <w:rFonts w:ascii="Book Antiqua" w:hAnsi="Book Antiqua" w:cstheme="minorHAnsi"/>
          <w:sz w:val="24"/>
          <w:szCs w:val="24"/>
          <w:shd w:val="clear" w:color="auto" w:fill="FFFFFF"/>
        </w:rPr>
      </w:pPr>
      <w:r w:rsidRPr="000E643C">
        <w:rPr>
          <w:rFonts w:ascii="Book Antiqua" w:hAnsi="Book Antiqua"/>
          <w:sz w:val="24"/>
          <w:szCs w:val="24"/>
        </w:rPr>
        <w:t>More recently in 2015, a panel of IBD experts in association with the AGA published pathways of care to aid clinical decision making.</w:t>
      </w:r>
      <w:r w:rsidR="00E57DEB" w:rsidRPr="000E643C">
        <w:rPr>
          <w:rFonts w:ascii="Book Antiqua" w:hAnsi="Book Antiqua"/>
          <w:sz w:val="24"/>
          <w:szCs w:val="24"/>
        </w:rPr>
        <w:t xml:space="preserve"> </w:t>
      </w:r>
      <w:r w:rsidRPr="000E643C">
        <w:rPr>
          <w:rFonts w:ascii="Book Antiqua" w:hAnsi="Book Antiqua"/>
          <w:sz w:val="24"/>
          <w:szCs w:val="24"/>
        </w:rPr>
        <w:t xml:space="preserve">In the UC care pathway, at all steps where treatment with anti-TNF or VDZ is indicated, the authors recommend consideration of the addition of either a </w:t>
      </w:r>
      <w:proofErr w:type="spellStart"/>
      <w:r w:rsidRPr="000E643C">
        <w:rPr>
          <w:rFonts w:ascii="Book Antiqua" w:hAnsi="Book Antiqua"/>
          <w:sz w:val="24"/>
          <w:szCs w:val="24"/>
        </w:rPr>
        <w:t>thiopurine</w:t>
      </w:r>
      <w:proofErr w:type="spellEnd"/>
      <w:r w:rsidRPr="000E643C">
        <w:rPr>
          <w:rFonts w:ascii="Book Antiqua" w:hAnsi="Book Antiqua"/>
          <w:sz w:val="24"/>
          <w:szCs w:val="24"/>
        </w:rPr>
        <w:t xml:space="preserve"> specifically, or IMM generally.</w:t>
      </w:r>
      <w:r w:rsidR="00E57DEB" w:rsidRPr="000E643C">
        <w:rPr>
          <w:rFonts w:ascii="Book Antiqua" w:hAnsi="Book Antiqua"/>
          <w:sz w:val="24"/>
          <w:szCs w:val="24"/>
        </w:rPr>
        <w:t xml:space="preserve"> </w:t>
      </w:r>
      <w:r w:rsidRPr="000E643C">
        <w:rPr>
          <w:rFonts w:ascii="Book Antiqua" w:hAnsi="Book Antiqua"/>
          <w:sz w:val="24"/>
          <w:szCs w:val="24"/>
        </w:rPr>
        <w:t xml:space="preserve">The authors support the use of MTX as an alternate IMM to </w:t>
      </w:r>
      <w:proofErr w:type="spellStart"/>
      <w:proofErr w:type="gramStart"/>
      <w:r w:rsidRPr="000E643C">
        <w:rPr>
          <w:rFonts w:ascii="Book Antiqua" w:hAnsi="Book Antiqua"/>
          <w:sz w:val="24"/>
          <w:szCs w:val="24"/>
        </w:rPr>
        <w:t>thiopurine</w:t>
      </w:r>
      <w:proofErr w:type="spellEnd"/>
      <w:r w:rsidR="005A5853" w:rsidRPr="000E643C">
        <w:rPr>
          <w:rFonts w:ascii="Book Antiqua" w:hAnsi="Book Antiqua"/>
          <w:sz w:val="24"/>
          <w:szCs w:val="24"/>
          <w:vertAlign w:val="superscript"/>
        </w:rPr>
        <w:t>[</w:t>
      </w:r>
      <w:proofErr w:type="gramEnd"/>
      <w:r w:rsidR="005A5853" w:rsidRPr="000E643C">
        <w:rPr>
          <w:rFonts w:ascii="Book Antiqua" w:hAnsi="Book Antiqua"/>
          <w:sz w:val="24"/>
          <w:szCs w:val="24"/>
          <w:vertAlign w:val="superscript"/>
        </w:rPr>
        <w:t>45]</w:t>
      </w:r>
      <w:r w:rsidRPr="000E643C">
        <w:rPr>
          <w:rFonts w:ascii="Book Antiqua" w:hAnsi="Book Antiqua"/>
          <w:sz w:val="24"/>
          <w:szCs w:val="24"/>
        </w:rPr>
        <w:t xml:space="preserve">. </w:t>
      </w:r>
      <w:r w:rsidRPr="000E643C">
        <w:rPr>
          <w:rFonts w:ascii="Book Antiqua" w:hAnsi="Book Antiqua" w:cstheme="minorHAnsi"/>
          <w:sz w:val="24"/>
          <w:szCs w:val="24"/>
          <w:shd w:val="clear" w:color="auto" w:fill="FFFFFF"/>
        </w:rPr>
        <w:t xml:space="preserve">A similar AGA pathway for CD in 2014, the “Crohn’s Disease Evaluation and Treatment: Clinical Decision Tool”, by </w:t>
      </w:r>
      <w:proofErr w:type="spellStart"/>
      <w:r w:rsidRPr="000E643C">
        <w:rPr>
          <w:rFonts w:ascii="Book Antiqua" w:hAnsi="Book Antiqua" w:cstheme="minorHAnsi"/>
          <w:sz w:val="24"/>
          <w:szCs w:val="24"/>
          <w:shd w:val="clear" w:color="auto" w:fill="FFFFFF"/>
        </w:rPr>
        <w:t>Sandborn</w:t>
      </w:r>
      <w:proofErr w:type="spellEnd"/>
      <w:r w:rsidRPr="000E643C">
        <w:rPr>
          <w:rFonts w:ascii="Book Antiqua" w:hAnsi="Book Antiqua" w:cstheme="minorHAnsi"/>
          <w:sz w:val="24"/>
          <w:szCs w:val="24"/>
          <w:shd w:val="clear" w:color="auto" w:fill="FFFFFF"/>
        </w:rPr>
        <w:t>, also supports CT as an option for all patients receiving anti-TNF therapy.</w:t>
      </w:r>
      <w:r w:rsidR="00E57DEB" w:rsidRPr="000E643C">
        <w:rPr>
          <w:rFonts w:ascii="Book Antiqua" w:hAnsi="Book Antiqua" w:cstheme="minorHAnsi"/>
          <w:sz w:val="24"/>
          <w:szCs w:val="24"/>
          <w:shd w:val="clear" w:color="auto" w:fill="FFFFFF"/>
        </w:rPr>
        <w:t xml:space="preserve"> </w:t>
      </w:r>
      <w:r w:rsidRPr="000E643C">
        <w:rPr>
          <w:rFonts w:ascii="Book Antiqua" w:hAnsi="Book Antiqua" w:cstheme="minorHAnsi"/>
          <w:sz w:val="24"/>
          <w:szCs w:val="24"/>
          <w:shd w:val="clear" w:color="auto" w:fill="FFFFFF"/>
        </w:rPr>
        <w:t>The pathway emphasizes that the addition of an IMM offers improved efficacy and should be considered in moderate to high risk patients receiving their 2</w:t>
      </w:r>
      <w:r w:rsidRPr="000E643C">
        <w:rPr>
          <w:rFonts w:ascii="Book Antiqua" w:hAnsi="Book Antiqua" w:cstheme="minorHAnsi"/>
          <w:sz w:val="24"/>
          <w:szCs w:val="24"/>
          <w:shd w:val="clear" w:color="auto" w:fill="FFFFFF"/>
          <w:vertAlign w:val="superscript"/>
        </w:rPr>
        <w:t>nd</w:t>
      </w:r>
      <w:r w:rsidRPr="000E643C">
        <w:rPr>
          <w:rFonts w:ascii="Book Antiqua" w:hAnsi="Book Antiqua" w:cstheme="minorHAnsi"/>
          <w:sz w:val="24"/>
          <w:szCs w:val="24"/>
          <w:shd w:val="clear" w:color="auto" w:fill="FFFFFF"/>
        </w:rPr>
        <w:t xml:space="preserve"> or 3</w:t>
      </w:r>
      <w:r w:rsidRPr="000E643C">
        <w:rPr>
          <w:rFonts w:ascii="Book Antiqua" w:hAnsi="Book Antiqua" w:cstheme="minorHAnsi"/>
          <w:sz w:val="24"/>
          <w:szCs w:val="24"/>
          <w:shd w:val="clear" w:color="auto" w:fill="FFFFFF"/>
          <w:vertAlign w:val="superscript"/>
        </w:rPr>
        <w:t>rd</w:t>
      </w:r>
      <w:r w:rsidRPr="000E643C">
        <w:rPr>
          <w:rFonts w:ascii="Book Antiqua" w:hAnsi="Book Antiqua" w:cstheme="minorHAnsi"/>
          <w:sz w:val="24"/>
          <w:szCs w:val="24"/>
          <w:shd w:val="clear" w:color="auto" w:fill="FFFFFF"/>
        </w:rPr>
        <w:t xml:space="preserve"> </w:t>
      </w:r>
      <w:proofErr w:type="gramStart"/>
      <w:r w:rsidRPr="000E643C">
        <w:rPr>
          <w:rFonts w:ascii="Book Antiqua" w:hAnsi="Book Antiqua" w:cstheme="minorHAnsi"/>
          <w:sz w:val="24"/>
          <w:szCs w:val="24"/>
          <w:shd w:val="clear" w:color="auto" w:fill="FFFFFF"/>
        </w:rPr>
        <w:t>biologic</w:t>
      </w:r>
      <w:r w:rsidR="005A5853" w:rsidRPr="000E643C">
        <w:rPr>
          <w:rFonts w:ascii="Book Antiqua" w:hAnsi="Book Antiqua" w:cstheme="minorHAnsi"/>
          <w:sz w:val="24"/>
          <w:szCs w:val="24"/>
          <w:shd w:val="clear" w:color="auto" w:fill="FFFFFF"/>
          <w:vertAlign w:val="superscript"/>
        </w:rPr>
        <w:t>[</w:t>
      </w:r>
      <w:proofErr w:type="gramEnd"/>
      <w:r w:rsidR="005A5853" w:rsidRPr="000E643C">
        <w:rPr>
          <w:rFonts w:ascii="Book Antiqua" w:hAnsi="Book Antiqua" w:cstheme="minorHAnsi"/>
          <w:sz w:val="24"/>
          <w:szCs w:val="24"/>
          <w:shd w:val="clear" w:color="auto" w:fill="FFFFFF"/>
          <w:vertAlign w:val="superscript"/>
        </w:rPr>
        <w:t>46]</w:t>
      </w:r>
      <w:r w:rsidRPr="000E643C">
        <w:rPr>
          <w:rFonts w:ascii="Book Antiqua" w:hAnsi="Book Antiqua" w:cstheme="minorHAnsi"/>
          <w:sz w:val="24"/>
          <w:szCs w:val="24"/>
          <w:shd w:val="clear" w:color="auto" w:fill="FFFFFF"/>
        </w:rPr>
        <w:t>.</w:t>
      </w:r>
      <w:r w:rsidRPr="000E643C">
        <w:rPr>
          <w:rFonts w:ascii="Book Antiqua" w:hAnsi="Book Antiqua"/>
          <w:sz w:val="24"/>
          <w:szCs w:val="24"/>
        </w:rPr>
        <w:t xml:space="preserve"> </w:t>
      </w:r>
      <w:r w:rsidRPr="000E643C">
        <w:rPr>
          <w:rFonts w:ascii="Book Antiqua" w:hAnsi="Book Antiqua" w:cstheme="minorHAnsi"/>
          <w:sz w:val="24"/>
          <w:szCs w:val="24"/>
          <w:shd w:val="clear" w:color="auto" w:fill="FFFFFF"/>
        </w:rPr>
        <w:t xml:space="preserve">Neither pathway addresses how long CT should be utilized. </w:t>
      </w:r>
    </w:p>
    <w:p w14:paraId="0DB35D64" w14:textId="05DA48F2" w:rsidR="000A2657" w:rsidRPr="000E643C" w:rsidRDefault="000A2657" w:rsidP="005A5853">
      <w:pPr>
        <w:widowControl w:val="0"/>
        <w:adjustRightInd w:val="0"/>
        <w:snapToGrid w:val="0"/>
        <w:spacing w:after="0" w:line="360" w:lineRule="auto"/>
        <w:ind w:firstLineChars="100" w:firstLine="240"/>
        <w:jc w:val="both"/>
        <w:rPr>
          <w:rFonts w:ascii="Book Antiqua" w:hAnsi="Book Antiqua" w:cstheme="minorHAnsi"/>
          <w:sz w:val="24"/>
          <w:szCs w:val="24"/>
          <w:shd w:val="clear" w:color="auto" w:fill="FFFFFF"/>
        </w:rPr>
      </w:pPr>
      <w:r w:rsidRPr="000E643C">
        <w:rPr>
          <w:rFonts w:ascii="Book Antiqua" w:hAnsi="Book Antiqua" w:cstheme="minorHAnsi"/>
          <w:sz w:val="24"/>
          <w:szCs w:val="24"/>
          <w:shd w:val="clear" w:color="auto" w:fill="FFFFFF"/>
        </w:rPr>
        <w:t xml:space="preserve">Consensus statements </w:t>
      </w:r>
      <w:r w:rsidR="00CC2814" w:rsidRPr="000E643C">
        <w:rPr>
          <w:rFonts w:ascii="Book Antiqua" w:hAnsi="Book Antiqua" w:cstheme="minorHAnsi"/>
          <w:sz w:val="24"/>
          <w:szCs w:val="24"/>
          <w:shd w:val="clear" w:color="auto" w:fill="FFFFFF"/>
        </w:rPr>
        <w:t>from Asian medical societies</w:t>
      </w:r>
      <w:r w:rsidRPr="000E643C">
        <w:rPr>
          <w:rFonts w:ascii="Book Antiqua" w:hAnsi="Book Antiqua" w:cstheme="minorHAnsi"/>
          <w:sz w:val="24"/>
          <w:szCs w:val="24"/>
          <w:shd w:val="clear" w:color="auto" w:fill="FFFFFF"/>
        </w:rPr>
        <w:t xml:space="preserve"> do not emphasize CT as much as their western counterparts. The Japanese, Indian and Asia-Pacific societies for gastroenterology do not address the potential therapeutic benefits of CT in their respect</w:t>
      </w:r>
      <w:r w:rsidR="009D4535" w:rsidRPr="000E643C">
        <w:rPr>
          <w:rFonts w:ascii="Book Antiqua" w:hAnsi="Book Antiqua" w:cstheme="minorHAnsi"/>
          <w:sz w:val="24"/>
          <w:szCs w:val="24"/>
          <w:shd w:val="clear" w:color="auto" w:fill="FFFFFF"/>
        </w:rPr>
        <w:t>ive</w:t>
      </w:r>
      <w:r w:rsidR="00C571FE" w:rsidRPr="000E643C">
        <w:rPr>
          <w:rFonts w:ascii="Book Antiqua" w:hAnsi="Book Antiqua" w:cstheme="minorHAnsi"/>
          <w:sz w:val="24"/>
          <w:szCs w:val="24"/>
          <w:shd w:val="clear" w:color="auto" w:fill="FFFFFF"/>
        </w:rPr>
        <w:t xml:space="preserve"> IBD</w:t>
      </w:r>
      <w:r w:rsidR="009D4535" w:rsidRPr="000E643C">
        <w:rPr>
          <w:rFonts w:ascii="Book Antiqua" w:hAnsi="Book Antiqua" w:cstheme="minorHAnsi"/>
          <w:sz w:val="24"/>
          <w:szCs w:val="24"/>
          <w:shd w:val="clear" w:color="auto" w:fill="FFFFFF"/>
        </w:rPr>
        <w:t xml:space="preserve"> guidelines nor do they cite</w:t>
      </w:r>
      <w:r w:rsidRPr="000E643C">
        <w:rPr>
          <w:rFonts w:ascii="Book Antiqua" w:hAnsi="Book Antiqua" w:cstheme="minorHAnsi"/>
          <w:sz w:val="24"/>
          <w:szCs w:val="24"/>
          <w:shd w:val="clear" w:color="auto" w:fill="FFFFFF"/>
        </w:rPr>
        <w:t xml:space="preserve"> the SONIC </w:t>
      </w:r>
      <w:proofErr w:type="gramStart"/>
      <w:r w:rsidRPr="000E643C">
        <w:rPr>
          <w:rFonts w:ascii="Book Antiqua" w:hAnsi="Book Antiqua" w:cstheme="minorHAnsi"/>
          <w:sz w:val="24"/>
          <w:szCs w:val="24"/>
          <w:shd w:val="clear" w:color="auto" w:fill="FFFFFF"/>
        </w:rPr>
        <w:t>trial</w:t>
      </w:r>
      <w:r w:rsidR="005A5853" w:rsidRPr="000E643C">
        <w:rPr>
          <w:rFonts w:ascii="Book Antiqua" w:hAnsi="Book Antiqua" w:cstheme="minorHAnsi"/>
          <w:sz w:val="24"/>
          <w:szCs w:val="24"/>
          <w:shd w:val="clear" w:color="auto" w:fill="FFFFFF"/>
          <w:vertAlign w:val="superscript"/>
        </w:rPr>
        <w:t>[</w:t>
      </w:r>
      <w:proofErr w:type="gramEnd"/>
      <w:r w:rsidR="005A5853" w:rsidRPr="000E643C">
        <w:rPr>
          <w:rFonts w:ascii="Book Antiqua" w:hAnsi="Book Antiqua" w:cstheme="minorHAnsi"/>
          <w:sz w:val="24"/>
          <w:szCs w:val="24"/>
          <w:shd w:val="clear" w:color="auto" w:fill="FFFFFF"/>
          <w:vertAlign w:val="superscript"/>
        </w:rPr>
        <w:t>47</w:t>
      </w:r>
      <w:r w:rsidR="005A5853">
        <w:rPr>
          <w:rFonts w:ascii="Book Antiqua" w:hAnsi="Book Antiqua" w:cstheme="minorHAnsi" w:hint="eastAsia"/>
          <w:sz w:val="24"/>
          <w:szCs w:val="24"/>
          <w:shd w:val="clear" w:color="auto" w:fill="FFFFFF"/>
          <w:vertAlign w:val="superscript"/>
          <w:lang w:eastAsia="zh-CN"/>
        </w:rPr>
        <w:t>-</w:t>
      </w:r>
      <w:r w:rsidR="005A5853" w:rsidRPr="000E643C">
        <w:rPr>
          <w:rFonts w:ascii="Book Antiqua" w:hAnsi="Book Antiqua" w:cstheme="minorHAnsi"/>
          <w:sz w:val="24"/>
          <w:szCs w:val="24"/>
          <w:shd w:val="clear" w:color="auto" w:fill="FFFFFF"/>
          <w:vertAlign w:val="superscript"/>
        </w:rPr>
        <w:t>49]</w:t>
      </w:r>
      <w:r w:rsidRPr="000E643C">
        <w:rPr>
          <w:rFonts w:ascii="Book Antiqua" w:hAnsi="Book Antiqua" w:cstheme="minorHAnsi"/>
          <w:sz w:val="24"/>
          <w:szCs w:val="24"/>
          <w:shd w:val="clear" w:color="auto" w:fill="FFFFFF"/>
        </w:rPr>
        <w:t>.</w:t>
      </w:r>
      <w:r w:rsidR="00E57DEB" w:rsidRPr="000E643C">
        <w:rPr>
          <w:rFonts w:ascii="Book Antiqua" w:hAnsi="Book Antiqua" w:cstheme="minorHAnsi"/>
          <w:sz w:val="24"/>
          <w:szCs w:val="24"/>
          <w:shd w:val="clear" w:color="auto" w:fill="FFFFFF"/>
        </w:rPr>
        <w:t xml:space="preserve"> </w:t>
      </w:r>
      <w:r w:rsidR="00CC2814" w:rsidRPr="000E643C">
        <w:rPr>
          <w:rFonts w:ascii="Book Antiqua" w:hAnsi="Book Antiqua" w:cstheme="minorHAnsi"/>
          <w:sz w:val="24"/>
          <w:szCs w:val="24"/>
          <w:shd w:val="clear" w:color="auto" w:fill="FFFFFF"/>
        </w:rPr>
        <w:t>In contrast</w:t>
      </w:r>
      <w:r w:rsidR="009E6CE8" w:rsidRPr="000E643C">
        <w:rPr>
          <w:rFonts w:ascii="Book Antiqua" w:hAnsi="Book Antiqua" w:cstheme="minorHAnsi"/>
          <w:sz w:val="24"/>
          <w:szCs w:val="24"/>
          <w:shd w:val="clear" w:color="auto" w:fill="FFFFFF"/>
        </w:rPr>
        <w:t>,</w:t>
      </w:r>
      <w:r w:rsidR="00CC2814" w:rsidRPr="000E643C">
        <w:rPr>
          <w:rFonts w:ascii="Book Antiqua" w:hAnsi="Book Antiqua" w:cstheme="minorHAnsi"/>
          <w:sz w:val="24"/>
          <w:szCs w:val="24"/>
          <w:shd w:val="clear" w:color="auto" w:fill="FFFFFF"/>
        </w:rPr>
        <w:t xml:space="preserve"> i</w:t>
      </w:r>
      <w:r w:rsidRPr="000E643C">
        <w:rPr>
          <w:rFonts w:ascii="Book Antiqua" w:hAnsi="Book Antiqua" w:cstheme="minorHAnsi"/>
          <w:sz w:val="24"/>
          <w:szCs w:val="24"/>
          <w:shd w:val="clear" w:color="auto" w:fill="FFFFFF"/>
        </w:rPr>
        <w:t>n a guideline issued by the Hong Kong IBD</w:t>
      </w:r>
      <w:r w:rsidR="00714DAD" w:rsidRPr="000E643C">
        <w:rPr>
          <w:rFonts w:ascii="Book Antiqua" w:hAnsi="Book Antiqua" w:cstheme="minorHAnsi"/>
          <w:sz w:val="24"/>
          <w:szCs w:val="24"/>
          <w:shd w:val="clear" w:color="auto" w:fill="FFFFFF"/>
        </w:rPr>
        <w:t xml:space="preserve"> society a class A recommendation states that CT is the most effective way to induce remission in moderate to severe </w:t>
      </w:r>
      <w:proofErr w:type="gramStart"/>
      <w:r w:rsidR="005A5853">
        <w:rPr>
          <w:rFonts w:ascii="Book Antiqua" w:hAnsi="Book Antiqua" w:cstheme="minorHAnsi" w:hint="eastAsia"/>
          <w:sz w:val="24"/>
          <w:szCs w:val="24"/>
          <w:shd w:val="clear" w:color="auto" w:fill="FFFFFF"/>
          <w:lang w:eastAsia="zh-CN"/>
        </w:rPr>
        <w:t>CD</w:t>
      </w:r>
      <w:r w:rsidR="005A5853" w:rsidRPr="000E643C">
        <w:rPr>
          <w:rFonts w:ascii="Book Antiqua" w:hAnsi="Book Antiqua" w:cstheme="minorHAnsi"/>
          <w:sz w:val="24"/>
          <w:szCs w:val="24"/>
          <w:shd w:val="clear" w:color="auto" w:fill="FFFFFF"/>
          <w:vertAlign w:val="superscript"/>
        </w:rPr>
        <w:t>[</w:t>
      </w:r>
      <w:proofErr w:type="gramEnd"/>
      <w:r w:rsidR="005A5853" w:rsidRPr="000E643C">
        <w:rPr>
          <w:rFonts w:ascii="Book Antiqua" w:hAnsi="Book Antiqua" w:cstheme="minorHAnsi"/>
          <w:sz w:val="24"/>
          <w:szCs w:val="24"/>
          <w:shd w:val="clear" w:color="auto" w:fill="FFFFFF"/>
          <w:vertAlign w:val="superscript"/>
        </w:rPr>
        <w:t>50]</w:t>
      </w:r>
      <w:r w:rsidR="00714DAD" w:rsidRPr="000E643C">
        <w:rPr>
          <w:rFonts w:ascii="Book Antiqua" w:hAnsi="Book Antiqua" w:cstheme="minorHAnsi"/>
          <w:sz w:val="24"/>
          <w:szCs w:val="24"/>
          <w:shd w:val="clear" w:color="auto" w:fill="FFFFFF"/>
        </w:rPr>
        <w:t xml:space="preserve">. </w:t>
      </w:r>
      <w:r w:rsidR="003B5478" w:rsidRPr="000E643C">
        <w:rPr>
          <w:rFonts w:ascii="Book Antiqua" w:hAnsi="Book Antiqua" w:cstheme="minorHAnsi"/>
          <w:sz w:val="24"/>
          <w:szCs w:val="24"/>
          <w:shd w:val="clear" w:color="auto" w:fill="FFFFFF"/>
        </w:rPr>
        <w:t xml:space="preserve">The guideline </w:t>
      </w:r>
      <w:r w:rsidR="00627D7F" w:rsidRPr="000E643C">
        <w:rPr>
          <w:rFonts w:ascii="Book Antiqua" w:hAnsi="Book Antiqua" w:cstheme="minorHAnsi"/>
          <w:sz w:val="24"/>
          <w:szCs w:val="24"/>
          <w:shd w:val="clear" w:color="auto" w:fill="FFFFFF"/>
        </w:rPr>
        <w:t>go</w:t>
      </w:r>
      <w:r w:rsidR="003B5478" w:rsidRPr="000E643C">
        <w:rPr>
          <w:rFonts w:ascii="Book Antiqua" w:hAnsi="Book Antiqua" w:cstheme="minorHAnsi"/>
          <w:sz w:val="24"/>
          <w:szCs w:val="24"/>
          <w:shd w:val="clear" w:color="auto" w:fill="FFFFFF"/>
        </w:rPr>
        <w:t>es</w:t>
      </w:r>
      <w:r w:rsidR="00627D7F" w:rsidRPr="000E643C">
        <w:rPr>
          <w:rFonts w:ascii="Book Antiqua" w:hAnsi="Book Antiqua" w:cstheme="minorHAnsi"/>
          <w:sz w:val="24"/>
          <w:szCs w:val="24"/>
          <w:shd w:val="clear" w:color="auto" w:fill="FFFFFF"/>
        </w:rPr>
        <w:t xml:space="preserve"> on to recommend an individualized weighing of risks and benefits of CT for each patient.</w:t>
      </w:r>
      <w:r w:rsidR="00E57DEB" w:rsidRPr="000E643C">
        <w:rPr>
          <w:rFonts w:ascii="Book Antiqua" w:hAnsi="Book Antiqua" w:cstheme="minorHAnsi"/>
          <w:sz w:val="24"/>
          <w:szCs w:val="24"/>
          <w:shd w:val="clear" w:color="auto" w:fill="FFFFFF"/>
        </w:rPr>
        <w:t xml:space="preserve"> </w:t>
      </w:r>
      <w:r w:rsidR="00CC2814" w:rsidRPr="000E643C">
        <w:rPr>
          <w:rFonts w:ascii="Book Antiqua" w:hAnsi="Book Antiqua" w:cstheme="minorHAnsi"/>
          <w:sz w:val="24"/>
          <w:szCs w:val="24"/>
          <w:shd w:val="clear" w:color="auto" w:fill="FFFFFF"/>
        </w:rPr>
        <w:t>It is likely that further patient experience and review may lea</w:t>
      </w:r>
      <w:r w:rsidR="00055287" w:rsidRPr="000E643C">
        <w:rPr>
          <w:rFonts w:ascii="Book Antiqua" w:hAnsi="Book Antiqua" w:cstheme="minorHAnsi"/>
          <w:sz w:val="24"/>
          <w:szCs w:val="24"/>
          <w:shd w:val="clear" w:color="auto" w:fill="FFFFFF"/>
        </w:rPr>
        <w:t>d to increased attention into the role of</w:t>
      </w:r>
      <w:r w:rsidR="00822730" w:rsidRPr="000E643C">
        <w:rPr>
          <w:rFonts w:ascii="Book Antiqua" w:hAnsi="Book Antiqua" w:cstheme="minorHAnsi"/>
          <w:sz w:val="24"/>
          <w:szCs w:val="24"/>
          <w:shd w:val="clear" w:color="auto" w:fill="FFFFFF"/>
        </w:rPr>
        <w:t xml:space="preserve"> CT in non-</w:t>
      </w:r>
      <w:r w:rsidR="00CC2814" w:rsidRPr="000E643C">
        <w:rPr>
          <w:rFonts w:ascii="Book Antiqua" w:hAnsi="Book Antiqua" w:cstheme="minorHAnsi"/>
          <w:sz w:val="24"/>
          <w:szCs w:val="24"/>
          <w:shd w:val="clear" w:color="auto" w:fill="FFFFFF"/>
        </w:rPr>
        <w:t>European/North American expert reviews and guidelines.</w:t>
      </w:r>
      <w:r w:rsidR="00E57DEB" w:rsidRPr="000E643C">
        <w:rPr>
          <w:rFonts w:ascii="Book Antiqua" w:hAnsi="Book Antiqua" w:cstheme="minorHAnsi"/>
          <w:sz w:val="24"/>
          <w:szCs w:val="24"/>
          <w:shd w:val="clear" w:color="auto" w:fill="FFFFFF"/>
        </w:rPr>
        <w:t xml:space="preserve"> </w:t>
      </w:r>
      <w:r w:rsidR="00CC2814" w:rsidRPr="000E643C">
        <w:rPr>
          <w:rFonts w:ascii="Book Antiqua" w:hAnsi="Book Antiqua" w:cstheme="minorHAnsi"/>
          <w:sz w:val="24"/>
          <w:szCs w:val="24"/>
          <w:shd w:val="clear" w:color="auto" w:fill="FFFFFF"/>
        </w:rPr>
        <w:t xml:space="preserve">As for now, those </w:t>
      </w:r>
      <w:r w:rsidR="00055287" w:rsidRPr="000E643C">
        <w:rPr>
          <w:rFonts w:ascii="Book Antiqua" w:hAnsi="Book Antiqua" w:cstheme="minorHAnsi"/>
          <w:sz w:val="24"/>
          <w:szCs w:val="24"/>
          <w:shd w:val="clear" w:color="auto" w:fill="FFFFFF"/>
        </w:rPr>
        <w:t xml:space="preserve">studies showing the greatest benefit to CT, specifically SONIC and UC SUCCESS, almost exclusively studied </w:t>
      </w:r>
      <w:r w:rsidR="009E6CE8" w:rsidRPr="000E643C">
        <w:rPr>
          <w:rFonts w:ascii="Book Antiqua" w:hAnsi="Book Antiqua" w:cstheme="minorHAnsi"/>
          <w:sz w:val="24"/>
          <w:szCs w:val="24"/>
          <w:shd w:val="clear" w:color="auto" w:fill="FFFFFF"/>
        </w:rPr>
        <w:t xml:space="preserve">European/North </w:t>
      </w:r>
      <w:r w:rsidR="009E6CE8" w:rsidRPr="000E643C">
        <w:rPr>
          <w:rFonts w:ascii="Book Antiqua" w:hAnsi="Book Antiqua" w:cstheme="minorHAnsi"/>
          <w:sz w:val="24"/>
          <w:szCs w:val="24"/>
          <w:shd w:val="clear" w:color="auto" w:fill="FFFFFF"/>
        </w:rPr>
        <w:lastRenderedPageBreak/>
        <w:t xml:space="preserve">American </w:t>
      </w:r>
      <w:r w:rsidR="002342A4" w:rsidRPr="000E643C">
        <w:rPr>
          <w:rFonts w:ascii="Book Antiqua" w:hAnsi="Book Antiqua" w:cstheme="minorHAnsi"/>
          <w:sz w:val="24"/>
          <w:szCs w:val="24"/>
          <w:shd w:val="clear" w:color="auto" w:fill="FFFFFF"/>
        </w:rPr>
        <w:t>populations</w:t>
      </w:r>
      <w:r w:rsidR="009E6CE8" w:rsidRPr="000E643C">
        <w:rPr>
          <w:rFonts w:ascii="Book Antiqua" w:hAnsi="Book Antiqua" w:cstheme="minorHAnsi"/>
          <w:sz w:val="24"/>
          <w:szCs w:val="24"/>
          <w:shd w:val="clear" w:color="auto" w:fill="FFFFFF"/>
        </w:rPr>
        <w:t>.</w:t>
      </w:r>
      <w:r w:rsidR="00E57DEB" w:rsidRPr="000E643C">
        <w:rPr>
          <w:rFonts w:ascii="Book Antiqua" w:hAnsi="Book Antiqua" w:cstheme="minorHAnsi"/>
          <w:sz w:val="24"/>
          <w:szCs w:val="24"/>
          <w:shd w:val="clear" w:color="auto" w:fill="FFFFFF"/>
        </w:rPr>
        <w:t xml:space="preserve"> </w:t>
      </w:r>
      <w:r w:rsidR="009E6CE8" w:rsidRPr="000E643C">
        <w:rPr>
          <w:rFonts w:ascii="Book Antiqua" w:hAnsi="Book Antiqua" w:cstheme="minorHAnsi"/>
          <w:sz w:val="24"/>
          <w:szCs w:val="24"/>
          <w:shd w:val="clear" w:color="auto" w:fill="FFFFFF"/>
        </w:rPr>
        <w:t xml:space="preserve">Patient characteristics with regard to race are not addressed in UC SUCCES, but the population in SONIC is specifically identified as over 90% “white race”. </w:t>
      </w:r>
      <w:r w:rsidR="00627D7F" w:rsidRPr="000E643C">
        <w:rPr>
          <w:rFonts w:ascii="Book Antiqua" w:hAnsi="Book Antiqua" w:cstheme="minorHAnsi"/>
          <w:sz w:val="24"/>
          <w:szCs w:val="24"/>
          <w:shd w:val="clear" w:color="auto" w:fill="FFFFFF"/>
        </w:rPr>
        <w:t xml:space="preserve">This raises the possibility that </w:t>
      </w:r>
      <w:r w:rsidR="00055287" w:rsidRPr="000E643C">
        <w:rPr>
          <w:rFonts w:ascii="Book Antiqua" w:hAnsi="Book Antiqua" w:cstheme="minorHAnsi"/>
          <w:sz w:val="24"/>
          <w:szCs w:val="24"/>
          <w:shd w:val="clear" w:color="auto" w:fill="FFFFFF"/>
        </w:rPr>
        <w:t>our strongest</w:t>
      </w:r>
      <w:r w:rsidR="00627D7F" w:rsidRPr="000E643C">
        <w:rPr>
          <w:rFonts w:ascii="Book Antiqua" w:hAnsi="Book Antiqua" w:cstheme="minorHAnsi"/>
          <w:sz w:val="24"/>
          <w:szCs w:val="24"/>
          <w:shd w:val="clear" w:color="auto" w:fill="FFFFFF"/>
        </w:rPr>
        <w:t xml:space="preserve"> data</w:t>
      </w:r>
      <w:r w:rsidR="00055287" w:rsidRPr="000E643C">
        <w:rPr>
          <w:rFonts w:ascii="Book Antiqua" w:hAnsi="Book Antiqua" w:cstheme="minorHAnsi"/>
          <w:sz w:val="24"/>
          <w:szCs w:val="24"/>
          <w:shd w:val="clear" w:color="auto" w:fill="FFFFFF"/>
        </w:rPr>
        <w:t xml:space="preserve"> on CT</w:t>
      </w:r>
      <w:r w:rsidR="00627D7F" w:rsidRPr="000E643C">
        <w:rPr>
          <w:rFonts w:ascii="Book Antiqua" w:hAnsi="Book Antiqua" w:cstheme="minorHAnsi"/>
          <w:sz w:val="24"/>
          <w:szCs w:val="24"/>
          <w:shd w:val="clear" w:color="auto" w:fill="FFFFFF"/>
        </w:rPr>
        <w:t xml:space="preserve"> may not be generalizable to those </w:t>
      </w:r>
      <w:r w:rsidR="002342A4" w:rsidRPr="000E643C">
        <w:rPr>
          <w:rFonts w:ascii="Book Antiqua" w:hAnsi="Book Antiqua" w:cstheme="minorHAnsi"/>
          <w:sz w:val="24"/>
          <w:szCs w:val="24"/>
          <w:shd w:val="clear" w:color="auto" w:fill="FFFFFF"/>
        </w:rPr>
        <w:t>in other regions</w:t>
      </w:r>
      <w:r w:rsidR="00627D7F" w:rsidRPr="000E643C">
        <w:rPr>
          <w:rFonts w:ascii="Book Antiqua" w:hAnsi="Book Antiqua" w:cstheme="minorHAnsi"/>
          <w:sz w:val="24"/>
          <w:szCs w:val="24"/>
          <w:shd w:val="clear" w:color="auto" w:fill="FFFFFF"/>
        </w:rPr>
        <w:t xml:space="preserve">. </w:t>
      </w:r>
    </w:p>
    <w:p w14:paraId="393F43CF" w14:textId="77777777" w:rsidR="005A5853" w:rsidRDefault="005A5853" w:rsidP="00E57DEB">
      <w:pPr>
        <w:widowControl w:val="0"/>
        <w:adjustRightInd w:val="0"/>
        <w:snapToGrid w:val="0"/>
        <w:spacing w:after="0" w:line="360" w:lineRule="auto"/>
        <w:jc w:val="both"/>
        <w:rPr>
          <w:rFonts w:ascii="Book Antiqua" w:hAnsi="Book Antiqua"/>
          <w:b/>
          <w:sz w:val="24"/>
          <w:szCs w:val="24"/>
          <w:lang w:eastAsia="zh-CN"/>
        </w:rPr>
      </w:pPr>
    </w:p>
    <w:p w14:paraId="35128D69" w14:textId="329282C4" w:rsidR="0069331F" w:rsidRPr="000E643C" w:rsidRDefault="005A5853" w:rsidP="00E57DEB">
      <w:pPr>
        <w:widowControl w:val="0"/>
        <w:adjustRightInd w:val="0"/>
        <w:snapToGrid w:val="0"/>
        <w:spacing w:after="0" w:line="360" w:lineRule="auto"/>
        <w:jc w:val="both"/>
        <w:rPr>
          <w:rFonts w:ascii="Book Antiqua" w:hAnsi="Book Antiqua" w:cstheme="minorHAnsi"/>
          <w:b/>
          <w:sz w:val="24"/>
          <w:szCs w:val="24"/>
          <w:lang w:eastAsia="zh-CN"/>
        </w:rPr>
      </w:pPr>
      <w:r>
        <w:rPr>
          <w:rFonts w:ascii="Book Antiqua" w:hAnsi="Book Antiqua" w:cstheme="minorHAnsi"/>
          <w:b/>
          <w:sz w:val="24"/>
          <w:szCs w:val="24"/>
        </w:rPr>
        <w:t>CONCLUSION</w:t>
      </w:r>
    </w:p>
    <w:p w14:paraId="23C7C4F2" w14:textId="56A2AB5C" w:rsidR="0069331F" w:rsidRPr="000E643C" w:rsidRDefault="00796CB0" w:rsidP="00E57DEB">
      <w:pPr>
        <w:widowControl w:val="0"/>
        <w:adjustRightInd w:val="0"/>
        <w:snapToGrid w:val="0"/>
        <w:spacing w:after="0" w:line="360" w:lineRule="auto"/>
        <w:jc w:val="both"/>
        <w:rPr>
          <w:rFonts w:ascii="Book Antiqua" w:hAnsi="Book Antiqua" w:cstheme="minorHAnsi"/>
          <w:sz w:val="24"/>
          <w:szCs w:val="24"/>
        </w:rPr>
      </w:pPr>
      <w:r w:rsidRPr="000E643C">
        <w:rPr>
          <w:rFonts w:ascii="Book Antiqua" w:hAnsi="Book Antiqua" w:cstheme="minorHAnsi"/>
          <w:sz w:val="24"/>
          <w:szCs w:val="24"/>
        </w:rPr>
        <w:t>While newer IBD therapies continue to be developed and tested in clinical trials, for the vast majority of patients and their physicians the emphasis remains on the best possible use of currently approved therapies to control disease activity.</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With the available choices expanding, the definition of CT may eventually broaden to include combinations of multiple biologics, but for now CT is defined by IMM use along with biologic.</w:t>
      </w:r>
      <w:r w:rsidR="00E57DEB" w:rsidRPr="000E643C">
        <w:rPr>
          <w:rFonts w:ascii="Book Antiqua" w:hAnsi="Book Antiqua" w:cstheme="minorHAnsi"/>
          <w:sz w:val="24"/>
          <w:szCs w:val="24"/>
        </w:rPr>
        <w:t xml:space="preserve"> </w:t>
      </w:r>
    </w:p>
    <w:p w14:paraId="41DB3C8C" w14:textId="74D0D8A3" w:rsidR="0069331F" w:rsidRPr="000E643C" w:rsidRDefault="00796CB0" w:rsidP="005A5853">
      <w:pPr>
        <w:widowControl w:val="0"/>
        <w:adjustRightInd w:val="0"/>
        <w:snapToGrid w:val="0"/>
        <w:spacing w:after="0" w:line="360" w:lineRule="auto"/>
        <w:ind w:firstLineChars="100" w:firstLine="240"/>
        <w:jc w:val="both"/>
        <w:rPr>
          <w:rFonts w:ascii="Book Antiqua" w:hAnsi="Book Antiqua" w:cstheme="minorHAnsi"/>
          <w:sz w:val="24"/>
          <w:szCs w:val="24"/>
        </w:rPr>
      </w:pPr>
      <w:r w:rsidRPr="000E643C">
        <w:rPr>
          <w:rFonts w:ascii="Book Antiqua" w:hAnsi="Book Antiqua" w:cstheme="minorHAnsi"/>
          <w:sz w:val="24"/>
          <w:szCs w:val="24"/>
        </w:rPr>
        <w:t>The available evidence does suggest a benefit to CT, but this evidence is clearer for the use of IMM with IFX specifically, and especially in those without prior IMM or IFX use.</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This benefit appears to apply to both patients with CD and UC.</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The level of evidence for the benefit of IMM with other biologics is not a clear, nor is it certain that this combination if applied sequentially as step up therapy offers the same improved response as starting the two together.</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The main mechanism of benefit of IMM in the setting of biologic appears to be through the suppression of antibody formation to the biologic treatment.</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With less inherent immunogenicity to newer biologics, it is perhaps not surprising that the benefit of adding IMM is harder to define with other combinations.</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To better answer the question would require dedicated prospective studies of each CT as was the case with IFX, which are unlikely to be performed.</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With regards to the safety of CT, there is valid concern regarding the increased risk of opportunistic infections, though perhaps outweighed by the benefits of better disease control.</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As for the risks of malignancy with CT, the numbers again suggest that any increased risk is far outweighed by the potential benefits, at least over a “short term” of several years.</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Even though patients and physicians may understand that this risk is minor in comparison to potential benefits, the observed rates of CT use suggest that fear of this complication is still a strong motivating force away from CT.</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 xml:space="preserve">Overall, GI </w:t>
      </w:r>
      <w:r w:rsidRPr="000E643C">
        <w:rPr>
          <w:rFonts w:ascii="Book Antiqua" w:hAnsi="Book Antiqua" w:cstheme="minorHAnsi"/>
          <w:sz w:val="24"/>
          <w:szCs w:val="24"/>
        </w:rPr>
        <w:lastRenderedPageBreak/>
        <w:t>professional societies have advocated the use of CT when the anti-TNF is IFX, but not explicitly for other combinations.</w:t>
      </w:r>
      <w:r w:rsidR="00E57DEB" w:rsidRPr="000E643C">
        <w:rPr>
          <w:rFonts w:ascii="Book Antiqua" w:hAnsi="Book Antiqua" w:cstheme="minorHAnsi"/>
          <w:sz w:val="24"/>
          <w:szCs w:val="24"/>
        </w:rPr>
        <w:t xml:space="preserve"> </w:t>
      </w:r>
      <w:r w:rsidRPr="000E643C">
        <w:rPr>
          <w:rFonts w:ascii="Book Antiqua" w:hAnsi="Book Antiqua" w:cstheme="minorHAnsi"/>
          <w:sz w:val="24"/>
          <w:szCs w:val="24"/>
        </w:rPr>
        <w:t xml:space="preserve">As we have seen, there is evidence to support other forms of CT, but both the physician and the patient need to be aware of the strength of this evidence, be certain that the risks are understood, and the goals of therapy are achieved if other forms of CT are used. </w:t>
      </w:r>
    </w:p>
    <w:p w14:paraId="12AEAF63" w14:textId="77777777" w:rsidR="00F24B43" w:rsidRPr="000E643C" w:rsidRDefault="00F24B43" w:rsidP="00E57DEB">
      <w:pPr>
        <w:widowControl w:val="0"/>
        <w:adjustRightInd w:val="0"/>
        <w:snapToGrid w:val="0"/>
        <w:spacing w:after="0" w:line="360" w:lineRule="auto"/>
        <w:jc w:val="both"/>
        <w:rPr>
          <w:rFonts w:ascii="Book Antiqua" w:hAnsi="Book Antiqua" w:cstheme="minorHAnsi"/>
          <w:sz w:val="24"/>
          <w:szCs w:val="24"/>
        </w:rPr>
      </w:pPr>
    </w:p>
    <w:p w14:paraId="528B2B5A" w14:textId="77777777" w:rsidR="00C76AA7" w:rsidRPr="000E643C" w:rsidRDefault="00C76AA7" w:rsidP="00E57DEB">
      <w:pPr>
        <w:widowControl w:val="0"/>
        <w:adjustRightInd w:val="0"/>
        <w:snapToGrid w:val="0"/>
        <w:spacing w:after="0" w:line="360" w:lineRule="auto"/>
        <w:jc w:val="both"/>
        <w:rPr>
          <w:rFonts w:ascii="Book Antiqua" w:hAnsi="Book Antiqua" w:cstheme="minorHAnsi"/>
          <w:sz w:val="24"/>
          <w:szCs w:val="24"/>
        </w:rPr>
      </w:pPr>
    </w:p>
    <w:p w14:paraId="400AF2FD" w14:textId="77777777" w:rsidR="00C76AA7" w:rsidRPr="000E643C" w:rsidRDefault="00C76AA7" w:rsidP="00E57DEB">
      <w:pPr>
        <w:widowControl w:val="0"/>
        <w:adjustRightInd w:val="0"/>
        <w:snapToGrid w:val="0"/>
        <w:spacing w:after="0" w:line="360" w:lineRule="auto"/>
        <w:jc w:val="both"/>
        <w:rPr>
          <w:rFonts w:ascii="Book Antiqua" w:hAnsi="Book Antiqua" w:cstheme="minorHAnsi"/>
          <w:sz w:val="24"/>
          <w:szCs w:val="24"/>
        </w:rPr>
      </w:pPr>
    </w:p>
    <w:p w14:paraId="7F189ED6" w14:textId="77777777" w:rsidR="00EC18E2" w:rsidRPr="000E643C" w:rsidRDefault="00EC18E2" w:rsidP="00E57DEB">
      <w:pPr>
        <w:widowControl w:val="0"/>
        <w:adjustRightInd w:val="0"/>
        <w:snapToGrid w:val="0"/>
        <w:spacing w:after="0" w:line="360" w:lineRule="auto"/>
        <w:jc w:val="both"/>
        <w:rPr>
          <w:rFonts w:ascii="Book Antiqua" w:hAnsi="Book Antiqua" w:cstheme="minorHAnsi"/>
          <w:sz w:val="24"/>
          <w:szCs w:val="24"/>
        </w:rPr>
      </w:pPr>
    </w:p>
    <w:p w14:paraId="6E926A28" w14:textId="77777777" w:rsidR="00EC18E2" w:rsidRPr="000E643C" w:rsidRDefault="00EC18E2" w:rsidP="00E57DEB">
      <w:pPr>
        <w:widowControl w:val="0"/>
        <w:adjustRightInd w:val="0"/>
        <w:snapToGrid w:val="0"/>
        <w:spacing w:after="0" w:line="360" w:lineRule="auto"/>
        <w:jc w:val="both"/>
        <w:rPr>
          <w:rFonts w:ascii="Book Antiqua" w:hAnsi="Book Antiqua" w:cstheme="minorHAnsi"/>
          <w:sz w:val="24"/>
          <w:szCs w:val="24"/>
        </w:rPr>
      </w:pPr>
    </w:p>
    <w:p w14:paraId="01FF6876" w14:textId="77777777" w:rsidR="00EC18E2" w:rsidRPr="000E643C" w:rsidRDefault="00EC18E2" w:rsidP="00E57DEB">
      <w:pPr>
        <w:widowControl w:val="0"/>
        <w:adjustRightInd w:val="0"/>
        <w:snapToGrid w:val="0"/>
        <w:spacing w:after="0" w:line="360" w:lineRule="auto"/>
        <w:jc w:val="both"/>
        <w:rPr>
          <w:rFonts w:ascii="Book Antiqua" w:hAnsi="Book Antiqua" w:cstheme="minorHAnsi"/>
          <w:sz w:val="24"/>
          <w:szCs w:val="24"/>
        </w:rPr>
      </w:pPr>
    </w:p>
    <w:p w14:paraId="47664121" w14:textId="232E6F2B" w:rsidR="0069331F" w:rsidRPr="005A5853" w:rsidRDefault="005A5853" w:rsidP="005A5853">
      <w:pPr>
        <w:widowControl w:val="0"/>
        <w:adjustRightInd w:val="0"/>
        <w:snapToGrid w:val="0"/>
        <w:spacing w:after="0" w:line="360" w:lineRule="auto"/>
        <w:jc w:val="both"/>
        <w:rPr>
          <w:rFonts w:ascii="Book Antiqua" w:hAnsi="Book Antiqua" w:cstheme="minorHAnsi"/>
          <w:b/>
          <w:sz w:val="24"/>
          <w:szCs w:val="24"/>
          <w:lang w:eastAsia="zh-CN"/>
        </w:rPr>
      </w:pPr>
      <w:r w:rsidRPr="005A5853">
        <w:rPr>
          <w:rFonts w:ascii="Book Antiqua" w:hAnsi="Book Antiqua" w:cstheme="minorHAnsi"/>
          <w:b/>
          <w:sz w:val="24"/>
          <w:szCs w:val="24"/>
        </w:rPr>
        <w:t>REFERENCES</w:t>
      </w:r>
    </w:p>
    <w:p w14:paraId="67156373" w14:textId="37957E59"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1 </w:t>
      </w:r>
      <w:proofErr w:type="spellStart"/>
      <w:r w:rsidRPr="005A5853">
        <w:rPr>
          <w:rFonts w:ascii="Book Antiqua" w:eastAsia="宋体" w:hAnsi="Book Antiqua" w:cs="宋体"/>
          <w:b/>
          <w:bCs/>
          <w:color w:val="000000"/>
          <w:sz w:val="24"/>
          <w:szCs w:val="24"/>
          <w:lang w:eastAsia="zh-CN"/>
        </w:rPr>
        <w:t>Chande</w:t>
      </w:r>
      <w:proofErr w:type="spellEnd"/>
      <w:r w:rsidRPr="005A5853">
        <w:rPr>
          <w:rFonts w:ascii="Book Antiqua" w:eastAsia="宋体" w:hAnsi="Book Antiqua" w:cs="宋体"/>
          <w:b/>
          <w:bCs/>
          <w:color w:val="000000"/>
          <w:sz w:val="24"/>
          <w:szCs w:val="24"/>
          <w:lang w:eastAsia="zh-CN"/>
        </w:rPr>
        <w:t xml:space="preserve"> N</w:t>
      </w:r>
      <w:r w:rsidRPr="005A5853">
        <w:rPr>
          <w:rFonts w:ascii="Book Antiqua" w:eastAsia="宋体" w:hAnsi="Book Antiqua" w:cs="宋体"/>
          <w:color w:val="000000"/>
          <w:sz w:val="24"/>
          <w:szCs w:val="24"/>
          <w:lang w:eastAsia="zh-CN"/>
        </w:rPr>
        <w:t xml:space="preserve">, Townsend CM, Parker CE, MacDonald JK. </w:t>
      </w:r>
      <w:proofErr w:type="gramStart"/>
      <w:r w:rsidRPr="005A5853">
        <w:rPr>
          <w:rFonts w:ascii="Book Antiqua" w:eastAsia="宋体" w:hAnsi="Book Antiqua" w:cs="宋体"/>
          <w:color w:val="000000"/>
          <w:sz w:val="24"/>
          <w:szCs w:val="24"/>
          <w:lang w:eastAsia="zh-CN"/>
        </w:rPr>
        <w:t>Azathioprine or 6-mercaptopurine for induction of remission in Crohn's disease.</w:t>
      </w:r>
      <w:proofErr w:type="gramEnd"/>
      <w:r w:rsidRPr="005A5853">
        <w:rPr>
          <w:rFonts w:ascii="Book Antiqua" w:eastAsia="宋体" w:hAnsi="Book Antiqua" w:cs="宋体"/>
          <w:color w:val="000000"/>
          <w:sz w:val="24"/>
          <w:szCs w:val="24"/>
          <w:lang w:eastAsia="zh-CN"/>
        </w:rPr>
        <w:t> </w:t>
      </w:r>
      <w:r w:rsidRPr="005A5853">
        <w:rPr>
          <w:rFonts w:ascii="Book Antiqua" w:eastAsia="宋体" w:hAnsi="Book Antiqua" w:cs="宋体"/>
          <w:i/>
          <w:iCs/>
          <w:color w:val="000000"/>
          <w:sz w:val="24"/>
          <w:szCs w:val="24"/>
          <w:lang w:eastAsia="zh-CN"/>
        </w:rPr>
        <w:t xml:space="preserve">Cochrane Database </w:t>
      </w:r>
      <w:proofErr w:type="spellStart"/>
      <w:r w:rsidRPr="005A5853">
        <w:rPr>
          <w:rFonts w:ascii="Book Antiqua" w:eastAsia="宋体" w:hAnsi="Book Antiqua" w:cs="宋体"/>
          <w:i/>
          <w:iCs/>
          <w:color w:val="000000"/>
          <w:sz w:val="24"/>
          <w:szCs w:val="24"/>
          <w:lang w:eastAsia="zh-CN"/>
        </w:rPr>
        <w:t>Syst</w:t>
      </w:r>
      <w:proofErr w:type="spellEnd"/>
      <w:r w:rsidRPr="005A5853">
        <w:rPr>
          <w:rFonts w:ascii="Book Antiqua" w:eastAsia="宋体" w:hAnsi="Book Antiqua" w:cs="宋体"/>
          <w:i/>
          <w:iCs/>
          <w:color w:val="000000"/>
          <w:sz w:val="24"/>
          <w:szCs w:val="24"/>
          <w:lang w:eastAsia="zh-CN"/>
        </w:rPr>
        <w:t xml:space="preserve"> Rev</w:t>
      </w:r>
      <w:r w:rsidRPr="005A5853">
        <w:rPr>
          <w:rFonts w:ascii="Book Antiqua" w:eastAsia="宋体" w:hAnsi="Book Antiqua" w:cs="宋体"/>
          <w:color w:val="000000"/>
          <w:sz w:val="24"/>
          <w:szCs w:val="24"/>
          <w:lang w:eastAsia="zh-CN"/>
        </w:rPr>
        <w:t> 2016; </w:t>
      </w:r>
      <w:r w:rsidRPr="005A5853">
        <w:rPr>
          <w:rFonts w:ascii="Book Antiqua" w:eastAsia="宋体" w:hAnsi="Book Antiqua" w:cs="宋体"/>
          <w:b/>
          <w:bCs/>
          <w:color w:val="000000"/>
          <w:sz w:val="24"/>
          <w:szCs w:val="24"/>
          <w:lang w:eastAsia="zh-CN"/>
        </w:rPr>
        <w:t>10</w:t>
      </w:r>
      <w:r w:rsidRPr="005A5853">
        <w:rPr>
          <w:rFonts w:ascii="Book Antiqua" w:eastAsia="宋体" w:hAnsi="Book Antiqua" w:cs="宋体"/>
          <w:color w:val="000000"/>
          <w:sz w:val="24"/>
          <w:szCs w:val="24"/>
          <w:lang w:eastAsia="zh-CN"/>
        </w:rPr>
        <w:t>: CD000545 [PMID: 27783843 DOI: 10.1002/14651858.CD000545.pub5</w:t>
      </w:r>
      <w:r>
        <w:rPr>
          <w:rFonts w:ascii="Book Antiqua" w:eastAsia="宋体" w:hAnsi="Book Antiqua" w:cs="宋体"/>
          <w:color w:val="000000"/>
          <w:sz w:val="24"/>
          <w:szCs w:val="24"/>
          <w:lang w:eastAsia="zh-CN"/>
        </w:rPr>
        <w:t>]</w:t>
      </w:r>
    </w:p>
    <w:p w14:paraId="3A9516F5" w14:textId="434971FA"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2 </w:t>
      </w:r>
      <w:proofErr w:type="spellStart"/>
      <w:r w:rsidRPr="005A5853">
        <w:rPr>
          <w:rFonts w:ascii="Book Antiqua" w:eastAsia="宋体" w:hAnsi="Book Antiqua" w:cs="宋体"/>
          <w:b/>
          <w:bCs/>
          <w:color w:val="000000"/>
          <w:sz w:val="24"/>
          <w:szCs w:val="24"/>
          <w:lang w:eastAsia="zh-CN"/>
        </w:rPr>
        <w:t>Timmer</w:t>
      </w:r>
      <w:proofErr w:type="spellEnd"/>
      <w:r w:rsidRPr="005A5853">
        <w:rPr>
          <w:rFonts w:ascii="Book Antiqua" w:eastAsia="宋体" w:hAnsi="Book Antiqua" w:cs="宋体"/>
          <w:b/>
          <w:bCs/>
          <w:color w:val="000000"/>
          <w:sz w:val="24"/>
          <w:szCs w:val="24"/>
          <w:lang w:eastAsia="zh-CN"/>
        </w:rPr>
        <w:t xml:space="preserve"> A</w:t>
      </w:r>
      <w:r w:rsidRPr="005A5853">
        <w:rPr>
          <w:rFonts w:ascii="Book Antiqua" w:eastAsia="宋体" w:hAnsi="Book Antiqua" w:cs="宋体"/>
          <w:color w:val="000000"/>
          <w:sz w:val="24"/>
          <w:szCs w:val="24"/>
          <w:lang w:eastAsia="zh-CN"/>
        </w:rPr>
        <w:t xml:space="preserve">, Patton PH, </w:t>
      </w:r>
      <w:proofErr w:type="spellStart"/>
      <w:r w:rsidRPr="005A5853">
        <w:rPr>
          <w:rFonts w:ascii="Book Antiqua" w:eastAsia="宋体" w:hAnsi="Book Antiqua" w:cs="宋体"/>
          <w:color w:val="000000"/>
          <w:sz w:val="24"/>
          <w:szCs w:val="24"/>
          <w:lang w:eastAsia="zh-CN"/>
        </w:rPr>
        <w:t>Chande</w:t>
      </w:r>
      <w:proofErr w:type="spellEnd"/>
      <w:r w:rsidRPr="005A5853">
        <w:rPr>
          <w:rFonts w:ascii="Book Antiqua" w:eastAsia="宋体" w:hAnsi="Book Antiqua" w:cs="宋体"/>
          <w:color w:val="000000"/>
          <w:sz w:val="24"/>
          <w:szCs w:val="24"/>
          <w:lang w:eastAsia="zh-CN"/>
        </w:rPr>
        <w:t xml:space="preserve"> N, McDonald JW, MacDonald JK. </w:t>
      </w:r>
      <w:proofErr w:type="gramStart"/>
      <w:r w:rsidRPr="005A5853">
        <w:rPr>
          <w:rFonts w:ascii="Book Antiqua" w:eastAsia="宋体" w:hAnsi="Book Antiqua" w:cs="宋体"/>
          <w:color w:val="000000"/>
          <w:sz w:val="24"/>
          <w:szCs w:val="24"/>
          <w:lang w:eastAsia="zh-CN"/>
        </w:rPr>
        <w:t>Azathioprine and 6-mercaptopurine for maintenance of remission in ulcerative colitis.</w:t>
      </w:r>
      <w:proofErr w:type="gramEnd"/>
      <w:r w:rsidRPr="005A5853">
        <w:rPr>
          <w:rFonts w:ascii="Book Antiqua" w:eastAsia="宋体" w:hAnsi="Book Antiqua" w:cs="宋体"/>
          <w:color w:val="000000"/>
          <w:sz w:val="24"/>
          <w:szCs w:val="24"/>
          <w:lang w:eastAsia="zh-CN"/>
        </w:rPr>
        <w:t> </w:t>
      </w:r>
      <w:r w:rsidRPr="005A5853">
        <w:rPr>
          <w:rFonts w:ascii="Book Antiqua" w:eastAsia="宋体" w:hAnsi="Book Antiqua" w:cs="宋体"/>
          <w:i/>
          <w:iCs/>
          <w:color w:val="000000"/>
          <w:sz w:val="24"/>
          <w:szCs w:val="24"/>
          <w:lang w:eastAsia="zh-CN"/>
        </w:rPr>
        <w:t xml:space="preserve">Cochrane Database </w:t>
      </w:r>
      <w:proofErr w:type="spellStart"/>
      <w:r w:rsidRPr="005A5853">
        <w:rPr>
          <w:rFonts w:ascii="Book Antiqua" w:eastAsia="宋体" w:hAnsi="Book Antiqua" w:cs="宋体"/>
          <w:i/>
          <w:iCs/>
          <w:color w:val="000000"/>
          <w:sz w:val="24"/>
          <w:szCs w:val="24"/>
          <w:lang w:eastAsia="zh-CN"/>
        </w:rPr>
        <w:t>Syst</w:t>
      </w:r>
      <w:proofErr w:type="spellEnd"/>
      <w:r w:rsidRPr="005A5853">
        <w:rPr>
          <w:rFonts w:ascii="Book Antiqua" w:eastAsia="宋体" w:hAnsi="Book Antiqua" w:cs="宋体"/>
          <w:i/>
          <w:iCs/>
          <w:color w:val="000000"/>
          <w:sz w:val="24"/>
          <w:szCs w:val="24"/>
          <w:lang w:eastAsia="zh-CN"/>
        </w:rPr>
        <w:t xml:space="preserve"> Rev</w:t>
      </w:r>
      <w:r w:rsidRPr="005A5853">
        <w:rPr>
          <w:rFonts w:ascii="Book Antiqua" w:eastAsia="宋体" w:hAnsi="Book Antiqua" w:cs="宋体"/>
          <w:color w:val="000000"/>
          <w:sz w:val="24"/>
          <w:szCs w:val="24"/>
          <w:lang w:eastAsia="zh-CN"/>
        </w:rPr>
        <w:t> 2016; </w:t>
      </w:r>
      <w:r w:rsidR="001D1B33">
        <w:rPr>
          <w:rFonts w:ascii="Book Antiqua" w:eastAsia="宋体" w:hAnsi="Book Antiqua" w:cs="宋体" w:hint="eastAsia"/>
          <w:color w:val="000000"/>
          <w:sz w:val="24"/>
          <w:szCs w:val="24"/>
          <w:lang w:eastAsia="zh-CN"/>
        </w:rPr>
        <w:t>(5)</w:t>
      </w:r>
      <w:r w:rsidRPr="005A5853">
        <w:rPr>
          <w:rFonts w:ascii="Book Antiqua" w:eastAsia="宋体" w:hAnsi="Book Antiqua" w:cs="宋体"/>
          <w:color w:val="000000"/>
          <w:sz w:val="24"/>
          <w:szCs w:val="24"/>
          <w:lang w:eastAsia="zh-CN"/>
        </w:rPr>
        <w:t>: CD000478 [PMID: 27192092 DOI: 10.1002/14651858.CD000478.pub4</w:t>
      </w:r>
      <w:r>
        <w:rPr>
          <w:rFonts w:ascii="Book Antiqua" w:eastAsia="宋体" w:hAnsi="Book Antiqua" w:cs="宋体"/>
          <w:color w:val="000000"/>
          <w:sz w:val="24"/>
          <w:szCs w:val="24"/>
          <w:lang w:eastAsia="zh-CN"/>
        </w:rPr>
        <w:t>]</w:t>
      </w:r>
    </w:p>
    <w:p w14:paraId="049E893A" w14:textId="131F0B35"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3 </w:t>
      </w:r>
      <w:r w:rsidRPr="005A5853">
        <w:rPr>
          <w:rFonts w:ascii="Book Antiqua" w:eastAsia="宋体" w:hAnsi="Book Antiqua" w:cs="宋体"/>
          <w:b/>
          <w:bCs/>
          <w:color w:val="000000"/>
          <w:sz w:val="24"/>
          <w:szCs w:val="24"/>
          <w:lang w:eastAsia="zh-CN"/>
        </w:rPr>
        <w:t>Patel V</w:t>
      </w:r>
      <w:r w:rsidRPr="005A5853">
        <w:rPr>
          <w:rFonts w:ascii="Book Antiqua" w:eastAsia="宋体" w:hAnsi="Book Antiqua" w:cs="宋体"/>
          <w:color w:val="000000"/>
          <w:sz w:val="24"/>
          <w:szCs w:val="24"/>
          <w:lang w:eastAsia="zh-CN"/>
        </w:rPr>
        <w:t xml:space="preserve">, Wang Y, MacDonald JK, McDonald JW, </w:t>
      </w:r>
      <w:proofErr w:type="spellStart"/>
      <w:r w:rsidRPr="005A5853">
        <w:rPr>
          <w:rFonts w:ascii="Book Antiqua" w:eastAsia="宋体" w:hAnsi="Book Antiqua" w:cs="宋体"/>
          <w:color w:val="000000"/>
          <w:sz w:val="24"/>
          <w:szCs w:val="24"/>
          <w:lang w:eastAsia="zh-CN"/>
        </w:rPr>
        <w:t>Chande</w:t>
      </w:r>
      <w:proofErr w:type="spellEnd"/>
      <w:r w:rsidRPr="005A5853">
        <w:rPr>
          <w:rFonts w:ascii="Book Antiqua" w:eastAsia="宋体" w:hAnsi="Book Antiqua" w:cs="宋体"/>
          <w:color w:val="000000"/>
          <w:sz w:val="24"/>
          <w:szCs w:val="24"/>
          <w:lang w:eastAsia="zh-CN"/>
        </w:rPr>
        <w:t xml:space="preserve"> N. Methotrexate for maintenance of remission in Crohn's disease. </w:t>
      </w:r>
      <w:r w:rsidRPr="005A5853">
        <w:rPr>
          <w:rFonts w:ascii="Book Antiqua" w:eastAsia="宋体" w:hAnsi="Book Antiqua" w:cs="宋体"/>
          <w:i/>
          <w:iCs/>
          <w:color w:val="000000"/>
          <w:sz w:val="24"/>
          <w:szCs w:val="24"/>
          <w:lang w:eastAsia="zh-CN"/>
        </w:rPr>
        <w:t xml:space="preserve">Cochrane Database </w:t>
      </w:r>
      <w:proofErr w:type="spellStart"/>
      <w:r w:rsidRPr="005A5853">
        <w:rPr>
          <w:rFonts w:ascii="Book Antiqua" w:eastAsia="宋体" w:hAnsi="Book Antiqua" w:cs="宋体"/>
          <w:i/>
          <w:iCs/>
          <w:color w:val="000000"/>
          <w:sz w:val="24"/>
          <w:szCs w:val="24"/>
          <w:lang w:eastAsia="zh-CN"/>
        </w:rPr>
        <w:t>Syst</w:t>
      </w:r>
      <w:proofErr w:type="spellEnd"/>
      <w:r w:rsidRPr="005A5853">
        <w:rPr>
          <w:rFonts w:ascii="Book Antiqua" w:eastAsia="宋体" w:hAnsi="Book Antiqua" w:cs="宋体"/>
          <w:i/>
          <w:iCs/>
          <w:color w:val="000000"/>
          <w:sz w:val="24"/>
          <w:szCs w:val="24"/>
          <w:lang w:eastAsia="zh-CN"/>
        </w:rPr>
        <w:t xml:space="preserve"> Rev</w:t>
      </w:r>
      <w:r w:rsidRPr="005A5853">
        <w:rPr>
          <w:rFonts w:ascii="Book Antiqua" w:eastAsia="宋体" w:hAnsi="Book Antiqua" w:cs="宋体"/>
          <w:color w:val="000000"/>
          <w:sz w:val="24"/>
          <w:szCs w:val="24"/>
          <w:lang w:eastAsia="zh-CN"/>
        </w:rPr>
        <w:t> 2014; </w:t>
      </w:r>
      <w:r w:rsidR="004A1115">
        <w:rPr>
          <w:rFonts w:ascii="Book Antiqua" w:eastAsia="宋体" w:hAnsi="Book Antiqua" w:cs="宋体" w:hint="eastAsia"/>
          <w:color w:val="000000"/>
          <w:sz w:val="24"/>
          <w:szCs w:val="24"/>
          <w:lang w:eastAsia="zh-CN"/>
        </w:rPr>
        <w:t>(8)</w:t>
      </w:r>
      <w:r w:rsidRPr="005A5853">
        <w:rPr>
          <w:rFonts w:ascii="Book Antiqua" w:eastAsia="宋体" w:hAnsi="Book Antiqua" w:cs="宋体"/>
          <w:color w:val="000000"/>
          <w:sz w:val="24"/>
          <w:szCs w:val="24"/>
          <w:lang w:eastAsia="zh-CN"/>
        </w:rPr>
        <w:t>: CD006884 [PMID: 25157445 DOI: 10.1002/14651858.CD006884.pub3</w:t>
      </w:r>
      <w:r>
        <w:rPr>
          <w:rFonts w:ascii="Book Antiqua" w:eastAsia="宋体" w:hAnsi="Book Antiqua" w:cs="宋体"/>
          <w:color w:val="000000"/>
          <w:sz w:val="24"/>
          <w:szCs w:val="24"/>
          <w:lang w:eastAsia="zh-CN"/>
        </w:rPr>
        <w:t>]</w:t>
      </w:r>
    </w:p>
    <w:p w14:paraId="51032FD7" w14:textId="1A3542C3"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4 </w:t>
      </w:r>
      <w:proofErr w:type="spellStart"/>
      <w:r w:rsidRPr="005A5853">
        <w:rPr>
          <w:rFonts w:ascii="Book Antiqua" w:eastAsia="宋体" w:hAnsi="Book Antiqua" w:cs="宋体"/>
          <w:b/>
          <w:bCs/>
          <w:color w:val="000000"/>
          <w:sz w:val="24"/>
          <w:szCs w:val="24"/>
          <w:lang w:eastAsia="zh-CN"/>
        </w:rPr>
        <w:t>Hanauer</w:t>
      </w:r>
      <w:proofErr w:type="spellEnd"/>
      <w:r w:rsidRPr="005A5853">
        <w:rPr>
          <w:rFonts w:ascii="Book Antiqua" w:eastAsia="宋体" w:hAnsi="Book Antiqua" w:cs="宋体"/>
          <w:b/>
          <w:bCs/>
          <w:color w:val="000000"/>
          <w:sz w:val="24"/>
          <w:szCs w:val="24"/>
          <w:lang w:eastAsia="zh-CN"/>
        </w:rPr>
        <w:t xml:space="preserve"> SB</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Feagan</w:t>
      </w:r>
      <w:proofErr w:type="spellEnd"/>
      <w:r w:rsidRPr="005A5853">
        <w:rPr>
          <w:rFonts w:ascii="Book Antiqua" w:eastAsia="宋体" w:hAnsi="Book Antiqua" w:cs="宋体"/>
          <w:color w:val="000000"/>
          <w:sz w:val="24"/>
          <w:szCs w:val="24"/>
          <w:lang w:eastAsia="zh-CN"/>
        </w:rPr>
        <w:t xml:space="preserve"> BG, Lichtenstein GR, Mayer LF, Schreiber S,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w:t>
      </w:r>
      <w:proofErr w:type="spellStart"/>
      <w:r w:rsidRPr="005A5853">
        <w:rPr>
          <w:rFonts w:ascii="Book Antiqua" w:eastAsia="宋体" w:hAnsi="Book Antiqua" w:cs="宋体"/>
          <w:color w:val="000000"/>
          <w:sz w:val="24"/>
          <w:szCs w:val="24"/>
          <w:lang w:eastAsia="zh-CN"/>
        </w:rPr>
        <w:t>Rachmilewitz</w:t>
      </w:r>
      <w:proofErr w:type="spellEnd"/>
      <w:r w:rsidRPr="005A5853">
        <w:rPr>
          <w:rFonts w:ascii="Book Antiqua" w:eastAsia="宋体" w:hAnsi="Book Antiqua" w:cs="宋体"/>
          <w:color w:val="000000"/>
          <w:sz w:val="24"/>
          <w:szCs w:val="24"/>
          <w:lang w:eastAsia="zh-CN"/>
        </w:rPr>
        <w:t xml:space="preserve"> D, Wolf DC, Olson A, </w:t>
      </w:r>
      <w:proofErr w:type="spellStart"/>
      <w:r w:rsidRPr="005A5853">
        <w:rPr>
          <w:rFonts w:ascii="Book Antiqua" w:eastAsia="宋体" w:hAnsi="Book Antiqua" w:cs="宋体"/>
          <w:color w:val="000000"/>
          <w:sz w:val="24"/>
          <w:szCs w:val="24"/>
          <w:lang w:eastAsia="zh-CN"/>
        </w:rPr>
        <w:t>Bao</w:t>
      </w:r>
      <w:proofErr w:type="spellEnd"/>
      <w:r w:rsidRPr="005A5853">
        <w:rPr>
          <w:rFonts w:ascii="Book Antiqua" w:eastAsia="宋体" w:hAnsi="Book Antiqua" w:cs="宋体"/>
          <w:color w:val="000000"/>
          <w:sz w:val="24"/>
          <w:szCs w:val="24"/>
          <w:lang w:eastAsia="zh-CN"/>
        </w:rPr>
        <w:t xml:space="preserve"> W,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 Maintenance infliximab for Crohn's disease: the ACCENT I </w:t>
      </w:r>
      <w:proofErr w:type="spellStart"/>
      <w:r w:rsidRPr="005A5853">
        <w:rPr>
          <w:rFonts w:ascii="Book Antiqua" w:eastAsia="宋体" w:hAnsi="Book Antiqua" w:cs="宋体"/>
          <w:color w:val="000000"/>
          <w:sz w:val="24"/>
          <w:szCs w:val="24"/>
          <w:lang w:eastAsia="zh-CN"/>
        </w:rPr>
        <w:t>randomised</w:t>
      </w:r>
      <w:proofErr w:type="spellEnd"/>
      <w:r w:rsidRPr="005A5853">
        <w:rPr>
          <w:rFonts w:ascii="Book Antiqua" w:eastAsia="宋体" w:hAnsi="Book Antiqua" w:cs="宋体"/>
          <w:color w:val="000000"/>
          <w:sz w:val="24"/>
          <w:szCs w:val="24"/>
          <w:lang w:eastAsia="zh-CN"/>
        </w:rPr>
        <w:t xml:space="preserve"> trial. </w:t>
      </w:r>
      <w:r w:rsidRPr="005A5853">
        <w:rPr>
          <w:rFonts w:ascii="Book Antiqua" w:eastAsia="宋体" w:hAnsi="Book Antiqua" w:cs="宋体"/>
          <w:i/>
          <w:iCs/>
          <w:color w:val="000000"/>
          <w:sz w:val="24"/>
          <w:szCs w:val="24"/>
          <w:lang w:eastAsia="zh-CN"/>
        </w:rPr>
        <w:t>Lancet</w:t>
      </w:r>
      <w:r w:rsidRPr="005A5853">
        <w:rPr>
          <w:rFonts w:ascii="Book Antiqua" w:eastAsia="宋体" w:hAnsi="Book Antiqua" w:cs="宋体"/>
          <w:color w:val="000000"/>
          <w:sz w:val="24"/>
          <w:szCs w:val="24"/>
          <w:lang w:eastAsia="zh-CN"/>
        </w:rPr>
        <w:t> 2002; </w:t>
      </w:r>
      <w:r w:rsidRPr="005A5853">
        <w:rPr>
          <w:rFonts w:ascii="Book Antiqua" w:eastAsia="宋体" w:hAnsi="Book Antiqua" w:cs="宋体"/>
          <w:b/>
          <w:bCs/>
          <w:color w:val="000000"/>
          <w:sz w:val="24"/>
          <w:szCs w:val="24"/>
          <w:lang w:eastAsia="zh-CN"/>
        </w:rPr>
        <w:t>359</w:t>
      </w:r>
      <w:r w:rsidRPr="005A5853">
        <w:rPr>
          <w:rFonts w:ascii="Book Antiqua" w:eastAsia="宋体" w:hAnsi="Book Antiqua" w:cs="宋体"/>
          <w:color w:val="000000"/>
          <w:sz w:val="24"/>
          <w:szCs w:val="24"/>
          <w:lang w:eastAsia="zh-CN"/>
        </w:rPr>
        <w:t>: 1541-1549 [PMID: 12047962 DOI: 10.1016/S0140-6736(02)08512-4</w:t>
      </w:r>
      <w:r>
        <w:rPr>
          <w:rFonts w:ascii="Book Antiqua" w:eastAsia="宋体" w:hAnsi="Book Antiqua" w:cs="宋体"/>
          <w:color w:val="000000"/>
          <w:sz w:val="24"/>
          <w:szCs w:val="24"/>
          <w:lang w:eastAsia="zh-CN"/>
        </w:rPr>
        <w:t>]</w:t>
      </w:r>
    </w:p>
    <w:p w14:paraId="024F26AC" w14:textId="5528CBA2"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5 </w:t>
      </w:r>
      <w:r w:rsidRPr="005A5853">
        <w:rPr>
          <w:rFonts w:ascii="Book Antiqua" w:eastAsia="宋体" w:hAnsi="Book Antiqua" w:cs="宋体"/>
          <w:b/>
          <w:bCs/>
          <w:color w:val="000000"/>
          <w:sz w:val="24"/>
          <w:szCs w:val="24"/>
          <w:lang w:eastAsia="zh-CN"/>
        </w:rPr>
        <w:t>Sands BE</w:t>
      </w:r>
      <w:r w:rsidRPr="005A5853">
        <w:rPr>
          <w:rFonts w:ascii="Book Antiqua" w:eastAsia="宋体" w:hAnsi="Book Antiqua" w:cs="宋体"/>
          <w:color w:val="000000"/>
          <w:sz w:val="24"/>
          <w:szCs w:val="24"/>
          <w:lang w:eastAsia="zh-CN"/>
        </w:rPr>
        <w:t xml:space="preserve">, Anderson FH, Bernstein CN, </w:t>
      </w:r>
      <w:proofErr w:type="spellStart"/>
      <w:r w:rsidRPr="005A5853">
        <w:rPr>
          <w:rFonts w:ascii="Book Antiqua" w:eastAsia="宋体" w:hAnsi="Book Antiqua" w:cs="宋体"/>
          <w:color w:val="000000"/>
          <w:sz w:val="24"/>
          <w:szCs w:val="24"/>
          <w:lang w:eastAsia="zh-CN"/>
        </w:rPr>
        <w:t>Chey</w:t>
      </w:r>
      <w:proofErr w:type="spellEnd"/>
      <w:r w:rsidRPr="005A5853">
        <w:rPr>
          <w:rFonts w:ascii="Book Antiqua" w:eastAsia="宋体" w:hAnsi="Book Antiqua" w:cs="宋体"/>
          <w:color w:val="000000"/>
          <w:sz w:val="24"/>
          <w:szCs w:val="24"/>
          <w:lang w:eastAsia="zh-CN"/>
        </w:rPr>
        <w:t xml:space="preserve"> WY, </w:t>
      </w:r>
      <w:proofErr w:type="spellStart"/>
      <w:r w:rsidRPr="005A5853">
        <w:rPr>
          <w:rFonts w:ascii="Book Antiqua" w:eastAsia="宋体" w:hAnsi="Book Antiqua" w:cs="宋体"/>
          <w:color w:val="000000"/>
          <w:sz w:val="24"/>
          <w:szCs w:val="24"/>
          <w:lang w:eastAsia="zh-CN"/>
        </w:rPr>
        <w:t>Feagan</w:t>
      </w:r>
      <w:proofErr w:type="spellEnd"/>
      <w:r w:rsidRPr="005A5853">
        <w:rPr>
          <w:rFonts w:ascii="Book Antiqua" w:eastAsia="宋体" w:hAnsi="Book Antiqua" w:cs="宋体"/>
          <w:color w:val="000000"/>
          <w:sz w:val="24"/>
          <w:szCs w:val="24"/>
          <w:lang w:eastAsia="zh-CN"/>
        </w:rPr>
        <w:t xml:space="preserve"> BG, </w:t>
      </w:r>
      <w:proofErr w:type="spellStart"/>
      <w:r w:rsidRPr="005A5853">
        <w:rPr>
          <w:rFonts w:ascii="Book Antiqua" w:eastAsia="宋体" w:hAnsi="Book Antiqua" w:cs="宋体"/>
          <w:color w:val="000000"/>
          <w:sz w:val="24"/>
          <w:szCs w:val="24"/>
          <w:lang w:eastAsia="zh-CN"/>
        </w:rPr>
        <w:t>Fedorak</w:t>
      </w:r>
      <w:proofErr w:type="spellEnd"/>
      <w:r w:rsidRPr="005A5853">
        <w:rPr>
          <w:rFonts w:ascii="Book Antiqua" w:eastAsia="宋体" w:hAnsi="Book Antiqua" w:cs="宋体"/>
          <w:color w:val="000000"/>
          <w:sz w:val="24"/>
          <w:szCs w:val="24"/>
          <w:lang w:eastAsia="zh-CN"/>
        </w:rPr>
        <w:t xml:space="preserve"> RN, </w:t>
      </w:r>
      <w:proofErr w:type="spellStart"/>
      <w:r w:rsidRPr="005A5853">
        <w:rPr>
          <w:rFonts w:ascii="Book Antiqua" w:eastAsia="宋体" w:hAnsi="Book Antiqua" w:cs="宋体"/>
          <w:color w:val="000000"/>
          <w:sz w:val="24"/>
          <w:szCs w:val="24"/>
          <w:lang w:eastAsia="zh-CN"/>
        </w:rPr>
        <w:t>Kamm</w:t>
      </w:r>
      <w:proofErr w:type="spellEnd"/>
      <w:r w:rsidRPr="005A5853">
        <w:rPr>
          <w:rFonts w:ascii="Book Antiqua" w:eastAsia="宋体" w:hAnsi="Book Antiqua" w:cs="宋体"/>
          <w:color w:val="000000"/>
          <w:sz w:val="24"/>
          <w:szCs w:val="24"/>
          <w:lang w:eastAsia="zh-CN"/>
        </w:rPr>
        <w:t xml:space="preserve"> MA, </w:t>
      </w:r>
      <w:proofErr w:type="spellStart"/>
      <w:r w:rsidRPr="005A5853">
        <w:rPr>
          <w:rFonts w:ascii="Book Antiqua" w:eastAsia="宋体" w:hAnsi="Book Antiqua" w:cs="宋体"/>
          <w:color w:val="000000"/>
          <w:sz w:val="24"/>
          <w:szCs w:val="24"/>
          <w:lang w:eastAsia="zh-CN"/>
        </w:rPr>
        <w:t>Korzenik</w:t>
      </w:r>
      <w:proofErr w:type="spellEnd"/>
      <w:r w:rsidRPr="005A5853">
        <w:rPr>
          <w:rFonts w:ascii="Book Antiqua" w:eastAsia="宋体" w:hAnsi="Book Antiqua" w:cs="宋体"/>
          <w:color w:val="000000"/>
          <w:sz w:val="24"/>
          <w:szCs w:val="24"/>
          <w:lang w:eastAsia="zh-CN"/>
        </w:rPr>
        <w:t xml:space="preserve"> JR, </w:t>
      </w:r>
      <w:proofErr w:type="spellStart"/>
      <w:r w:rsidRPr="005A5853">
        <w:rPr>
          <w:rFonts w:ascii="Book Antiqua" w:eastAsia="宋体" w:hAnsi="Book Antiqua" w:cs="宋体"/>
          <w:color w:val="000000"/>
          <w:sz w:val="24"/>
          <w:szCs w:val="24"/>
          <w:lang w:eastAsia="zh-CN"/>
        </w:rPr>
        <w:t>Lashner</w:t>
      </w:r>
      <w:proofErr w:type="spellEnd"/>
      <w:r w:rsidRPr="005A5853">
        <w:rPr>
          <w:rFonts w:ascii="Book Antiqua" w:eastAsia="宋体" w:hAnsi="Book Antiqua" w:cs="宋体"/>
          <w:color w:val="000000"/>
          <w:sz w:val="24"/>
          <w:szCs w:val="24"/>
          <w:lang w:eastAsia="zh-CN"/>
        </w:rPr>
        <w:t xml:space="preserve"> BA, </w:t>
      </w:r>
      <w:proofErr w:type="spellStart"/>
      <w:r w:rsidRPr="005A5853">
        <w:rPr>
          <w:rFonts w:ascii="Book Antiqua" w:eastAsia="宋体" w:hAnsi="Book Antiqua" w:cs="宋体"/>
          <w:color w:val="000000"/>
          <w:sz w:val="24"/>
          <w:szCs w:val="24"/>
          <w:lang w:eastAsia="zh-CN"/>
        </w:rPr>
        <w:t>Onken</w:t>
      </w:r>
      <w:proofErr w:type="spellEnd"/>
      <w:r w:rsidRPr="005A5853">
        <w:rPr>
          <w:rFonts w:ascii="Book Antiqua" w:eastAsia="宋体" w:hAnsi="Book Antiqua" w:cs="宋体"/>
          <w:color w:val="000000"/>
          <w:sz w:val="24"/>
          <w:szCs w:val="24"/>
          <w:lang w:eastAsia="zh-CN"/>
        </w:rPr>
        <w:t xml:space="preserve"> JE, </w:t>
      </w:r>
      <w:proofErr w:type="spellStart"/>
      <w:r w:rsidRPr="005A5853">
        <w:rPr>
          <w:rFonts w:ascii="Book Antiqua" w:eastAsia="宋体" w:hAnsi="Book Antiqua" w:cs="宋体"/>
          <w:color w:val="000000"/>
          <w:sz w:val="24"/>
          <w:szCs w:val="24"/>
          <w:lang w:eastAsia="zh-CN"/>
        </w:rPr>
        <w:t>Rachmilewitz</w:t>
      </w:r>
      <w:proofErr w:type="spellEnd"/>
      <w:r w:rsidRPr="005A5853">
        <w:rPr>
          <w:rFonts w:ascii="Book Antiqua" w:eastAsia="宋体" w:hAnsi="Book Antiqua" w:cs="宋体"/>
          <w:color w:val="000000"/>
          <w:sz w:val="24"/>
          <w:szCs w:val="24"/>
          <w:lang w:eastAsia="zh-CN"/>
        </w:rPr>
        <w:t xml:space="preserve"> D,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 Wild G, Wolf DC, </w:t>
      </w:r>
      <w:proofErr w:type="spellStart"/>
      <w:r w:rsidRPr="005A5853">
        <w:rPr>
          <w:rFonts w:ascii="Book Antiqua" w:eastAsia="宋体" w:hAnsi="Book Antiqua" w:cs="宋体"/>
          <w:color w:val="000000"/>
          <w:sz w:val="24"/>
          <w:szCs w:val="24"/>
          <w:lang w:eastAsia="zh-CN"/>
        </w:rPr>
        <w:t>Marsters</w:t>
      </w:r>
      <w:proofErr w:type="spellEnd"/>
      <w:r w:rsidRPr="005A5853">
        <w:rPr>
          <w:rFonts w:ascii="Book Antiqua" w:eastAsia="宋体" w:hAnsi="Book Antiqua" w:cs="宋体"/>
          <w:color w:val="000000"/>
          <w:sz w:val="24"/>
          <w:szCs w:val="24"/>
          <w:lang w:eastAsia="zh-CN"/>
        </w:rPr>
        <w:t xml:space="preserve"> PA, Travers SB, Blank MA, van Deventer SJ. </w:t>
      </w:r>
      <w:proofErr w:type="gramStart"/>
      <w:r w:rsidRPr="005A5853">
        <w:rPr>
          <w:rFonts w:ascii="Book Antiqua" w:eastAsia="宋体" w:hAnsi="Book Antiqua" w:cs="宋体"/>
          <w:color w:val="000000"/>
          <w:sz w:val="24"/>
          <w:szCs w:val="24"/>
          <w:lang w:eastAsia="zh-CN"/>
        </w:rPr>
        <w:t xml:space="preserve">Infliximab maintenance therapy for </w:t>
      </w:r>
      <w:proofErr w:type="spellStart"/>
      <w:r w:rsidRPr="005A5853">
        <w:rPr>
          <w:rFonts w:ascii="Book Antiqua" w:eastAsia="宋体" w:hAnsi="Book Antiqua" w:cs="宋体"/>
          <w:color w:val="000000"/>
          <w:sz w:val="24"/>
          <w:szCs w:val="24"/>
          <w:lang w:eastAsia="zh-CN"/>
        </w:rPr>
        <w:t>fistulizing</w:t>
      </w:r>
      <w:proofErr w:type="spellEnd"/>
      <w:r w:rsidRPr="005A5853">
        <w:rPr>
          <w:rFonts w:ascii="Book Antiqua" w:eastAsia="宋体" w:hAnsi="Book Antiqua" w:cs="宋体"/>
          <w:color w:val="000000"/>
          <w:sz w:val="24"/>
          <w:szCs w:val="24"/>
          <w:lang w:eastAsia="zh-CN"/>
        </w:rPr>
        <w:t xml:space="preserve"> Crohn's disease.</w:t>
      </w:r>
      <w:proofErr w:type="gramEnd"/>
      <w:r w:rsidRPr="005A5853">
        <w:rPr>
          <w:rFonts w:ascii="Book Antiqua" w:eastAsia="宋体" w:hAnsi="Book Antiqua" w:cs="宋体"/>
          <w:color w:val="000000"/>
          <w:sz w:val="24"/>
          <w:szCs w:val="24"/>
          <w:lang w:eastAsia="zh-CN"/>
        </w:rPr>
        <w:t> </w:t>
      </w:r>
      <w:r w:rsidRPr="005A5853">
        <w:rPr>
          <w:rFonts w:ascii="Book Antiqua" w:eastAsia="宋体" w:hAnsi="Book Antiqua" w:cs="宋体"/>
          <w:i/>
          <w:iCs/>
          <w:color w:val="000000"/>
          <w:sz w:val="24"/>
          <w:szCs w:val="24"/>
          <w:lang w:eastAsia="zh-CN"/>
        </w:rPr>
        <w:t xml:space="preserve">N </w:t>
      </w:r>
      <w:proofErr w:type="spellStart"/>
      <w:r w:rsidRPr="005A5853">
        <w:rPr>
          <w:rFonts w:ascii="Book Antiqua" w:eastAsia="宋体" w:hAnsi="Book Antiqua" w:cs="宋体"/>
          <w:i/>
          <w:iCs/>
          <w:color w:val="000000"/>
          <w:sz w:val="24"/>
          <w:szCs w:val="24"/>
          <w:lang w:eastAsia="zh-CN"/>
        </w:rPr>
        <w:t>Engl</w:t>
      </w:r>
      <w:proofErr w:type="spellEnd"/>
      <w:r w:rsidRPr="005A5853">
        <w:rPr>
          <w:rFonts w:ascii="Book Antiqua" w:eastAsia="宋体" w:hAnsi="Book Antiqua" w:cs="宋体"/>
          <w:i/>
          <w:iCs/>
          <w:color w:val="000000"/>
          <w:sz w:val="24"/>
          <w:szCs w:val="24"/>
          <w:lang w:eastAsia="zh-CN"/>
        </w:rPr>
        <w:t xml:space="preserve"> J Med</w:t>
      </w:r>
      <w:r w:rsidRPr="005A5853">
        <w:rPr>
          <w:rFonts w:ascii="Book Antiqua" w:eastAsia="宋体" w:hAnsi="Book Antiqua" w:cs="宋体"/>
          <w:color w:val="000000"/>
          <w:sz w:val="24"/>
          <w:szCs w:val="24"/>
          <w:lang w:eastAsia="zh-CN"/>
        </w:rPr>
        <w:t> 2004; </w:t>
      </w:r>
      <w:r w:rsidRPr="005A5853">
        <w:rPr>
          <w:rFonts w:ascii="Book Antiqua" w:eastAsia="宋体" w:hAnsi="Book Antiqua" w:cs="宋体"/>
          <w:b/>
          <w:bCs/>
          <w:color w:val="000000"/>
          <w:sz w:val="24"/>
          <w:szCs w:val="24"/>
          <w:lang w:eastAsia="zh-CN"/>
        </w:rPr>
        <w:t>350</w:t>
      </w:r>
      <w:r w:rsidRPr="005A5853">
        <w:rPr>
          <w:rFonts w:ascii="Book Antiqua" w:eastAsia="宋体" w:hAnsi="Book Antiqua" w:cs="宋体"/>
          <w:color w:val="000000"/>
          <w:sz w:val="24"/>
          <w:szCs w:val="24"/>
          <w:lang w:eastAsia="zh-CN"/>
        </w:rPr>
        <w:t>: 876-885 [PMID: 14985485 DOI: 10.1056/NEJMoa030815</w:t>
      </w:r>
      <w:r>
        <w:rPr>
          <w:rFonts w:ascii="Book Antiqua" w:eastAsia="宋体" w:hAnsi="Book Antiqua" w:cs="宋体"/>
          <w:color w:val="000000"/>
          <w:sz w:val="24"/>
          <w:szCs w:val="24"/>
          <w:lang w:eastAsia="zh-CN"/>
        </w:rPr>
        <w:t>]</w:t>
      </w:r>
    </w:p>
    <w:p w14:paraId="318B469D" w14:textId="6ABD55CC"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lastRenderedPageBreak/>
        <w:t>6 </w:t>
      </w:r>
      <w:proofErr w:type="spellStart"/>
      <w:r w:rsidRPr="005A5853">
        <w:rPr>
          <w:rFonts w:ascii="Book Antiqua" w:eastAsia="宋体" w:hAnsi="Book Antiqua" w:cs="宋体"/>
          <w:b/>
          <w:bCs/>
          <w:color w:val="000000"/>
          <w:sz w:val="24"/>
          <w:szCs w:val="24"/>
          <w:lang w:eastAsia="zh-CN"/>
        </w:rPr>
        <w:t>Rutgeerts</w:t>
      </w:r>
      <w:proofErr w:type="spellEnd"/>
      <w:r w:rsidRPr="005A5853">
        <w:rPr>
          <w:rFonts w:ascii="Book Antiqua" w:eastAsia="宋体" w:hAnsi="Book Antiqua" w:cs="宋体"/>
          <w:b/>
          <w:bCs/>
          <w:color w:val="000000"/>
          <w:sz w:val="24"/>
          <w:szCs w:val="24"/>
          <w:lang w:eastAsia="zh-CN"/>
        </w:rPr>
        <w:t xml:space="preserve"> P</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Sandborn</w:t>
      </w:r>
      <w:proofErr w:type="spellEnd"/>
      <w:r w:rsidRPr="005A5853">
        <w:rPr>
          <w:rFonts w:ascii="Book Antiqua" w:eastAsia="宋体" w:hAnsi="Book Antiqua" w:cs="宋体"/>
          <w:color w:val="000000"/>
          <w:sz w:val="24"/>
          <w:szCs w:val="24"/>
          <w:lang w:eastAsia="zh-CN"/>
        </w:rPr>
        <w:t xml:space="preserve"> WJ, </w:t>
      </w:r>
      <w:proofErr w:type="spellStart"/>
      <w:r w:rsidRPr="005A5853">
        <w:rPr>
          <w:rFonts w:ascii="Book Antiqua" w:eastAsia="宋体" w:hAnsi="Book Antiqua" w:cs="宋体"/>
          <w:color w:val="000000"/>
          <w:sz w:val="24"/>
          <w:szCs w:val="24"/>
          <w:lang w:eastAsia="zh-CN"/>
        </w:rPr>
        <w:t>Feagan</w:t>
      </w:r>
      <w:proofErr w:type="spellEnd"/>
      <w:r w:rsidRPr="005A5853">
        <w:rPr>
          <w:rFonts w:ascii="Book Antiqua" w:eastAsia="宋体" w:hAnsi="Book Antiqua" w:cs="宋体"/>
          <w:color w:val="000000"/>
          <w:sz w:val="24"/>
          <w:szCs w:val="24"/>
          <w:lang w:eastAsia="zh-CN"/>
        </w:rPr>
        <w:t xml:space="preserve"> BG, </w:t>
      </w:r>
      <w:proofErr w:type="spellStart"/>
      <w:r w:rsidRPr="005A5853">
        <w:rPr>
          <w:rFonts w:ascii="Book Antiqua" w:eastAsia="宋体" w:hAnsi="Book Antiqua" w:cs="宋体"/>
          <w:color w:val="000000"/>
          <w:sz w:val="24"/>
          <w:szCs w:val="24"/>
          <w:lang w:eastAsia="zh-CN"/>
        </w:rPr>
        <w:t>Reinisch</w:t>
      </w:r>
      <w:proofErr w:type="spellEnd"/>
      <w:r w:rsidRPr="005A5853">
        <w:rPr>
          <w:rFonts w:ascii="Book Antiqua" w:eastAsia="宋体" w:hAnsi="Book Antiqua" w:cs="宋体"/>
          <w:color w:val="000000"/>
          <w:sz w:val="24"/>
          <w:szCs w:val="24"/>
          <w:lang w:eastAsia="zh-CN"/>
        </w:rPr>
        <w:t xml:space="preserve"> W, Olson A, </w:t>
      </w:r>
      <w:proofErr w:type="spellStart"/>
      <w:r w:rsidRPr="005A5853">
        <w:rPr>
          <w:rFonts w:ascii="Book Antiqua" w:eastAsia="宋体" w:hAnsi="Book Antiqua" w:cs="宋体"/>
          <w:color w:val="000000"/>
          <w:sz w:val="24"/>
          <w:szCs w:val="24"/>
          <w:lang w:eastAsia="zh-CN"/>
        </w:rPr>
        <w:t>Johanns</w:t>
      </w:r>
      <w:proofErr w:type="spellEnd"/>
      <w:r w:rsidRPr="005A5853">
        <w:rPr>
          <w:rFonts w:ascii="Book Antiqua" w:eastAsia="宋体" w:hAnsi="Book Antiqua" w:cs="宋体"/>
          <w:color w:val="000000"/>
          <w:sz w:val="24"/>
          <w:szCs w:val="24"/>
          <w:lang w:eastAsia="zh-CN"/>
        </w:rPr>
        <w:t xml:space="preserve"> J, Travers S, </w:t>
      </w:r>
      <w:proofErr w:type="spellStart"/>
      <w:r w:rsidRPr="005A5853">
        <w:rPr>
          <w:rFonts w:ascii="Book Antiqua" w:eastAsia="宋体" w:hAnsi="Book Antiqua" w:cs="宋体"/>
          <w:color w:val="000000"/>
          <w:sz w:val="24"/>
          <w:szCs w:val="24"/>
          <w:lang w:eastAsia="zh-CN"/>
        </w:rPr>
        <w:t>Rachmilewitz</w:t>
      </w:r>
      <w:proofErr w:type="spellEnd"/>
      <w:r w:rsidRPr="005A5853">
        <w:rPr>
          <w:rFonts w:ascii="Book Antiqua" w:eastAsia="宋体" w:hAnsi="Book Antiqua" w:cs="宋体"/>
          <w:color w:val="000000"/>
          <w:sz w:val="24"/>
          <w:szCs w:val="24"/>
          <w:lang w:eastAsia="zh-CN"/>
        </w:rPr>
        <w:t xml:space="preserve"> D, </w:t>
      </w:r>
      <w:proofErr w:type="spellStart"/>
      <w:r w:rsidRPr="005A5853">
        <w:rPr>
          <w:rFonts w:ascii="Book Antiqua" w:eastAsia="宋体" w:hAnsi="Book Antiqua" w:cs="宋体"/>
          <w:color w:val="000000"/>
          <w:sz w:val="24"/>
          <w:szCs w:val="24"/>
          <w:lang w:eastAsia="zh-CN"/>
        </w:rPr>
        <w:t>Hanauer</w:t>
      </w:r>
      <w:proofErr w:type="spellEnd"/>
      <w:r w:rsidRPr="005A5853">
        <w:rPr>
          <w:rFonts w:ascii="Book Antiqua" w:eastAsia="宋体" w:hAnsi="Book Antiqua" w:cs="宋体"/>
          <w:color w:val="000000"/>
          <w:sz w:val="24"/>
          <w:szCs w:val="24"/>
          <w:lang w:eastAsia="zh-CN"/>
        </w:rPr>
        <w:t xml:space="preserve"> SB, Lichtenstein GR, de Villiers WJ, Present D, Sands BE,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w:t>
      </w:r>
      <w:proofErr w:type="gramStart"/>
      <w:r w:rsidRPr="005A5853">
        <w:rPr>
          <w:rFonts w:ascii="Book Antiqua" w:eastAsia="宋体" w:hAnsi="Book Antiqua" w:cs="宋体"/>
          <w:color w:val="000000"/>
          <w:sz w:val="24"/>
          <w:szCs w:val="24"/>
          <w:lang w:eastAsia="zh-CN"/>
        </w:rPr>
        <w:t>Infliximab for induction and maintenance therapy for ulcerative colitis.</w:t>
      </w:r>
      <w:proofErr w:type="gramEnd"/>
      <w:r w:rsidRPr="005A5853">
        <w:rPr>
          <w:rFonts w:ascii="Book Antiqua" w:eastAsia="宋体" w:hAnsi="Book Antiqua" w:cs="宋体"/>
          <w:color w:val="000000"/>
          <w:sz w:val="24"/>
          <w:szCs w:val="24"/>
          <w:lang w:eastAsia="zh-CN"/>
        </w:rPr>
        <w:t> </w:t>
      </w:r>
      <w:r w:rsidRPr="005A5853">
        <w:rPr>
          <w:rFonts w:ascii="Book Antiqua" w:eastAsia="宋体" w:hAnsi="Book Antiqua" w:cs="宋体"/>
          <w:i/>
          <w:iCs/>
          <w:color w:val="000000"/>
          <w:sz w:val="24"/>
          <w:szCs w:val="24"/>
          <w:lang w:eastAsia="zh-CN"/>
        </w:rPr>
        <w:t xml:space="preserve">N </w:t>
      </w:r>
      <w:proofErr w:type="spellStart"/>
      <w:r w:rsidRPr="005A5853">
        <w:rPr>
          <w:rFonts w:ascii="Book Antiqua" w:eastAsia="宋体" w:hAnsi="Book Antiqua" w:cs="宋体"/>
          <w:i/>
          <w:iCs/>
          <w:color w:val="000000"/>
          <w:sz w:val="24"/>
          <w:szCs w:val="24"/>
          <w:lang w:eastAsia="zh-CN"/>
        </w:rPr>
        <w:t>Engl</w:t>
      </w:r>
      <w:proofErr w:type="spellEnd"/>
      <w:r w:rsidRPr="005A5853">
        <w:rPr>
          <w:rFonts w:ascii="Book Antiqua" w:eastAsia="宋体" w:hAnsi="Book Antiqua" w:cs="宋体"/>
          <w:i/>
          <w:iCs/>
          <w:color w:val="000000"/>
          <w:sz w:val="24"/>
          <w:szCs w:val="24"/>
          <w:lang w:eastAsia="zh-CN"/>
        </w:rPr>
        <w:t xml:space="preserve"> J Med</w:t>
      </w:r>
      <w:r w:rsidRPr="005A5853">
        <w:rPr>
          <w:rFonts w:ascii="Book Antiqua" w:eastAsia="宋体" w:hAnsi="Book Antiqua" w:cs="宋体"/>
          <w:color w:val="000000"/>
          <w:sz w:val="24"/>
          <w:szCs w:val="24"/>
          <w:lang w:eastAsia="zh-CN"/>
        </w:rPr>
        <w:t> 2005; </w:t>
      </w:r>
      <w:r w:rsidRPr="005A5853">
        <w:rPr>
          <w:rFonts w:ascii="Book Antiqua" w:eastAsia="宋体" w:hAnsi="Book Antiqua" w:cs="宋体"/>
          <w:b/>
          <w:bCs/>
          <w:color w:val="000000"/>
          <w:sz w:val="24"/>
          <w:szCs w:val="24"/>
          <w:lang w:eastAsia="zh-CN"/>
        </w:rPr>
        <w:t>353</w:t>
      </w:r>
      <w:r w:rsidRPr="005A5853">
        <w:rPr>
          <w:rFonts w:ascii="Book Antiqua" w:eastAsia="宋体" w:hAnsi="Book Antiqua" w:cs="宋体"/>
          <w:color w:val="000000"/>
          <w:sz w:val="24"/>
          <w:szCs w:val="24"/>
          <w:lang w:eastAsia="zh-CN"/>
        </w:rPr>
        <w:t>: 2462-2476 [PMID: 16339095 DOI: 10.1056/NEJMoa050516</w:t>
      </w:r>
      <w:r>
        <w:rPr>
          <w:rFonts w:ascii="Book Antiqua" w:eastAsia="宋体" w:hAnsi="Book Antiqua" w:cs="宋体"/>
          <w:color w:val="000000"/>
          <w:sz w:val="24"/>
          <w:szCs w:val="24"/>
          <w:lang w:eastAsia="zh-CN"/>
        </w:rPr>
        <w:t>]</w:t>
      </w:r>
    </w:p>
    <w:p w14:paraId="4720BC5E" w14:textId="713B6A2A"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7 </w:t>
      </w:r>
      <w:r w:rsidRPr="005A5853">
        <w:rPr>
          <w:rFonts w:ascii="Book Antiqua" w:eastAsia="宋体" w:hAnsi="Book Antiqua" w:cs="宋体"/>
          <w:b/>
          <w:bCs/>
          <w:color w:val="000000"/>
          <w:sz w:val="24"/>
          <w:szCs w:val="24"/>
          <w:lang w:eastAsia="zh-CN"/>
        </w:rPr>
        <w:t>Lichtenstein GR</w:t>
      </w:r>
      <w:r w:rsidRPr="005A5853">
        <w:rPr>
          <w:rFonts w:ascii="Book Antiqua" w:eastAsia="宋体" w:hAnsi="Book Antiqua" w:cs="宋体"/>
          <w:color w:val="000000"/>
          <w:sz w:val="24"/>
          <w:szCs w:val="24"/>
          <w:lang w:eastAsia="zh-CN"/>
        </w:rPr>
        <w:t xml:space="preserve">, Diamond RH, Wagner CL, </w:t>
      </w:r>
      <w:proofErr w:type="spellStart"/>
      <w:r w:rsidRPr="005A5853">
        <w:rPr>
          <w:rFonts w:ascii="Book Antiqua" w:eastAsia="宋体" w:hAnsi="Book Antiqua" w:cs="宋体"/>
          <w:color w:val="000000"/>
          <w:sz w:val="24"/>
          <w:szCs w:val="24"/>
          <w:lang w:eastAsia="zh-CN"/>
        </w:rPr>
        <w:t>Fasanmade</w:t>
      </w:r>
      <w:proofErr w:type="spellEnd"/>
      <w:r w:rsidRPr="005A5853">
        <w:rPr>
          <w:rFonts w:ascii="Book Antiqua" w:eastAsia="宋体" w:hAnsi="Book Antiqua" w:cs="宋体"/>
          <w:color w:val="000000"/>
          <w:sz w:val="24"/>
          <w:szCs w:val="24"/>
          <w:lang w:eastAsia="zh-CN"/>
        </w:rPr>
        <w:t xml:space="preserve"> AA, Olson AD, </w:t>
      </w:r>
      <w:proofErr w:type="spellStart"/>
      <w:r w:rsidRPr="005A5853">
        <w:rPr>
          <w:rFonts w:ascii="Book Antiqua" w:eastAsia="宋体" w:hAnsi="Book Antiqua" w:cs="宋体"/>
          <w:color w:val="000000"/>
          <w:sz w:val="24"/>
          <w:szCs w:val="24"/>
          <w:lang w:eastAsia="zh-CN"/>
        </w:rPr>
        <w:t>Marano</w:t>
      </w:r>
      <w:proofErr w:type="spellEnd"/>
      <w:r w:rsidRPr="005A5853">
        <w:rPr>
          <w:rFonts w:ascii="Book Antiqua" w:eastAsia="宋体" w:hAnsi="Book Antiqua" w:cs="宋体"/>
          <w:color w:val="000000"/>
          <w:sz w:val="24"/>
          <w:szCs w:val="24"/>
          <w:lang w:eastAsia="zh-CN"/>
        </w:rPr>
        <w:t xml:space="preserve"> CW, </w:t>
      </w:r>
      <w:proofErr w:type="spellStart"/>
      <w:r w:rsidRPr="005A5853">
        <w:rPr>
          <w:rFonts w:ascii="Book Antiqua" w:eastAsia="宋体" w:hAnsi="Book Antiqua" w:cs="宋体"/>
          <w:color w:val="000000"/>
          <w:sz w:val="24"/>
          <w:szCs w:val="24"/>
          <w:lang w:eastAsia="zh-CN"/>
        </w:rPr>
        <w:t>Johanns</w:t>
      </w:r>
      <w:proofErr w:type="spellEnd"/>
      <w:r w:rsidRPr="005A5853">
        <w:rPr>
          <w:rFonts w:ascii="Book Antiqua" w:eastAsia="宋体" w:hAnsi="Book Antiqua" w:cs="宋体"/>
          <w:color w:val="000000"/>
          <w:sz w:val="24"/>
          <w:szCs w:val="24"/>
          <w:lang w:eastAsia="zh-CN"/>
        </w:rPr>
        <w:t xml:space="preserve"> J, Lang Y, </w:t>
      </w:r>
      <w:proofErr w:type="spellStart"/>
      <w:r w:rsidRPr="005A5853">
        <w:rPr>
          <w:rFonts w:ascii="Book Antiqua" w:eastAsia="宋体" w:hAnsi="Book Antiqua" w:cs="宋体"/>
          <w:color w:val="000000"/>
          <w:sz w:val="24"/>
          <w:szCs w:val="24"/>
          <w:lang w:eastAsia="zh-CN"/>
        </w:rPr>
        <w:t>Sandborn</w:t>
      </w:r>
      <w:proofErr w:type="spellEnd"/>
      <w:r w:rsidRPr="005A5853">
        <w:rPr>
          <w:rFonts w:ascii="Book Antiqua" w:eastAsia="宋体" w:hAnsi="Book Antiqua" w:cs="宋体"/>
          <w:color w:val="000000"/>
          <w:sz w:val="24"/>
          <w:szCs w:val="24"/>
          <w:lang w:eastAsia="zh-CN"/>
        </w:rPr>
        <w:t xml:space="preserve"> WJ. Clinical trial: benefits and risks of </w:t>
      </w:r>
      <w:proofErr w:type="spellStart"/>
      <w:r w:rsidRPr="005A5853">
        <w:rPr>
          <w:rFonts w:ascii="Book Antiqua" w:eastAsia="宋体" w:hAnsi="Book Antiqua" w:cs="宋体"/>
          <w:color w:val="000000"/>
          <w:sz w:val="24"/>
          <w:szCs w:val="24"/>
          <w:lang w:eastAsia="zh-CN"/>
        </w:rPr>
        <w:t>immunomodulators</w:t>
      </w:r>
      <w:proofErr w:type="spellEnd"/>
      <w:r w:rsidRPr="005A5853">
        <w:rPr>
          <w:rFonts w:ascii="Book Antiqua" w:eastAsia="宋体" w:hAnsi="Book Antiqua" w:cs="宋体"/>
          <w:color w:val="000000"/>
          <w:sz w:val="24"/>
          <w:szCs w:val="24"/>
          <w:lang w:eastAsia="zh-CN"/>
        </w:rPr>
        <w:t xml:space="preserve"> and maintenance infliximab for IBD-subgroup analyses across four randomized trials. </w:t>
      </w:r>
      <w:r w:rsidRPr="005A5853">
        <w:rPr>
          <w:rFonts w:ascii="Book Antiqua" w:eastAsia="宋体" w:hAnsi="Book Antiqua" w:cs="宋体"/>
          <w:i/>
          <w:iCs/>
          <w:color w:val="000000"/>
          <w:sz w:val="24"/>
          <w:szCs w:val="24"/>
          <w:lang w:eastAsia="zh-CN"/>
        </w:rPr>
        <w:t xml:space="preserve">Aliment </w:t>
      </w:r>
      <w:proofErr w:type="spellStart"/>
      <w:r w:rsidRPr="005A5853">
        <w:rPr>
          <w:rFonts w:ascii="Book Antiqua" w:eastAsia="宋体" w:hAnsi="Book Antiqua" w:cs="宋体"/>
          <w:i/>
          <w:iCs/>
          <w:color w:val="000000"/>
          <w:sz w:val="24"/>
          <w:szCs w:val="24"/>
          <w:lang w:eastAsia="zh-CN"/>
        </w:rPr>
        <w:t>Pharmacol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Ther</w:t>
      </w:r>
      <w:proofErr w:type="spellEnd"/>
      <w:r w:rsidRPr="005A5853">
        <w:rPr>
          <w:rFonts w:ascii="Book Antiqua" w:eastAsia="宋体" w:hAnsi="Book Antiqua" w:cs="宋体"/>
          <w:color w:val="000000"/>
          <w:sz w:val="24"/>
          <w:szCs w:val="24"/>
          <w:lang w:eastAsia="zh-CN"/>
        </w:rPr>
        <w:t> 2009; </w:t>
      </w:r>
      <w:r w:rsidRPr="005A5853">
        <w:rPr>
          <w:rFonts w:ascii="Book Antiqua" w:eastAsia="宋体" w:hAnsi="Book Antiqua" w:cs="宋体"/>
          <w:b/>
          <w:bCs/>
          <w:color w:val="000000"/>
          <w:sz w:val="24"/>
          <w:szCs w:val="24"/>
          <w:lang w:eastAsia="zh-CN"/>
        </w:rPr>
        <w:t>30</w:t>
      </w:r>
      <w:r w:rsidRPr="005A5853">
        <w:rPr>
          <w:rFonts w:ascii="Book Antiqua" w:eastAsia="宋体" w:hAnsi="Book Antiqua" w:cs="宋体"/>
          <w:color w:val="000000"/>
          <w:sz w:val="24"/>
          <w:szCs w:val="24"/>
          <w:lang w:eastAsia="zh-CN"/>
        </w:rPr>
        <w:t>: 210-226 [PMID: 19392858 DOI: 10.1111/j.1365-2036.2009.04027.x</w:t>
      </w:r>
      <w:r>
        <w:rPr>
          <w:rFonts w:ascii="Book Antiqua" w:eastAsia="宋体" w:hAnsi="Book Antiqua" w:cs="宋体"/>
          <w:color w:val="000000"/>
          <w:sz w:val="24"/>
          <w:szCs w:val="24"/>
          <w:lang w:eastAsia="zh-CN"/>
        </w:rPr>
        <w:t>]</w:t>
      </w:r>
    </w:p>
    <w:p w14:paraId="4DE74FFE" w14:textId="28F17C34"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8 </w:t>
      </w:r>
      <w:proofErr w:type="spellStart"/>
      <w:r w:rsidRPr="005A5853">
        <w:rPr>
          <w:rFonts w:ascii="Book Antiqua" w:eastAsia="宋体" w:hAnsi="Book Antiqua" w:cs="宋体"/>
          <w:b/>
          <w:bCs/>
          <w:color w:val="000000"/>
          <w:sz w:val="24"/>
          <w:szCs w:val="24"/>
          <w:lang w:eastAsia="zh-CN"/>
        </w:rPr>
        <w:t>Baert</w:t>
      </w:r>
      <w:proofErr w:type="spellEnd"/>
      <w:r w:rsidRPr="005A5853">
        <w:rPr>
          <w:rFonts w:ascii="Book Antiqua" w:eastAsia="宋体" w:hAnsi="Book Antiqua" w:cs="宋体"/>
          <w:b/>
          <w:bCs/>
          <w:color w:val="000000"/>
          <w:sz w:val="24"/>
          <w:szCs w:val="24"/>
          <w:lang w:eastAsia="zh-CN"/>
        </w:rPr>
        <w:t xml:space="preserve"> F</w:t>
      </w:r>
      <w:r w:rsidRPr="005A5853">
        <w:rPr>
          <w:rFonts w:ascii="Book Antiqua" w:eastAsia="宋体" w:hAnsi="Book Antiqua" w:cs="宋体"/>
          <w:color w:val="000000"/>
          <w:sz w:val="24"/>
          <w:szCs w:val="24"/>
          <w:lang w:eastAsia="zh-CN"/>
        </w:rPr>
        <w:t xml:space="preserve">, Noman M, </w:t>
      </w:r>
      <w:proofErr w:type="spellStart"/>
      <w:r w:rsidRPr="005A5853">
        <w:rPr>
          <w:rFonts w:ascii="Book Antiqua" w:eastAsia="宋体" w:hAnsi="Book Antiqua" w:cs="宋体"/>
          <w:color w:val="000000"/>
          <w:sz w:val="24"/>
          <w:szCs w:val="24"/>
          <w:lang w:eastAsia="zh-CN"/>
        </w:rPr>
        <w:t>Vermeire</w:t>
      </w:r>
      <w:proofErr w:type="spellEnd"/>
      <w:r w:rsidRPr="005A5853">
        <w:rPr>
          <w:rFonts w:ascii="Book Antiqua" w:eastAsia="宋体" w:hAnsi="Book Antiqua" w:cs="宋体"/>
          <w:color w:val="000000"/>
          <w:sz w:val="24"/>
          <w:szCs w:val="24"/>
          <w:lang w:eastAsia="zh-CN"/>
        </w:rPr>
        <w:t xml:space="preserve"> S, Van </w:t>
      </w:r>
      <w:proofErr w:type="spellStart"/>
      <w:r w:rsidRPr="005A5853">
        <w:rPr>
          <w:rFonts w:ascii="Book Antiqua" w:eastAsia="宋体" w:hAnsi="Book Antiqua" w:cs="宋体"/>
          <w:color w:val="000000"/>
          <w:sz w:val="24"/>
          <w:szCs w:val="24"/>
          <w:lang w:eastAsia="zh-CN"/>
        </w:rPr>
        <w:t>Assche</w:t>
      </w:r>
      <w:proofErr w:type="spellEnd"/>
      <w:r w:rsidRPr="005A5853">
        <w:rPr>
          <w:rFonts w:ascii="Book Antiqua" w:eastAsia="宋体" w:hAnsi="Book Antiqua" w:cs="宋体"/>
          <w:color w:val="000000"/>
          <w:sz w:val="24"/>
          <w:szCs w:val="24"/>
          <w:lang w:eastAsia="zh-CN"/>
        </w:rPr>
        <w:t xml:space="preserve"> G, D' </w:t>
      </w:r>
      <w:proofErr w:type="spellStart"/>
      <w:r w:rsidRPr="005A5853">
        <w:rPr>
          <w:rFonts w:ascii="Book Antiqua" w:eastAsia="宋体" w:hAnsi="Book Antiqua" w:cs="宋体"/>
          <w:color w:val="000000"/>
          <w:sz w:val="24"/>
          <w:szCs w:val="24"/>
          <w:lang w:eastAsia="zh-CN"/>
        </w:rPr>
        <w:t>Haens</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Carbonez</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 Influence of immunogenicity on the long-term efficacy of infliximab in Crohn's disease. </w:t>
      </w:r>
      <w:r w:rsidRPr="005A5853">
        <w:rPr>
          <w:rFonts w:ascii="Book Antiqua" w:eastAsia="宋体" w:hAnsi="Book Antiqua" w:cs="宋体"/>
          <w:i/>
          <w:iCs/>
          <w:color w:val="000000"/>
          <w:sz w:val="24"/>
          <w:szCs w:val="24"/>
          <w:lang w:eastAsia="zh-CN"/>
        </w:rPr>
        <w:t xml:space="preserve">N </w:t>
      </w:r>
      <w:proofErr w:type="spellStart"/>
      <w:r w:rsidRPr="005A5853">
        <w:rPr>
          <w:rFonts w:ascii="Book Antiqua" w:eastAsia="宋体" w:hAnsi="Book Antiqua" w:cs="宋体"/>
          <w:i/>
          <w:iCs/>
          <w:color w:val="000000"/>
          <w:sz w:val="24"/>
          <w:szCs w:val="24"/>
          <w:lang w:eastAsia="zh-CN"/>
        </w:rPr>
        <w:t>Engl</w:t>
      </w:r>
      <w:proofErr w:type="spellEnd"/>
      <w:r w:rsidRPr="005A5853">
        <w:rPr>
          <w:rFonts w:ascii="Book Antiqua" w:eastAsia="宋体" w:hAnsi="Book Antiqua" w:cs="宋体"/>
          <w:i/>
          <w:iCs/>
          <w:color w:val="000000"/>
          <w:sz w:val="24"/>
          <w:szCs w:val="24"/>
          <w:lang w:eastAsia="zh-CN"/>
        </w:rPr>
        <w:t xml:space="preserve"> J Med</w:t>
      </w:r>
      <w:r w:rsidRPr="005A5853">
        <w:rPr>
          <w:rFonts w:ascii="Book Antiqua" w:eastAsia="宋体" w:hAnsi="Book Antiqua" w:cs="宋体"/>
          <w:color w:val="000000"/>
          <w:sz w:val="24"/>
          <w:szCs w:val="24"/>
          <w:lang w:eastAsia="zh-CN"/>
        </w:rPr>
        <w:t> 2003; </w:t>
      </w:r>
      <w:r w:rsidRPr="005A5853">
        <w:rPr>
          <w:rFonts w:ascii="Book Antiqua" w:eastAsia="宋体" w:hAnsi="Book Antiqua" w:cs="宋体"/>
          <w:b/>
          <w:bCs/>
          <w:color w:val="000000"/>
          <w:sz w:val="24"/>
          <w:szCs w:val="24"/>
          <w:lang w:eastAsia="zh-CN"/>
        </w:rPr>
        <w:t>348</w:t>
      </w:r>
      <w:r w:rsidRPr="005A5853">
        <w:rPr>
          <w:rFonts w:ascii="Book Antiqua" w:eastAsia="宋体" w:hAnsi="Book Antiqua" w:cs="宋体"/>
          <w:color w:val="000000"/>
          <w:sz w:val="24"/>
          <w:szCs w:val="24"/>
          <w:lang w:eastAsia="zh-CN"/>
        </w:rPr>
        <w:t>: 601-608 [PMID: 12584368 DOI: 10.1056/NEJMoa020888</w:t>
      </w:r>
      <w:r>
        <w:rPr>
          <w:rFonts w:ascii="Book Antiqua" w:eastAsia="宋体" w:hAnsi="Book Antiqua" w:cs="宋体"/>
          <w:color w:val="000000"/>
          <w:sz w:val="24"/>
          <w:szCs w:val="24"/>
          <w:lang w:eastAsia="zh-CN"/>
        </w:rPr>
        <w:t>]</w:t>
      </w:r>
    </w:p>
    <w:p w14:paraId="3DF4A80D" w14:textId="703B94BD"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9 </w:t>
      </w:r>
      <w:proofErr w:type="spellStart"/>
      <w:r w:rsidRPr="005A5853">
        <w:rPr>
          <w:rFonts w:ascii="Book Antiqua" w:eastAsia="宋体" w:hAnsi="Book Antiqua" w:cs="宋体"/>
          <w:b/>
          <w:bCs/>
          <w:color w:val="000000"/>
          <w:sz w:val="24"/>
          <w:szCs w:val="24"/>
          <w:lang w:eastAsia="zh-CN"/>
        </w:rPr>
        <w:t>Vermeire</w:t>
      </w:r>
      <w:proofErr w:type="spellEnd"/>
      <w:r w:rsidRPr="005A5853">
        <w:rPr>
          <w:rFonts w:ascii="Book Antiqua" w:eastAsia="宋体" w:hAnsi="Book Antiqua" w:cs="宋体"/>
          <w:b/>
          <w:bCs/>
          <w:color w:val="000000"/>
          <w:sz w:val="24"/>
          <w:szCs w:val="24"/>
          <w:lang w:eastAsia="zh-CN"/>
        </w:rPr>
        <w:t xml:space="preserve"> S</w:t>
      </w:r>
      <w:r w:rsidRPr="005A5853">
        <w:rPr>
          <w:rFonts w:ascii="Book Antiqua" w:eastAsia="宋体" w:hAnsi="Book Antiqua" w:cs="宋体"/>
          <w:color w:val="000000"/>
          <w:sz w:val="24"/>
          <w:szCs w:val="24"/>
          <w:lang w:eastAsia="zh-CN"/>
        </w:rPr>
        <w:t xml:space="preserve">, Noman M, Van </w:t>
      </w:r>
      <w:proofErr w:type="spellStart"/>
      <w:r w:rsidRPr="005A5853">
        <w:rPr>
          <w:rFonts w:ascii="Book Antiqua" w:eastAsia="宋体" w:hAnsi="Book Antiqua" w:cs="宋体"/>
          <w:color w:val="000000"/>
          <w:sz w:val="24"/>
          <w:szCs w:val="24"/>
          <w:lang w:eastAsia="zh-CN"/>
        </w:rPr>
        <w:t>Assche</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Baert</w:t>
      </w:r>
      <w:proofErr w:type="spellEnd"/>
      <w:r w:rsidRPr="005A5853">
        <w:rPr>
          <w:rFonts w:ascii="Book Antiqua" w:eastAsia="宋体" w:hAnsi="Book Antiqua" w:cs="宋体"/>
          <w:color w:val="000000"/>
          <w:sz w:val="24"/>
          <w:szCs w:val="24"/>
          <w:lang w:eastAsia="zh-CN"/>
        </w:rPr>
        <w:t xml:space="preserve"> F, </w:t>
      </w:r>
      <w:proofErr w:type="spellStart"/>
      <w:r w:rsidRPr="005A5853">
        <w:rPr>
          <w:rFonts w:ascii="Book Antiqua" w:eastAsia="宋体" w:hAnsi="Book Antiqua" w:cs="宋体"/>
          <w:color w:val="000000"/>
          <w:sz w:val="24"/>
          <w:szCs w:val="24"/>
          <w:lang w:eastAsia="zh-CN"/>
        </w:rPr>
        <w:t>D'Haens</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 Effectiveness of concomitant immunosuppressive therapy in suppressing the formation of antibodies to infliximab in Crohn's disease. </w:t>
      </w:r>
      <w:r w:rsidRPr="005A5853">
        <w:rPr>
          <w:rFonts w:ascii="Book Antiqua" w:eastAsia="宋体" w:hAnsi="Book Antiqua" w:cs="宋体"/>
          <w:i/>
          <w:iCs/>
          <w:color w:val="000000"/>
          <w:sz w:val="24"/>
          <w:szCs w:val="24"/>
          <w:lang w:eastAsia="zh-CN"/>
        </w:rPr>
        <w:t>Gut</w:t>
      </w:r>
      <w:r w:rsidRPr="005A5853">
        <w:rPr>
          <w:rFonts w:ascii="Book Antiqua" w:eastAsia="宋体" w:hAnsi="Book Antiqua" w:cs="宋体"/>
          <w:color w:val="000000"/>
          <w:sz w:val="24"/>
          <w:szCs w:val="24"/>
          <w:lang w:eastAsia="zh-CN"/>
        </w:rPr>
        <w:t> 2007; </w:t>
      </w:r>
      <w:r w:rsidRPr="005A5853">
        <w:rPr>
          <w:rFonts w:ascii="Book Antiqua" w:eastAsia="宋体" w:hAnsi="Book Antiqua" w:cs="宋体"/>
          <w:b/>
          <w:bCs/>
          <w:color w:val="000000"/>
          <w:sz w:val="24"/>
          <w:szCs w:val="24"/>
          <w:lang w:eastAsia="zh-CN"/>
        </w:rPr>
        <w:t>56</w:t>
      </w:r>
      <w:r w:rsidRPr="005A5853">
        <w:rPr>
          <w:rFonts w:ascii="Book Antiqua" w:eastAsia="宋体" w:hAnsi="Book Antiqua" w:cs="宋体"/>
          <w:color w:val="000000"/>
          <w:sz w:val="24"/>
          <w:szCs w:val="24"/>
          <w:lang w:eastAsia="zh-CN"/>
        </w:rPr>
        <w:t>: 1226-1231 [PMID: 17229796 DOI: 10.1136/gut.2006.099978</w:t>
      </w:r>
      <w:r>
        <w:rPr>
          <w:rFonts w:ascii="Book Antiqua" w:eastAsia="宋体" w:hAnsi="Book Antiqua" w:cs="宋体"/>
          <w:color w:val="000000"/>
          <w:sz w:val="24"/>
          <w:szCs w:val="24"/>
          <w:lang w:eastAsia="zh-CN"/>
        </w:rPr>
        <w:t>]</w:t>
      </w:r>
    </w:p>
    <w:p w14:paraId="6DDFE053" w14:textId="77777777"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10 </w:t>
      </w:r>
      <w:proofErr w:type="spellStart"/>
      <w:r w:rsidRPr="005A5853">
        <w:rPr>
          <w:rFonts w:ascii="Book Antiqua" w:eastAsia="宋体" w:hAnsi="Book Antiqua" w:cs="宋体"/>
          <w:b/>
          <w:bCs/>
          <w:color w:val="000000"/>
          <w:sz w:val="24"/>
          <w:szCs w:val="24"/>
          <w:lang w:eastAsia="zh-CN"/>
        </w:rPr>
        <w:t>Rutgeerts</w:t>
      </w:r>
      <w:proofErr w:type="spellEnd"/>
      <w:r w:rsidRPr="005A5853">
        <w:rPr>
          <w:rFonts w:ascii="Book Antiqua" w:eastAsia="宋体" w:hAnsi="Book Antiqua" w:cs="宋体"/>
          <w:b/>
          <w:bCs/>
          <w:color w:val="000000"/>
          <w:sz w:val="24"/>
          <w:szCs w:val="24"/>
          <w:lang w:eastAsia="zh-CN"/>
        </w:rPr>
        <w:t xml:space="preserve"> P</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Feagan</w:t>
      </w:r>
      <w:proofErr w:type="spellEnd"/>
      <w:r w:rsidRPr="005A5853">
        <w:rPr>
          <w:rFonts w:ascii="Book Antiqua" w:eastAsia="宋体" w:hAnsi="Book Antiqua" w:cs="宋体"/>
          <w:color w:val="000000"/>
          <w:sz w:val="24"/>
          <w:szCs w:val="24"/>
          <w:lang w:eastAsia="zh-CN"/>
        </w:rPr>
        <w:t xml:space="preserve"> BG, Lichtenstein GR, Mayer LF, Schreiber S,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w:t>
      </w:r>
      <w:proofErr w:type="spellStart"/>
      <w:r w:rsidRPr="005A5853">
        <w:rPr>
          <w:rFonts w:ascii="Book Antiqua" w:eastAsia="宋体" w:hAnsi="Book Antiqua" w:cs="宋体"/>
          <w:color w:val="000000"/>
          <w:sz w:val="24"/>
          <w:szCs w:val="24"/>
          <w:lang w:eastAsia="zh-CN"/>
        </w:rPr>
        <w:t>Rachmilewitz</w:t>
      </w:r>
      <w:proofErr w:type="spellEnd"/>
      <w:r w:rsidRPr="005A5853">
        <w:rPr>
          <w:rFonts w:ascii="Book Antiqua" w:eastAsia="宋体" w:hAnsi="Book Antiqua" w:cs="宋体"/>
          <w:color w:val="000000"/>
          <w:sz w:val="24"/>
          <w:szCs w:val="24"/>
          <w:lang w:eastAsia="zh-CN"/>
        </w:rPr>
        <w:t xml:space="preserve"> D, Wolf DC, Olson A, </w:t>
      </w:r>
      <w:proofErr w:type="spellStart"/>
      <w:r w:rsidRPr="005A5853">
        <w:rPr>
          <w:rFonts w:ascii="Book Antiqua" w:eastAsia="宋体" w:hAnsi="Book Antiqua" w:cs="宋体"/>
          <w:color w:val="000000"/>
          <w:sz w:val="24"/>
          <w:szCs w:val="24"/>
          <w:lang w:eastAsia="zh-CN"/>
        </w:rPr>
        <w:t>Bao</w:t>
      </w:r>
      <w:proofErr w:type="spellEnd"/>
      <w:r w:rsidRPr="005A5853">
        <w:rPr>
          <w:rFonts w:ascii="Book Antiqua" w:eastAsia="宋体" w:hAnsi="Book Antiqua" w:cs="宋体"/>
          <w:color w:val="000000"/>
          <w:sz w:val="24"/>
          <w:szCs w:val="24"/>
          <w:lang w:eastAsia="zh-CN"/>
        </w:rPr>
        <w:t xml:space="preserve"> W, </w:t>
      </w:r>
      <w:proofErr w:type="spellStart"/>
      <w:r w:rsidRPr="005A5853">
        <w:rPr>
          <w:rFonts w:ascii="Book Antiqua" w:eastAsia="宋体" w:hAnsi="Book Antiqua" w:cs="宋体"/>
          <w:color w:val="000000"/>
          <w:sz w:val="24"/>
          <w:szCs w:val="24"/>
          <w:lang w:eastAsia="zh-CN"/>
        </w:rPr>
        <w:t>Hanauer</w:t>
      </w:r>
      <w:proofErr w:type="spellEnd"/>
      <w:r w:rsidRPr="005A5853">
        <w:rPr>
          <w:rFonts w:ascii="Book Antiqua" w:eastAsia="宋体" w:hAnsi="Book Antiqua" w:cs="宋体"/>
          <w:color w:val="000000"/>
          <w:sz w:val="24"/>
          <w:szCs w:val="24"/>
          <w:lang w:eastAsia="zh-CN"/>
        </w:rPr>
        <w:t xml:space="preserve"> SB. Comparison of scheduled and episodic treatment strategies of infliximab in Crohn's disease. </w:t>
      </w:r>
      <w:r w:rsidRPr="005A5853">
        <w:rPr>
          <w:rFonts w:ascii="Book Antiqua" w:eastAsia="宋体" w:hAnsi="Book Antiqua" w:cs="宋体"/>
          <w:i/>
          <w:iCs/>
          <w:color w:val="000000"/>
          <w:sz w:val="24"/>
          <w:szCs w:val="24"/>
          <w:lang w:eastAsia="zh-CN"/>
        </w:rPr>
        <w:t>Gastroenterology</w:t>
      </w:r>
      <w:r w:rsidRPr="005A5853">
        <w:rPr>
          <w:rFonts w:ascii="Book Antiqua" w:eastAsia="宋体" w:hAnsi="Book Antiqua" w:cs="宋体"/>
          <w:color w:val="000000"/>
          <w:sz w:val="24"/>
          <w:szCs w:val="24"/>
          <w:lang w:eastAsia="zh-CN"/>
        </w:rPr>
        <w:t> 2004; </w:t>
      </w:r>
      <w:r w:rsidRPr="005A5853">
        <w:rPr>
          <w:rFonts w:ascii="Book Antiqua" w:eastAsia="宋体" w:hAnsi="Book Antiqua" w:cs="宋体"/>
          <w:b/>
          <w:bCs/>
          <w:color w:val="000000"/>
          <w:sz w:val="24"/>
          <w:szCs w:val="24"/>
          <w:lang w:eastAsia="zh-CN"/>
        </w:rPr>
        <w:t>126</w:t>
      </w:r>
      <w:r w:rsidRPr="005A5853">
        <w:rPr>
          <w:rFonts w:ascii="Book Antiqua" w:eastAsia="宋体" w:hAnsi="Book Antiqua" w:cs="宋体"/>
          <w:color w:val="000000"/>
          <w:sz w:val="24"/>
          <w:szCs w:val="24"/>
          <w:lang w:eastAsia="zh-CN"/>
        </w:rPr>
        <w:t>: 402-413 [PMID: 14762776]</w:t>
      </w:r>
    </w:p>
    <w:p w14:paraId="40ADB5AE" w14:textId="1F68707D"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11 </w:t>
      </w:r>
      <w:r w:rsidRPr="005A5853">
        <w:rPr>
          <w:rFonts w:ascii="Book Antiqua" w:eastAsia="宋体" w:hAnsi="Book Antiqua" w:cs="宋体"/>
          <w:b/>
          <w:bCs/>
          <w:color w:val="000000"/>
          <w:sz w:val="24"/>
          <w:szCs w:val="24"/>
          <w:lang w:eastAsia="zh-CN"/>
        </w:rPr>
        <w:t>Maser EA</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Villela</w:t>
      </w:r>
      <w:proofErr w:type="spellEnd"/>
      <w:r w:rsidRPr="005A5853">
        <w:rPr>
          <w:rFonts w:ascii="Book Antiqua" w:eastAsia="宋体" w:hAnsi="Book Antiqua" w:cs="宋体"/>
          <w:color w:val="000000"/>
          <w:sz w:val="24"/>
          <w:szCs w:val="24"/>
          <w:lang w:eastAsia="zh-CN"/>
        </w:rPr>
        <w:t xml:space="preserve"> R, Silverberg MS, Greenberg GR. Association of trough serum infliximab to clinical outcome after scheduled maintenance treatment for Crohn's disease. </w:t>
      </w:r>
      <w:proofErr w:type="spellStart"/>
      <w:r w:rsidRPr="005A5853">
        <w:rPr>
          <w:rFonts w:ascii="Book Antiqua" w:eastAsia="宋体" w:hAnsi="Book Antiqua" w:cs="宋体"/>
          <w:i/>
          <w:iCs/>
          <w:color w:val="000000"/>
          <w:sz w:val="24"/>
          <w:szCs w:val="24"/>
          <w:lang w:eastAsia="zh-CN"/>
        </w:rPr>
        <w:t>Clin</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Hepatol</w:t>
      </w:r>
      <w:proofErr w:type="spellEnd"/>
      <w:r w:rsidRPr="005A5853">
        <w:rPr>
          <w:rFonts w:ascii="Book Antiqua" w:eastAsia="宋体" w:hAnsi="Book Antiqua" w:cs="宋体"/>
          <w:color w:val="000000"/>
          <w:sz w:val="24"/>
          <w:szCs w:val="24"/>
          <w:lang w:eastAsia="zh-CN"/>
        </w:rPr>
        <w:t> 2006; </w:t>
      </w:r>
      <w:r w:rsidRPr="005A5853">
        <w:rPr>
          <w:rFonts w:ascii="Book Antiqua" w:eastAsia="宋体" w:hAnsi="Book Antiqua" w:cs="宋体"/>
          <w:b/>
          <w:bCs/>
          <w:color w:val="000000"/>
          <w:sz w:val="24"/>
          <w:szCs w:val="24"/>
          <w:lang w:eastAsia="zh-CN"/>
        </w:rPr>
        <w:t>4</w:t>
      </w:r>
      <w:r w:rsidRPr="005A5853">
        <w:rPr>
          <w:rFonts w:ascii="Book Antiqua" w:eastAsia="宋体" w:hAnsi="Book Antiqua" w:cs="宋体"/>
          <w:color w:val="000000"/>
          <w:sz w:val="24"/>
          <w:szCs w:val="24"/>
          <w:lang w:eastAsia="zh-CN"/>
        </w:rPr>
        <w:t>: 1248-1254 [PMID: 16931170 DOI: 10.1016/j.cgh.2006.06.025</w:t>
      </w:r>
      <w:r>
        <w:rPr>
          <w:rFonts w:ascii="Book Antiqua" w:eastAsia="宋体" w:hAnsi="Book Antiqua" w:cs="宋体"/>
          <w:color w:val="000000"/>
          <w:sz w:val="24"/>
          <w:szCs w:val="24"/>
          <w:lang w:eastAsia="zh-CN"/>
        </w:rPr>
        <w:t>]</w:t>
      </w:r>
    </w:p>
    <w:p w14:paraId="631FB2D8" w14:textId="7777AFC6"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12 </w:t>
      </w:r>
      <w:proofErr w:type="spellStart"/>
      <w:r w:rsidRPr="005A5853">
        <w:rPr>
          <w:rFonts w:ascii="Book Antiqua" w:eastAsia="宋体" w:hAnsi="Book Antiqua" w:cs="宋体"/>
          <w:b/>
          <w:bCs/>
          <w:color w:val="000000"/>
          <w:sz w:val="24"/>
          <w:szCs w:val="24"/>
          <w:lang w:eastAsia="zh-CN"/>
        </w:rPr>
        <w:t>Panaccione</w:t>
      </w:r>
      <w:proofErr w:type="spellEnd"/>
      <w:r w:rsidRPr="005A5853">
        <w:rPr>
          <w:rFonts w:ascii="Book Antiqua" w:eastAsia="宋体" w:hAnsi="Book Antiqua" w:cs="宋体"/>
          <w:b/>
          <w:bCs/>
          <w:color w:val="000000"/>
          <w:sz w:val="24"/>
          <w:szCs w:val="24"/>
          <w:lang w:eastAsia="zh-CN"/>
        </w:rPr>
        <w:t xml:space="preserve"> R</w:t>
      </w:r>
      <w:r w:rsidRPr="005A5853">
        <w:rPr>
          <w:rFonts w:ascii="Book Antiqua" w:eastAsia="宋体" w:hAnsi="Book Antiqua" w:cs="宋体"/>
          <w:color w:val="000000"/>
          <w:sz w:val="24"/>
          <w:szCs w:val="24"/>
          <w:lang w:eastAsia="zh-CN"/>
        </w:rPr>
        <w:t xml:space="preserve">, Ghosh S, Middleton S, </w:t>
      </w:r>
      <w:proofErr w:type="spellStart"/>
      <w:r w:rsidRPr="005A5853">
        <w:rPr>
          <w:rFonts w:ascii="Book Antiqua" w:eastAsia="宋体" w:hAnsi="Book Antiqua" w:cs="宋体"/>
          <w:color w:val="000000"/>
          <w:sz w:val="24"/>
          <w:szCs w:val="24"/>
          <w:lang w:eastAsia="zh-CN"/>
        </w:rPr>
        <w:t>Márquez</w:t>
      </w:r>
      <w:proofErr w:type="spellEnd"/>
      <w:r w:rsidRPr="005A5853">
        <w:rPr>
          <w:rFonts w:ascii="Book Antiqua" w:eastAsia="宋体" w:hAnsi="Book Antiqua" w:cs="宋体"/>
          <w:color w:val="000000"/>
          <w:sz w:val="24"/>
          <w:szCs w:val="24"/>
          <w:lang w:eastAsia="zh-CN"/>
        </w:rPr>
        <w:t xml:space="preserve"> JR, Scott BB, Flint L, van </w:t>
      </w:r>
      <w:proofErr w:type="spellStart"/>
      <w:r w:rsidRPr="005A5853">
        <w:rPr>
          <w:rFonts w:ascii="Book Antiqua" w:eastAsia="宋体" w:hAnsi="Book Antiqua" w:cs="宋体"/>
          <w:color w:val="000000"/>
          <w:sz w:val="24"/>
          <w:szCs w:val="24"/>
          <w:lang w:eastAsia="zh-CN"/>
        </w:rPr>
        <w:t>Hoogstraten</w:t>
      </w:r>
      <w:proofErr w:type="spellEnd"/>
      <w:r w:rsidRPr="005A5853">
        <w:rPr>
          <w:rFonts w:ascii="Book Antiqua" w:eastAsia="宋体" w:hAnsi="Book Antiqua" w:cs="宋体"/>
          <w:color w:val="000000"/>
          <w:sz w:val="24"/>
          <w:szCs w:val="24"/>
          <w:lang w:eastAsia="zh-CN"/>
        </w:rPr>
        <w:t xml:space="preserve"> HJ, Chen AC, Zheng H, </w:t>
      </w:r>
      <w:proofErr w:type="spellStart"/>
      <w:r w:rsidRPr="005A5853">
        <w:rPr>
          <w:rFonts w:ascii="Book Antiqua" w:eastAsia="宋体" w:hAnsi="Book Antiqua" w:cs="宋体"/>
          <w:color w:val="000000"/>
          <w:sz w:val="24"/>
          <w:szCs w:val="24"/>
          <w:lang w:eastAsia="zh-CN"/>
        </w:rPr>
        <w:t>Danese</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 Combination therapy with infliximab and azathioprine is superior to monotherapy with either agent in ulcerative colitis. </w:t>
      </w:r>
      <w:r w:rsidRPr="005A5853">
        <w:rPr>
          <w:rFonts w:ascii="Book Antiqua" w:eastAsia="宋体" w:hAnsi="Book Antiqua" w:cs="宋体"/>
          <w:i/>
          <w:iCs/>
          <w:color w:val="000000"/>
          <w:sz w:val="24"/>
          <w:szCs w:val="24"/>
          <w:lang w:eastAsia="zh-CN"/>
        </w:rPr>
        <w:t>Gastroenterology</w:t>
      </w:r>
      <w:r w:rsidRPr="005A5853">
        <w:rPr>
          <w:rFonts w:ascii="Book Antiqua" w:eastAsia="宋体" w:hAnsi="Book Antiqua" w:cs="宋体"/>
          <w:color w:val="000000"/>
          <w:sz w:val="24"/>
          <w:szCs w:val="24"/>
          <w:lang w:eastAsia="zh-CN"/>
        </w:rPr>
        <w:t> 2014; </w:t>
      </w:r>
      <w:r w:rsidRPr="005A5853">
        <w:rPr>
          <w:rFonts w:ascii="Book Antiqua" w:eastAsia="宋体" w:hAnsi="Book Antiqua" w:cs="宋体"/>
          <w:b/>
          <w:bCs/>
          <w:color w:val="000000"/>
          <w:sz w:val="24"/>
          <w:szCs w:val="24"/>
          <w:lang w:eastAsia="zh-CN"/>
        </w:rPr>
        <w:t>146</w:t>
      </w:r>
      <w:r w:rsidRPr="005A5853">
        <w:rPr>
          <w:rFonts w:ascii="Book Antiqua" w:eastAsia="宋体" w:hAnsi="Book Antiqua" w:cs="宋体"/>
          <w:color w:val="000000"/>
          <w:sz w:val="24"/>
          <w:szCs w:val="24"/>
          <w:lang w:eastAsia="zh-CN"/>
        </w:rPr>
        <w:t>: 392-400.e3 [PMID: 24512909 DOI: 10.1053/j.gastro.2013.10.052</w:t>
      </w:r>
      <w:r>
        <w:rPr>
          <w:rFonts w:ascii="Book Antiqua" w:eastAsia="宋体" w:hAnsi="Book Antiqua" w:cs="宋体"/>
          <w:color w:val="000000"/>
          <w:sz w:val="24"/>
          <w:szCs w:val="24"/>
          <w:lang w:eastAsia="zh-CN"/>
        </w:rPr>
        <w:t>]</w:t>
      </w:r>
    </w:p>
    <w:p w14:paraId="521CF21E" w14:textId="0A17A396"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lastRenderedPageBreak/>
        <w:t>13 </w:t>
      </w:r>
      <w:proofErr w:type="spellStart"/>
      <w:r w:rsidRPr="005A5853">
        <w:rPr>
          <w:rFonts w:ascii="Book Antiqua" w:eastAsia="宋体" w:hAnsi="Book Antiqua" w:cs="宋体"/>
          <w:b/>
          <w:bCs/>
          <w:color w:val="000000"/>
          <w:sz w:val="24"/>
          <w:szCs w:val="24"/>
          <w:lang w:eastAsia="zh-CN"/>
        </w:rPr>
        <w:t>Feagan</w:t>
      </w:r>
      <w:proofErr w:type="spellEnd"/>
      <w:r w:rsidRPr="005A5853">
        <w:rPr>
          <w:rFonts w:ascii="Book Antiqua" w:eastAsia="宋体" w:hAnsi="Book Antiqua" w:cs="宋体"/>
          <w:b/>
          <w:bCs/>
          <w:color w:val="000000"/>
          <w:sz w:val="24"/>
          <w:szCs w:val="24"/>
          <w:lang w:eastAsia="zh-CN"/>
        </w:rPr>
        <w:t xml:space="preserve"> BG</w:t>
      </w:r>
      <w:r w:rsidRPr="005A5853">
        <w:rPr>
          <w:rFonts w:ascii="Book Antiqua" w:eastAsia="宋体" w:hAnsi="Book Antiqua" w:cs="宋体"/>
          <w:color w:val="000000"/>
          <w:sz w:val="24"/>
          <w:szCs w:val="24"/>
          <w:lang w:eastAsia="zh-CN"/>
        </w:rPr>
        <w:t xml:space="preserve">, McDonald JW, </w:t>
      </w:r>
      <w:proofErr w:type="spellStart"/>
      <w:r w:rsidRPr="005A5853">
        <w:rPr>
          <w:rFonts w:ascii="Book Antiqua" w:eastAsia="宋体" w:hAnsi="Book Antiqua" w:cs="宋体"/>
          <w:color w:val="000000"/>
          <w:sz w:val="24"/>
          <w:szCs w:val="24"/>
          <w:lang w:eastAsia="zh-CN"/>
        </w:rPr>
        <w:t>Panaccione</w:t>
      </w:r>
      <w:proofErr w:type="spellEnd"/>
      <w:r w:rsidRPr="005A5853">
        <w:rPr>
          <w:rFonts w:ascii="Book Antiqua" w:eastAsia="宋体" w:hAnsi="Book Antiqua" w:cs="宋体"/>
          <w:color w:val="000000"/>
          <w:sz w:val="24"/>
          <w:szCs w:val="24"/>
          <w:lang w:eastAsia="zh-CN"/>
        </w:rPr>
        <w:t xml:space="preserve"> R, Enns RA, Bernstein CN, </w:t>
      </w:r>
      <w:proofErr w:type="spellStart"/>
      <w:r w:rsidRPr="005A5853">
        <w:rPr>
          <w:rFonts w:ascii="Book Antiqua" w:eastAsia="宋体" w:hAnsi="Book Antiqua" w:cs="宋体"/>
          <w:color w:val="000000"/>
          <w:sz w:val="24"/>
          <w:szCs w:val="24"/>
          <w:lang w:eastAsia="zh-CN"/>
        </w:rPr>
        <w:t>Ponich</w:t>
      </w:r>
      <w:proofErr w:type="spellEnd"/>
      <w:r w:rsidRPr="005A5853">
        <w:rPr>
          <w:rFonts w:ascii="Book Antiqua" w:eastAsia="宋体" w:hAnsi="Book Antiqua" w:cs="宋体"/>
          <w:color w:val="000000"/>
          <w:sz w:val="24"/>
          <w:szCs w:val="24"/>
          <w:lang w:eastAsia="zh-CN"/>
        </w:rPr>
        <w:t xml:space="preserve"> TP, </w:t>
      </w:r>
      <w:proofErr w:type="spellStart"/>
      <w:r w:rsidRPr="005A5853">
        <w:rPr>
          <w:rFonts w:ascii="Book Antiqua" w:eastAsia="宋体" w:hAnsi="Book Antiqua" w:cs="宋体"/>
          <w:color w:val="000000"/>
          <w:sz w:val="24"/>
          <w:szCs w:val="24"/>
          <w:lang w:eastAsia="zh-CN"/>
        </w:rPr>
        <w:t>Bourdages</w:t>
      </w:r>
      <w:proofErr w:type="spellEnd"/>
      <w:r w:rsidRPr="005A5853">
        <w:rPr>
          <w:rFonts w:ascii="Book Antiqua" w:eastAsia="宋体" w:hAnsi="Book Antiqua" w:cs="宋体"/>
          <w:color w:val="000000"/>
          <w:sz w:val="24"/>
          <w:szCs w:val="24"/>
          <w:lang w:eastAsia="zh-CN"/>
        </w:rPr>
        <w:t xml:space="preserve"> R, Macintosh DG, </w:t>
      </w:r>
      <w:proofErr w:type="spellStart"/>
      <w:r w:rsidRPr="005A5853">
        <w:rPr>
          <w:rFonts w:ascii="Book Antiqua" w:eastAsia="宋体" w:hAnsi="Book Antiqua" w:cs="宋体"/>
          <w:color w:val="000000"/>
          <w:sz w:val="24"/>
          <w:szCs w:val="24"/>
          <w:lang w:eastAsia="zh-CN"/>
        </w:rPr>
        <w:t>Dallaire</w:t>
      </w:r>
      <w:proofErr w:type="spellEnd"/>
      <w:r w:rsidRPr="005A5853">
        <w:rPr>
          <w:rFonts w:ascii="Book Antiqua" w:eastAsia="宋体" w:hAnsi="Book Antiqua" w:cs="宋体"/>
          <w:color w:val="000000"/>
          <w:sz w:val="24"/>
          <w:szCs w:val="24"/>
          <w:lang w:eastAsia="zh-CN"/>
        </w:rPr>
        <w:t xml:space="preserve"> C, Cohen A, </w:t>
      </w:r>
      <w:proofErr w:type="spellStart"/>
      <w:r w:rsidRPr="005A5853">
        <w:rPr>
          <w:rFonts w:ascii="Book Antiqua" w:eastAsia="宋体" w:hAnsi="Book Antiqua" w:cs="宋体"/>
          <w:color w:val="000000"/>
          <w:sz w:val="24"/>
          <w:szCs w:val="24"/>
          <w:lang w:eastAsia="zh-CN"/>
        </w:rPr>
        <w:t>Fedorak</w:t>
      </w:r>
      <w:proofErr w:type="spellEnd"/>
      <w:r w:rsidRPr="005A5853">
        <w:rPr>
          <w:rFonts w:ascii="Book Antiqua" w:eastAsia="宋体" w:hAnsi="Book Antiqua" w:cs="宋体"/>
          <w:color w:val="000000"/>
          <w:sz w:val="24"/>
          <w:szCs w:val="24"/>
          <w:lang w:eastAsia="zh-CN"/>
        </w:rPr>
        <w:t xml:space="preserve"> RN, </w:t>
      </w:r>
      <w:proofErr w:type="spellStart"/>
      <w:r w:rsidRPr="005A5853">
        <w:rPr>
          <w:rFonts w:ascii="Book Antiqua" w:eastAsia="宋体" w:hAnsi="Book Antiqua" w:cs="宋体"/>
          <w:color w:val="000000"/>
          <w:sz w:val="24"/>
          <w:szCs w:val="24"/>
          <w:lang w:eastAsia="zh-CN"/>
        </w:rPr>
        <w:t>Paré</w:t>
      </w:r>
      <w:proofErr w:type="spellEnd"/>
      <w:r w:rsidRPr="005A5853">
        <w:rPr>
          <w:rFonts w:ascii="Book Antiqua" w:eastAsia="宋体" w:hAnsi="Book Antiqua" w:cs="宋体"/>
          <w:color w:val="000000"/>
          <w:sz w:val="24"/>
          <w:szCs w:val="24"/>
          <w:lang w:eastAsia="zh-CN"/>
        </w:rPr>
        <w:t xml:space="preserve"> P, </w:t>
      </w:r>
      <w:proofErr w:type="spellStart"/>
      <w:r w:rsidRPr="005A5853">
        <w:rPr>
          <w:rFonts w:ascii="Book Antiqua" w:eastAsia="宋体" w:hAnsi="Book Antiqua" w:cs="宋体"/>
          <w:color w:val="000000"/>
          <w:sz w:val="24"/>
          <w:szCs w:val="24"/>
          <w:lang w:eastAsia="zh-CN"/>
        </w:rPr>
        <w:t>Bitton</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Saibil</w:t>
      </w:r>
      <w:proofErr w:type="spellEnd"/>
      <w:r w:rsidRPr="005A5853">
        <w:rPr>
          <w:rFonts w:ascii="Book Antiqua" w:eastAsia="宋体" w:hAnsi="Book Antiqua" w:cs="宋体"/>
          <w:color w:val="000000"/>
          <w:sz w:val="24"/>
          <w:szCs w:val="24"/>
          <w:lang w:eastAsia="zh-CN"/>
        </w:rPr>
        <w:t xml:space="preserve"> F, Anderson F, Donner A, Wong CJ, Zou G, </w:t>
      </w:r>
      <w:proofErr w:type="spellStart"/>
      <w:r w:rsidRPr="005A5853">
        <w:rPr>
          <w:rFonts w:ascii="Book Antiqua" w:eastAsia="宋体" w:hAnsi="Book Antiqua" w:cs="宋体"/>
          <w:color w:val="000000"/>
          <w:sz w:val="24"/>
          <w:szCs w:val="24"/>
          <w:lang w:eastAsia="zh-CN"/>
        </w:rPr>
        <w:t>Vandervoort</w:t>
      </w:r>
      <w:proofErr w:type="spellEnd"/>
      <w:r w:rsidRPr="005A5853">
        <w:rPr>
          <w:rFonts w:ascii="Book Antiqua" w:eastAsia="宋体" w:hAnsi="Book Antiqua" w:cs="宋体"/>
          <w:color w:val="000000"/>
          <w:sz w:val="24"/>
          <w:szCs w:val="24"/>
          <w:lang w:eastAsia="zh-CN"/>
        </w:rPr>
        <w:t xml:space="preserve"> MK, Hopkins M, Greenberg GR. Methotrexate in combination with infliximab is no more effective than infliximab alone in patients with Crohn's disease. </w:t>
      </w:r>
      <w:r w:rsidRPr="005A5853">
        <w:rPr>
          <w:rFonts w:ascii="Book Antiqua" w:eastAsia="宋体" w:hAnsi="Book Antiqua" w:cs="宋体"/>
          <w:i/>
          <w:iCs/>
          <w:color w:val="000000"/>
          <w:sz w:val="24"/>
          <w:szCs w:val="24"/>
          <w:lang w:eastAsia="zh-CN"/>
        </w:rPr>
        <w:t>Gastroenterology</w:t>
      </w:r>
      <w:r w:rsidRPr="005A5853">
        <w:rPr>
          <w:rFonts w:ascii="Book Antiqua" w:eastAsia="宋体" w:hAnsi="Book Antiqua" w:cs="宋体"/>
          <w:color w:val="000000"/>
          <w:sz w:val="24"/>
          <w:szCs w:val="24"/>
          <w:lang w:eastAsia="zh-CN"/>
        </w:rPr>
        <w:t> 2014; </w:t>
      </w:r>
      <w:r w:rsidRPr="005A5853">
        <w:rPr>
          <w:rFonts w:ascii="Book Antiqua" w:eastAsia="宋体" w:hAnsi="Book Antiqua" w:cs="宋体"/>
          <w:b/>
          <w:bCs/>
          <w:color w:val="000000"/>
          <w:sz w:val="24"/>
          <w:szCs w:val="24"/>
          <w:lang w:eastAsia="zh-CN"/>
        </w:rPr>
        <w:t>146</w:t>
      </w:r>
      <w:r w:rsidRPr="005A5853">
        <w:rPr>
          <w:rFonts w:ascii="Book Antiqua" w:eastAsia="宋体" w:hAnsi="Book Antiqua" w:cs="宋体"/>
          <w:color w:val="000000"/>
          <w:sz w:val="24"/>
          <w:szCs w:val="24"/>
          <w:lang w:eastAsia="zh-CN"/>
        </w:rPr>
        <w:t>: 681-688.e1 [PMID: 24269926 DOI: 10.1053/j.gastro.2013.11.024</w:t>
      </w:r>
      <w:r>
        <w:rPr>
          <w:rFonts w:ascii="Book Antiqua" w:eastAsia="宋体" w:hAnsi="Book Antiqua" w:cs="宋体"/>
          <w:color w:val="000000"/>
          <w:sz w:val="24"/>
          <w:szCs w:val="24"/>
          <w:lang w:eastAsia="zh-CN"/>
        </w:rPr>
        <w:t>]</w:t>
      </w:r>
    </w:p>
    <w:p w14:paraId="3B814715" w14:textId="2D64E611"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14 </w:t>
      </w:r>
      <w:proofErr w:type="spellStart"/>
      <w:r w:rsidRPr="005A5853">
        <w:rPr>
          <w:rFonts w:ascii="Book Antiqua" w:eastAsia="宋体" w:hAnsi="Book Antiqua" w:cs="宋体"/>
          <w:b/>
          <w:bCs/>
          <w:color w:val="000000"/>
          <w:sz w:val="24"/>
          <w:szCs w:val="24"/>
          <w:lang w:eastAsia="zh-CN"/>
        </w:rPr>
        <w:t>Karmiris</w:t>
      </w:r>
      <w:proofErr w:type="spellEnd"/>
      <w:r w:rsidRPr="005A5853">
        <w:rPr>
          <w:rFonts w:ascii="Book Antiqua" w:eastAsia="宋体" w:hAnsi="Book Antiqua" w:cs="宋体"/>
          <w:b/>
          <w:bCs/>
          <w:color w:val="000000"/>
          <w:sz w:val="24"/>
          <w:szCs w:val="24"/>
          <w:lang w:eastAsia="zh-CN"/>
        </w:rPr>
        <w:t xml:space="preserve"> K</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Paintaud</w:t>
      </w:r>
      <w:proofErr w:type="spellEnd"/>
      <w:r w:rsidRPr="005A5853">
        <w:rPr>
          <w:rFonts w:ascii="Book Antiqua" w:eastAsia="宋体" w:hAnsi="Book Antiqua" w:cs="宋体"/>
          <w:color w:val="000000"/>
          <w:sz w:val="24"/>
          <w:szCs w:val="24"/>
          <w:lang w:eastAsia="zh-CN"/>
        </w:rPr>
        <w:t xml:space="preserve"> G, Noman M, </w:t>
      </w:r>
      <w:proofErr w:type="spellStart"/>
      <w:r w:rsidRPr="005A5853">
        <w:rPr>
          <w:rFonts w:ascii="Book Antiqua" w:eastAsia="宋体" w:hAnsi="Book Antiqua" w:cs="宋体"/>
          <w:color w:val="000000"/>
          <w:sz w:val="24"/>
          <w:szCs w:val="24"/>
          <w:lang w:eastAsia="zh-CN"/>
        </w:rPr>
        <w:t>Magdelaine-Beuzelin</w:t>
      </w:r>
      <w:proofErr w:type="spellEnd"/>
      <w:r w:rsidRPr="005A5853">
        <w:rPr>
          <w:rFonts w:ascii="Book Antiqua" w:eastAsia="宋体" w:hAnsi="Book Antiqua" w:cs="宋体"/>
          <w:color w:val="000000"/>
          <w:sz w:val="24"/>
          <w:szCs w:val="24"/>
          <w:lang w:eastAsia="zh-CN"/>
        </w:rPr>
        <w:t xml:space="preserve"> C, Ferrante M, </w:t>
      </w:r>
      <w:proofErr w:type="spellStart"/>
      <w:r w:rsidRPr="005A5853">
        <w:rPr>
          <w:rFonts w:ascii="Book Antiqua" w:eastAsia="宋体" w:hAnsi="Book Antiqua" w:cs="宋体"/>
          <w:color w:val="000000"/>
          <w:sz w:val="24"/>
          <w:szCs w:val="24"/>
          <w:lang w:eastAsia="zh-CN"/>
        </w:rPr>
        <w:t>Degenne</w:t>
      </w:r>
      <w:proofErr w:type="spellEnd"/>
      <w:r w:rsidRPr="005A5853">
        <w:rPr>
          <w:rFonts w:ascii="Book Antiqua" w:eastAsia="宋体" w:hAnsi="Book Antiqua" w:cs="宋体"/>
          <w:color w:val="000000"/>
          <w:sz w:val="24"/>
          <w:szCs w:val="24"/>
          <w:lang w:eastAsia="zh-CN"/>
        </w:rPr>
        <w:t xml:space="preserve"> D, </w:t>
      </w:r>
      <w:proofErr w:type="spellStart"/>
      <w:r w:rsidRPr="005A5853">
        <w:rPr>
          <w:rFonts w:ascii="Book Antiqua" w:eastAsia="宋体" w:hAnsi="Book Antiqua" w:cs="宋体"/>
          <w:color w:val="000000"/>
          <w:sz w:val="24"/>
          <w:szCs w:val="24"/>
          <w:lang w:eastAsia="zh-CN"/>
        </w:rPr>
        <w:t>Claes</w:t>
      </w:r>
      <w:proofErr w:type="spellEnd"/>
      <w:r w:rsidRPr="005A5853">
        <w:rPr>
          <w:rFonts w:ascii="Book Antiqua" w:eastAsia="宋体" w:hAnsi="Book Antiqua" w:cs="宋体"/>
          <w:color w:val="000000"/>
          <w:sz w:val="24"/>
          <w:szCs w:val="24"/>
          <w:lang w:eastAsia="zh-CN"/>
        </w:rPr>
        <w:t xml:space="preserve"> K, </w:t>
      </w:r>
      <w:proofErr w:type="spellStart"/>
      <w:r w:rsidRPr="005A5853">
        <w:rPr>
          <w:rFonts w:ascii="Book Antiqua" w:eastAsia="宋体" w:hAnsi="Book Antiqua" w:cs="宋体"/>
          <w:color w:val="000000"/>
          <w:sz w:val="24"/>
          <w:szCs w:val="24"/>
          <w:lang w:eastAsia="zh-CN"/>
        </w:rPr>
        <w:t>Coopman</w:t>
      </w:r>
      <w:proofErr w:type="spellEnd"/>
      <w:r w:rsidRPr="005A5853">
        <w:rPr>
          <w:rFonts w:ascii="Book Antiqua" w:eastAsia="宋体" w:hAnsi="Book Antiqua" w:cs="宋体"/>
          <w:color w:val="000000"/>
          <w:sz w:val="24"/>
          <w:szCs w:val="24"/>
          <w:lang w:eastAsia="zh-CN"/>
        </w:rPr>
        <w:t xml:space="preserve"> T, Van </w:t>
      </w:r>
      <w:proofErr w:type="spellStart"/>
      <w:r w:rsidRPr="005A5853">
        <w:rPr>
          <w:rFonts w:ascii="Book Antiqua" w:eastAsia="宋体" w:hAnsi="Book Antiqua" w:cs="宋体"/>
          <w:color w:val="000000"/>
          <w:sz w:val="24"/>
          <w:szCs w:val="24"/>
          <w:lang w:eastAsia="zh-CN"/>
        </w:rPr>
        <w:t>Schuerbeek</w:t>
      </w:r>
      <w:proofErr w:type="spellEnd"/>
      <w:r w:rsidRPr="005A5853">
        <w:rPr>
          <w:rFonts w:ascii="Book Antiqua" w:eastAsia="宋体" w:hAnsi="Book Antiqua" w:cs="宋体"/>
          <w:color w:val="000000"/>
          <w:sz w:val="24"/>
          <w:szCs w:val="24"/>
          <w:lang w:eastAsia="zh-CN"/>
        </w:rPr>
        <w:t xml:space="preserve"> N, Van </w:t>
      </w:r>
      <w:proofErr w:type="spellStart"/>
      <w:r w:rsidRPr="005A5853">
        <w:rPr>
          <w:rFonts w:ascii="Book Antiqua" w:eastAsia="宋体" w:hAnsi="Book Antiqua" w:cs="宋体"/>
          <w:color w:val="000000"/>
          <w:sz w:val="24"/>
          <w:szCs w:val="24"/>
          <w:lang w:eastAsia="zh-CN"/>
        </w:rPr>
        <w:t>Assche</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Vermeire</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 Influence of trough serum levels and immunogenicity on long-term outcome of adalimumab therapy in Crohn's disease. </w:t>
      </w:r>
      <w:r w:rsidRPr="005A5853">
        <w:rPr>
          <w:rFonts w:ascii="Book Antiqua" w:eastAsia="宋体" w:hAnsi="Book Antiqua" w:cs="宋体"/>
          <w:i/>
          <w:iCs/>
          <w:color w:val="000000"/>
          <w:sz w:val="24"/>
          <w:szCs w:val="24"/>
          <w:lang w:eastAsia="zh-CN"/>
        </w:rPr>
        <w:t>Gastroenterology</w:t>
      </w:r>
      <w:r w:rsidRPr="005A5853">
        <w:rPr>
          <w:rFonts w:ascii="Book Antiqua" w:eastAsia="宋体" w:hAnsi="Book Antiqua" w:cs="宋体"/>
          <w:color w:val="000000"/>
          <w:sz w:val="24"/>
          <w:szCs w:val="24"/>
          <w:lang w:eastAsia="zh-CN"/>
        </w:rPr>
        <w:t> 2009; </w:t>
      </w:r>
      <w:r w:rsidRPr="005A5853">
        <w:rPr>
          <w:rFonts w:ascii="Book Antiqua" w:eastAsia="宋体" w:hAnsi="Book Antiqua" w:cs="宋体"/>
          <w:b/>
          <w:bCs/>
          <w:color w:val="000000"/>
          <w:sz w:val="24"/>
          <w:szCs w:val="24"/>
          <w:lang w:eastAsia="zh-CN"/>
        </w:rPr>
        <w:t>137</w:t>
      </w:r>
      <w:r w:rsidRPr="005A5853">
        <w:rPr>
          <w:rFonts w:ascii="Book Antiqua" w:eastAsia="宋体" w:hAnsi="Book Antiqua" w:cs="宋体"/>
          <w:color w:val="000000"/>
          <w:sz w:val="24"/>
          <w:szCs w:val="24"/>
          <w:lang w:eastAsia="zh-CN"/>
        </w:rPr>
        <w:t>: 1628-1640 [PMID: 19664627 DOI: 10.1053/j.gastro.2009.07.062</w:t>
      </w:r>
      <w:r>
        <w:rPr>
          <w:rFonts w:ascii="Book Antiqua" w:eastAsia="宋体" w:hAnsi="Book Antiqua" w:cs="宋体"/>
          <w:color w:val="000000"/>
          <w:sz w:val="24"/>
          <w:szCs w:val="24"/>
          <w:lang w:eastAsia="zh-CN"/>
        </w:rPr>
        <w:t>]</w:t>
      </w:r>
    </w:p>
    <w:p w14:paraId="6990D6D4" w14:textId="746B73A6"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15 </w:t>
      </w:r>
      <w:r w:rsidRPr="005A5853">
        <w:rPr>
          <w:rFonts w:ascii="Book Antiqua" w:eastAsia="宋体" w:hAnsi="Book Antiqua" w:cs="宋体"/>
          <w:b/>
          <w:bCs/>
          <w:color w:val="000000"/>
          <w:sz w:val="24"/>
          <w:szCs w:val="24"/>
          <w:lang w:eastAsia="zh-CN"/>
        </w:rPr>
        <w:t>van Schaik T</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Maljaars</w:t>
      </w:r>
      <w:proofErr w:type="spellEnd"/>
      <w:r w:rsidRPr="005A5853">
        <w:rPr>
          <w:rFonts w:ascii="Book Antiqua" w:eastAsia="宋体" w:hAnsi="Book Antiqua" w:cs="宋体"/>
          <w:color w:val="000000"/>
          <w:sz w:val="24"/>
          <w:szCs w:val="24"/>
          <w:lang w:eastAsia="zh-CN"/>
        </w:rPr>
        <w:t xml:space="preserve"> JP, </w:t>
      </w:r>
      <w:proofErr w:type="spellStart"/>
      <w:r w:rsidRPr="005A5853">
        <w:rPr>
          <w:rFonts w:ascii="Book Antiqua" w:eastAsia="宋体" w:hAnsi="Book Antiqua" w:cs="宋体"/>
          <w:color w:val="000000"/>
          <w:sz w:val="24"/>
          <w:szCs w:val="24"/>
          <w:lang w:eastAsia="zh-CN"/>
        </w:rPr>
        <w:t>Roopram</w:t>
      </w:r>
      <w:proofErr w:type="spellEnd"/>
      <w:r w:rsidRPr="005A5853">
        <w:rPr>
          <w:rFonts w:ascii="Book Antiqua" w:eastAsia="宋体" w:hAnsi="Book Antiqua" w:cs="宋体"/>
          <w:color w:val="000000"/>
          <w:sz w:val="24"/>
          <w:szCs w:val="24"/>
          <w:lang w:eastAsia="zh-CN"/>
        </w:rPr>
        <w:t xml:space="preserve"> RK, </w:t>
      </w:r>
      <w:proofErr w:type="spellStart"/>
      <w:r w:rsidRPr="005A5853">
        <w:rPr>
          <w:rFonts w:ascii="Book Antiqua" w:eastAsia="宋体" w:hAnsi="Book Antiqua" w:cs="宋体"/>
          <w:color w:val="000000"/>
          <w:sz w:val="24"/>
          <w:szCs w:val="24"/>
          <w:lang w:eastAsia="zh-CN"/>
        </w:rPr>
        <w:t>Verwey</w:t>
      </w:r>
      <w:proofErr w:type="spellEnd"/>
      <w:r w:rsidRPr="005A5853">
        <w:rPr>
          <w:rFonts w:ascii="Book Antiqua" w:eastAsia="宋体" w:hAnsi="Book Antiqua" w:cs="宋体"/>
          <w:color w:val="000000"/>
          <w:sz w:val="24"/>
          <w:szCs w:val="24"/>
          <w:lang w:eastAsia="zh-CN"/>
        </w:rPr>
        <w:t xml:space="preserve"> MH, </w:t>
      </w:r>
      <w:proofErr w:type="spellStart"/>
      <w:r w:rsidRPr="005A5853">
        <w:rPr>
          <w:rFonts w:ascii="Book Antiqua" w:eastAsia="宋体" w:hAnsi="Book Antiqua" w:cs="宋体"/>
          <w:color w:val="000000"/>
          <w:sz w:val="24"/>
          <w:szCs w:val="24"/>
          <w:lang w:eastAsia="zh-CN"/>
        </w:rPr>
        <w:t>Ipenburg</w:t>
      </w:r>
      <w:proofErr w:type="spellEnd"/>
      <w:r w:rsidRPr="005A5853">
        <w:rPr>
          <w:rFonts w:ascii="Book Antiqua" w:eastAsia="宋体" w:hAnsi="Book Antiqua" w:cs="宋体"/>
          <w:color w:val="000000"/>
          <w:sz w:val="24"/>
          <w:szCs w:val="24"/>
          <w:lang w:eastAsia="zh-CN"/>
        </w:rPr>
        <w:t xml:space="preserve"> N, Hardwick JC, </w:t>
      </w:r>
      <w:proofErr w:type="spellStart"/>
      <w:r w:rsidRPr="005A5853">
        <w:rPr>
          <w:rFonts w:ascii="Book Antiqua" w:eastAsia="宋体" w:hAnsi="Book Antiqua" w:cs="宋体"/>
          <w:color w:val="000000"/>
          <w:sz w:val="24"/>
          <w:szCs w:val="24"/>
          <w:lang w:eastAsia="zh-CN"/>
        </w:rPr>
        <w:t>Veenendaal</w:t>
      </w:r>
      <w:proofErr w:type="spellEnd"/>
      <w:r w:rsidRPr="005A5853">
        <w:rPr>
          <w:rFonts w:ascii="Book Antiqua" w:eastAsia="宋体" w:hAnsi="Book Antiqua" w:cs="宋体"/>
          <w:color w:val="000000"/>
          <w:sz w:val="24"/>
          <w:szCs w:val="24"/>
          <w:lang w:eastAsia="zh-CN"/>
        </w:rPr>
        <w:t xml:space="preserve"> RA, van der </w:t>
      </w:r>
      <w:proofErr w:type="spellStart"/>
      <w:r w:rsidRPr="005A5853">
        <w:rPr>
          <w:rFonts w:ascii="Book Antiqua" w:eastAsia="宋体" w:hAnsi="Book Antiqua" w:cs="宋体"/>
          <w:color w:val="000000"/>
          <w:sz w:val="24"/>
          <w:szCs w:val="24"/>
          <w:lang w:eastAsia="zh-CN"/>
        </w:rPr>
        <w:t>Meulen</w:t>
      </w:r>
      <w:proofErr w:type="spellEnd"/>
      <w:r w:rsidRPr="005A5853">
        <w:rPr>
          <w:rFonts w:ascii="Book Antiqua" w:eastAsia="宋体" w:hAnsi="Book Antiqua" w:cs="宋体"/>
          <w:color w:val="000000"/>
          <w:sz w:val="24"/>
          <w:szCs w:val="24"/>
          <w:lang w:eastAsia="zh-CN"/>
        </w:rPr>
        <w:t>-de Jong AE. Influence of combination therapy with immune modulators on anti-TNF trough levels and antibodies in patients with IBD. </w:t>
      </w:r>
      <w:proofErr w:type="spellStart"/>
      <w:r w:rsidRPr="005A5853">
        <w:rPr>
          <w:rFonts w:ascii="Book Antiqua" w:eastAsia="宋体" w:hAnsi="Book Antiqua" w:cs="宋体"/>
          <w:i/>
          <w:iCs/>
          <w:color w:val="000000"/>
          <w:sz w:val="24"/>
          <w:szCs w:val="24"/>
          <w:lang w:eastAsia="zh-CN"/>
        </w:rPr>
        <w:t>Inflamm</w:t>
      </w:r>
      <w:proofErr w:type="spellEnd"/>
      <w:r w:rsidRPr="005A5853">
        <w:rPr>
          <w:rFonts w:ascii="Book Antiqua" w:eastAsia="宋体" w:hAnsi="Book Antiqua" w:cs="宋体"/>
          <w:i/>
          <w:iCs/>
          <w:color w:val="000000"/>
          <w:sz w:val="24"/>
          <w:szCs w:val="24"/>
          <w:lang w:eastAsia="zh-CN"/>
        </w:rPr>
        <w:t xml:space="preserve"> Bowel Dis</w:t>
      </w:r>
      <w:r w:rsidRPr="005A5853">
        <w:rPr>
          <w:rFonts w:ascii="Book Antiqua" w:eastAsia="宋体" w:hAnsi="Book Antiqua" w:cs="宋体"/>
          <w:color w:val="000000"/>
          <w:sz w:val="24"/>
          <w:szCs w:val="24"/>
          <w:lang w:eastAsia="zh-CN"/>
        </w:rPr>
        <w:t> 2014; </w:t>
      </w:r>
      <w:r w:rsidRPr="005A5853">
        <w:rPr>
          <w:rFonts w:ascii="Book Antiqua" w:eastAsia="宋体" w:hAnsi="Book Antiqua" w:cs="宋体"/>
          <w:b/>
          <w:bCs/>
          <w:color w:val="000000"/>
          <w:sz w:val="24"/>
          <w:szCs w:val="24"/>
          <w:lang w:eastAsia="zh-CN"/>
        </w:rPr>
        <w:t>20</w:t>
      </w:r>
      <w:r w:rsidRPr="005A5853">
        <w:rPr>
          <w:rFonts w:ascii="Book Antiqua" w:eastAsia="宋体" w:hAnsi="Book Antiqua" w:cs="宋体"/>
          <w:color w:val="000000"/>
          <w:sz w:val="24"/>
          <w:szCs w:val="24"/>
          <w:lang w:eastAsia="zh-CN"/>
        </w:rPr>
        <w:t>: 2292-2298 [PMID: 25230167 DOI: 10.1097/MIB.0000000000000208</w:t>
      </w:r>
      <w:r>
        <w:rPr>
          <w:rFonts w:ascii="Book Antiqua" w:eastAsia="宋体" w:hAnsi="Book Antiqua" w:cs="宋体"/>
          <w:color w:val="000000"/>
          <w:sz w:val="24"/>
          <w:szCs w:val="24"/>
          <w:lang w:eastAsia="zh-CN"/>
        </w:rPr>
        <w:t>]</w:t>
      </w:r>
    </w:p>
    <w:p w14:paraId="748E79ED" w14:textId="1EF42895"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16 </w:t>
      </w:r>
      <w:r w:rsidRPr="005A5853">
        <w:rPr>
          <w:rFonts w:ascii="Book Antiqua" w:eastAsia="宋体" w:hAnsi="Book Antiqua" w:cs="宋体"/>
          <w:b/>
          <w:bCs/>
          <w:color w:val="000000"/>
          <w:sz w:val="24"/>
          <w:szCs w:val="24"/>
          <w:lang w:eastAsia="zh-CN"/>
        </w:rPr>
        <w:t>Paul S</w:t>
      </w:r>
      <w:r w:rsidRPr="005A5853">
        <w:rPr>
          <w:rFonts w:ascii="Book Antiqua" w:eastAsia="宋体" w:hAnsi="Book Antiqua" w:cs="宋体"/>
          <w:color w:val="000000"/>
          <w:sz w:val="24"/>
          <w:szCs w:val="24"/>
          <w:lang w:eastAsia="zh-CN"/>
        </w:rPr>
        <w:t xml:space="preserve">, Moreau AC, Del Tedesco E, </w:t>
      </w:r>
      <w:proofErr w:type="spellStart"/>
      <w:r w:rsidRPr="005A5853">
        <w:rPr>
          <w:rFonts w:ascii="Book Antiqua" w:eastAsia="宋体" w:hAnsi="Book Antiqua" w:cs="宋体"/>
          <w:color w:val="000000"/>
          <w:sz w:val="24"/>
          <w:szCs w:val="24"/>
          <w:lang w:eastAsia="zh-CN"/>
        </w:rPr>
        <w:t>Rinaudo</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Phelip</w:t>
      </w:r>
      <w:proofErr w:type="spellEnd"/>
      <w:r w:rsidRPr="005A5853">
        <w:rPr>
          <w:rFonts w:ascii="Book Antiqua" w:eastAsia="宋体" w:hAnsi="Book Antiqua" w:cs="宋体"/>
          <w:color w:val="000000"/>
          <w:sz w:val="24"/>
          <w:szCs w:val="24"/>
          <w:lang w:eastAsia="zh-CN"/>
        </w:rPr>
        <w:t xml:space="preserve"> JM, </w:t>
      </w:r>
      <w:proofErr w:type="spellStart"/>
      <w:r w:rsidRPr="005A5853">
        <w:rPr>
          <w:rFonts w:ascii="Book Antiqua" w:eastAsia="宋体" w:hAnsi="Book Antiqua" w:cs="宋体"/>
          <w:color w:val="000000"/>
          <w:sz w:val="24"/>
          <w:szCs w:val="24"/>
          <w:lang w:eastAsia="zh-CN"/>
        </w:rPr>
        <w:t>Genin</w:t>
      </w:r>
      <w:proofErr w:type="spellEnd"/>
      <w:r w:rsidRPr="005A5853">
        <w:rPr>
          <w:rFonts w:ascii="Book Antiqua" w:eastAsia="宋体" w:hAnsi="Book Antiqua" w:cs="宋体"/>
          <w:color w:val="000000"/>
          <w:sz w:val="24"/>
          <w:szCs w:val="24"/>
          <w:lang w:eastAsia="zh-CN"/>
        </w:rPr>
        <w:t xml:space="preserve"> C, </w:t>
      </w:r>
      <w:proofErr w:type="spellStart"/>
      <w:r w:rsidRPr="005A5853">
        <w:rPr>
          <w:rFonts w:ascii="Book Antiqua" w:eastAsia="宋体" w:hAnsi="Book Antiqua" w:cs="宋体"/>
          <w:color w:val="000000"/>
          <w:sz w:val="24"/>
          <w:szCs w:val="24"/>
          <w:lang w:eastAsia="zh-CN"/>
        </w:rPr>
        <w:t>Peyrin-Biroulet</w:t>
      </w:r>
      <w:proofErr w:type="spellEnd"/>
      <w:r w:rsidRPr="005A5853">
        <w:rPr>
          <w:rFonts w:ascii="Book Antiqua" w:eastAsia="宋体" w:hAnsi="Book Antiqua" w:cs="宋体"/>
          <w:color w:val="000000"/>
          <w:sz w:val="24"/>
          <w:szCs w:val="24"/>
          <w:lang w:eastAsia="zh-CN"/>
        </w:rPr>
        <w:t xml:space="preserve"> L, Roblin X. Pharmacokinetics of adalimumab in inflammatory bowel diseases: a systematic review and meta-analysis. </w:t>
      </w:r>
      <w:proofErr w:type="spellStart"/>
      <w:r w:rsidRPr="005A5853">
        <w:rPr>
          <w:rFonts w:ascii="Book Antiqua" w:eastAsia="宋体" w:hAnsi="Book Antiqua" w:cs="宋体"/>
          <w:i/>
          <w:iCs/>
          <w:color w:val="000000"/>
          <w:sz w:val="24"/>
          <w:szCs w:val="24"/>
          <w:lang w:eastAsia="zh-CN"/>
        </w:rPr>
        <w:t>Inflamm</w:t>
      </w:r>
      <w:proofErr w:type="spellEnd"/>
      <w:r w:rsidRPr="005A5853">
        <w:rPr>
          <w:rFonts w:ascii="Book Antiqua" w:eastAsia="宋体" w:hAnsi="Book Antiqua" w:cs="宋体"/>
          <w:i/>
          <w:iCs/>
          <w:color w:val="000000"/>
          <w:sz w:val="24"/>
          <w:szCs w:val="24"/>
          <w:lang w:eastAsia="zh-CN"/>
        </w:rPr>
        <w:t xml:space="preserve"> Bowel Dis</w:t>
      </w:r>
      <w:r w:rsidRPr="005A5853">
        <w:rPr>
          <w:rFonts w:ascii="Book Antiqua" w:eastAsia="宋体" w:hAnsi="Book Antiqua" w:cs="宋体"/>
          <w:color w:val="000000"/>
          <w:sz w:val="24"/>
          <w:szCs w:val="24"/>
          <w:lang w:eastAsia="zh-CN"/>
        </w:rPr>
        <w:t> 2014; </w:t>
      </w:r>
      <w:r w:rsidRPr="005A5853">
        <w:rPr>
          <w:rFonts w:ascii="Book Antiqua" w:eastAsia="宋体" w:hAnsi="Book Antiqua" w:cs="宋体"/>
          <w:b/>
          <w:bCs/>
          <w:color w:val="000000"/>
          <w:sz w:val="24"/>
          <w:szCs w:val="24"/>
          <w:lang w:eastAsia="zh-CN"/>
        </w:rPr>
        <w:t>20</w:t>
      </w:r>
      <w:r w:rsidRPr="005A5853">
        <w:rPr>
          <w:rFonts w:ascii="Book Antiqua" w:eastAsia="宋体" w:hAnsi="Book Antiqua" w:cs="宋体"/>
          <w:color w:val="000000"/>
          <w:sz w:val="24"/>
          <w:szCs w:val="24"/>
          <w:lang w:eastAsia="zh-CN"/>
        </w:rPr>
        <w:t>: 1288-1295 [PMID: 24831559 DOI: 10.1097/MIB.0000000000000037</w:t>
      </w:r>
      <w:r>
        <w:rPr>
          <w:rFonts w:ascii="Book Antiqua" w:eastAsia="宋体" w:hAnsi="Book Antiqua" w:cs="宋体"/>
          <w:color w:val="000000"/>
          <w:sz w:val="24"/>
          <w:szCs w:val="24"/>
          <w:lang w:eastAsia="zh-CN"/>
        </w:rPr>
        <w:t>]</w:t>
      </w:r>
    </w:p>
    <w:p w14:paraId="18E85D0E" w14:textId="15FFA6FC"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17 </w:t>
      </w:r>
      <w:proofErr w:type="spellStart"/>
      <w:r w:rsidRPr="005A5853">
        <w:rPr>
          <w:rFonts w:ascii="Book Antiqua" w:eastAsia="宋体" w:hAnsi="Book Antiqua" w:cs="宋体"/>
          <w:b/>
          <w:bCs/>
          <w:color w:val="000000"/>
          <w:sz w:val="24"/>
          <w:szCs w:val="24"/>
          <w:lang w:eastAsia="zh-CN"/>
        </w:rPr>
        <w:t>Kopylov</w:t>
      </w:r>
      <w:proofErr w:type="spellEnd"/>
      <w:r w:rsidRPr="005A5853">
        <w:rPr>
          <w:rFonts w:ascii="Book Antiqua" w:eastAsia="宋体" w:hAnsi="Book Antiqua" w:cs="宋体"/>
          <w:b/>
          <w:bCs/>
          <w:color w:val="000000"/>
          <w:sz w:val="24"/>
          <w:szCs w:val="24"/>
          <w:lang w:eastAsia="zh-CN"/>
        </w:rPr>
        <w:t xml:space="preserve"> U</w:t>
      </w:r>
      <w:r w:rsidRPr="005A5853">
        <w:rPr>
          <w:rFonts w:ascii="Book Antiqua" w:eastAsia="宋体" w:hAnsi="Book Antiqua" w:cs="宋体"/>
          <w:color w:val="000000"/>
          <w:sz w:val="24"/>
          <w:szCs w:val="24"/>
          <w:lang w:eastAsia="zh-CN"/>
        </w:rPr>
        <w:t>, Al-</w:t>
      </w:r>
      <w:proofErr w:type="spellStart"/>
      <w:r w:rsidRPr="005A5853">
        <w:rPr>
          <w:rFonts w:ascii="Book Antiqua" w:eastAsia="宋体" w:hAnsi="Book Antiqua" w:cs="宋体"/>
          <w:color w:val="000000"/>
          <w:sz w:val="24"/>
          <w:szCs w:val="24"/>
          <w:lang w:eastAsia="zh-CN"/>
        </w:rPr>
        <w:t>Taweel</w:t>
      </w:r>
      <w:proofErr w:type="spellEnd"/>
      <w:r w:rsidRPr="005A5853">
        <w:rPr>
          <w:rFonts w:ascii="Book Antiqua" w:eastAsia="宋体" w:hAnsi="Book Antiqua" w:cs="宋体"/>
          <w:color w:val="000000"/>
          <w:sz w:val="24"/>
          <w:szCs w:val="24"/>
          <w:lang w:eastAsia="zh-CN"/>
        </w:rPr>
        <w:t xml:space="preserve"> T, </w:t>
      </w:r>
      <w:proofErr w:type="spellStart"/>
      <w:r w:rsidRPr="005A5853">
        <w:rPr>
          <w:rFonts w:ascii="Book Antiqua" w:eastAsia="宋体" w:hAnsi="Book Antiqua" w:cs="宋体"/>
          <w:color w:val="000000"/>
          <w:sz w:val="24"/>
          <w:szCs w:val="24"/>
          <w:lang w:eastAsia="zh-CN"/>
        </w:rPr>
        <w:t>Yaghoobi</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Nauche</w:t>
      </w:r>
      <w:proofErr w:type="spellEnd"/>
      <w:r w:rsidRPr="005A5853">
        <w:rPr>
          <w:rFonts w:ascii="Book Antiqua" w:eastAsia="宋体" w:hAnsi="Book Antiqua" w:cs="宋体"/>
          <w:color w:val="000000"/>
          <w:sz w:val="24"/>
          <w:szCs w:val="24"/>
          <w:lang w:eastAsia="zh-CN"/>
        </w:rPr>
        <w:t xml:space="preserve"> B, </w:t>
      </w:r>
      <w:proofErr w:type="spellStart"/>
      <w:r w:rsidRPr="005A5853">
        <w:rPr>
          <w:rFonts w:ascii="Book Antiqua" w:eastAsia="宋体" w:hAnsi="Book Antiqua" w:cs="宋体"/>
          <w:color w:val="000000"/>
          <w:sz w:val="24"/>
          <w:szCs w:val="24"/>
          <w:lang w:eastAsia="zh-CN"/>
        </w:rPr>
        <w:t>Bitton</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Lakatos</w:t>
      </w:r>
      <w:proofErr w:type="spellEnd"/>
      <w:r w:rsidRPr="005A5853">
        <w:rPr>
          <w:rFonts w:ascii="Book Antiqua" w:eastAsia="宋体" w:hAnsi="Book Antiqua" w:cs="宋体"/>
          <w:color w:val="000000"/>
          <w:sz w:val="24"/>
          <w:szCs w:val="24"/>
          <w:lang w:eastAsia="zh-CN"/>
        </w:rPr>
        <w:t xml:space="preserve"> PL, Ben-</w:t>
      </w:r>
      <w:proofErr w:type="spellStart"/>
      <w:r w:rsidRPr="005A5853">
        <w:rPr>
          <w:rFonts w:ascii="Book Antiqua" w:eastAsia="宋体" w:hAnsi="Book Antiqua" w:cs="宋体"/>
          <w:color w:val="000000"/>
          <w:sz w:val="24"/>
          <w:szCs w:val="24"/>
          <w:lang w:eastAsia="zh-CN"/>
        </w:rPr>
        <w:t>Horin</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Afif</w:t>
      </w:r>
      <w:proofErr w:type="spellEnd"/>
      <w:r w:rsidRPr="005A5853">
        <w:rPr>
          <w:rFonts w:ascii="Book Antiqua" w:eastAsia="宋体" w:hAnsi="Book Antiqua" w:cs="宋体"/>
          <w:color w:val="000000"/>
          <w:sz w:val="24"/>
          <w:szCs w:val="24"/>
          <w:lang w:eastAsia="zh-CN"/>
        </w:rPr>
        <w:t xml:space="preserve"> W, Seidman EG. Adalimumab monotherapy versus combination therapy with </w:t>
      </w:r>
      <w:proofErr w:type="spellStart"/>
      <w:r w:rsidRPr="005A5853">
        <w:rPr>
          <w:rFonts w:ascii="Book Antiqua" w:eastAsia="宋体" w:hAnsi="Book Antiqua" w:cs="宋体"/>
          <w:color w:val="000000"/>
          <w:sz w:val="24"/>
          <w:szCs w:val="24"/>
          <w:lang w:eastAsia="zh-CN"/>
        </w:rPr>
        <w:t>immunomodulators</w:t>
      </w:r>
      <w:proofErr w:type="spellEnd"/>
      <w:r w:rsidRPr="005A5853">
        <w:rPr>
          <w:rFonts w:ascii="Book Antiqua" w:eastAsia="宋体" w:hAnsi="Book Antiqua" w:cs="宋体"/>
          <w:color w:val="000000"/>
          <w:sz w:val="24"/>
          <w:szCs w:val="24"/>
          <w:lang w:eastAsia="zh-CN"/>
        </w:rPr>
        <w:t xml:space="preserve"> in patients with Crohn's disease: a systematic review and meta-analysis. </w:t>
      </w:r>
      <w:r w:rsidRPr="005A5853">
        <w:rPr>
          <w:rFonts w:ascii="Book Antiqua" w:eastAsia="宋体" w:hAnsi="Book Antiqua" w:cs="宋体"/>
          <w:i/>
          <w:iCs/>
          <w:color w:val="000000"/>
          <w:sz w:val="24"/>
          <w:szCs w:val="24"/>
          <w:lang w:eastAsia="zh-CN"/>
        </w:rPr>
        <w:t xml:space="preserve">J </w:t>
      </w:r>
      <w:proofErr w:type="spellStart"/>
      <w:r w:rsidRPr="005A5853">
        <w:rPr>
          <w:rFonts w:ascii="Book Antiqua" w:eastAsia="宋体" w:hAnsi="Book Antiqua" w:cs="宋体"/>
          <w:i/>
          <w:iCs/>
          <w:color w:val="000000"/>
          <w:sz w:val="24"/>
          <w:szCs w:val="24"/>
          <w:lang w:eastAsia="zh-CN"/>
        </w:rPr>
        <w:t>Crohns</w:t>
      </w:r>
      <w:proofErr w:type="spellEnd"/>
      <w:r w:rsidRPr="005A5853">
        <w:rPr>
          <w:rFonts w:ascii="Book Antiqua" w:eastAsia="宋体" w:hAnsi="Book Antiqua" w:cs="宋体"/>
          <w:i/>
          <w:iCs/>
          <w:color w:val="000000"/>
          <w:sz w:val="24"/>
          <w:szCs w:val="24"/>
          <w:lang w:eastAsia="zh-CN"/>
        </w:rPr>
        <w:t xml:space="preserve"> Colitis</w:t>
      </w:r>
      <w:r w:rsidRPr="005A5853">
        <w:rPr>
          <w:rFonts w:ascii="Book Antiqua" w:eastAsia="宋体" w:hAnsi="Book Antiqua" w:cs="宋体"/>
          <w:color w:val="000000"/>
          <w:sz w:val="24"/>
          <w:szCs w:val="24"/>
          <w:lang w:eastAsia="zh-CN"/>
        </w:rPr>
        <w:t> 2014; </w:t>
      </w:r>
      <w:r w:rsidRPr="005A5853">
        <w:rPr>
          <w:rFonts w:ascii="Book Antiqua" w:eastAsia="宋体" w:hAnsi="Book Antiqua" w:cs="宋体"/>
          <w:b/>
          <w:bCs/>
          <w:color w:val="000000"/>
          <w:sz w:val="24"/>
          <w:szCs w:val="24"/>
          <w:lang w:eastAsia="zh-CN"/>
        </w:rPr>
        <w:t>8</w:t>
      </w:r>
      <w:r w:rsidRPr="005A5853">
        <w:rPr>
          <w:rFonts w:ascii="Book Antiqua" w:eastAsia="宋体" w:hAnsi="Book Antiqua" w:cs="宋体"/>
          <w:color w:val="000000"/>
          <w:sz w:val="24"/>
          <w:szCs w:val="24"/>
          <w:lang w:eastAsia="zh-CN"/>
        </w:rPr>
        <w:t>: 1632-1641 [PMID: 25067824 DOI: 10.1016/j.crohns.2014.07.003</w:t>
      </w:r>
      <w:r>
        <w:rPr>
          <w:rFonts w:ascii="Book Antiqua" w:eastAsia="宋体" w:hAnsi="Book Antiqua" w:cs="宋体"/>
          <w:color w:val="000000"/>
          <w:sz w:val="24"/>
          <w:szCs w:val="24"/>
          <w:lang w:eastAsia="zh-CN"/>
        </w:rPr>
        <w:t>]</w:t>
      </w:r>
    </w:p>
    <w:p w14:paraId="2546A167" w14:textId="19178E77"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18 </w:t>
      </w:r>
      <w:proofErr w:type="spellStart"/>
      <w:r w:rsidRPr="005A5853">
        <w:rPr>
          <w:rFonts w:ascii="Book Antiqua" w:eastAsia="宋体" w:hAnsi="Book Antiqua" w:cs="宋体"/>
          <w:b/>
          <w:bCs/>
          <w:color w:val="000000"/>
          <w:sz w:val="24"/>
          <w:szCs w:val="24"/>
          <w:lang w:eastAsia="zh-CN"/>
        </w:rPr>
        <w:t>Feagan</w:t>
      </w:r>
      <w:proofErr w:type="spellEnd"/>
      <w:r w:rsidRPr="005A5853">
        <w:rPr>
          <w:rFonts w:ascii="Book Antiqua" w:eastAsia="宋体" w:hAnsi="Book Antiqua" w:cs="宋体"/>
          <w:b/>
          <w:bCs/>
          <w:color w:val="000000"/>
          <w:sz w:val="24"/>
          <w:szCs w:val="24"/>
          <w:lang w:eastAsia="zh-CN"/>
        </w:rPr>
        <w:t xml:space="preserve"> BG</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 Sands BE, </w:t>
      </w:r>
      <w:proofErr w:type="spellStart"/>
      <w:r w:rsidRPr="005A5853">
        <w:rPr>
          <w:rFonts w:ascii="Book Antiqua" w:eastAsia="宋体" w:hAnsi="Book Antiqua" w:cs="宋体"/>
          <w:color w:val="000000"/>
          <w:sz w:val="24"/>
          <w:szCs w:val="24"/>
          <w:lang w:eastAsia="zh-CN"/>
        </w:rPr>
        <w:t>Hanauer</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w:t>
      </w:r>
      <w:proofErr w:type="spellStart"/>
      <w:r w:rsidRPr="005A5853">
        <w:rPr>
          <w:rFonts w:ascii="Book Antiqua" w:eastAsia="宋体" w:hAnsi="Book Antiqua" w:cs="宋体"/>
          <w:color w:val="000000"/>
          <w:sz w:val="24"/>
          <w:szCs w:val="24"/>
          <w:lang w:eastAsia="zh-CN"/>
        </w:rPr>
        <w:t>Sandborn</w:t>
      </w:r>
      <w:proofErr w:type="spellEnd"/>
      <w:r w:rsidRPr="005A5853">
        <w:rPr>
          <w:rFonts w:ascii="Book Antiqua" w:eastAsia="宋体" w:hAnsi="Book Antiqua" w:cs="宋体"/>
          <w:color w:val="000000"/>
          <w:sz w:val="24"/>
          <w:szCs w:val="24"/>
          <w:lang w:eastAsia="zh-CN"/>
        </w:rPr>
        <w:t xml:space="preserve"> WJ, Van </w:t>
      </w:r>
      <w:proofErr w:type="spellStart"/>
      <w:r w:rsidRPr="005A5853">
        <w:rPr>
          <w:rFonts w:ascii="Book Antiqua" w:eastAsia="宋体" w:hAnsi="Book Antiqua" w:cs="宋体"/>
          <w:color w:val="000000"/>
          <w:sz w:val="24"/>
          <w:szCs w:val="24"/>
          <w:lang w:eastAsia="zh-CN"/>
        </w:rPr>
        <w:t>Assche</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Axler</w:t>
      </w:r>
      <w:proofErr w:type="spellEnd"/>
      <w:r w:rsidRPr="005A5853">
        <w:rPr>
          <w:rFonts w:ascii="Book Antiqua" w:eastAsia="宋体" w:hAnsi="Book Antiqua" w:cs="宋体"/>
          <w:color w:val="000000"/>
          <w:sz w:val="24"/>
          <w:szCs w:val="24"/>
          <w:lang w:eastAsia="zh-CN"/>
        </w:rPr>
        <w:t xml:space="preserve"> J, Kim HJ, </w:t>
      </w:r>
      <w:proofErr w:type="spellStart"/>
      <w:r w:rsidRPr="005A5853">
        <w:rPr>
          <w:rFonts w:ascii="Book Antiqua" w:eastAsia="宋体" w:hAnsi="Book Antiqua" w:cs="宋体"/>
          <w:color w:val="000000"/>
          <w:sz w:val="24"/>
          <w:szCs w:val="24"/>
          <w:lang w:eastAsia="zh-CN"/>
        </w:rPr>
        <w:t>Danese</w:t>
      </w:r>
      <w:proofErr w:type="spellEnd"/>
      <w:r w:rsidRPr="005A5853">
        <w:rPr>
          <w:rFonts w:ascii="Book Antiqua" w:eastAsia="宋体" w:hAnsi="Book Antiqua" w:cs="宋体"/>
          <w:color w:val="000000"/>
          <w:sz w:val="24"/>
          <w:szCs w:val="24"/>
          <w:lang w:eastAsia="zh-CN"/>
        </w:rPr>
        <w:t xml:space="preserve"> S, Fox I, </w:t>
      </w:r>
      <w:proofErr w:type="spellStart"/>
      <w:r w:rsidRPr="005A5853">
        <w:rPr>
          <w:rFonts w:ascii="Book Antiqua" w:eastAsia="宋体" w:hAnsi="Book Antiqua" w:cs="宋体"/>
          <w:color w:val="000000"/>
          <w:sz w:val="24"/>
          <w:szCs w:val="24"/>
          <w:lang w:eastAsia="zh-CN"/>
        </w:rPr>
        <w:t>Milch</w:t>
      </w:r>
      <w:proofErr w:type="spellEnd"/>
      <w:r w:rsidRPr="005A5853">
        <w:rPr>
          <w:rFonts w:ascii="Book Antiqua" w:eastAsia="宋体" w:hAnsi="Book Antiqua" w:cs="宋体"/>
          <w:color w:val="000000"/>
          <w:sz w:val="24"/>
          <w:szCs w:val="24"/>
          <w:lang w:eastAsia="zh-CN"/>
        </w:rPr>
        <w:t xml:space="preserve"> C, </w:t>
      </w:r>
      <w:proofErr w:type="spellStart"/>
      <w:r w:rsidRPr="005A5853">
        <w:rPr>
          <w:rFonts w:ascii="Book Antiqua" w:eastAsia="宋体" w:hAnsi="Book Antiqua" w:cs="宋体"/>
          <w:color w:val="000000"/>
          <w:sz w:val="24"/>
          <w:szCs w:val="24"/>
          <w:lang w:eastAsia="zh-CN"/>
        </w:rPr>
        <w:t>Sankoh</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Wyant</w:t>
      </w:r>
      <w:proofErr w:type="spellEnd"/>
      <w:r w:rsidRPr="005A5853">
        <w:rPr>
          <w:rFonts w:ascii="Book Antiqua" w:eastAsia="宋体" w:hAnsi="Book Antiqua" w:cs="宋体"/>
          <w:color w:val="000000"/>
          <w:sz w:val="24"/>
          <w:szCs w:val="24"/>
          <w:lang w:eastAsia="zh-CN"/>
        </w:rPr>
        <w:t xml:space="preserve"> T, Xu J, Parikh A</w:t>
      </w:r>
      <w:r w:rsidR="0096280C" w:rsidRPr="000E643C">
        <w:rPr>
          <w:rFonts w:ascii="Book Antiqua" w:hAnsi="Book Antiqua" w:cstheme="minorHAnsi"/>
          <w:sz w:val="24"/>
          <w:szCs w:val="24"/>
        </w:rPr>
        <w:t>; GEMINI 1 Study Group</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Vedolizumab</w:t>
      </w:r>
      <w:proofErr w:type="spellEnd"/>
      <w:r w:rsidRPr="005A5853">
        <w:rPr>
          <w:rFonts w:ascii="Book Antiqua" w:eastAsia="宋体" w:hAnsi="Book Antiqua" w:cs="宋体"/>
          <w:color w:val="000000"/>
          <w:sz w:val="24"/>
          <w:szCs w:val="24"/>
          <w:lang w:eastAsia="zh-CN"/>
        </w:rPr>
        <w:t xml:space="preserve"> as induction and maintenance therapy for ulcerative colitis. </w:t>
      </w:r>
      <w:r w:rsidRPr="005A5853">
        <w:rPr>
          <w:rFonts w:ascii="Book Antiqua" w:eastAsia="宋体" w:hAnsi="Book Antiqua" w:cs="宋体"/>
          <w:i/>
          <w:iCs/>
          <w:color w:val="000000"/>
          <w:sz w:val="24"/>
          <w:szCs w:val="24"/>
          <w:lang w:eastAsia="zh-CN"/>
        </w:rPr>
        <w:t xml:space="preserve">N </w:t>
      </w:r>
      <w:proofErr w:type="spellStart"/>
      <w:r w:rsidRPr="005A5853">
        <w:rPr>
          <w:rFonts w:ascii="Book Antiqua" w:eastAsia="宋体" w:hAnsi="Book Antiqua" w:cs="宋体"/>
          <w:i/>
          <w:iCs/>
          <w:color w:val="000000"/>
          <w:sz w:val="24"/>
          <w:szCs w:val="24"/>
          <w:lang w:eastAsia="zh-CN"/>
        </w:rPr>
        <w:t>Engl</w:t>
      </w:r>
      <w:proofErr w:type="spellEnd"/>
      <w:r w:rsidRPr="005A5853">
        <w:rPr>
          <w:rFonts w:ascii="Book Antiqua" w:eastAsia="宋体" w:hAnsi="Book Antiqua" w:cs="宋体"/>
          <w:i/>
          <w:iCs/>
          <w:color w:val="000000"/>
          <w:sz w:val="24"/>
          <w:szCs w:val="24"/>
          <w:lang w:eastAsia="zh-CN"/>
        </w:rPr>
        <w:t xml:space="preserve"> J Med</w:t>
      </w:r>
      <w:r w:rsidRPr="005A5853">
        <w:rPr>
          <w:rFonts w:ascii="Book Antiqua" w:eastAsia="宋体" w:hAnsi="Book Antiqua" w:cs="宋体"/>
          <w:color w:val="000000"/>
          <w:sz w:val="24"/>
          <w:szCs w:val="24"/>
          <w:lang w:eastAsia="zh-CN"/>
        </w:rPr>
        <w:t> 2013; </w:t>
      </w:r>
      <w:r w:rsidRPr="005A5853">
        <w:rPr>
          <w:rFonts w:ascii="Book Antiqua" w:eastAsia="宋体" w:hAnsi="Book Antiqua" w:cs="宋体"/>
          <w:b/>
          <w:bCs/>
          <w:color w:val="000000"/>
          <w:sz w:val="24"/>
          <w:szCs w:val="24"/>
          <w:lang w:eastAsia="zh-CN"/>
        </w:rPr>
        <w:t>369</w:t>
      </w:r>
      <w:r w:rsidRPr="005A5853">
        <w:rPr>
          <w:rFonts w:ascii="Book Antiqua" w:eastAsia="宋体" w:hAnsi="Book Antiqua" w:cs="宋体"/>
          <w:color w:val="000000"/>
          <w:sz w:val="24"/>
          <w:szCs w:val="24"/>
          <w:lang w:eastAsia="zh-CN"/>
        </w:rPr>
        <w:t>: 699-710 [PMID: 23964932 DOI: 10.1056/NEJMoa1215734</w:t>
      </w:r>
      <w:r>
        <w:rPr>
          <w:rFonts w:ascii="Book Antiqua" w:eastAsia="宋体" w:hAnsi="Book Antiqua" w:cs="宋体"/>
          <w:color w:val="000000"/>
          <w:sz w:val="24"/>
          <w:szCs w:val="24"/>
          <w:lang w:eastAsia="zh-CN"/>
        </w:rPr>
        <w:t>]</w:t>
      </w:r>
    </w:p>
    <w:p w14:paraId="21AAB28E" w14:textId="5901B62A"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lastRenderedPageBreak/>
        <w:t>19 </w:t>
      </w:r>
      <w:proofErr w:type="spellStart"/>
      <w:r w:rsidRPr="005A5853">
        <w:rPr>
          <w:rFonts w:ascii="Book Antiqua" w:eastAsia="宋体" w:hAnsi="Book Antiqua" w:cs="宋体"/>
          <w:b/>
          <w:bCs/>
          <w:color w:val="000000"/>
          <w:sz w:val="24"/>
          <w:szCs w:val="24"/>
          <w:lang w:eastAsia="zh-CN"/>
        </w:rPr>
        <w:t>Sandborn</w:t>
      </w:r>
      <w:proofErr w:type="spellEnd"/>
      <w:r w:rsidRPr="005A5853">
        <w:rPr>
          <w:rFonts w:ascii="Book Antiqua" w:eastAsia="宋体" w:hAnsi="Book Antiqua" w:cs="宋体"/>
          <w:b/>
          <w:bCs/>
          <w:color w:val="000000"/>
          <w:sz w:val="24"/>
          <w:szCs w:val="24"/>
          <w:lang w:eastAsia="zh-CN"/>
        </w:rPr>
        <w:t xml:space="preserve"> WJ</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Feagan</w:t>
      </w:r>
      <w:proofErr w:type="spellEnd"/>
      <w:r w:rsidRPr="005A5853">
        <w:rPr>
          <w:rFonts w:ascii="Book Antiqua" w:eastAsia="宋体" w:hAnsi="Book Antiqua" w:cs="宋体"/>
          <w:color w:val="000000"/>
          <w:sz w:val="24"/>
          <w:szCs w:val="24"/>
          <w:lang w:eastAsia="zh-CN"/>
        </w:rPr>
        <w:t xml:space="preserve"> BG,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 </w:t>
      </w:r>
      <w:proofErr w:type="spellStart"/>
      <w:r w:rsidRPr="005A5853">
        <w:rPr>
          <w:rFonts w:ascii="Book Antiqua" w:eastAsia="宋体" w:hAnsi="Book Antiqua" w:cs="宋体"/>
          <w:color w:val="000000"/>
          <w:sz w:val="24"/>
          <w:szCs w:val="24"/>
          <w:lang w:eastAsia="zh-CN"/>
        </w:rPr>
        <w:t>Hanauer</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Sands BE, Lukas M, </w:t>
      </w:r>
      <w:proofErr w:type="spellStart"/>
      <w:r w:rsidRPr="005A5853">
        <w:rPr>
          <w:rFonts w:ascii="Book Antiqua" w:eastAsia="宋体" w:hAnsi="Book Antiqua" w:cs="宋体"/>
          <w:color w:val="000000"/>
          <w:sz w:val="24"/>
          <w:szCs w:val="24"/>
          <w:lang w:eastAsia="zh-CN"/>
        </w:rPr>
        <w:t>Fedorak</w:t>
      </w:r>
      <w:proofErr w:type="spellEnd"/>
      <w:r w:rsidRPr="005A5853">
        <w:rPr>
          <w:rFonts w:ascii="Book Antiqua" w:eastAsia="宋体" w:hAnsi="Book Antiqua" w:cs="宋体"/>
          <w:color w:val="000000"/>
          <w:sz w:val="24"/>
          <w:szCs w:val="24"/>
          <w:lang w:eastAsia="zh-CN"/>
        </w:rPr>
        <w:t xml:space="preserve"> RN, Lee S, </w:t>
      </w:r>
      <w:proofErr w:type="spellStart"/>
      <w:r w:rsidRPr="005A5853">
        <w:rPr>
          <w:rFonts w:ascii="Book Antiqua" w:eastAsia="宋体" w:hAnsi="Book Antiqua" w:cs="宋体"/>
          <w:color w:val="000000"/>
          <w:sz w:val="24"/>
          <w:szCs w:val="24"/>
          <w:lang w:eastAsia="zh-CN"/>
        </w:rPr>
        <w:t>Bressler</w:t>
      </w:r>
      <w:proofErr w:type="spellEnd"/>
      <w:r w:rsidRPr="005A5853">
        <w:rPr>
          <w:rFonts w:ascii="Book Antiqua" w:eastAsia="宋体" w:hAnsi="Book Antiqua" w:cs="宋体"/>
          <w:color w:val="000000"/>
          <w:sz w:val="24"/>
          <w:szCs w:val="24"/>
          <w:lang w:eastAsia="zh-CN"/>
        </w:rPr>
        <w:t xml:space="preserve"> B, Fox I, Rosario M, </w:t>
      </w:r>
      <w:proofErr w:type="spellStart"/>
      <w:r w:rsidRPr="005A5853">
        <w:rPr>
          <w:rFonts w:ascii="Book Antiqua" w:eastAsia="宋体" w:hAnsi="Book Antiqua" w:cs="宋体"/>
          <w:color w:val="000000"/>
          <w:sz w:val="24"/>
          <w:szCs w:val="24"/>
          <w:lang w:eastAsia="zh-CN"/>
        </w:rPr>
        <w:t>Sankoh</w:t>
      </w:r>
      <w:proofErr w:type="spellEnd"/>
      <w:r w:rsidRPr="005A5853">
        <w:rPr>
          <w:rFonts w:ascii="Book Antiqua" w:eastAsia="宋体" w:hAnsi="Book Antiqua" w:cs="宋体"/>
          <w:color w:val="000000"/>
          <w:sz w:val="24"/>
          <w:szCs w:val="24"/>
          <w:lang w:eastAsia="zh-CN"/>
        </w:rPr>
        <w:t xml:space="preserve"> S, Xu J, Stephens K, </w:t>
      </w:r>
      <w:proofErr w:type="spellStart"/>
      <w:r w:rsidRPr="005A5853">
        <w:rPr>
          <w:rFonts w:ascii="Book Antiqua" w:eastAsia="宋体" w:hAnsi="Book Antiqua" w:cs="宋体"/>
          <w:color w:val="000000"/>
          <w:sz w:val="24"/>
          <w:szCs w:val="24"/>
          <w:lang w:eastAsia="zh-CN"/>
        </w:rPr>
        <w:t>Milch</w:t>
      </w:r>
      <w:proofErr w:type="spellEnd"/>
      <w:r w:rsidRPr="005A5853">
        <w:rPr>
          <w:rFonts w:ascii="Book Antiqua" w:eastAsia="宋体" w:hAnsi="Book Antiqua" w:cs="宋体"/>
          <w:color w:val="000000"/>
          <w:sz w:val="24"/>
          <w:szCs w:val="24"/>
          <w:lang w:eastAsia="zh-CN"/>
        </w:rPr>
        <w:t xml:space="preserve"> C, Parikh A</w:t>
      </w:r>
      <w:r w:rsidR="0096280C" w:rsidRPr="000E643C">
        <w:rPr>
          <w:rFonts w:ascii="Book Antiqua" w:hAnsi="Book Antiqua" w:cstheme="minorHAnsi"/>
          <w:sz w:val="24"/>
          <w:szCs w:val="24"/>
        </w:rPr>
        <w:t>; GEMINI 2 Study Group</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Vedolizumab</w:t>
      </w:r>
      <w:proofErr w:type="spellEnd"/>
      <w:r w:rsidRPr="005A5853">
        <w:rPr>
          <w:rFonts w:ascii="Book Antiqua" w:eastAsia="宋体" w:hAnsi="Book Antiqua" w:cs="宋体"/>
          <w:color w:val="000000"/>
          <w:sz w:val="24"/>
          <w:szCs w:val="24"/>
          <w:lang w:eastAsia="zh-CN"/>
        </w:rPr>
        <w:t xml:space="preserve"> as induction and maintenance therapy for Crohn's disease. </w:t>
      </w:r>
      <w:r w:rsidRPr="005A5853">
        <w:rPr>
          <w:rFonts w:ascii="Book Antiqua" w:eastAsia="宋体" w:hAnsi="Book Antiqua" w:cs="宋体"/>
          <w:i/>
          <w:iCs/>
          <w:color w:val="000000"/>
          <w:sz w:val="24"/>
          <w:szCs w:val="24"/>
          <w:lang w:eastAsia="zh-CN"/>
        </w:rPr>
        <w:t xml:space="preserve">N </w:t>
      </w:r>
      <w:proofErr w:type="spellStart"/>
      <w:r w:rsidRPr="005A5853">
        <w:rPr>
          <w:rFonts w:ascii="Book Antiqua" w:eastAsia="宋体" w:hAnsi="Book Antiqua" w:cs="宋体"/>
          <w:i/>
          <w:iCs/>
          <w:color w:val="000000"/>
          <w:sz w:val="24"/>
          <w:szCs w:val="24"/>
          <w:lang w:eastAsia="zh-CN"/>
        </w:rPr>
        <w:t>Engl</w:t>
      </w:r>
      <w:proofErr w:type="spellEnd"/>
      <w:r w:rsidRPr="005A5853">
        <w:rPr>
          <w:rFonts w:ascii="Book Antiqua" w:eastAsia="宋体" w:hAnsi="Book Antiqua" w:cs="宋体"/>
          <w:i/>
          <w:iCs/>
          <w:color w:val="000000"/>
          <w:sz w:val="24"/>
          <w:szCs w:val="24"/>
          <w:lang w:eastAsia="zh-CN"/>
        </w:rPr>
        <w:t xml:space="preserve"> J Med</w:t>
      </w:r>
      <w:r w:rsidRPr="005A5853">
        <w:rPr>
          <w:rFonts w:ascii="Book Antiqua" w:eastAsia="宋体" w:hAnsi="Book Antiqua" w:cs="宋体"/>
          <w:color w:val="000000"/>
          <w:sz w:val="24"/>
          <w:szCs w:val="24"/>
          <w:lang w:eastAsia="zh-CN"/>
        </w:rPr>
        <w:t> 2013; </w:t>
      </w:r>
      <w:r w:rsidRPr="005A5853">
        <w:rPr>
          <w:rFonts w:ascii="Book Antiqua" w:eastAsia="宋体" w:hAnsi="Book Antiqua" w:cs="宋体"/>
          <w:b/>
          <w:bCs/>
          <w:color w:val="000000"/>
          <w:sz w:val="24"/>
          <w:szCs w:val="24"/>
          <w:lang w:eastAsia="zh-CN"/>
        </w:rPr>
        <w:t>369</w:t>
      </w:r>
      <w:r w:rsidRPr="005A5853">
        <w:rPr>
          <w:rFonts w:ascii="Book Antiqua" w:eastAsia="宋体" w:hAnsi="Book Antiqua" w:cs="宋体"/>
          <w:color w:val="000000"/>
          <w:sz w:val="24"/>
          <w:szCs w:val="24"/>
          <w:lang w:eastAsia="zh-CN"/>
        </w:rPr>
        <w:t>: 711-721 [PMID: 23964933 DOI: 10.1056/NEJMoa1215739</w:t>
      </w:r>
      <w:r>
        <w:rPr>
          <w:rFonts w:ascii="Book Antiqua" w:eastAsia="宋体" w:hAnsi="Book Antiqua" w:cs="宋体"/>
          <w:color w:val="000000"/>
          <w:sz w:val="24"/>
          <w:szCs w:val="24"/>
          <w:lang w:eastAsia="zh-CN"/>
        </w:rPr>
        <w:t>]</w:t>
      </w:r>
    </w:p>
    <w:p w14:paraId="2C90A5AA" w14:textId="5A7945D3"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20 </w:t>
      </w:r>
      <w:proofErr w:type="spellStart"/>
      <w:r w:rsidRPr="005A5853">
        <w:rPr>
          <w:rFonts w:ascii="Book Antiqua" w:eastAsia="宋体" w:hAnsi="Book Antiqua" w:cs="宋体"/>
          <w:b/>
          <w:bCs/>
          <w:color w:val="000000"/>
          <w:sz w:val="24"/>
          <w:szCs w:val="24"/>
          <w:lang w:eastAsia="zh-CN"/>
        </w:rPr>
        <w:t>Colombel</w:t>
      </w:r>
      <w:proofErr w:type="spellEnd"/>
      <w:r w:rsidRPr="005A5853">
        <w:rPr>
          <w:rFonts w:ascii="Book Antiqua" w:eastAsia="宋体" w:hAnsi="Book Antiqua" w:cs="宋体"/>
          <w:b/>
          <w:bCs/>
          <w:color w:val="000000"/>
          <w:sz w:val="24"/>
          <w:szCs w:val="24"/>
          <w:lang w:eastAsia="zh-CN"/>
        </w:rPr>
        <w:t xml:space="preserve"> JF</w:t>
      </w:r>
      <w:r w:rsidRPr="005A5853">
        <w:rPr>
          <w:rFonts w:ascii="Book Antiqua" w:eastAsia="宋体" w:hAnsi="Book Antiqua" w:cs="宋体"/>
          <w:color w:val="000000"/>
          <w:sz w:val="24"/>
          <w:szCs w:val="24"/>
          <w:lang w:eastAsia="zh-CN"/>
        </w:rPr>
        <w:t xml:space="preserve">, Sands BE,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 </w:t>
      </w:r>
      <w:proofErr w:type="spellStart"/>
      <w:r w:rsidRPr="005A5853">
        <w:rPr>
          <w:rFonts w:ascii="Book Antiqua" w:eastAsia="宋体" w:hAnsi="Book Antiqua" w:cs="宋体"/>
          <w:color w:val="000000"/>
          <w:sz w:val="24"/>
          <w:szCs w:val="24"/>
          <w:lang w:eastAsia="zh-CN"/>
        </w:rPr>
        <w:t>Sandborn</w:t>
      </w:r>
      <w:proofErr w:type="spellEnd"/>
      <w:r w:rsidRPr="005A5853">
        <w:rPr>
          <w:rFonts w:ascii="Book Antiqua" w:eastAsia="宋体" w:hAnsi="Book Antiqua" w:cs="宋体"/>
          <w:color w:val="000000"/>
          <w:sz w:val="24"/>
          <w:szCs w:val="24"/>
          <w:lang w:eastAsia="zh-CN"/>
        </w:rPr>
        <w:t xml:space="preserve"> W, </w:t>
      </w:r>
      <w:proofErr w:type="spellStart"/>
      <w:r w:rsidRPr="005A5853">
        <w:rPr>
          <w:rFonts w:ascii="Book Antiqua" w:eastAsia="宋体" w:hAnsi="Book Antiqua" w:cs="宋体"/>
          <w:color w:val="000000"/>
          <w:sz w:val="24"/>
          <w:szCs w:val="24"/>
          <w:lang w:eastAsia="zh-CN"/>
        </w:rPr>
        <w:t>Danese</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D'Haens</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Panaccione</w:t>
      </w:r>
      <w:proofErr w:type="spellEnd"/>
      <w:r w:rsidRPr="005A5853">
        <w:rPr>
          <w:rFonts w:ascii="Book Antiqua" w:eastAsia="宋体" w:hAnsi="Book Antiqua" w:cs="宋体"/>
          <w:color w:val="000000"/>
          <w:sz w:val="24"/>
          <w:szCs w:val="24"/>
          <w:lang w:eastAsia="zh-CN"/>
        </w:rPr>
        <w:t xml:space="preserve"> R, Loftus EV, </w:t>
      </w:r>
      <w:proofErr w:type="spellStart"/>
      <w:r w:rsidRPr="005A5853">
        <w:rPr>
          <w:rFonts w:ascii="Book Antiqua" w:eastAsia="宋体" w:hAnsi="Book Antiqua" w:cs="宋体"/>
          <w:color w:val="000000"/>
          <w:sz w:val="24"/>
          <w:szCs w:val="24"/>
          <w:lang w:eastAsia="zh-CN"/>
        </w:rPr>
        <w:t>Sankoh</w:t>
      </w:r>
      <w:proofErr w:type="spellEnd"/>
      <w:r w:rsidRPr="005A5853">
        <w:rPr>
          <w:rFonts w:ascii="Book Antiqua" w:eastAsia="宋体" w:hAnsi="Book Antiqua" w:cs="宋体"/>
          <w:color w:val="000000"/>
          <w:sz w:val="24"/>
          <w:szCs w:val="24"/>
          <w:lang w:eastAsia="zh-CN"/>
        </w:rPr>
        <w:t xml:space="preserve"> S, Fox I, Parikh A, </w:t>
      </w:r>
      <w:proofErr w:type="spellStart"/>
      <w:r w:rsidRPr="005A5853">
        <w:rPr>
          <w:rFonts w:ascii="Book Antiqua" w:eastAsia="宋体" w:hAnsi="Book Antiqua" w:cs="宋体"/>
          <w:color w:val="000000"/>
          <w:sz w:val="24"/>
          <w:szCs w:val="24"/>
          <w:lang w:eastAsia="zh-CN"/>
        </w:rPr>
        <w:t>Milch</w:t>
      </w:r>
      <w:proofErr w:type="spellEnd"/>
      <w:r w:rsidRPr="005A5853">
        <w:rPr>
          <w:rFonts w:ascii="Book Antiqua" w:eastAsia="宋体" w:hAnsi="Book Antiqua" w:cs="宋体"/>
          <w:color w:val="000000"/>
          <w:sz w:val="24"/>
          <w:szCs w:val="24"/>
          <w:lang w:eastAsia="zh-CN"/>
        </w:rPr>
        <w:t xml:space="preserve"> C, Abhyankar B, </w:t>
      </w:r>
      <w:proofErr w:type="spellStart"/>
      <w:r w:rsidRPr="005A5853">
        <w:rPr>
          <w:rFonts w:ascii="Book Antiqua" w:eastAsia="宋体" w:hAnsi="Book Antiqua" w:cs="宋体"/>
          <w:color w:val="000000"/>
          <w:sz w:val="24"/>
          <w:szCs w:val="24"/>
          <w:lang w:eastAsia="zh-CN"/>
        </w:rPr>
        <w:t>Feagan</w:t>
      </w:r>
      <w:proofErr w:type="spellEnd"/>
      <w:r w:rsidRPr="005A5853">
        <w:rPr>
          <w:rFonts w:ascii="Book Antiqua" w:eastAsia="宋体" w:hAnsi="Book Antiqua" w:cs="宋体"/>
          <w:color w:val="000000"/>
          <w:sz w:val="24"/>
          <w:szCs w:val="24"/>
          <w:lang w:eastAsia="zh-CN"/>
        </w:rPr>
        <w:t xml:space="preserve"> BG. </w:t>
      </w:r>
      <w:proofErr w:type="gramStart"/>
      <w:r w:rsidRPr="005A5853">
        <w:rPr>
          <w:rFonts w:ascii="Book Antiqua" w:eastAsia="宋体" w:hAnsi="Book Antiqua" w:cs="宋体"/>
          <w:color w:val="000000"/>
          <w:sz w:val="24"/>
          <w:szCs w:val="24"/>
          <w:lang w:eastAsia="zh-CN"/>
        </w:rPr>
        <w:t xml:space="preserve">The safety of </w:t>
      </w:r>
      <w:proofErr w:type="spellStart"/>
      <w:r w:rsidRPr="005A5853">
        <w:rPr>
          <w:rFonts w:ascii="Book Antiqua" w:eastAsia="宋体" w:hAnsi="Book Antiqua" w:cs="宋体"/>
          <w:color w:val="000000"/>
          <w:sz w:val="24"/>
          <w:szCs w:val="24"/>
          <w:lang w:eastAsia="zh-CN"/>
        </w:rPr>
        <w:t>vedolizumab</w:t>
      </w:r>
      <w:proofErr w:type="spellEnd"/>
      <w:r w:rsidRPr="005A5853">
        <w:rPr>
          <w:rFonts w:ascii="Book Antiqua" w:eastAsia="宋体" w:hAnsi="Book Antiqua" w:cs="宋体"/>
          <w:color w:val="000000"/>
          <w:sz w:val="24"/>
          <w:szCs w:val="24"/>
          <w:lang w:eastAsia="zh-CN"/>
        </w:rPr>
        <w:t xml:space="preserve"> for ulcerative colitis and Crohn's disease.</w:t>
      </w:r>
      <w:proofErr w:type="gramEnd"/>
      <w:r w:rsidRPr="005A5853">
        <w:rPr>
          <w:rFonts w:ascii="Book Antiqua" w:eastAsia="宋体" w:hAnsi="Book Antiqua" w:cs="宋体"/>
          <w:color w:val="000000"/>
          <w:sz w:val="24"/>
          <w:szCs w:val="24"/>
          <w:lang w:eastAsia="zh-CN"/>
        </w:rPr>
        <w:t> </w:t>
      </w:r>
      <w:r w:rsidRPr="005A5853">
        <w:rPr>
          <w:rFonts w:ascii="Book Antiqua" w:eastAsia="宋体" w:hAnsi="Book Antiqua" w:cs="宋体"/>
          <w:i/>
          <w:iCs/>
          <w:color w:val="000000"/>
          <w:sz w:val="24"/>
          <w:szCs w:val="24"/>
          <w:lang w:eastAsia="zh-CN"/>
        </w:rPr>
        <w:t>Gut</w:t>
      </w:r>
      <w:r w:rsidRPr="005A5853">
        <w:rPr>
          <w:rFonts w:ascii="Book Antiqua" w:eastAsia="宋体" w:hAnsi="Book Antiqua" w:cs="宋体"/>
          <w:color w:val="000000"/>
          <w:sz w:val="24"/>
          <w:szCs w:val="24"/>
          <w:lang w:eastAsia="zh-CN"/>
        </w:rPr>
        <w:t> 2017; </w:t>
      </w:r>
      <w:r w:rsidRPr="005A5853">
        <w:rPr>
          <w:rFonts w:ascii="Book Antiqua" w:eastAsia="宋体" w:hAnsi="Book Antiqua" w:cs="宋体"/>
          <w:b/>
          <w:bCs/>
          <w:color w:val="000000"/>
          <w:sz w:val="24"/>
          <w:szCs w:val="24"/>
          <w:lang w:eastAsia="zh-CN"/>
        </w:rPr>
        <w:t>66</w:t>
      </w:r>
      <w:r w:rsidRPr="005A5853">
        <w:rPr>
          <w:rFonts w:ascii="Book Antiqua" w:eastAsia="宋体" w:hAnsi="Book Antiqua" w:cs="宋体"/>
          <w:color w:val="000000"/>
          <w:sz w:val="24"/>
          <w:szCs w:val="24"/>
          <w:lang w:eastAsia="zh-CN"/>
        </w:rPr>
        <w:t>: 839-851 [PMID: 26893500 DOI: 10.1136/gutjnl-2015-311079</w:t>
      </w:r>
      <w:r>
        <w:rPr>
          <w:rFonts w:ascii="Book Antiqua" w:eastAsia="宋体" w:hAnsi="Book Antiqua" w:cs="宋体"/>
          <w:color w:val="000000"/>
          <w:sz w:val="24"/>
          <w:szCs w:val="24"/>
          <w:lang w:eastAsia="zh-CN"/>
        </w:rPr>
        <w:t>]</w:t>
      </w:r>
    </w:p>
    <w:p w14:paraId="44302773" w14:textId="3AD4E852"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21 </w:t>
      </w:r>
      <w:proofErr w:type="spellStart"/>
      <w:r w:rsidRPr="005A5853">
        <w:rPr>
          <w:rFonts w:ascii="Book Antiqua" w:eastAsia="宋体" w:hAnsi="Book Antiqua" w:cs="宋体"/>
          <w:b/>
          <w:bCs/>
          <w:color w:val="000000"/>
          <w:sz w:val="24"/>
          <w:szCs w:val="24"/>
          <w:lang w:eastAsia="zh-CN"/>
        </w:rPr>
        <w:t>Feagan</w:t>
      </w:r>
      <w:proofErr w:type="spellEnd"/>
      <w:r w:rsidRPr="005A5853">
        <w:rPr>
          <w:rFonts w:ascii="Book Antiqua" w:eastAsia="宋体" w:hAnsi="Book Antiqua" w:cs="宋体"/>
          <w:b/>
          <w:bCs/>
          <w:color w:val="000000"/>
          <w:sz w:val="24"/>
          <w:szCs w:val="24"/>
          <w:lang w:eastAsia="zh-CN"/>
        </w:rPr>
        <w:t xml:space="preserve"> BG</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Sandborn</w:t>
      </w:r>
      <w:proofErr w:type="spellEnd"/>
      <w:r w:rsidRPr="005A5853">
        <w:rPr>
          <w:rFonts w:ascii="Book Antiqua" w:eastAsia="宋体" w:hAnsi="Book Antiqua" w:cs="宋体"/>
          <w:color w:val="000000"/>
          <w:sz w:val="24"/>
          <w:szCs w:val="24"/>
          <w:lang w:eastAsia="zh-CN"/>
        </w:rPr>
        <w:t xml:space="preserve"> WJ, </w:t>
      </w:r>
      <w:proofErr w:type="spellStart"/>
      <w:r w:rsidRPr="005A5853">
        <w:rPr>
          <w:rFonts w:ascii="Book Antiqua" w:eastAsia="宋体" w:hAnsi="Book Antiqua" w:cs="宋体"/>
          <w:color w:val="000000"/>
          <w:sz w:val="24"/>
          <w:szCs w:val="24"/>
          <w:lang w:eastAsia="zh-CN"/>
        </w:rPr>
        <w:t>Gasink</w:t>
      </w:r>
      <w:proofErr w:type="spellEnd"/>
      <w:r w:rsidRPr="005A5853">
        <w:rPr>
          <w:rFonts w:ascii="Book Antiqua" w:eastAsia="宋体" w:hAnsi="Book Antiqua" w:cs="宋体"/>
          <w:color w:val="000000"/>
          <w:sz w:val="24"/>
          <w:szCs w:val="24"/>
          <w:lang w:eastAsia="zh-CN"/>
        </w:rPr>
        <w:t xml:space="preserve"> C, </w:t>
      </w:r>
      <w:proofErr w:type="spellStart"/>
      <w:r w:rsidRPr="005A5853">
        <w:rPr>
          <w:rFonts w:ascii="Book Antiqua" w:eastAsia="宋体" w:hAnsi="Book Antiqua" w:cs="宋体"/>
          <w:color w:val="000000"/>
          <w:sz w:val="24"/>
          <w:szCs w:val="24"/>
          <w:lang w:eastAsia="zh-CN"/>
        </w:rPr>
        <w:t>Jacobstein</w:t>
      </w:r>
      <w:proofErr w:type="spellEnd"/>
      <w:r w:rsidRPr="005A5853">
        <w:rPr>
          <w:rFonts w:ascii="Book Antiqua" w:eastAsia="宋体" w:hAnsi="Book Antiqua" w:cs="宋体"/>
          <w:color w:val="000000"/>
          <w:sz w:val="24"/>
          <w:szCs w:val="24"/>
          <w:lang w:eastAsia="zh-CN"/>
        </w:rPr>
        <w:t xml:space="preserve"> D, Lang Y, Friedman JR, Blank MA, </w:t>
      </w:r>
      <w:proofErr w:type="spellStart"/>
      <w:r w:rsidRPr="005A5853">
        <w:rPr>
          <w:rFonts w:ascii="Book Antiqua" w:eastAsia="宋体" w:hAnsi="Book Antiqua" w:cs="宋体"/>
          <w:color w:val="000000"/>
          <w:sz w:val="24"/>
          <w:szCs w:val="24"/>
          <w:lang w:eastAsia="zh-CN"/>
        </w:rPr>
        <w:t>Johanns</w:t>
      </w:r>
      <w:proofErr w:type="spellEnd"/>
      <w:r w:rsidRPr="005A5853">
        <w:rPr>
          <w:rFonts w:ascii="Book Antiqua" w:eastAsia="宋体" w:hAnsi="Book Antiqua" w:cs="宋体"/>
          <w:color w:val="000000"/>
          <w:sz w:val="24"/>
          <w:szCs w:val="24"/>
          <w:lang w:eastAsia="zh-CN"/>
        </w:rPr>
        <w:t xml:space="preserve"> J, Gao LL, Miao Y, </w:t>
      </w:r>
      <w:proofErr w:type="spellStart"/>
      <w:r w:rsidRPr="005A5853">
        <w:rPr>
          <w:rFonts w:ascii="Book Antiqua" w:eastAsia="宋体" w:hAnsi="Book Antiqua" w:cs="宋体"/>
          <w:color w:val="000000"/>
          <w:sz w:val="24"/>
          <w:szCs w:val="24"/>
          <w:lang w:eastAsia="zh-CN"/>
        </w:rPr>
        <w:t>Adedokun</w:t>
      </w:r>
      <w:proofErr w:type="spellEnd"/>
      <w:r w:rsidRPr="005A5853">
        <w:rPr>
          <w:rFonts w:ascii="Book Antiqua" w:eastAsia="宋体" w:hAnsi="Book Antiqua" w:cs="宋体"/>
          <w:color w:val="000000"/>
          <w:sz w:val="24"/>
          <w:szCs w:val="24"/>
          <w:lang w:eastAsia="zh-CN"/>
        </w:rPr>
        <w:t xml:space="preserve"> OJ, Sands BE, </w:t>
      </w:r>
      <w:proofErr w:type="spellStart"/>
      <w:r w:rsidRPr="005A5853">
        <w:rPr>
          <w:rFonts w:ascii="Book Antiqua" w:eastAsia="宋体" w:hAnsi="Book Antiqua" w:cs="宋体"/>
          <w:color w:val="000000"/>
          <w:sz w:val="24"/>
          <w:szCs w:val="24"/>
          <w:lang w:eastAsia="zh-CN"/>
        </w:rPr>
        <w:t>Hanauer</w:t>
      </w:r>
      <w:proofErr w:type="spellEnd"/>
      <w:r w:rsidRPr="005A5853">
        <w:rPr>
          <w:rFonts w:ascii="Book Antiqua" w:eastAsia="宋体" w:hAnsi="Book Antiqua" w:cs="宋体"/>
          <w:color w:val="000000"/>
          <w:sz w:val="24"/>
          <w:szCs w:val="24"/>
          <w:lang w:eastAsia="zh-CN"/>
        </w:rPr>
        <w:t xml:space="preserve"> SB, </w:t>
      </w:r>
      <w:proofErr w:type="spellStart"/>
      <w:r w:rsidRPr="005A5853">
        <w:rPr>
          <w:rFonts w:ascii="Book Antiqua" w:eastAsia="宋体" w:hAnsi="Book Antiqua" w:cs="宋体"/>
          <w:color w:val="000000"/>
          <w:sz w:val="24"/>
          <w:szCs w:val="24"/>
          <w:lang w:eastAsia="zh-CN"/>
        </w:rPr>
        <w:t>Vermeire</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Targan</w:t>
      </w:r>
      <w:proofErr w:type="spellEnd"/>
      <w:r w:rsidRPr="005A5853">
        <w:rPr>
          <w:rFonts w:ascii="Book Antiqua" w:eastAsia="宋体" w:hAnsi="Book Antiqua" w:cs="宋体"/>
          <w:color w:val="000000"/>
          <w:sz w:val="24"/>
          <w:szCs w:val="24"/>
          <w:lang w:eastAsia="zh-CN"/>
        </w:rPr>
        <w:t xml:space="preserve"> S, Ghosh S, de Villiers WJ,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w:t>
      </w:r>
      <w:proofErr w:type="spellStart"/>
      <w:r w:rsidRPr="005A5853">
        <w:rPr>
          <w:rFonts w:ascii="Book Antiqua" w:eastAsia="宋体" w:hAnsi="Book Antiqua" w:cs="宋体"/>
          <w:color w:val="000000"/>
          <w:sz w:val="24"/>
          <w:szCs w:val="24"/>
          <w:lang w:eastAsia="zh-CN"/>
        </w:rPr>
        <w:t>Tulassay</w:t>
      </w:r>
      <w:proofErr w:type="spellEnd"/>
      <w:r w:rsidRPr="005A5853">
        <w:rPr>
          <w:rFonts w:ascii="Book Antiqua" w:eastAsia="宋体" w:hAnsi="Book Antiqua" w:cs="宋体"/>
          <w:color w:val="000000"/>
          <w:sz w:val="24"/>
          <w:szCs w:val="24"/>
          <w:lang w:eastAsia="zh-CN"/>
        </w:rPr>
        <w:t xml:space="preserve"> Z, </w:t>
      </w:r>
      <w:proofErr w:type="spellStart"/>
      <w:r w:rsidRPr="005A5853">
        <w:rPr>
          <w:rFonts w:ascii="Book Antiqua" w:eastAsia="宋体" w:hAnsi="Book Antiqua" w:cs="宋体"/>
          <w:color w:val="000000"/>
          <w:sz w:val="24"/>
          <w:szCs w:val="24"/>
          <w:lang w:eastAsia="zh-CN"/>
        </w:rPr>
        <w:t>Seidler</w:t>
      </w:r>
      <w:proofErr w:type="spellEnd"/>
      <w:r w:rsidRPr="005A5853">
        <w:rPr>
          <w:rFonts w:ascii="Book Antiqua" w:eastAsia="宋体" w:hAnsi="Book Antiqua" w:cs="宋体"/>
          <w:color w:val="000000"/>
          <w:sz w:val="24"/>
          <w:szCs w:val="24"/>
          <w:lang w:eastAsia="zh-CN"/>
        </w:rPr>
        <w:t xml:space="preserve"> U, </w:t>
      </w:r>
      <w:proofErr w:type="spellStart"/>
      <w:r w:rsidRPr="005A5853">
        <w:rPr>
          <w:rFonts w:ascii="Book Antiqua" w:eastAsia="宋体" w:hAnsi="Book Antiqua" w:cs="宋体"/>
          <w:color w:val="000000"/>
          <w:sz w:val="24"/>
          <w:szCs w:val="24"/>
          <w:lang w:eastAsia="zh-CN"/>
        </w:rPr>
        <w:t>Salzberg</w:t>
      </w:r>
      <w:proofErr w:type="spellEnd"/>
      <w:r w:rsidRPr="005A5853">
        <w:rPr>
          <w:rFonts w:ascii="Book Antiqua" w:eastAsia="宋体" w:hAnsi="Book Antiqua" w:cs="宋体"/>
          <w:color w:val="000000"/>
          <w:sz w:val="24"/>
          <w:szCs w:val="24"/>
          <w:lang w:eastAsia="zh-CN"/>
        </w:rPr>
        <w:t xml:space="preserve"> BA, </w:t>
      </w:r>
      <w:proofErr w:type="spellStart"/>
      <w:r w:rsidRPr="005A5853">
        <w:rPr>
          <w:rFonts w:ascii="Book Antiqua" w:eastAsia="宋体" w:hAnsi="Book Antiqua" w:cs="宋体"/>
          <w:color w:val="000000"/>
          <w:sz w:val="24"/>
          <w:szCs w:val="24"/>
          <w:lang w:eastAsia="zh-CN"/>
        </w:rPr>
        <w:t>Desreumaux</w:t>
      </w:r>
      <w:proofErr w:type="spellEnd"/>
      <w:r w:rsidRPr="005A5853">
        <w:rPr>
          <w:rFonts w:ascii="Book Antiqua" w:eastAsia="宋体" w:hAnsi="Book Antiqua" w:cs="宋体"/>
          <w:color w:val="000000"/>
          <w:sz w:val="24"/>
          <w:szCs w:val="24"/>
          <w:lang w:eastAsia="zh-CN"/>
        </w:rPr>
        <w:t xml:space="preserve"> P, Lee SD, Loftus EV, </w:t>
      </w:r>
      <w:proofErr w:type="spellStart"/>
      <w:r w:rsidRPr="005A5853">
        <w:rPr>
          <w:rFonts w:ascii="Book Antiqua" w:eastAsia="宋体" w:hAnsi="Book Antiqua" w:cs="宋体"/>
          <w:color w:val="000000"/>
          <w:sz w:val="24"/>
          <w:szCs w:val="24"/>
          <w:lang w:eastAsia="zh-CN"/>
        </w:rPr>
        <w:t>Dieleman</w:t>
      </w:r>
      <w:proofErr w:type="spellEnd"/>
      <w:r w:rsidRPr="005A5853">
        <w:rPr>
          <w:rFonts w:ascii="Book Antiqua" w:eastAsia="宋体" w:hAnsi="Book Antiqua" w:cs="宋体"/>
          <w:color w:val="000000"/>
          <w:sz w:val="24"/>
          <w:szCs w:val="24"/>
          <w:lang w:eastAsia="zh-CN"/>
        </w:rPr>
        <w:t xml:space="preserve"> LA, Katz S,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w:t>
      </w:r>
      <w:r w:rsidR="0096280C" w:rsidRPr="000E643C">
        <w:rPr>
          <w:rFonts w:ascii="Book Antiqua" w:hAnsi="Book Antiqua" w:cstheme="minorHAnsi"/>
          <w:sz w:val="24"/>
          <w:szCs w:val="24"/>
        </w:rPr>
        <w:t>; UNITI–IM-UNITI Study Group</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Ustekinumab</w:t>
      </w:r>
      <w:proofErr w:type="spellEnd"/>
      <w:r w:rsidRPr="005A5853">
        <w:rPr>
          <w:rFonts w:ascii="Book Antiqua" w:eastAsia="宋体" w:hAnsi="Book Antiqua" w:cs="宋体"/>
          <w:color w:val="000000"/>
          <w:sz w:val="24"/>
          <w:szCs w:val="24"/>
          <w:lang w:eastAsia="zh-CN"/>
        </w:rPr>
        <w:t xml:space="preserve"> as Induction and Maintenance Therapy for Crohn's Disease. </w:t>
      </w:r>
      <w:r w:rsidRPr="005A5853">
        <w:rPr>
          <w:rFonts w:ascii="Book Antiqua" w:eastAsia="宋体" w:hAnsi="Book Antiqua" w:cs="宋体"/>
          <w:i/>
          <w:iCs/>
          <w:color w:val="000000"/>
          <w:sz w:val="24"/>
          <w:szCs w:val="24"/>
          <w:lang w:eastAsia="zh-CN"/>
        </w:rPr>
        <w:t xml:space="preserve">N </w:t>
      </w:r>
      <w:proofErr w:type="spellStart"/>
      <w:r w:rsidRPr="005A5853">
        <w:rPr>
          <w:rFonts w:ascii="Book Antiqua" w:eastAsia="宋体" w:hAnsi="Book Antiqua" w:cs="宋体"/>
          <w:i/>
          <w:iCs/>
          <w:color w:val="000000"/>
          <w:sz w:val="24"/>
          <w:szCs w:val="24"/>
          <w:lang w:eastAsia="zh-CN"/>
        </w:rPr>
        <w:t>Engl</w:t>
      </w:r>
      <w:proofErr w:type="spellEnd"/>
      <w:r w:rsidRPr="005A5853">
        <w:rPr>
          <w:rFonts w:ascii="Book Antiqua" w:eastAsia="宋体" w:hAnsi="Book Antiqua" w:cs="宋体"/>
          <w:i/>
          <w:iCs/>
          <w:color w:val="000000"/>
          <w:sz w:val="24"/>
          <w:szCs w:val="24"/>
          <w:lang w:eastAsia="zh-CN"/>
        </w:rPr>
        <w:t xml:space="preserve"> J Med</w:t>
      </w:r>
      <w:r w:rsidRPr="005A5853">
        <w:rPr>
          <w:rFonts w:ascii="Book Antiqua" w:eastAsia="宋体" w:hAnsi="Book Antiqua" w:cs="宋体"/>
          <w:color w:val="000000"/>
          <w:sz w:val="24"/>
          <w:szCs w:val="24"/>
          <w:lang w:eastAsia="zh-CN"/>
        </w:rPr>
        <w:t> 2016; </w:t>
      </w:r>
      <w:r w:rsidRPr="005A5853">
        <w:rPr>
          <w:rFonts w:ascii="Book Antiqua" w:eastAsia="宋体" w:hAnsi="Book Antiqua" w:cs="宋体"/>
          <w:b/>
          <w:bCs/>
          <w:color w:val="000000"/>
          <w:sz w:val="24"/>
          <w:szCs w:val="24"/>
          <w:lang w:eastAsia="zh-CN"/>
        </w:rPr>
        <w:t>375</w:t>
      </w:r>
      <w:r w:rsidRPr="005A5853">
        <w:rPr>
          <w:rFonts w:ascii="Book Antiqua" w:eastAsia="宋体" w:hAnsi="Book Antiqua" w:cs="宋体"/>
          <w:color w:val="000000"/>
          <w:sz w:val="24"/>
          <w:szCs w:val="24"/>
          <w:lang w:eastAsia="zh-CN"/>
        </w:rPr>
        <w:t>: 1946-1960 [PMID: 27959607 DOI: 10.1056/NEJMoa1602773</w:t>
      </w:r>
      <w:r>
        <w:rPr>
          <w:rFonts w:ascii="Book Antiqua" w:eastAsia="宋体" w:hAnsi="Book Antiqua" w:cs="宋体"/>
          <w:color w:val="000000"/>
          <w:sz w:val="24"/>
          <w:szCs w:val="24"/>
          <w:lang w:eastAsia="zh-CN"/>
        </w:rPr>
        <w:t>]</w:t>
      </w:r>
    </w:p>
    <w:p w14:paraId="06664591" w14:textId="6E431000"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22 </w:t>
      </w:r>
      <w:proofErr w:type="spellStart"/>
      <w:r w:rsidRPr="005A5853">
        <w:rPr>
          <w:rFonts w:ascii="Book Antiqua" w:eastAsia="宋体" w:hAnsi="Book Antiqua" w:cs="宋体"/>
          <w:b/>
          <w:bCs/>
          <w:color w:val="000000"/>
          <w:sz w:val="24"/>
          <w:szCs w:val="24"/>
          <w:lang w:eastAsia="zh-CN"/>
        </w:rPr>
        <w:t>Wils</w:t>
      </w:r>
      <w:proofErr w:type="spellEnd"/>
      <w:r w:rsidRPr="005A5853">
        <w:rPr>
          <w:rFonts w:ascii="Book Antiqua" w:eastAsia="宋体" w:hAnsi="Book Antiqua" w:cs="宋体"/>
          <w:b/>
          <w:bCs/>
          <w:color w:val="000000"/>
          <w:sz w:val="24"/>
          <w:szCs w:val="24"/>
          <w:lang w:eastAsia="zh-CN"/>
        </w:rPr>
        <w:t xml:space="preserve"> P</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Bouhnik</w:t>
      </w:r>
      <w:proofErr w:type="spellEnd"/>
      <w:r w:rsidRPr="005A5853">
        <w:rPr>
          <w:rFonts w:ascii="Book Antiqua" w:eastAsia="宋体" w:hAnsi="Book Antiqua" w:cs="宋体"/>
          <w:color w:val="000000"/>
          <w:sz w:val="24"/>
          <w:szCs w:val="24"/>
          <w:lang w:eastAsia="zh-CN"/>
        </w:rPr>
        <w:t xml:space="preserve"> Y, </w:t>
      </w:r>
      <w:proofErr w:type="spellStart"/>
      <w:r w:rsidRPr="005A5853">
        <w:rPr>
          <w:rFonts w:ascii="Book Antiqua" w:eastAsia="宋体" w:hAnsi="Book Antiqua" w:cs="宋体"/>
          <w:color w:val="000000"/>
          <w:sz w:val="24"/>
          <w:szCs w:val="24"/>
          <w:lang w:eastAsia="zh-CN"/>
        </w:rPr>
        <w:t>Michetti</w:t>
      </w:r>
      <w:proofErr w:type="spellEnd"/>
      <w:r w:rsidRPr="005A5853">
        <w:rPr>
          <w:rFonts w:ascii="Book Antiqua" w:eastAsia="宋体" w:hAnsi="Book Antiqua" w:cs="宋体"/>
          <w:color w:val="000000"/>
          <w:sz w:val="24"/>
          <w:szCs w:val="24"/>
          <w:lang w:eastAsia="zh-CN"/>
        </w:rPr>
        <w:t xml:space="preserve"> P, </w:t>
      </w:r>
      <w:proofErr w:type="spellStart"/>
      <w:r w:rsidRPr="005A5853">
        <w:rPr>
          <w:rFonts w:ascii="Book Antiqua" w:eastAsia="宋体" w:hAnsi="Book Antiqua" w:cs="宋体"/>
          <w:color w:val="000000"/>
          <w:sz w:val="24"/>
          <w:szCs w:val="24"/>
          <w:lang w:eastAsia="zh-CN"/>
        </w:rPr>
        <w:t>Flourie</w:t>
      </w:r>
      <w:proofErr w:type="spellEnd"/>
      <w:r w:rsidRPr="005A5853">
        <w:rPr>
          <w:rFonts w:ascii="Book Antiqua" w:eastAsia="宋体" w:hAnsi="Book Antiqua" w:cs="宋体"/>
          <w:color w:val="000000"/>
          <w:sz w:val="24"/>
          <w:szCs w:val="24"/>
          <w:lang w:eastAsia="zh-CN"/>
        </w:rPr>
        <w:t xml:space="preserve"> B, </w:t>
      </w:r>
      <w:proofErr w:type="spellStart"/>
      <w:r w:rsidRPr="005A5853">
        <w:rPr>
          <w:rFonts w:ascii="Book Antiqua" w:eastAsia="宋体" w:hAnsi="Book Antiqua" w:cs="宋体"/>
          <w:color w:val="000000"/>
          <w:sz w:val="24"/>
          <w:szCs w:val="24"/>
          <w:lang w:eastAsia="zh-CN"/>
        </w:rPr>
        <w:t>Brixi</w:t>
      </w:r>
      <w:proofErr w:type="spellEnd"/>
      <w:r w:rsidRPr="005A5853">
        <w:rPr>
          <w:rFonts w:ascii="Book Antiqua" w:eastAsia="宋体" w:hAnsi="Book Antiqua" w:cs="宋体"/>
          <w:color w:val="000000"/>
          <w:sz w:val="24"/>
          <w:szCs w:val="24"/>
          <w:lang w:eastAsia="zh-CN"/>
        </w:rPr>
        <w:t xml:space="preserve"> H, </w:t>
      </w:r>
      <w:proofErr w:type="spellStart"/>
      <w:r w:rsidRPr="005A5853">
        <w:rPr>
          <w:rFonts w:ascii="Book Antiqua" w:eastAsia="宋体" w:hAnsi="Book Antiqua" w:cs="宋体"/>
          <w:color w:val="000000"/>
          <w:sz w:val="24"/>
          <w:szCs w:val="24"/>
          <w:lang w:eastAsia="zh-CN"/>
        </w:rPr>
        <w:t>Bourrier</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Allez</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Duclos</w:t>
      </w:r>
      <w:proofErr w:type="spellEnd"/>
      <w:r w:rsidRPr="005A5853">
        <w:rPr>
          <w:rFonts w:ascii="Book Antiqua" w:eastAsia="宋体" w:hAnsi="Book Antiqua" w:cs="宋体"/>
          <w:color w:val="000000"/>
          <w:sz w:val="24"/>
          <w:szCs w:val="24"/>
          <w:lang w:eastAsia="zh-CN"/>
        </w:rPr>
        <w:t xml:space="preserve"> B, </w:t>
      </w:r>
      <w:proofErr w:type="spellStart"/>
      <w:r w:rsidRPr="005A5853">
        <w:rPr>
          <w:rFonts w:ascii="Book Antiqua" w:eastAsia="宋体" w:hAnsi="Book Antiqua" w:cs="宋体"/>
          <w:color w:val="000000"/>
          <w:sz w:val="24"/>
          <w:szCs w:val="24"/>
          <w:lang w:eastAsia="zh-CN"/>
        </w:rPr>
        <w:t>Grimaud</w:t>
      </w:r>
      <w:proofErr w:type="spellEnd"/>
      <w:r w:rsidRPr="005A5853">
        <w:rPr>
          <w:rFonts w:ascii="Book Antiqua" w:eastAsia="宋体" w:hAnsi="Book Antiqua" w:cs="宋体"/>
          <w:color w:val="000000"/>
          <w:sz w:val="24"/>
          <w:szCs w:val="24"/>
          <w:lang w:eastAsia="zh-CN"/>
        </w:rPr>
        <w:t xml:space="preserve"> JC, Buisson A, </w:t>
      </w:r>
      <w:proofErr w:type="spellStart"/>
      <w:r w:rsidRPr="005A5853">
        <w:rPr>
          <w:rFonts w:ascii="Book Antiqua" w:eastAsia="宋体" w:hAnsi="Book Antiqua" w:cs="宋体"/>
          <w:color w:val="000000"/>
          <w:sz w:val="24"/>
          <w:szCs w:val="24"/>
          <w:lang w:eastAsia="zh-CN"/>
        </w:rPr>
        <w:t>Amiot</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Fumery</w:t>
      </w:r>
      <w:proofErr w:type="spellEnd"/>
      <w:r w:rsidRPr="005A5853">
        <w:rPr>
          <w:rFonts w:ascii="Book Antiqua" w:eastAsia="宋体" w:hAnsi="Book Antiqua" w:cs="宋体"/>
          <w:color w:val="000000"/>
          <w:sz w:val="24"/>
          <w:szCs w:val="24"/>
          <w:lang w:eastAsia="zh-CN"/>
        </w:rPr>
        <w:t xml:space="preserve"> M, Roblin X, </w:t>
      </w:r>
      <w:proofErr w:type="spellStart"/>
      <w:r w:rsidRPr="005A5853">
        <w:rPr>
          <w:rFonts w:ascii="Book Antiqua" w:eastAsia="宋体" w:hAnsi="Book Antiqua" w:cs="宋体"/>
          <w:color w:val="000000"/>
          <w:sz w:val="24"/>
          <w:szCs w:val="24"/>
          <w:lang w:eastAsia="zh-CN"/>
        </w:rPr>
        <w:t>Peyrin-Biroulet</w:t>
      </w:r>
      <w:proofErr w:type="spellEnd"/>
      <w:r w:rsidRPr="005A5853">
        <w:rPr>
          <w:rFonts w:ascii="Book Antiqua" w:eastAsia="宋体" w:hAnsi="Book Antiqua" w:cs="宋体"/>
          <w:color w:val="000000"/>
          <w:sz w:val="24"/>
          <w:szCs w:val="24"/>
          <w:lang w:eastAsia="zh-CN"/>
        </w:rPr>
        <w:t xml:space="preserve"> L, </w:t>
      </w:r>
      <w:proofErr w:type="spellStart"/>
      <w:r w:rsidRPr="005A5853">
        <w:rPr>
          <w:rFonts w:ascii="Book Antiqua" w:eastAsia="宋体" w:hAnsi="Book Antiqua" w:cs="宋体"/>
          <w:color w:val="000000"/>
          <w:sz w:val="24"/>
          <w:szCs w:val="24"/>
          <w:lang w:eastAsia="zh-CN"/>
        </w:rPr>
        <w:t>Filippi</w:t>
      </w:r>
      <w:proofErr w:type="spellEnd"/>
      <w:r w:rsidRPr="005A5853">
        <w:rPr>
          <w:rFonts w:ascii="Book Antiqua" w:eastAsia="宋体" w:hAnsi="Book Antiqua" w:cs="宋体"/>
          <w:color w:val="000000"/>
          <w:sz w:val="24"/>
          <w:szCs w:val="24"/>
          <w:lang w:eastAsia="zh-CN"/>
        </w:rPr>
        <w:t xml:space="preserve"> J, </w:t>
      </w:r>
      <w:proofErr w:type="spellStart"/>
      <w:r w:rsidRPr="005A5853">
        <w:rPr>
          <w:rFonts w:ascii="Book Antiqua" w:eastAsia="宋体" w:hAnsi="Book Antiqua" w:cs="宋体"/>
          <w:color w:val="000000"/>
          <w:sz w:val="24"/>
          <w:szCs w:val="24"/>
          <w:lang w:eastAsia="zh-CN"/>
        </w:rPr>
        <w:t>Bouguen</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Abitbol</w:t>
      </w:r>
      <w:proofErr w:type="spellEnd"/>
      <w:r w:rsidRPr="005A5853">
        <w:rPr>
          <w:rFonts w:ascii="Book Antiqua" w:eastAsia="宋体" w:hAnsi="Book Antiqua" w:cs="宋体"/>
          <w:color w:val="000000"/>
          <w:sz w:val="24"/>
          <w:szCs w:val="24"/>
          <w:lang w:eastAsia="zh-CN"/>
        </w:rPr>
        <w:t xml:space="preserve"> V, Coffin B, Simon M, </w:t>
      </w:r>
      <w:proofErr w:type="spellStart"/>
      <w:r w:rsidRPr="005A5853">
        <w:rPr>
          <w:rFonts w:ascii="Book Antiqua" w:eastAsia="宋体" w:hAnsi="Book Antiqua" w:cs="宋体"/>
          <w:color w:val="000000"/>
          <w:sz w:val="24"/>
          <w:szCs w:val="24"/>
          <w:lang w:eastAsia="zh-CN"/>
        </w:rPr>
        <w:t>Laharie</w:t>
      </w:r>
      <w:proofErr w:type="spellEnd"/>
      <w:r w:rsidRPr="005A5853">
        <w:rPr>
          <w:rFonts w:ascii="Book Antiqua" w:eastAsia="宋体" w:hAnsi="Book Antiqua" w:cs="宋体"/>
          <w:color w:val="000000"/>
          <w:sz w:val="24"/>
          <w:szCs w:val="24"/>
          <w:lang w:eastAsia="zh-CN"/>
        </w:rPr>
        <w:t xml:space="preserve"> D, </w:t>
      </w:r>
      <w:proofErr w:type="spellStart"/>
      <w:r w:rsidRPr="005A5853">
        <w:rPr>
          <w:rFonts w:ascii="Book Antiqua" w:eastAsia="宋体" w:hAnsi="Book Antiqua" w:cs="宋体"/>
          <w:color w:val="000000"/>
          <w:sz w:val="24"/>
          <w:szCs w:val="24"/>
          <w:lang w:eastAsia="zh-CN"/>
        </w:rPr>
        <w:t>Pariente</w:t>
      </w:r>
      <w:proofErr w:type="spellEnd"/>
      <w:r w:rsidRPr="005A5853">
        <w:rPr>
          <w:rFonts w:ascii="Book Antiqua" w:eastAsia="宋体" w:hAnsi="Book Antiqua" w:cs="宋体"/>
          <w:color w:val="000000"/>
          <w:sz w:val="24"/>
          <w:szCs w:val="24"/>
          <w:lang w:eastAsia="zh-CN"/>
        </w:rPr>
        <w:t xml:space="preserve"> B. Subcutaneous </w:t>
      </w:r>
      <w:proofErr w:type="spellStart"/>
      <w:r w:rsidRPr="005A5853">
        <w:rPr>
          <w:rFonts w:ascii="Book Antiqua" w:eastAsia="宋体" w:hAnsi="Book Antiqua" w:cs="宋体"/>
          <w:color w:val="000000"/>
          <w:sz w:val="24"/>
          <w:szCs w:val="24"/>
          <w:lang w:eastAsia="zh-CN"/>
        </w:rPr>
        <w:t>Ustekinumab</w:t>
      </w:r>
      <w:proofErr w:type="spellEnd"/>
      <w:r w:rsidRPr="005A5853">
        <w:rPr>
          <w:rFonts w:ascii="Book Antiqua" w:eastAsia="宋体" w:hAnsi="Book Antiqua" w:cs="宋体"/>
          <w:color w:val="000000"/>
          <w:sz w:val="24"/>
          <w:szCs w:val="24"/>
          <w:lang w:eastAsia="zh-CN"/>
        </w:rPr>
        <w:t xml:space="preserve"> Provides Clinical Benefit for Two-Thirds of Patients With Crohn's Disease Refractory to Anti-Tumor Necrosis Factor Agents. </w:t>
      </w:r>
      <w:proofErr w:type="spellStart"/>
      <w:r w:rsidRPr="005A5853">
        <w:rPr>
          <w:rFonts w:ascii="Book Antiqua" w:eastAsia="宋体" w:hAnsi="Book Antiqua" w:cs="宋体"/>
          <w:i/>
          <w:iCs/>
          <w:color w:val="000000"/>
          <w:sz w:val="24"/>
          <w:szCs w:val="24"/>
          <w:lang w:eastAsia="zh-CN"/>
        </w:rPr>
        <w:t>Clin</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Hepatol</w:t>
      </w:r>
      <w:proofErr w:type="spellEnd"/>
      <w:r w:rsidRPr="005A5853">
        <w:rPr>
          <w:rFonts w:ascii="Book Antiqua" w:eastAsia="宋体" w:hAnsi="Book Antiqua" w:cs="宋体"/>
          <w:color w:val="000000"/>
          <w:sz w:val="24"/>
          <w:szCs w:val="24"/>
          <w:lang w:eastAsia="zh-CN"/>
        </w:rPr>
        <w:t> 2016; </w:t>
      </w:r>
      <w:r w:rsidRPr="005A5853">
        <w:rPr>
          <w:rFonts w:ascii="Book Antiqua" w:eastAsia="宋体" w:hAnsi="Book Antiqua" w:cs="宋体"/>
          <w:b/>
          <w:bCs/>
          <w:color w:val="000000"/>
          <w:sz w:val="24"/>
          <w:szCs w:val="24"/>
          <w:lang w:eastAsia="zh-CN"/>
        </w:rPr>
        <w:t>14</w:t>
      </w:r>
      <w:r w:rsidRPr="005A5853">
        <w:rPr>
          <w:rFonts w:ascii="Book Antiqua" w:eastAsia="宋体" w:hAnsi="Book Antiqua" w:cs="宋体"/>
          <w:color w:val="000000"/>
          <w:sz w:val="24"/>
          <w:szCs w:val="24"/>
          <w:lang w:eastAsia="zh-CN"/>
        </w:rPr>
        <w:t>: 242-50.e1-2 [PMID: 26432476 DOI: 10.1016/j.cgh.2015.09.018</w:t>
      </w:r>
      <w:r>
        <w:rPr>
          <w:rFonts w:ascii="Book Antiqua" w:eastAsia="宋体" w:hAnsi="Book Antiqua" w:cs="宋体"/>
          <w:color w:val="000000"/>
          <w:sz w:val="24"/>
          <w:szCs w:val="24"/>
          <w:lang w:eastAsia="zh-CN"/>
        </w:rPr>
        <w:t>]</w:t>
      </w:r>
    </w:p>
    <w:p w14:paraId="1C87768A" w14:textId="5DD8B685"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23 </w:t>
      </w:r>
      <w:r w:rsidRPr="005A5853">
        <w:rPr>
          <w:rFonts w:ascii="Book Antiqua" w:eastAsia="宋体" w:hAnsi="Book Antiqua" w:cs="宋体"/>
          <w:b/>
          <w:bCs/>
          <w:color w:val="000000"/>
          <w:sz w:val="24"/>
          <w:szCs w:val="24"/>
          <w:lang w:eastAsia="zh-CN"/>
        </w:rPr>
        <w:t>Osterman MT</w:t>
      </w:r>
      <w:r w:rsidRPr="005A5853">
        <w:rPr>
          <w:rFonts w:ascii="Book Antiqua" w:eastAsia="宋体" w:hAnsi="Book Antiqua" w:cs="宋体"/>
          <w:color w:val="000000"/>
          <w:sz w:val="24"/>
          <w:szCs w:val="24"/>
          <w:lang w:eastAsia="zh-CN"/>
        </w:rPr>
        <w:t xml:space="preserve">, Haynes K, </w:t>
      </w:r>
      <w:proofErr w:type="spellStart"/>
      <w:r w:rsidRPr="005A5853">
        <w:rPr>
          <w:rFonts w:ascii="Book Antiqua" w:eastAsia="宋体" w:hAnsi="Book Antiqua" w:cs="宋体"/>
          <w:color w:val="000000"/>
          <w:sz w:val="24"/>
          <w:szCs w:val="24"/>
          <w:lang w:eastAsia="zh-CN"/>
        </w:rPr>
        <w:t>Delzell</w:t>
      </w:r>
      <w:proofErr w:type="spellEnd"/>
      <w:r w:rsidRPr="005A5853">
        <w:rPr>
          <w:rFonts w:ascii="Book Antiqua" w:eastAsia="宋体" w:hAnsi="Book Antiqua" w:cs="宋体"/>
          <w:color w:val="000000"/>
          <w:sz w:val="24"/>
          <w:szCs w:val="24"/>
          <w:lang w:eastAsia="zh-CN"/>
        </w:rPr>
        <w:t xml:space="preserve"> E, Zhang J, </w:t>
      </w:r>
      <w:proofErr w:type="spellStart"/>
      <w:r w:rsidRPr="005A5853">
        <w:rPr>
          <w:rFonts w:ascii="Book Antiqua" w:eastAsia="宋体" w:hAnsi="Book Antiqua" w:cs="宋体"/>
          <w:color w:val="000000"/>
          <w:sz w:val="24"/>
          <w:szCs w:val="24"/>
          <w:lang w:eastAsia="zh-CN"/>
        </w:rPr>
        <w:t>Bewtra</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Brensinger</w:t>
      </w:r>
      <w:proofErr w:type="spellEnd"/>
      <w:r w:rsidRPr="005A5853">
        <w:rPr>
          <w:rFonts w:ascii="Book Antiqua" w:eastAsia="宋体" w:hAnsi="Book Antiqua" w:cs="宋体"/>
          <w:color w:val="000000"/>
          <w:sz w:val="24"/>
          <w:szCs w:val="24"/>
          <w:lang w:eastAsia="zh-CN"/>
        </w:rPr>
        <w:t xml:space="preserve"> CM, Chen L, </w:t>
      </w:r>
      <w:proofErr w:type="spellStart"/>
      <w:r w:rsidRPr="005A5853">
        <w:rPr>
          <w:rFonts w:ascii="Book Antiqua" w:eastAsia="宋体" w:hAnsi="Book Antiqua" w:cs="宋体"/>
          <w:color w:val="000000"/>
          <w:sz w:val="24"/>
          <w:szCs w:val="24"/>
          <w:lang w:eastAsia="zh-CN"/>
        </w:rPr>
        <w:t>Xie</w:t>
      </w:r>
      <w:proofErr w:type="spellEnd"/>
      <w:r w:rsidRPr="005A5853">
        <w:rPr>
          <w:rFonts w:ascii="Book Antiqua" w:eastAsia="宋体" w:hAnsi="Book Antiqua" w:cs="宋体"/>
          <w:color w:val="000000"/>
          <w:sz w:val="24"/>
          <w:szCs w:val="24"/>
          <w:lang w:eastAsia="zh-CN"/>
        </w:rPr>
        <w:t xml:space="preserve"> F, Curtis JR, Lewis JD. </w:t>
      </w:r>
      <w:proofErr w:type="gramStart"/>
      <w:r w:rsidRPr="005A5853">
        <w:rPr>
          <w:rFonts w:ascii="Book Antiqua" w:eastAsia="宋体" w:hAnsi="Book Antiqua" w:cs="宋体"/>
          <w:color w:val="000000"/>
          <w:sz w:val="24"/>
          <w:szCs w:val="24"/>
          <w:lang w:eastAsia="zh-CN"/>
        </w:rPr>
        <w:t xml:space="preserve">Effectiveness and Safety of </w:t>
      </w:r>
      <w:proofErr w:type="spellStart"/>
      <w:r w:rsidRPr="005A5853">
        <w:rPr>
          <w:rFonts w:ascii="Book Antiqua" w:eastAsia="宋体" w:hAnsi="Book Antiqua" w:cs="宋体"/>
          <w:color w:val="000000"/>
          <w:sz w:val="24"/>
          <w:szCs w:val="24"/>
          <w:lang w:eastAsia="zh-CN"/>
        </w:rPr>
        <w:t>Immunomodulators</w:t>
      </w:r>
      <w:proofErr w:type="spellEnd"/>
      <w:r w:rsidRPr="005A5853">
        <w:rPr>
          <w:rFonts w:ascii="Book Antiqua" w:eastAsia="宋体" w:hAnsi="Book Antiqua" w:cs="宋体"/>
          <w:color w:val="000000"/>
          <w:sz w:val="24"/>
          <w:szCs w:val="24"/>
          <w:lang w:eastAsia="zh-CN"/>
        </w:rPr>
        <w:t xml:space="preserve"> With Anti-Tumor Necrosis Factor Therapy in Crohn's Disease.</w:t>
      </w:r>
      <w:proofErr w:type="gramEnd"/>
      <w:r w:rsidRPr="005A5853">
        <w:rPr>
          <w:rFonts w:ascii="Book Antiqua" w:eastAsia="宋体" w:hAnsi="Book Antiqua" w:cs="宋体"/>
          <w:color w:val="000000"/>
          <w:sz w:val="24"/>
          <w:szCs w:val="24"/>
          <w:lang w:eastAsia="zh-CN"/>
        </w:rPr>
        <w:t> </w:t>
      </w:r>
      <w:proofErr w:type="spellStart"/>
      <w:r w:rsidRPr="005A5853">
        <w:rPr>
          <w:rFonts w:ascii="Book Antiqua" w:eastAsia="宋体" w:hAnsi="Book Antiqua" w:cs="宋体"/>
          <w:i/>
          <w:iCs/>
          <w:color w:val="000000"/>
          <w:sz w:val="24"/>
          <w:szCs w:val="24"/>
          <w:lang w:eastAsia="zh-CN"/>
        </w:rPr>
        <w:t>Clin</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Hepatol</w:t>
      </w:r>
      <w:proofErr w:type="spellEnd"/>
      <w:r w:rsidRPr="005A5853">
        <w:rPr>
          <w:rFonts w:ascii="Book Antiqua" w:eastAsia="宋体" w:hAnsi="Book Antiqua" w:cs="宋体"/>
          <w:color w:val="000000"/>
          <w:sz w:val="24"/>
          <w:szCs w:val="24"/>
          <w:lang w:eastAsia="zh-CN"/>
        </w:rPr>
        <w:t> 2015; </w:t>
      </w:r>
      <w:r w:rsidRPr="005A5853">
        <w:rPr>
          <w:rFonts w:ascii="Book Antiqua" w:eastAsia="宋体" w:hAnsi="Book Antiqua" w:cs="宋体"/>
          <w:b/>
          <w:bCs/>
          <w:color w:val="000000"/>
          <w:sz w:val="24"/>
          <w:szCs w:val="24"/>
          <w:lang w:eastAsia="zh-CN"/>
        </w:rPr>
        <w:t>13</w:t>
      </w:r>
      <w:r w:rsidRPr="005A5853">
        <w:rPr>
          <w:rFonts w:ascii="Book Antiqua" w:eastAsia="宋体" w:hAnsi="Book Antiqua" w:cs="宋体"/>
          <w:color w:val="000000"/>
          <w:sz w:val="24"/>
          <w:szCs w:val="24"/>
          <w:lang w:eastAsia="zh-CN"/>
        </w:rPr>
        <w:t>: 1293-1301.e5; quiz e70, e72 [PMID: 25724699 DOI: 10.1016/j.cgh.2015.02.017</w:t>
      </w:r>
      <w:r>
        <w:rPr>
          <w:rFonts w:ascii="Book Antiqua" w:eastAsia="宋体" w:hAnsi="Book Antiqua" w:cs="宋体"/>
          <w:color w:val="000000"/>
          <w:sz w:val="24"/>
          <w:szCs w:val="24"/>
          <w:lang w:eastAsia="zh-CN"/>
        </w:rPr>
        <w:t>]</w:t>
      </w:r>
    </w:p>
    <w:p w14:paraId="13DB3BB7" w14:textId="4BA07929"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24 </w:t>
      </w:r>
      <w:r w:rsidRPr="005A5853">
        <w:rPr>
          <w:rFonts w:ascii="Book Antiqua" w:eastAsia="宋体" w:hAnsi="Book Antiqua" w:cs="宋体"/>
          <w:b/>
          <w:bCs/>
          <w:color w:val="000000"/>
          <w:sz w:val="24"/>
          <w:szCs w:val="24"/>
          <w:lang w:eastAsia="zh-CN"/>
        </w:rPr>
        <w:t>Jones JL</w:t>
      </w:r>
      <w:r w:rsidRPr="005A5853">
        <w:rPr>
          <w:rFonts w:ascii="Book Antiqua" w:eastAsia="宋体" w:hAnsi="Book Antiqua" w:cs="宋体"/>
          <w:color w:val="000000"/>
          <w:sz w:val="24"/>
          <w:szCs w:val="24"/>
          <w:lang w:eastAsia="zh-CN"/>
        </w:rPr>
        <w:t xml:space="preserve">, Kaplan GG, </w:t>
      </w:r>
      <w:proofErr w:type="spellStart"/>
      <w:r w:rsidRPr="005A5853">
        <w:rPr>
          <w:rFonts w:ascii="Book Antiqua" w:eastAsia="宋体" w:hAnsi="Book Antiqua" w:cs="宋体"/>
          <w:color w:val="000000"/>
          <w:sz w:val="24"/>
          <w:szCs w:val="24"/>
          <w:lang w:eastAsia="zh-CN"/>
        </w:rPr>
        <w:t>Peyrin-Biroulet</w:t>
      </w:r>
      <w:proofErr w:type="spellEnd"/>
      <w:r w:rsidRPr="005A5853">
        <w:rPr>
          <w:rFonts w:ascii="Book Antiqua" w:eastAsia="宋体" w:hAnsi="Book Antiqua" w:cs="宋体"/>
          <w:color w:val="000000"/>
          <w:sz w:val="24"/>
          <w:szCs w:val="24"/>
          <w:lang w:eastAsia="zh-CN"/>
        </w:rPr>
        <w:t xml:space="preserve"> L, </w:t>
      </w:r>
      <w:proofErr w:type="spellStart"/>
      <w:r w:rsidRPr="005A5853">
        <w:rPr>
          <w:rFonts w:ascii="Book Antiqua" w:eastAsia="宋体" w:hAnsi="Book Antiqua" w:cs="宋体"/>
          <w:color w:val="000000"/>
          <w:sz w:val="24"/>
          <w:szCs w:val="24"/>
          <w:lang w:eastAsia="zh-CN"/>
        </w:rPr>
        <w:t>Baidoo</w:t>
      </w:r>
      <w:proofErr w:type="spellEnd"/>
      <w:r w:rsidRPr="005A5853">
        <w:rPr>
          <w:rFonts w:ascii="Book Antiqua" w:eastAsia="宋体" w:hAnsi="Book Antiqua" w:cs="宋体"/>
          <w:color w:val="000000"/>
          <w:sz w:val="24"/>
          <w:szCs w:val="24"/>
          <w:lang w:eastAsia="zh-CN"/>
        </w:rPr>
        <w:t xml:space="preserve"> L, Devlin S, </w:t>
      </w:r>
      <w:proofErr w:type="spellStart"/>
      <w:r w:rsidRPr="005A5853">
        <w:rPr>
          <w:rFonts w:ascii="Book Antiqua" w:eastAsia="宋体" w:hAnsi="Book Antiqua" w:cs="宋体"/>
          <w:color w:val="000000"/>
          <w:sz w:val="24"/>
          <w:szCs w:val="24"/>
          <w:lang w:eastAsia="zh-CN"/>
        </w:rPr>
        <w:t>Melmed</w:t>
      </w:r>
      <w:proofErr w:type="spellEnd"/>
      <w:r w:rsidRPr="005A5853">
        <w:rPr>
          <w:rFonts w:ascii="Book Antiqua" w:eastAsia="宋体" w:hAnsi="Book Antiqua" w:cs="宋体"/>
          <w:color w:val="000000"/>
          <w:sz w:val="24"/>
          <w:szCs w:val="24"/>
          <w:lang w:eastAsia="zh-CN"/>
        </w:rPr>
        <w:t xml:space="preserve"> GY, </w:t>
      </w:r>
      <w:proofErr w:type="spellStart"/>
      <w:r w:rsidRPr="005A5853">
        <w:rPr>
          <w:rFonts w:ascii="Book Antiqua" w:eastAsia="宋体" w:hAnsi="Book Antiqua" w:cs="宋体"/>
          <w:color w:val="000000"/>
          <w:sz w:val="24"/>
          <w:szCs w:val="24"/>
          <w:lang w:eastAsia="zh-CN"/>
        </w:rPr>
        <w:t>Tanyingoh</w:t>
      </w:r>
      <w:proofErr w:type="spellEnd"/>
      <w:r w:rsidRPr="005A5853">
        <w:rPr>
          <w:rFonts w:ascii="Book Antiqua" w:eastAsia="宋体" w:hAnsi="Book Antiqua" w:cs="宋体"/>
          <w:color w:val="000000"/>
          <w:sz w:val="24"/>
          <w:szCs w:val="24"/>
          <w:lang w:eastAsia="zh-CN"/>
        </w:rPr>
        <w:t xml:space="preserve"> D, </w:t>
      </w:r>
      <w:proofErr w:type="spellStart"/>
      <w:r w:rsidRPr="005A5853">
        <w:rPr>
          <w:rFonts w:ascii="Book Antiqua" w:eastAsia="宋体" w:hAnsi="Book Antiqua" w:cs="宋体"/>
          <w:color w:val="000000"/>
          <w:sz w:val="24"/>
          <w:szCs w:val="24"/>
          <w:lang w:eastAsia="zh-CN"/>
        </w:rPr>
        <w:t>Raffals</w:t>
      </w:r>
      <w:proofErr w:type="spellEnd"/>
      <w:r w:rsidRPr="005A5853">
        <w:rPr>
          <w:rFonts w:ascii="Book Antiqua" w:eastAsia="宋体" w:hAnsi="Book Antiqua" w:cs="宋体"/>
          <w:color w:val="000000"/>
          <w:sz w:val="24"/>
          <w:szCs w:val="24"/>
          <w:lang w:eastAsia="zh-CN"/>
        </w:rPr>
        <w:t xml:space="preserve"> L, Irving P, </w:t>
      </w:r>
      <w:proofErr w:type="spellStart"/>
      <w:r w:rsidRPr="005A5853">
        <w:rPr>
          <w:rFonts w:ascii="Book Antiqua" w:eastAsia="宋体" w:hAnsi="Book Antiqua" w:cs="宋体"/>
          <w:color w:val="000000"/>
          <w:sz w:val="24"/>
          <w:szCs w:val="24"/>
          <w:lang w:eastAsia="zh-CN"/>
        </w:rPr>
        <w:t>Kozuch</w:t>
      </w:r>
      <w:proofErr w:type="spellEnd"/>
      <w:r w:rsidRPr="005A5853">
        <w:rPr>
          <w:rFonts w:ascii="Book Antiqua" w:eastAsia="宋体" w:hAnsi="Book Antiqua" w:cs="宋体"/>
          <w:color w:val="000000"/>
          <w:sz w:val="24"/>
          <w:szCs w:val="24"/>
          <w:lang w:eastAsia="zh-CN"/>
        </w:rPr>
        <w:t xml:space="preserve"> P, Sparrow M, </w:t>
      </w:r>
      <w:proofErr w:type="spellStart"/>
      <w:r w:rsidRPr="005A5853">
        <w:rPr>
          <w:rFonts w:ascii="Book Antiqua" w:eastAsia="宋体" w:hAnsi="Book Antiqua" w:cs="宋体"/>
          <w:color w:val="000000"/>
          <w:sz w:val="24"/>
          <w:szCs w:val="24"/>
          <w:lang w:eastAsia="zh-CN"/>
        </w:rPr>
        <w:t>Velayos</w:t>
      </w:r>
      <w:proofErr w:type="spellEnd"/>
      <w:r w:rsidRPr="005A5853">
        <w:rPr>
          <w:rFonts w:ascii="Book Antiqua" w:eastAsia="宋体" w:hAnsi="Book Antiqua" w:cs="宋体"/>
          <w:color w:val="000000"/>
          <w:sz w:val="24"/>
          <w:szCs w:val="24"/>
          <w:lang w:eastAsia="zh-CN"/>
        </w:rPr>
        <w:t xml:space="preserve"> F, </w:t>
      </w:r>
      <w:proofErr w:type="spellStart"/>
      <w:r w:rsidRPr="005A5853">
        <w:rPr>
          <w:rFonts w:ascii="Book Antiqua" w:eastAsia="宋体" w:hAnsi="Book Antiqua" w:cs="宋体"/>
          <w:color w:val="000000"/>
          <w:sz w:val="24"/>
          <w:szCs w:val="24"/>
          <w:lang w:eastAsia="zh-CN"/>
        </w:rPr>
        <w:t>Bressler</w:t>
      </w:r>
      <w:proofErr w:type="spellEnd"/>
      <w:r w:rsidRPr="005A5853">
        <w:rPr>
          <w:rFonts w:ascii="Book Antiqua" w:eastAsia="宋体" w:hAnsi="Book Antiqua" w:cs="宋体"/>
          <w:color w:val="000000"/>
          <w:sz w:val="24"/>
          <w:szCs w:val="24"/>
          <w:lang w:eastAsia="zh-CN"/>
        </w:rPr>
        <w:t xml:space="preserve"> B, </w:t>
      </w:r>
      <w:proofErr w:type="spellStart"/>
      <w:r w:rsidRPr="005A5853">
        <w:rPr>
          <w:rFonts w:ascii="Book Antiqua" w:eastAsia="宋体" w:hAnsi="Book Antiqua" w:cs="宋体"/>
          <w:color w:val="000000"/>
          <w:sz w:val="24"/>
          <w:szCs w:val="24"/>
          <w:lang w:eastAsia="zh-CN"/>
        </w:rPr>
        <w:t>Cheifetz</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Siegel CA. Effects of Concomitant </w:t>
      </w:r>
      <w:proofErr w:type="spellStart"/>
      <w:r w:rsidRPr="005A5853">
        <w:rPr>
          <w:rFonts w:ascii="Book Antiqua" w:eastAsia="宋体" w:hAnsi="Book Antiqua" w:cs="宋体"/>
          <w:color w:val="000000"/>
          <w:sz w:val="24"/>
          <w:szCs w:val="24"/>
          <w:lang w:eastAsia="zh-CN"/>
        </w:rPr>
        <w:t>Immunomodulator</w:t>
      </w:r>
      <w:proofErr w:type="spellEnd"/>
      <w:r w:rsidRPr="005A5853">
        <w:rPr>
          <w:rFonts w:ascii="Book Antiqua" w:eastAsia="宋体" w:hAnsi="Book Antiqua" w:cs="宋体"/>
          <w:color w:val="000000"/>
          <w:sz w:val="24"/>
          <w:szCs w:val="24"/>
          <w:lang w:eastAsia="zh-CN"/>
        </w:rPr>
        <w:t xml:space="preserve"> Therapy on Efficacy and Safety of Anti-Tumor Necrosis Factor Therapy for Crohn's Disease: A Meta-analysis </w:t>
      </w:r>
      <w:r w:rsidRPr="005A5853">
        <w:rPr>
          <w:rFonts w:ascii="Book Antiqua" w:eastAsia="宋体" w:hAnsi="Book Antiqua" w:cs="宋体"/>
          <w:color w:val="000000"/>
          <w:sz w:val="24"/>
          <w:szCs w:val="24"/>
          <w:lang w:eastAsia="zh-CN"/>
        </w:rPr>
        <w:lastRenderedPageBreak/>
        <w:t>of Placebo-controlled Trials. </w:t>
      </w:r>
      <w:proofErr w:type="spellStart"/>
      <w:r w:rsidRPr="005A5853">
        <w:rPr>
          <w:rFonts w:ascii="Book Antiqua" w:eastAsia="宋体" w:hAnsi="Book Antiqua" w:cs="宋体"/>
          <w:i/>
          <w:iCs/>
          <w:color w:val="000000"/>
          <w:sz w:val="24"/>
          <w:szCs w:val="24"/>
          <w:lang w:eastAsia="zh-CN"/>
        </w:rPr>
        <w:t>Clin</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Hepatol</w:t>
      </w:r>
      <w:proofErr w:type="spellEnd"/>
      <w:r w:rsidRPr="005A5853">
        <w:rPr>
          <w:rFonts w:ascii="Book Antiqua" w:eastAsia="宋体" w:hAnsi="Book Antiqua" w:cs="宋体"/>
          <w:color w:val="000000"/>
          <w:sz w:val="24"/>
          <w:szCs w:val="24"/>
          <w:lang w:eastAsia="zh-CN"/>
        </w:rPr>
        <w:t> 2015; </w:t>
      </w:r>
      <w:r w:rsidRPr="005A5853">
        <w:rPr>
          <w:rFonts w:ascii="Book Antiqua" w:eastAsia="宋体" w:hAnsi="Book Antiqua" w:cs="宋体"/>
          <w:b/>
          <w:bCs/>
          <w:color w:val="000000"/>
          <w:sz w:val="24"/>
          <w:szCs w:val="24"/>
          <w:lang w:eastAsia="zh-CN"/>
        </w:rPr>
        <w:t>13</w:t>
      </w:r>
      <w:r w:rsidRPr="005A5853">
        <w:rPr>
          <w:rFonts w:ascii="Book Antiqua" w:eastAsia="宋体" w:hAnsi="Book Antiqua" w:cs="宋体"/>
          <w:color w:val="000000"/>
          <w:sz w:val="24"/>
          <w:szCs w:val="24"/>
          <w:lang w:eastAsia="zh-CN"/>
        </w:rPr>
        <w:t>: 2233-40.e1-2; quiz e177-8 [PMID: 26142167 DOI: 10.1016/j.cgh.2015.06.034</w:t>
      </w:r>
      <w:r>
        <w:rPr>
          <w:rFonts w:ascii="Book Antiqua" w:eastAsia="宋体" w:hAnsi="Book Antiqua" w:cs="宋体"/>
          <w:color w:val="000000"/>
          <w:sz w:val="24"/>
          <w:szCs w:val="24"/>
          <w:lang w:eastAsia="zh-CN"/>
        </w:rPr>
        <w:t>]</w:t>
      </w:r>
    </w:p>
    <w:p w14:paraId="5C8E9C11" w14:textId="62EF324A"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25 </w:t>
      </w:r>
      <w:r w:rsidRPr="005A5853">
        <w:rPr>
          <w:rFonts w:ascii="Book Antiqua" w:eastAsia="宋体" w:hAnsi="Book Antiqua" w:cs="宋体"/>
          <w:b/>
          <w:bCs/>
          <w:color w:val="000000"/>
          <w:sz w:val="24"/>
          <w:szCs w:val="24"/>
          <w:lang w:eastAsia="zh-CN"/>
        </w:rPr>
        <w:t>Ben-</w:t>
      </w:r>
      <w:proofErr w:type="spellStart"/>
      <w:r w:rsidRPr="005A5853">
        <w:rPr>
          <w:rFonts w:ascii="Book Antiqua" w:eastAsia="宋体" w:hAnsi="Book Antiqua" w:cs="宋体"/>
          <w:b/>
          <w:bCs/>
          <w:color w:val="000000"/>
          <w:sz w:val="24"/>
          <w:szCs w:val="24"/>
          <w:lang w:eastAsia="zh-CN"/>
        </w:rPr>
        <w:t>Horin</w:t>
      </w:r>
      <w:proofErr w:type="spellEnd"/>
      <w:r w:rsidRPr="005A5853">
        <w:rPr>
          <w:rFonts w:ascii="Book Antiqua" w:eastAsia="宋体" w:hAnsi="Book Antiqua" w:cs="宋体"/>
          <w:b/>
          <w:bCs/>
          <w:color w:val="000000"/>
          <w:sz w:val="24"/>
          <w:szCs w:val="24"/>
          <w:lang w:eastAsia="zh-CN"/>
        </w:rPr>
        <w:t xml:space="preserve"> S</w:t>
      </w:r>
      <w:r w:rsidRPr="005A5853">
        <w:rPr>
          <w:rFonts w:ascii="Book Antiqua" w:eastAsia="宋体" w:hAnsi="Book Antiqua" w:cs="宋体"/>
          <w:color w:val="000000"/>
          <w:sz w:val="24"/>
          <w:szCs w:val="24"/>
          <w:lang w:eastAsia="zh-CN"/>
        </w:rPr>
        <w:t xml:space="preserve">, Waterman M, </w:t>
      </w:r>
      <w:proofErr w:type="spellStart"/>
      <w:r w:rsidRPr="005A5853">
        <w:rPr>
          <w:rFonts w:ascii="Book Antiqua" w:eastAsia="宋体" w:hAnsi="Book Antiqua" w:cs="宋体"/>
          <w:color w:val="000000"/>
          <w:sz w:val="24"/>
          <w:szCs w:val="24"/>
          <w:lang w:eastAsia="zh-CN"/>
        </w:rPr>
        <w:t>Kopylov</w:t>
      </w:r>
      <w:proofErr w:type="spellEnd"/>
      <w:r w:rsidRPr="005A5853">
        <w:rPr>
          <w:rFonts w:ascii="Book Antiqua" w:eastAsia="宋体" w:hAnsi="Book Antiqua" w:cs="宋体"/>
          <w:color w:val="000000"/>
          <w:sz w:val="24"/>
          <w:szCs w:val="24"/>
          <w:lang w:eastAsia="zh-CN"/>
        </w:rPr>
        <w:t xml:space="preserve"> U, </w:t>
      </w:r>
      <w:proofErr w:type="spellStart"/>
      <w:r w:rsidRPr="005A5853">
        <w:rPr>
          <w:rFonts w:ascii="Book Antiqua" w:eastAsia="宋体" w:hAnsi="Book Antiqua" w:cs="宋体"/>
          <w:color w:val="000000"/>
          <w:sz w:val="24"/>
          <w:szCs w:val="24"/>
          <w:lang w:eastAsia="zh-CN"/>
        </w:rPr>
        <w:t>Yavzori</w:t>
      </w:r>
      <w:proofErr w:type="spellEnd"/>
      <w:r w:rsidRPr="005A5853">
        <w:rPr>
          <w:rFonts w:ascii="Book Antiqua" w:eastAsia="宋体" w:hAnsi="Book Antiqua" w:cs="宋体"/>
          <w:color w:val="000000"/>
          <w:sz w:val="24"/>
          <w:szCs w:val="24"/>
          <w:lang w:eastAsia="zh-CN"/>
        </w:rPr>
        <w:t xml:space="preserve"> M, Picard O, </w:t>
      </w:r>
      <w:proofErr w:type="spellStart"/>
      <w:r w:rsidRPr="005A5853">
        <w:rPr>
          <w:rFonts w:ascii="Book Antiqua" w:eastAsia="宋体" w:hAnsi="Book Antiqua" w:cs="宋体"/>
          <w:color w:val="000000"/>
          <w:sz w:val="24"/>
          <w:szCs w:val="24"/>
          <w:lang w:eastAsia="zh-CN"/>
        </w:rPr>
        <w:t>Fudim</w:t>
      </w:r>
      <w:proofErr w:type="spellEnd"/>
      <w:r w:rsidRPr="005A5853">
        <w:rPr>
          <w:rFonts w:ascii="Book Antiqua" w:eastAsia="宋体" w:hAnsi="Book Antiqua" w:cs="宋体"/>
          <w:color w:val="000000"/>
          <w:sz w:val="24"/>
          <w:szCs w:val="24"/>
          <w:lang w:eastAsia="zh-CN"/>
        </w:rPr>
        <w:t xml:space="preserve"> E, </w:t>
      </w:r>
      <w:proofErr w:type="spellStart"/>
      <w:r w:rsidRPr="005A5853">
        <w:rPr>
          <w:rFonts w:ascii="Book Antiqua" w:eastAsia="宋体" w:hAnsi="Book Antiqua" w:cs="宋体"/>
          <w:color w:val="000000"/>
          <w:sz w:val="24"/>
          <w:szCs w:val="24"/>
          <w:lang w:eastAsia="zh-CN"/>
        </w:rPr>
        <w:t>Awadie</w:t>
      </w:r>
      <w:proofErr w:type="spellEnd"/>
      <w:r w:rsidRPr="005A5853">
        <w:rPr>
          <w:rFonts w:ascii="Book Antiqua" w:eastAsia="宋体" w:hAnsi="Book Antiqua" w:cs="宋体"/>
          <w:color w:val="000000"/>
          <w:sz w:val="24"/>
          <w:szCs w:val="24"/>
          <w:lang w:eastAsia="zh-CN"/>
        </w:rPr>
        <w:t xml:space="preserve"> H, Weiss B, </w:t>
      </w:r>
      <w:proofErr w:type="spellStart"/>
      <w:r w:rsidRPr="005A5853">
        <w:rPr>
          <w:rFonts w:ascii="Book Antiqua" w:eastAsia="宋体" w:hAnsi="Book Antiqua" w:cs="宋体"/>
          <w:color w:val="000000"/>
          <w:sz w:val="24"/>
          <w:szCs w:val="24"/>
          <w:lang w:eastAsia="zh-CN"/>
        </w:rPr>
        <w:t>Chowers</w:t>
      </w:r>
      <w:proofErr w:type="spellEnd"/>
      <w:r w:rsidRPr="005A5853">
        <w:rPr>
          <w:rFonts w:ascii="Book Antiqua" w:eastAsia="宋体" w:hAnsi="Book Antiqua" w:cs="宋体"/>
          <w:color w:val="000000"/>
          <w:sz w:val="24"/>
          <w:szCs w:val="24"/>
          <w:lang w:eastAsia="zh-CN"/>
        </w:rPr>
        <w:t xml:space="preserve"> Y. Addition of an </w:t>
      </w:r>
      <w:proofErr w:type="spellStart"/>
      <w:r w:rsidRPr="005A5853">
        <w:rPr>
          <w:rFonts w:ascii="Book Antiqua" w:eastAsia="宋体" w:hAnsi="Book Antiqua" w:cs="宋体"/>
          <w:color w:val="000000"/>
          <w:sz w:val="24"/>
          <w:szCs w:val="24"/>
          <w:lang w:eastAsia="zh-CN"/>
        </w:rPr>
        <w:t>immunomodulator</w:t>
      </w:r>
      <w:proofErr w:type="spellEnd"/>
      <w:r w:rsidRPr="005A5853">
        <w:rPr>
          <w:rFonts w:ascii="Book Antiqua" w:eastAsia="宋体" w:hAnsi="Book Antiqua" w:cs="宋体"/>
          <w:color w:val="000000"/>
          <w:sz w:val="24"/>
          <w:szCs w:val="24"/>
          <w:lang w:eastAsia="zh-CN"/>
        </w:rPr>
        <w:t xml:space="preserve"> to infliximab therapy eliminates antidrug antibodies in serum and restores clinical response of patients with inflammatory bowel disease. </w:t>
      </w:r>
      <w:proofErr w:type="spellStart"/>
      <w:r w:rsidRPr="005A5853">
        <w:rPr>
          <w:rFonts w:ascii="Book Antiqua" w:eastAsia="宋体" w:hAnsi="Book Antiqua" w:cs="宋体"/>
          <w:i/>
          <w:iCs/>
          <w:color w:val="000000"/>
          <w:sz w:val="24"/>
          <w:szCs w:val="24"/>
          <w:lang w:eastAsia="zh-CN"/>
        </w:rPr>
        <w:t>Clin</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Hepatol</w:t>
      </w:r>
      <w:proofErr w:type="spellEnd"/>
      <w:r w:rsidRPr="005A5853">
        <w:rPr>
          <w:rFonts w:ascii="Book Antiqua" w:eastAsia="宋体" w:hAnsi="Book Antiqua" w:cs="宋体"/>
          <w:color w:val="000000"/>
          <w:sz w:val="24"/>
          <w:szCs w:val="24"/>
          <w:lang w:eastAsia="zh-CN"/>
        </w:rPr>
        <w:t> 2013; </w:t>
      </w:r>
      <w:r w:rsidRPr="005A5853">
        <w:rPr>
          <w:rFonts w:ascii="Book Antiqua" w:eastAsia="宋体" w:hAnsi="Book Antiqua" w:cs="宋体"/>
          <w:b/>
          <w:bCs/>
          <w:color w:val="000000"/>
          <w:sz w:val="24"/>
          <w:szCs w:val="24"/>
          <w:lang w:eastAsia="zh-CN"/>
        </w:rPr>
        <w:t>11</w:t>
      </w:r>
      <w:r w:rsidRPr="005A5853">
        <w:rPr>
          <w:rFonts w:ascii="Book Antiqua" w:eastAsia="宋体" w:hAnsi="Book Antiqua" w:cs="宋体"/>
          <w:color w:val="000000"/>
          <w:sz w:val="24"/>
          <w:szCs w:val="24"/>
          <w:lang w:eastAsia="zh-CN"/>
        </w:rPr>
        <w:t>: 444-447 [PMID: 23103905 DOI: 10.1016/j.cgh.2012.10.020</w:t>
      </w:r>
      <w:r>
        <w:rPr>
          <w:rFonts w:ascii="Book Antiqua" w:eastAsia="宋体" w:hAnsi="Book Antiqua" w:cs="宋体"/>
          <w:color w:val="000000"/>
          <w:sz w:val="24"/>
          <w:szCs w:val="24"/>
          <w:lang w:eastAsia="zh-CN"/>
        </w:rPr>
        <w:t>]</w:t>
      </w:r>
    </w:p>
    <w:p w14:paraId="6606280B" w14:textId="77777777"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26 </w:t>
      </w:r>
      <w:proofErr w:type="spellStart"/>
      <w:r w:rsidRPr="005A5853">
        <w:rPr>
          <w:rFonts w:ascii="Book Antiqua" w:eastAsia="宋体" w:hAnsi="Book Antiqua" w:cs="宋体"/>
          <w:b/>
          <w:bCs/>
          <w:color w:val="000000"/>
          <w:sz w:val="24"/>
          <w:szCs w:val="24"/>
          <w:lang w:eastAsia="zh-CN"/>
        </w:rPr>
        <w:t>Ungar</w:t>
      </w:r>
      <w:proofErr w:type="spellEnd"/>
      <w:r w:rsidRPr="005A5853">
        <w:rPr>
          <w:rFonts w:ascii="Book Antiqua" w:eastAsia="宋体" w:hAnsi="Book Antiqua" w:cs="宋体"/>
          <w:b/>
          <w:bCs/>
          <w:color w:val="000000"/>
          <w:sz w:val="24"/>
          <w:szCs w:val="24"/>
          <w:lang w:eastAsia="zh-CN"/>
        </w:rPr>
        <w:t xml:space="preserve"> B</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Kopylov</w:t>
      </w:r>
      <w:proofErr w:type="spellEnd"/>
      <w:r w:rsidRPr="005A5853">
        <w:rPr>
          <w:rFonts w:ascii="Book Antiqua" w:eastAsia="宋体" w:hAnsi="Book Antiqua" w:cs="宋体"/>
          <w:color w:val="000000"/>
          <w:sz w:val="24"/>
          <w:szCs w:val="24"/>
          <w:lang w:eastAsia="zh-CN"/>
        </w:rPr>
        <w:t xml:space="preserve"> U, Engel T, </w:t>
      </w:r>
      <w:proofErr w:type="spellStart"/>
      <w:r w:rsidRPr="005A5853">
        <w:rPr>
          <w:rFonts w:ascii="Book Antiqua" w:eastAsia="宋体" w:hAnsi="Book Antiqua" w:cs="宋体"/>
          <w:color w:val="000000"/>
          <w:sz w:val="24"/>
          <w:szCs w:val="24"/>
          <w:lang w:eastAsia="zh-CN"/>
        </w:rPr>
        <w:t>Yavzori</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Fudim</w:t>
      </w:r>
      <w:proofErr w:type="spellEnd"/>
      <w:r w:rsidRPr="005A5853">
        <w:rPr>
          <w:rFonts w:ascii="Book Antiqua" w:eastAsia="宋体" w:hAnsi="Book Antiqua" w:cs="宋体"/>
          <w:color w:val="000000"/>
          <w:sz w:val="24"/>
          <w:szCs w:val="24"/>
          <w:lang w:eastAsia="zh-CN"/>
        </w:rPr>
        <w:t xml:space="preserve"> E, Picard O, Lang A, </w:t>
      </w:r>
      <w:proofErr w:type="spellStart"/>
      <w:r w:rsidRPr="005A5853">
        <w:rPr>
          <w:rFonts w:ascii="Book Antiqua" w:eastAsia="宋体" w:hAnsi="Book Antiqua" w:cs="宋体"/>
          <w:color w:val="000000"/>
          <w:sz w:val="24"/>
          <w:szCs w:val="24"/>
          <w:lang w:eastAsia="zh-CN"/>
        </w:rPr>
        <w:t>Williet</w:t>
      </w:r>
      <w:proofErr w:type="spellEnd"/>
      <w:r w:rsidRPr="005A5853">
        <w:rPr>
          <w:rFonts w:ascii="Book Antiqua" w:eastAsia="宋体" w:hAnsi="Book Antiqua" w:cs="宋体"/>
          <w:color w:val="000000"/>
          <w:sz w:val="24"/>
          <w:szCs w:val="24"/>
          <w:lang w:eastAsia="zh-CN"/>
        </w:rPr>
        <w:t xml:space="preserve"> N, Paul S, </w:t>
      </w:r>
      <w:proofErr w:type="spellStart"/>
      <w:r w:rsidRPr="005A5853">
        <w:rPr>
          <w:rFonts w:ascii="Book Antiqua" w:eastAsia="宋体" w:hAnsi="Book Antiqua" w:cs="宋体"/>
          <w:color w:val="000000"/>
          <w:sz w:val="24"/>
          <w:szCs w:val="24"/>
          <w:lang w:eastAsia="zh-CN"/>
        </w:rPr>
        <w:t>Chowers</w:t>
      </w:r>
      <w:proofErr w:type="spellEnd"/>
      <w:r w:rsidRPr="005A5853">
        <w:rPr>
          <w:rFonts w:ascii="Book Antiqua" w:eastAsia="宋体" w:hAnsi="Book Antiqua" w:cs="宋体"/>
          <w:color w:val="000000"/>
          <w:sz w:val="24"/>
          <w:szCs w:val="24"/>
          <w:lang w:eastAsia="zh-CN"/>
        </w:rPr>
        <w:t xml:space="preserve"> Y, Bar-Gil </w:t>
      </w:r>
      <w:proofErr w:type="spellStart"/>
      <w:r w:rsidRPr="005A5853">
        <w:rPr>
          <w:rFonts w:ascii="Book Antiqua" w:eastAsia="宋体" w:hAnsi="Book Antiqua" w:cs="宋体"/>
          <w:color w:val="000000"/>
          <w:sz w:val="24"/>
          <w:szCs w:val="24"/>
          <w:lang w:eastAsia="zh-CN"/>
        </w:rPr>
        <w:t>Shitrit</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Eliakim</w:t>
      </w:r>
      <w:proofErr w:type="spellEnd"/>
      <w:r w:rsidRPr="005A5853">
        <w:rPr>
          <w:rFonts w:ascii="Book Antiqua" w:eastAsia="宋体" w:hAnsi="Book Antiqua" w:cs="宋体"/>
          <w:color w:val="000000"/>
          <w:sz w:val="24"/>
          <w:szCs w:val="24"/>
          <w:lang w:eastAsia="zh-CN"/>
        </w:rPr>
        <w:t xml:space="preserve"> R, Ben-</w:t>
      </w:r>
      <w:proofErr w:type="spellStart"/>
      <w:r w:rsidRPr="005A5853">
        <w:rPr>
          <w:rFonts w:ascii="Book Antiqua" w:eastAsia="宋体" w:hAnsi="Book Antiqua" w:cs="宋体"/>
          <w:color w:val="000000"/>
          <w:sz w:val="24"/>
          <w:szCs w:val="24"/>
          <w:lang w:eastAsia="zh-CN"/>
        </w:rPr>
        <w:t>Horin</w:t>
      </w:r>
      <w:proofErr w:type="spellEnd"/>
      <w:r w:rsidRPr="005A5853">
        <w:rPr>
          <w:rFonts w:ascii="Book Antiqua" w:eastAsia="宋体" w:hAnsi="Book Antiqua" w:cs="宋体"/>
          <w:color w:val="000000"/>
          <w:sz w:val="24"/>
          <w:szCs w:val="24"/>
          <w:lang w:eastAsia="zh-CN"/>
        </w:rPr>
        <w:t xml:space="preserve"> S, Roblin X. Addition of an </w:t>
      </w:r>
      <w:proofErr w:type="spellStart"/>
      <w:r w:rsidRPr="005A5853">
        <w:rPr>
          <w:rFonts w:ascii="Book Antiqua" w:eastAsia="宋体" w:hAnsi="Book Antiqua" w:cs="宋体"/>
          <w:color w:val="000000"/>
          <w:sz w:val="24"/>
          <w:szCs w:val="24"/>
          <w:lang w:eastAsia="zh-CN"/>
        </w:rPr>
        <w:t>immunomodulator</w:t>
      </w:r>
      <w:proofErr w:type="spellEnd"/>
      <w:r w:rsidRPr="005A5853">
        <w:rPr>
          <w:rFonts w:ascii="Book Antiqua" w:eastAsia="宋体" w:hAnsi="Book Antiqua" w:cs="宋体"/>
          <w:color w:val="000000"/>
          <w:sz w:val="24"/>
          <w:szCs w:val="24"/>
          <w:lang w:eastAsia="zh-CN"/>
        </w:rPr>
        <w:t xml:space="preserve"> can reverse antibody formation and loss of response in patients treated with adalimumab. </w:t>
      </w:r>
      <w:r w:rsidRPr="005A5853">
        <w:rPr>
          <w:rFonts w:ascii="Book Antiqua" w:eastAsia="宋体" w:hAnsi="Book Antiqua" w:cs="宋体"/>
          <w:i/>
          <w:iCs/>
          <w:color w:val="000000"/>
          <w:sz w:val="24"/>
          <w:szCs w:val="24"/>
          <w:lang w:eastAsia="zh-CN"/>
        </w:rPr>
        <w:t xml:space="preserve">Aliment </w:t>
      </w:r>
      <w:proofErr w:type="spellStart"/>
      <w:r w:rsidRPr="005A5853">
        <w:rPr>
          <w:rFonts w:ascii="Book Antiqua" w:eastAsia="宋体" w:hAnsi="Book Antiqua" w:cs="宋体"/>
          <w:i/>
          <w:iCs/>
          <w:color w:val="000000"/>
          <w:sz w:val="24"/>
          <w:szCs w:val="24"/>
          <w:lang w:eastAsia="zh-CN"/>
        </w:rPr>
        <w:t>Pharmacol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Ther</w:t>
      </w:r>
      <w:proofErr w:type="spellEnd"/>
      <w:r w:rsidRPr="005A5853">
        <w:rPr>
          <w:rFonts w:ascii="Book Antiqua" w:eastAsia="宋体" w:hAnsi="Book Antiqua" w:cs="宋体"/>
          <w:color w:val="000000"/>
          <w:sz w:val="24"/>
          <w:szCs w:val="24"/>
          <w:lang w:eastAsia="zh-CN"/>
        </w:rPr>
        <w:t> 2017; </w:t>
      </w:r>
      <w:r w:rsidRPr="005A5853">
        <w:rPr>
          <w:rFonts w:ascii="Book Antiqua" w:eastAsia="宋体" w:hAnsi="Book Antiqua" w:cs="宋体"/>
          <w:b/>
          <w:bCs/>
          <w:color w:val="000000"/>
          <w:sz w:val="24"/>
          <w:szCs w:val="24"/>
          <w:lang w:eastAsia="zh-CN"/>
        </w:rPr>
        <w:t>45</w:t>
      </w:r>
      <w:r w:rsidRPr="005A5853">
        <w:rPr>
          <w:rFonts w:ascii="Book Antiqua" w:eastAsia="宋体" w:hAnsi="Book Antiqua" w:cs="宋体"/>
          <w:color w:val="000000"/>
          <w:sz w:val="24"/>
          <w:szCs w:val="24"/>
          <w:lang w:eastAsia="zh-CN"/>
        </w:rPr>
        <w:t>: 276-282 [PMID: 27862102 DOI: 10.1111/apt.13862s]</w:t>
      </w:r>
    </w:p>
    <w:p w14:paraId="153B0F1B" w14:textId="14809964"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27 </w:t>
      </w:r>
      <w:r w:rsidRPr="005A5853">
        <w:rPr>
          <w:rFonts w:ascii="Book Antiqua" w:eastAsia="宋体" w:hAnsi="Book Antiqua" w:cs="宋体"/>
          <w:b/>
          <w:bCs/>
          <w:color w:val="000000"/>
          <w:sz w:val="24"/>
          <w:szCs w:val="24"/>
          <w:lang w:eastAsia="zh-CN"/>
        </w:rPr>
        <w:t>Torres J</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Boyapati</w:t>
      </w:r>
      <w:proofErr w:type="spellEnd"/>
      <w:r w:rsidRPr="005A5853">
        <w:rPr>
          <w:rFonts w:ascii="Book Antiqua" w:eastAsia="宋体" w:hAnsi="Book Antiqua" w:cs="宋体"/>
          <w:color w:val="000000"/>
          <w:sz w:val="24"/>
          <w:szCs w:val="24"/>
          <w:lang w:eastAsia="zh-CN"/>
        </w:rPr>
        <w:t xml:space="preserve"> RK, Kennedy NA, Louis E,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w:t>
      </w:r>
      <w:proofErr w:type="spellStart"/>
      <w:r w:rsidRPr="005A5853">
        <w:rPr>
          <w:rFonts w:ascii="Book Antiqua" w:eastAsia="宋体" w:hAnsi="Book Antiqua" w:cs="宋体"/>
          <w:color w:val="000000"/>
          <w:sz w:val="24"/>
          <w:szCs w:val="24"/>
          <w:lang w:eastAsia="zh-CN"/>
        </w:rPr>
        <w:t>Satsangi</w:t>
      </w:r>
      <w:proofErr w:type="spellEnd"/>
      <w:r w:rsidRPr="005A5853">
        <w:rPr>
          <w:rFonts w:ascii="Book Antiqua" w:eastAsia="宋体" w:hAnsi="Book Antiqua" w:cs="宋体"/>
          <w:color w:val="000000"/>
          <w:sz w:val="24"/>
          <w:szCs w:val="24"/>
          <w:lang w:eastAsia="zh-CN"/>
        </w:rPr>
        <w:t xml:space="preserve"> J. Systematic Review of Effects of Withdrawal of </w:t>
      </w:r>
      <w:proofErr w:type="spellStart"/>
      <w:r w:rsidRPr="005A5853">
        <w:rPr>
          <w:rFonts w:ascii="Book Antiqua" w:eastAsia="宋体" w:hAnsi="Book Antiqua" w:cs="宋体"/>
          <w:color w:val="000000"/>
          <w:sz w:val="24"/>
          <w:szCs w:val="24"/>
          <w:lang w:eastAsia="zh-CN"/>
        </w:rPr>
        <w:t>Immunomodulators</w:t>
      </w:r>
      <w:proofErr w:type="spellEnd"/>
      <w:r w:rsidRPr="005A5853">
        <w:rPr>
          <w:rFonts w:ascii="Book Antiqua" w:eastAsia="宋体" w:hAnsi="Book Antiqua" w:cs="宋体"/>
          <w:color w:val="000000"/>
          <w:sz w:val="24"/>
          <w:szCs w:val="24"/>
          <w:lang w:eastAsia="zh-CN"/>
        </w:rPr>
        <w:t xml:space="preserve"> or Biologic Agents From Patients With Inflammatory Bowel Disease. </w:t>
      </w:r>
      <w:r w:rsidRPr="005A5853">
        <w:rPr>
          <w:rFonts w:ascii="Book Antiqua" w:eastAsia="宋体" w:hAnsi="Book Antiqua" w:cs="宋体"/>
          <w:i/>
          <w:iCs/>
          <w:color w:val="000000"/>
          <w:sz w:val="24"/>
          <w:szCs w:val="24"/>
          <w:lang w:eastAsia="zh-CN"/>
        </w:rPr>
        <w:t>Gastroenterology</w:t>
      </w:r>
      <w:r w:rsidRPr="005A5853">
        <w:rPr>
          <w:rFonts w:ascii="Book Antiqua" w:eastAsia="宋体" w:hAnsi="Book Antiqua" w:cs="宋体"/>
          <w:color w:val="000000"/>
          <w:sz w:val="24"/>
          <w:szCs w:val="24"/>
          <w:lang w:eastAsia="zh-CN"/>
        </w:rPr>
        <w:t> 2015; </w:t>
      </w:r>
      <w:r w:rsidRPr="005A5853">
        <w:rPr>
          <w:rFonts w:ascii="Book Antiqua" w:eastAsia="宋体" w:hAnsi="Book Antiqua" w:cs="宋体"/>
          <w:b/>
          <w:bCs/>
          <w:color w:val="000000"/>
          <w:sz w:val="24"/>
          <w:szCs w:val="24"/>
          <w:lang w:eastAsia="zh-CN"/>
        </w:rPr>
        <w:t>149</w:t>
      </w:r>
      <w:r w:rsidRPr="005A5853">
        <w:rPr>
          <w:rFonts w:ascii="Book Antiqua" w:eastAsia="宋体" w:hAnsi="Book Antiqua" w:cs="宋体"/>
          <w:color w:val="000000"/>
          <w:sz w:val="24"/>
          <w:szCs w:val="24"/>
          <w:lang w:eastAsia="zh-CN"/>
        </w:rPr>
        <w:t>: 1716-1730 [PMID: 26381892 DOI: 10.1053/j.gastro.2015.08.055</w:t>
      </w:r>
      <w:r>
        <w:rPr>
          <w:rFonts w:ascii="Book Antiqua" w:eastAsia="宋体" w:hAnsi="Book Antiqua" w:cs="宋体"/>
          <w:color w:val="000000"/>
          <w:sz w:val="24"/>
          <w:szCs w:val="24"/>
          <w:lang w:eastAsia="zh-CN"/>
        </w:rPr>
        <w:t>]</w:t>
      </w:r>
    </w:p>
    <w:p w14:paraId="15BF41DF" w14:textId="41A2BEB0"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28 </w:t>
      </w:r>
      <w:r w:rsidRPr="005A5853">
        <w:rPr>
          <w:rFonts w:ascii="Book Antiqua" w:eastAsia="宋体" w:hAnsi="Book Antiqua" w:cs="宋体"/>
          <w:b/>
          <w:bCs/>
          <w:color w:val="000000"/>
          <w:sz w:val="24"/>
          <w:szCs w:val="24"/>
          <w:lang w:eastAsia="zh-CN"/>
        </w:rPr>
        <w:t xml:space="preserve">Van </w:t>
      </w:r>
      <w:proofErr w:type="spellStart"/>
      <w:r w:rsidRPr="005A5853">
        <w:rPr>
          <w:rFonts w:ascii="Book Antiqua" w:eastAsia="宋体" w:hAnsi="Book Antiqua" w:cs="宋体"/>
          <w:b/>
          <w:bCs/>
          <w:color w:val="000000"/>
          <w:sz w:val="24"/>
          <w:szCs w:val="24"/>
          <w:lang w:eastAsia="zh-CN"/>
        </w:rPr>
        <w:t>Assche</w:t>
      </w:r>
      <w:proofErr w:type="spellEnd"/>
      <w:r w:rsidRPr="005A5853">
        <w:rPr>
          <w:rFonts w:ascii="Book Antiqua" w:eastAsia="宋体" w:hAnsi="Book Antiqua" w:cs="宋体"/>
          <w:b/>
          <w:bCs/>
          <w:color w:val="000000"/>
          <w:sz w:val="24"/>
          <w:szCs w:val="24"/>
          <w:lang w:eastAsia="zh-CN"/>
        </w:rPr>
        <w:t xml:space="preserve"> G</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Magdelaine-Beuzelin</w:t>
      </w:r>
      <w:proofErr w:type="spellEnd"/>
      <w:r w:rsidRPr="005A5853">
        <w:rPr>
          <w:rFonts w:ascii="Book Antiqua" w:eastAsia="宋体" w:hAnsi="Book Antiqua" w:cs="宋体"/>
          <w:color w:val="000000"/>
          <w:sz w:val="24"/>
          <w:szCs w:val="24"/>
          <w:lang w:eastAsia="zh-CN"/>
        </w:rPr>
        <w:t xml:space="preserve"> C, </w:t>
      </w:r>
      <w:proofErr w:type="spellStart"/>
      <w:r w:rsidRPr="005A5853">
        <w:rPr>
          <w:rFonts w:ascii="Book Antiqua" w:eastAsia="宋体" w:hAnsi="Book Antiqua" w:cs="宋体"/>
          <w:color w:val="000000"/>
          <w:sz w:val="24"/>
          <w:szCs w:val="24"/>
          <w:lang w:eastAsia="zh-CN"/>
        </w:rPr>
        <w:t>D'Haens</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Baert</w:t>
      </w:r>
      <w:proofErr w:type="spellEnd"/>
      <w:r w:rsidRPr="005A5853">
        <w:rPr>
          <w:rFonts w:ascii="Book Antiqua" w:eastAsia="宋体" w:hAnsi="Book Antiqua" w:cs="宋体"/>
          <w:color w:val="000000"/>
          <w:sz w:val="24"/>
          <w:szCs w:val="24"/>
          <w:lang w:eastAsia="zh-CN"/>
        </w:rPr>
        <w:t xml:space="preserve"> F, Noman M, </w:t>
      </w:r>
      <w:proofErr w:type="spellStart"/>
      <w:r w:rsidRPr="005A5853">
        <w:rPr>
          <w:rFonts w:ascii="Book Antiqua" w:eastAsia="宋体" w:hAnsi="Book Antiqua" w:cs="宋体"/>
          <w:color w:val="000000"/>
          <w:sz w:val="24"/>
          <w:szCs w:val="24"/>
          <w:lang w:eastAsia="zh-CN"/>
        </w:rPr>
        <w:t>Vermeire</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Ternant</w:t>
      </w:r>
      <w:proofErr w:type="spellEnd"/>
      <w:r w:rsidRPr="005A5853">
        <w:rPr>
          <w:rFonts w:ascii="Book Antiqua" w:eastAsia="宋体" w:hAnsi="Book Antiqua" w:cs="宋体"/>
          <w:color w:val="000000"/>
          <w:sz w:val="24"/>
          <w:szCs w:val="24"/>
          <w:lang w:eastAsia="zh-CN"/>
        </w:rPr>
        <w:t xml:space="preserve"> D, </w:t>
      </w:r>
      <w:proofErr w:type="spellStart"/>
      <w:r w:rsidRPr="005A5853">
        <w:rPr>
          <w:rFonts w:ascii="Book Antiqua" w:eastAsia="宋体" w:hAnsi="Book Antiqua" w:cs="宋体"/>
          <w:color w:val="000000"/>
          <w:sz w:val="24"/>
          <w:szCs w:val="24"/>
          <w:lang w:eastAsia="zh-CN"/>
        </w:rPr>
        <w:t>Watier</w:t>
      </w:r>
      <w:proofErr w:type="spellEnd"/>
      <w:r w:rsidRPr="005A5853">
        <w:rPr>
          <w:rFonts w:ascii="Book Antiqua" w:eastAsia="宋体" w:hAnsi="Book Antiqua" w:cs="宋体"/>
          <w:color w:val="000000"/>
          <w:sz w:val="24"/>
          <w:szCs w:val="24"/>
          <w:lang w:eastAsia="zh-CN"/>
        </w:rPr>
        <w:t xml:space="preserve"> H, </w:t>
      </w:r>
      <w:proofErr w:type="spellStart"/>
      <w:r w:rsidRPr="005A5853">
        <w:rPr>
          <w:rFonts w:ascii="Book Antiqua" w:eastAsia="宋体" w:hAnsi="Book Antiqua" w:cs="宋体"/>
          <w:color w:val="000000"/>
          <w:sz w:val="24"/>
          <w:szCs w:val="24"/>
          <w:lang w:eastAsia="zh-CN"/>
        </w:rPr>
        <w:t>Paintaud</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Rutgeerts</w:t>
      </w:r>
      <w:proofErr w:type="spellEnd"/>
      <w:r w:rsidRPr="005A5853">
        <w:rPr>
          <w:rFonts w:ascii="Book Antiqua" w:eastAsia="宋体" w:hAnsi="Book Antiqua" w:cs="宋体"/>
          <w:color w:val="000000"/>
          <w:sz w:val="24"/>
          <w:szCs w:val="24"/>
          <w:lang w:eastAsia="zh-CN"/>
        </w:rPr>
        <w:t xml:space="preserve"> P. Withdrawal of immunosuppression in Crohn's disease treated with scheduled infliximab maintenance: a randomized trial. </w:t>
      </w:r>
      <w:r w:rsidRPr="005A5853">
        <w:rPr>
          <w:rFonts w:ascii="Book Antiqua" w:eastAsia="宋体" w:hAnsi="Book Antiqua" w:cs="宋体"/>
          <w:i/>
          <w:iCs/>
          <w:color w:val="000000"/>
          <w:sz w:val="24"/>
          <w:szCs w:val="24"/>
          <w:lang w:eastAsia="zh-CN"/>
        </w:rPr>
        <w:t>Gastroenterology</w:t>
      </w:r>
      <w:r w:rsidRPr="005A5853">
        <w:rPr>
          <w:rFonts w:ascii="Book Antiqua" w:eastAsia="宋体" w:hAnsi="Book Antiqua" w:cs="宋体"/>
          <w:color w:val="000000"/>
          <w:sz w:val="24"/>
          <w:szCs w:val="24"/>
          <w:lang w:eastAsia="zh-CN"/>
        </w:rPr>
        <w:t> 2008; </w:t>
      </w:r>
      <w:r w:rsidRPr="005A5853">
        <w:rPr>
          <w:rFonts w:ascii="Book Antiqua" w:eastAsia="宋体" w:hAnsi="Book Antiqua" w:cs="宋体"/>
          <w:b/>
          <w:bCs/>
          <w:color w:val="000000"/>
          <w:sz w:val="24"/>
          <w:szCs w:val="24"/>
          <w:lang w:eastAsia="zh-CN"/>
        </w:rPr>
        <w:t>134</w:t>
      </w:r>
      <w:r w:rsidRPr="005A5853">
        <w:rPr>
          <w:rFonts w:ascii="Book Antiqua" w:eastAsia="宋体" w:hAnsi="Book Antiqua" w:cs="宋体"/>
          <w:color w:val="000000"/>
          <w:sz w:val="24"/>
          <w:szCs w:val="24"/>
          <w:lang w:eastAsia="zh-CN"/>
        </w:rPr>
        <w:t>: 1861-1868 [PMID: 18440315 DOI: 10.1053/j.gastro.2008.03.004</w:t>
      </w:r>
      <w:r>
        <w:rPr>
          <w:rFonts w:ascii="Book Antiqua" w:eastAsia="宋体" w:hAnsi="Book Antiqua" w:cs="宋体"/>
          <w:color w:val="000000"/>
          <w:sz w:val="24"/>
          <w:szCs w:val="24"/>
          <w:lang w:eastAsia="zh-CN"/>
        </w:rPr>
        <w:t>]</w:t>
      </w:r>
    </w:p>
    <w:p w14:paraId="654ED14A" w14:textId="344A198B" w:rsidR="005A5853" w:rsidRPr="005A5853" w:rsidRDefault="009D2AA9" w:rsidP="005A5853">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29 </w:t>
      </w:r>
      <w:r w:rsidR="005A5853" w:rsidRPr="005A5853">
        <w:rPr>
          <w:rFonts w:ascii="Book Antiqua" w:eastAsia="宋体" w:hAnsi="Book Antiqua" w:cs="宋体"/>
          <w:b/>
          <w:color w:val="000000"/>
          <w:sz w:val="24"/>
          <w:szCs w:val="24"/>
          <w:lang w:eastAsia="zh-CN"/>
        </w:rPr>
        <w:t xml:space="preserve">Del Tedesco E, </w:t>
      </w:r>
      <w:r w:rsidR="005A5853" w:rsidRPr="005A5853">
        <w:rPr>
          <w:rFonts w:ascii="Book Antiqua" w:eastAsia="宋体" w:hAnsi="Book Antiqua" w:cs="宋体"/>
          <w:color w:val="000000"/>
          <w:sz w:val="24"/>
          <w:szCs w:val="24"/>
          <w:lang w:eastAsia="zh-CN"/>
        </w:rPr>
        <w:t xml:space="preserve">Paul S, </w:t>
      </w:r>
      <w:proofErr w:type="spellStart"/>
      <w:r w:rsidR="005A5853" w:rsidRPr="005A5853">
        <w:rPr>
          <w:rFonts w:ascii="Book Antiqua" w:eastAsia="宋体" w:hAnsi="Book Antiqua" w:cs="宋体"/>
          <w:color w:val="000000"/>
          <w:sz w:val="24"/>
          <w:szCs w:val="24"/>
          <w:lang w:eastAsia="zh-CN"/>
        </w:rPr>
        <w:t>Marotte</w:t>
      </w:r>
      <w:proofErr w:type="spellEnd"/>
      <w:r w:rsidR="005A5853" w:rsidRPr="005A5853">
        <w:rPr>
          <w:rFonts w:ascii="Book Antiqua" w:eastAsia="宋体" w:hAnsi="Book Antiqua" w:cs="宋体"/>
          <w:color w:val="000000"/>
          <w:sz w:val="24"/>
          <w:szCs w:val="24"/>
          <w:lang w:eastAsia="zh-CN"/>
        </w:rPr>
        <w:t xml:space="preserve"> H, </w:t>
      </w:r>
      <w:proofErr w:type="spellStart"/>
      <w:r w:rsidR="005A5853" w:rsidRPr="005A5853">
        <w:rPr>
          <w:rFonts w:ascii="Book Antiqua" w:eastAsia="宋体" w:hAnsi="Book Antiqua" w:cs="宋体"/>
          <w:color w:val="000000"/>
          <w:sz w:val="24"/>
          <w:szCs w:val="24"/>
          <w:lang w:eastAsia="zh-CN"/>
        </w:rPr>
        <w:t>Jarlot</w:t>
      </w:r>
      <w:proofErr w:type="spellEnd"/>
      <w:r w:rsidR="005A5853" w:rsidRPr="005A5853">
        <w:rPr>
          <w:rFonts w:ascii="Book Antiqua" w:eastAsia="宋体" w:hAnsi="Book Antiqua" w:cs="宋体"/>
          <w:color w:val="000000"/>
          <w:sz w:val="24"/>
          <w:szCs w:val="24"/>
          <w:lang w:eastAsia="zh-CN"/>
        </w:rPr>
        <w:t xml:space="preserve"> C, </w:t>
      </w:r>
      <w:proofErr w:type="spellStart"/>
      <w:r w:rsidR="005A5853" w:rsidRPr="005A5853">
        <w:rPr>
          <w:rFonts w:ascii="Book Antiqua" w:eastAsia="宋体" w:hAnsi="Book Antiqua" w:cs="宋体"/>
          <w:color w:val="000000"/>
          <w:sz w:val="24"/>
          <w:szCs w:val="24"/>
          <w:lang w:eastAsia="zh-CN"/>
        </w:rPr>
        <w:t>Williet</w:t>
      </w:r>
      <w:proofErr w:type="spellEnd"/>
      <w:r w:rsidR="005A5853" w:rsidRPr="005A5853">
        <w:rPr>
          <w:rFonts w:ascii="Book Antiqua" w:eastAsia="宋体" w:hAnsi="Book Antiqua" w:cs="宋体"/>
          <w:color w:val="000000"/>
          <w:sz w:val="24"/>
          <w:szCs w:val="24"/>
          <w:lang w:eastAsia="zh-CN"/>
        </w:rPr>
        <w:t xml:space="preserve"> N, </w:t>
      </w:r>
      <w:proofErr w:type="spellStart"/>
      <w:r w:rsidR="005A5853" w:rsidRPr="005A5853">
        <w:rPr>
          <w:rFonts w:ascii="Book Antiqua" w:eastAsia="宋体" w:hAnsi="Book Antiqua" w:cs="宋体"/>
          <w:color w:val="000000"/>
          <w:sz w:val="24"/>
          <w:szCs w:val="24"/>
          <w:lang w:eastAsia="zh-CN"/>
        </w:rPr>
        <w:t>Phelip</w:t>
      </w:r>
      <w:proofErr w:type="spellEnd"/>
      <w:r w:rsidR="005A5853" w:rsidRPr="005A5853">
        <w:rPr>
          <w:rFonts w:ascii="Book Antiqua" w:eastAsia="宋体" w:hAnsi="Book Antiqua" w:cs="宋体"/>
          <w:color w:val="000000"/>
          <w:sz w:val="24"/>
          <w:szCs w:val="24"/>
          <w:lang w:eastAsia="zh-CN"/>
        </w:rPr>
        <w:t xml:space="preserve"> JM, </w:t>
      </w:r>
      <w:proofErr w:type="spellStart"/>
      <w:r w:rsidR="005A5853" w:rsidRPr="005A5853">
        <w:rPr>
          <w:rFonts w:ascii="Book Antiqua" w:eastAsia="宋体" w:hAnsi="Book Antiqua" w:cs="宋体"/>
          <w:color w:val="000000"/>
          <w:sz w:val="24"/>
          <w:szCs w:val="24"/>
          <w:lang w:eastAsia="zh-CN"/>
        </w:rPr>
        <w:t>Peyrin-Biroulet</w:t>
      </w:r>
      <w:proofErr w:type="spellEnd"/>
      <w:r w:rsidR="005A5853" w:rsidRPr="005A5853">
        <w:rPr>
          <w:rFonts w:ascii="Book Antiqua" w:eastAsia="宋体" w:hAnsi="Book Antiqua" w:cs="宋体"/>
          <w:color w:val="000000"/>
          <w:sz w:val="24"/>
          <w:szCs w:val="24"/>
          <w:lang w:eastAsia="zh-CN"/>
        </w:rPr>
        <w:t xml:space="preserve"> L, </w:t>
      </w:r>
      <w:proofErr w:type="spellStart"/>
      <w:r w:rsidR="005A5853" w:rsidRPr="005A5853">
        <w:rPr>
          <w:rFonts w:ascii="Book Antiqua" w:eastAsia="宋体" w:hAnsi="Book Antiqua" w:cs="宋体"/>
          <w:color w:val="000000"/>
          <w:sz w:val="24"/>
          <w:szCs w:val="24"/>
          <w:lang w:eastAsia="zh-CN"/>
        </w:rPr>
        <w:t>Colombel</w:t>
      </w:r>
      <w:proofErr w:type="spellEnd"/>
      <w:r w:rsidR="005A5853" w:rsidRPr="005A5853">
        <w:rPr>
          <w:rFonts w:ascii="Book Antiqua" w:eastAsia="宋体" w:hAnsi="Book Antiqua" w:cs="宋体"/>
          <w:color w:val="000000"/>
          <w:sz w:val="24"/>
          <w:szCs w:val="24"/>
          <w:lang w:eastAsia="zh-CN"/>
        </w:rPr>
        <w:t xml:space="preserve"> JF, Roblin X. Azathioprine dose reduction in inflammatory bowel disease patients on combination therapy: a prospective study. </w:t>
      </w:r>
      <w:r w:rsidR="005A5853" w:rsidRPr="005A5853">
        <w:rPr>
          <w:rFonts w:ascii="Book Antiqua" w:eastAsia="宋体" w:hAnsi="Book Antiqua" w:cs="宋体"/>
          <w:i/>
          <w:color w:val="000000"/>
          <w:sz w:val="24"/>
          <w:szCs w:val="24"/>
          <w:lang w:eastAsia="zh-CN"/>
        </w:rPr>
        <w:t>Gastroenterology</w:t>
      </w:r>
      <w:r w:rsidR="005A5853" w:rsidRPr="005A5853">
        <w:rPr>
          <w:rFonts w:ascii="Book Antiqua" w:eastAsia="宋体" w:hAnsi="Book Antiqua" w:cs="宋体"/>
          <w:color w:val="000000"/>
          <w:sz w:val="24"/>
          <w:szCs w:val="24"/>
          <w:lang w:eastAsia="zh-CN"/>
        </w:rPr>
        <w:t xml:space="preserve"> 2016; </w:t>
      </w:r>
      <w:r w:rsidR="005A5853" w:rsidRPr="005A5853">
        <w:rPr>
          <w:rFonts w:ascii="Book Antiqua" w:eastAsia="宋体" w:hAnsi="Book Antiqua" w:cs="宋体"/>
          <w:b/>
          <w:color w:val="000000"/>
          <w:sz w:val="24"/>
          <w:szCs w:val="24"/>
          <w:lang w:eastAsia="zh-CN"/>
        </w:rPr>
        <w:t>140:</w:t>
      </w:r>
      <w:r w:rsidR="005A5853" w:rsidRPr="005A5853">
        <w:rPr>
          <w:rFonts w:ascii="Book Antiqua" w:eastAsia="宋体" w:hAnsi="Book Antiqua" w:cs="宋体"/>
          <w:color w:val="000000"/>
          <w:sz w:val="24"/>
          <w:szCs w:val="24"/>
          <w:lang w:eastAsia="zh-CN"/>
        </w:rPr>
        <w:t xml:space="preserve"> S143 - S144 [</w:t>
      </w:r>
      <w:r>
        <w:rPr>
          <w:rFonts w:ascii="Book Antiqua" w:eastAsia="宋体" w:hAnsi="Book Antiqua" w:cs="宋体" w:hint="eastAsia"/>
          <w:color w:val="000000"/>
          <w:sz w:val="24"/>
          <w:szCs w:val="24"/>
          <w:lang w:eastAsia="zh-CN"/>
        </w:rPr>
        <w:t xml:space="preserve">DOI: </w:t>
      </w:r>
      <w:r w:rsidR="005A5853" w:rsidRPr="005A5853">
        <w:rPr>
          <w:rFonts w:ascii="Book Antiqua" w:eastAsia="宋体" w:hAnsi="Book Antiqua" w:cs="宋体"/>
          <w:color w:val="000000"/>
          <w:sz w:val="24"/>
          <w:szCs w:val="24"/>
          <w:lang w:eastAsia="zh-CN"/>
        </w:rPr>
        <w:t>10.1016/S0016-5085(16)30584-4]</w:t>
      </w:r>
    </w:p>
    <w:p w14:paraId="1BBFF673" w14:textId="3CD09CC0"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30 </w:t>
      </w:r>
      <w:proofErr w:type="spellStart"/>
      <w:r w:rsidRPr="005A5853">
        <w:rPr>
          <w:rFonts w:ascii="Book Antiqua" w:eastAsia="宋体" w:hAnsi="Book Antiqua" w:cs="宋体"/>
          <w:b/>
          <w:bCs/>
          <w:color w:val="000000"/>
          <w:sz w:val="24"/>
          <w:szCs w:val="24"/>
          <w:lang w:eastAsia="zh-CN"/>
        </w:rPr>
        <w:t>Toruner</w:t>
      </w:r>
      <w:proofErr w:type="spellEnd"/>
      <w:r w:rsidRPr="005A5853">
        <w:rPr>
          <w:rFonts w:ascii="Book Antiqua" w:eastAsia="宋体" w:hAnsi="Book Antiqua" w:cs="宋体"/>
          <w:b/>
          <w:bCs/>
          <w:color w:val="000000"/>
          <w:sz w:val="24"/>
          <w:szCs w:val="24"/>
          <w:lang w:eastAsia="zh-CN"/>
        </w:rPr>
        <w:t xml:space="preserve"> M</w:t>
      </w:r>
      <w:r w:rsidRPr="005A5853">
        <w:rPr>
          <w:rFonts w:ascii="Book Antiqua" w:eastAsia="宋体" w:hAnsi="Book Antiqua" w:cs="宋体"/>
          <w:color w:val="000000"/>
          <w:sz w:val="24"/>
          <w:szCs w:val="24"/>
          <w:lang w:eastAsia="zh-CN"/>
        </w:rPr>
        <w:t xml:space="preserve">, Loftus EV, </w:t>
      </w:r>
      <w:proofErr w:type="spellStart"/>
      <w:r w:rsidRPr="005A5853">
        <w:rPr>
          <w:rFonts w:ascii="Book Antiqua" w:eastAsia="宋体" w:hAnsi="Book Antiqua" w:cs="宋体"/>
          <w:color w:val="000000"/>
          <w:sz w:val="24"/>
          <w:szCs w:val="24"/>
          <w:lang w:eastAsia="zh-CN"/>
        </w:rPr>
        <w:t>Harmsen</w:t>
      </w:r>
      <w:proofErr w:type="spellEnd"/>
      <w:r w:rsidRPr="005A5853">
        <w:rPr>
          <w:rFonts w:ascii="Book Antiqua" w:eastAsia="宋体" w:hAnsi="Book Antiqua" w:cs="宋体"/>
          <w:color w:val="000000"/>
          <w:sz w:val="24"/>
          <w:szCs w:val="24"/>
          <w:lang w:eastAsia="zh-CN"/>
        </w:rPr>
        <w:t xml:space="preserve"> WS, </w:t>
      </w:r>
      <w:proofErr w:type="spellStart"/>
      <w:r w:rsidRPr="005A5853">
        <w:rPr>
          <w:rFonts w:ascii="Book Antiqua" w:eastAsia="宋体" w:hAnsi="Book Antiqua" w:cs="宋体"/>
          <w:color w:val="000000"/>
          <w:sz w:val="24"/>
          <w:szCs w:val="24"/>
          <w:lang w:eastAsia="zh-CN"/>
        </w:rPr>
        <w:t>Zinsmeister</w:t>
      </w:r>
      <w:proofErr w:type="spellEnd"/>
      <w:r w:rsidRPr="005A5853">
        <w:rPr>
          <w:rFonts w:ascii="Book Antiqua" w:eastAsia="宋体" w:hAnsi="Book Antiqua" w:cs="宋体"/>
          <w:color w:val="000000"/>
          <w:sz w:val="24"/>
          <w:szCs w:val="24"/>
          <w:lang w:eastAsia="zh-CN"/>
        </w:rPr>
        <w:t xml:space="preserve"> AR, Orenstein R, </w:t>
      </w:r>
      <w:proofErr w:type="spellStart"/>
      <w:r w:rsidRPr="005A5853">
        <w:rPr>
          <w:rFonts w:ascii="Book Antiqua" w:eastAsia="宋体" w:hAnsi="Book Antiqua" w:cs="宋体"/>
          <w:color w:val="000000"/>
          <w:sz w:val="24"/>
          <w:szCs w:val="24"/>
          <w:lang w:eastAsia="zh-CN"/>
        </w:rPr>
        <w:t>Sandborn</w:t>
      </w:r>
      <w:proofErr w:type="spellEnd"/>
      <w:r w:rsidRPr="005A5853">
        <w:rPr>
          <w:rFonts w:ascii="Book Antiqua" w:eastAsia="宋体" w:hAnsi="Book Antiqua" w:cs="宋体"/>
          <w:color w:val="000000"/>
          <w:sz w:val="24"/>
          <w:szCs w:val="24"/>
          <w:lang w:eastAsia="zh-CN"/>
        </w:rPr>
        <w:t xml:space="preserve"> WJ,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Egan LJ. Risk factors for opportunistic infections in patients with inflammatory bowel disease. </w:t>
      </w:r>
      <w:r w:rsidRPr="005A5853">
        <w:rPr>
          <w:rFonts w:ascii="Book Antiqua" w:eastAsia="宋体" w:hAnsi="Book Antiqua" w:cs="宋体"/>
          <w:i/>
          <w:iCs/>
          <w:color w:val="000000"/>
          <w:sz w:val="24"/>
          <w:szCs w:val="24"/>
          <w:lang w:eastAsia="zh-CN"/>
        </w:rPr>
        <w:t>Gastroenterology</w:t>
      </w:r>
      <w:r w:rsidRPr="005A5853">
        <w:rPr>
          <w:rFonts w:ascii="Book Antiqua" w:eastAsia="宋体" w:hAnsi="Book Antiqua" w:cs="宋体"/>
          <w:color w:val="000000"/>
          <w:sz w:val="24"/>
          <w:szCs w:val="24"/>
          <w:lang w:eastAsia="zh-CN"/>
        </w:rPr>
        <w:t> 2008; </w:t>
      </w:r>
      <w:r w:rsidRPr="005A5853">
        <w:rPr>
          <w:rFonts w:ascii="Book Antiqua" w:eastAsia="宋体" w:hAnsi="Book Antiqua" w:cs="宋体"/>
          <w:b/>
          <w:bCs/>
          <w:color w:val="000000"/>
          <w:sz w:val="24"/>
          <w:szCs w:val="24"/>
          <w:lang w:eastAsia="zh-CN"/>
        </w:rPr>
        <w:t>134</w:t>
      </w:r>
      <w:r w:rsidRPr="005A5853">
        <w:rPr>
          <w:rFonts w:ascii="Book Antiqua" w:eastAsia="宋体" w:hAnsi="Book Antiqua" w:cs="宋体"/>
          <w:color w:val="000000"/>
          <w:sz w:val="24"/>
          <w:szCs w:val="24"/>
          <w:lang w:eastAsia="zh-CN"/>
        </w:rPr>
        <w:t>: 929-936 [PMID: 18294633 DOI: 10.1053/j.gastro.2008.01.012</w:t>
      </w:r>
      <w:r>
        <w:rPr>
          <w:rFonts w:ascii="Book Antiqua" w:eastAsia="宋体" w:hAnsi="Book Antiqua" w:cs="宋体"/>
          <w:color w:val="000000"/>
          <w:sz w:val="24"/>
          <w:szCs w:val="24"/>
          <w:lang w:eastAsia="zh-CN"/>
        </w:rPr>
        <w:t>]</w:t>
      </w:r>
    </w:p>
    <w:p w14:paraId="2E5E6934" w14:textId="4AF5B281"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lastRenderedPageBreak/>
        <w:t>31 </w:t>
      </w:r>
      <w:proofErr w:type="spellStart"/>
      <w:r w:rsidRPr="005A5853">
        <w:rPr>
          <w:rFonts w:ascii="Book Antiqua" w:eastAsia="宋体" w:hAnsi="Book Antiqua" w:cs="宋体"/>
          <w:b/>
          <w:bCs/>
          <w:color w:val="000000"/>
          <w:sz w:val="24"/>
          <w:szCs w:val="24"/>
          <w:lang w:eastAsia="zh-CN"/>
        </w:rPr>
        <w:t>Kandiel</w:t>
      </w:r>
      <w:proofErr w:type="spellEnd"/>
      <w:r w:rsidRPr="005A5853">
        <w:rPr>
          <w:rFonts w:ascii="Book Antiqua" w:eastAsia="宋体" w:hAnsi="Book Antiqua" w:cs="宋体"/>
          <w:b/>
          <w:bCs/>
          <w:color w:val="000000"/>
          <w:sz w:val="24"/>
          <w:szCs w:val="24"/>
          <w:lang w:eastAsia="zh-CN"/>
        </w:rPr>
        <w:t xml:space="preserve"> A</w:t>
      </w:r>
      <w:r w:rsidRPr="005A5853">
        <w:rPr>
          <w:rFonts w:ascii="Book Antiqua" w:eastAsia="宋体" w:hAnsi="Book Antiqua" w:cs="宋体"/>
          <w:color w:val="000000"/>
          <w:sz w:val="24"/>
          <w:szCs w:val="24"/>
          <w:lang w:eastAsia="zh-CN"/>
        </w:rPr>
        <w:t xml:space="preserve">, Fraser AG, </w:t>
      </w:r>
      <w:proofErr w:type="spellStart"/>
      <w:r w:rsidRPr="005A5853">
        <w:rPr>
          <w:rFonts w:ascii="Book Antiqua" w:eastAsia="宋体" w:hAnsi="Book Antiqua" w:cs="宋体"/>
          <w:color w:val="000000"/>
          <w:sz w:val="24"/>
          <w:szCs w:val="24"/>
          <w:lang w:eastAsia="zh-CN"/>
        </w:rPr>
        <w:t>Korelitz</w:t>
      </w:r>
      <w:proofErr w:type="spellEnd"/>
      <w:r w:rsidRPr="005A5853">
        <w:rPr>
          <w:rFonts w:ascii="Book Antiqua" w:eastAsia="宋体" w:hAnsi="Book Antiqua" w:cs="宋体"/>
          <w:color w:val="000000"/>
          <w:sz w:val="24"/>
          <w:szCs w:val="24"/>
          <w:lang w:eastAsia="zh-CN"/>
        </w:rPr>
        <w:t xml:space="preserve"> BI, </w:t>
      </w:r>
      <w:proofErr w:type="spellStart"/>
      <w:r w:rsidRPr="005A5853">
        <w:rPr>
          <w:rFonts w:ascii="Book Antiqua" w:eastAsia="宋体" w:hAnsi="Book Antiqua" w:cs="宋体"/>
          <w:color w:val="000000"/>
          <w:sz w:val="24"/>
          <w:szCs w:val="24"/>
          <w:lang w:eastAsia="zh-CN"/>
        </w:rPr>
        <w:t>Brensinger</w:t>
      </w:r>
      <w:proofErr w:type="spellEnd"/>
      <w:r w:rsidRPr="005A5853">
        <w:rPr>
          <w:rFonts w:ascii="Book Antiqua" w:eastAsia="宋体" w:hAnsi="Book Antiqua" w:cs="宋体"/>
          <w:color w:val="000000"/>
          <w:sz w:val="24"/>
          <w:szCs w:val="24"/>
          <w:lang w:eastAsia="zh-CN"/>
        </w:rPr>
        <w:t xml:space="preserve"> C, Lewis JD. Increased risk of lymphoma among inflammatory bowel disease patients treated with azathioprine and 6-mercaptopurine. </w:t>
      </w:r>
      <w:r w:rsidRPr="005A5853">
        <w:rPr>
          <w:rFonts w:ascii="Book Antiqua" w:eastAsia="宋体" w:hAnsi="Book Antiqua" w:cs="宋体"/>
          <w:i/>
          <w:iCs/>
          <w:color w:val="000000"/>
          <w:sz w:val="24"/>
          <w:szCs w:val="24"/>
          <w:lang w:eastAsia="zh-CN"/>
        </w:rPr>
        <w:t>Gut</w:t>
      </w:r>
      <w:r w:rsidRPr="005A5853">
        <w:rPr>
          <w:rFonts w:ascii="Book Antiqua" w:eastAsia="宋体" w:hAnsi="Book Antiqua" w:cs="宋体"/>
          <w:color w:val="000000"/>
          <w:sz w:val="24"/>
          <w:szCs w:val="24"/>
          <w:lang w:eastAsia="zh-CN"/>
        </w:rPr>
        <w:t> 2005; </w:t>
      </w:r>
      <w:r w:rsidRPr="005A5853">
        <w:rPr>
          <w:rFonts w:ascii="Book Antiqua" w:eastAsia="宋体" w:hAnsi="Book Antiqua" w:cs="宋体"/>
          <w:b/>
          <w:bCs/>
          <w:color w:val="000000"/>
          <w:sz w:val="24"/>
          <w:szCs w:val="24"/>
          <w:lang w:eastAsia="zh-CN"/>
        </w:rPr>
        <w:t>54</w:t>
      </w:r>
      <w:r w:rsidRPr="005A5853">
        <w:rPr>
          <w:rFonts w:ascii="Book Antiqua" w:eastAsia="宋体" w:hAnsi="Book Antiqua" w:cs="宋体"/>
          <w:color w:val="000000"/>
          <w:sz w:val="24"/>
          <w:szCs w:val="24"/>
          <w:lang w:eastAsia="zh-CN"/>
        </w:rPr>
        <w:t>: 1121-1125 [PMID: 16009685 DOI: 10.1136/gut.2004.049460</w:t>
      </w:r>
      <w:r>
        <w:rPr>
          <w:rFonts w:ascii="Book Antiqua" w:eastAsia="宋体" w:hAnsi="Book Antiqua" w:cs="宋体"/>
          <w:color w:val="000000"/>
          <w:sz w:val="24"/>
          <w:szCs w:val="24"/>
          <w:lang w:eastAsia="zh-CN"/>
        </w:rPr>
        <w:t>]</w:t>
      </w:r>
    </w:p>
    <w:p w14:paraId="76F6B80B" w14:textId="360865FE"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32 </w:t>
      </w:r>
      <w:proofErr w:type="spellStart"/>
      <w:r w:rsidRPr="005A5853">
        <w:rPr>
          <w:rFonts w:ascii="Book Antiqua" w:eastAsia="宋体" w:hAnsi="Book Antiqua" w:cs="宋体"/>
          <w:b/>
          <w:bCs/>
          <w:color w:val="000000"/>
          <w:sz w:val="24"/>
          <w:szCs w:val="24"/>
          <w:lang w:eastAsia="zh-CN"/>
        </w:rPr>
        <w:t>Beaugerie</w:t>
      </w:r>
      <w:proofErr w:type="spellEnd"/>
      <w:r w:rsidRPr="005A5853">
        <w:rPr>
          <w:rFonts w:ascii="Book Antiqua" w:eastAsia="宋体" w:hAnsi="Book Antiqua" w:cs="宋体"/>
          <w:b/>
          <w:bCs/>
          <w:color w:val="000000"/>
          <w:sz w:val="24"/>
          <w:szCs w:val="24"/>
          <w:lang w:eastAsia="zh-CN"/>
        </w:rPr>
        <w:t xml:space="preserve"> L</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Brousse</w:t>
      </w:r>
      <w:proofErr w:type="spellEnd"/>
      <w:r w:rsidRPr="005A5853">
        <w:rPr>
          <w:rFonts w:ascii="Book Antiqua" w:eastAsia="宋体" w:hAnsi="Book Antiqua" w:cs="宋体"/>
          <w:color w:val="000000"/>
          <w:sz w:val="24"/>
          <w:szCs w:val="24"/>
          <w:lang w:eastAsia="zh-CN"/>
        </w:rPr>
        <w:t xml:space="preserve"> N, </w:t>
      </w:r>
      <w:proofErr w:type="spellStart"/>
      <w:r w:rsidRPr="005A5853">
        <w:rPr>
          <w:rFonts w:ascii="Book Antiqua" w:eastAsia="宋体" w:hAnsi="Book Antiqua" w:cs="宋体"/>
          <w:color w:val="000000"/>
          <w:sz w:val="24"/>
          <w:szCs w:val="24"/>
          <w:lang w:eastAsia="zh-CN"/>
        </w:rPr>
        <w:t>Bouvier</w:t>
      </w:r>
      <w:proofErr w:type="spellEnd"/>
      <w:r w:rsidRPr="005A5853">
        <w:rPr>
          <w:rFonts w:ascii="Book Antiqua" w:eastAsia="宋体" w:hAnsi="Book Antiqua" w:cs="宋体"/>
          <w:color w:val="000000"/>
          <w:sz w:val="24"/>
          <w:szCs w:val="24"/>
          <w:lang w:eastAsia="zh-CN"/>
        </w:rPr>
        <w:t xml:space="preserve"> AM,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w:t>
      </w:r>
      <w:proofErr w:type="spellStart"/>
      <w:r w:rsidRPr="005A5853">
        <w:rPr>
          <w:rFonts w:ascii="Book Antiqua" w:eastAsia="宋体" w:hAnsi="Book Antiqua" w:cs="宋体"/>
          <w:color w:val="000000"/>
          <w:sz w:val="24"/>
          <w:szCs w:val="24"/>
          <w:lang w:eastAsia="zh-CN"/>
        </w:rPr>
        <w:t>Lémann</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Cosnes</w:t>
      </w:r>
      <w:proofErr w:type="spellEnd"/>
      <w:r w:rsidRPr="005A5853">
        <w:rPr>
          <w:rFonts w:ascii="Book Antiqua" w:eastAsia="宋体" w:hAnsi="Book Antiqua" w:cs="宋体"/>
          <w:color w:val="000000"/>
          <w:sz w:val="24"/>
          <w:szCs w:val="24"/>
          <w:lang w:eastAsia="zh-CN"/>
        </w:rPr>
        <w:t xml:space="preserve"> J, </w:t>
      </w:r>
      <w:proofErr w:type="spellStart"/>
      <w:r w:rsidRPr="005A5853">
        <w:rPr>
          <w:rFonts w:ascii="Book Antiqua" w:eastAsia="宋体" w:hAnsi="Book Antiqua" w:cs="宋体"/>
          <w:color w:val="000000"/>
          <w:sz w:val="24"/>
          <w:szCs w:val="24"/>
          <w:lang w:eastAsia="zh-CN"/>
        </w:rPr>
        <w:t>Hébuterne</w:t>
      </w:r>
      <w:proofErr w:type="spellEnd"/>
      <w:r w:rsidRPr="005A5853">
        <w:rPr>
          <w:rFonts w:ascii="Book Antiqua" w:eastAsia="宋体" w:hAnsi="Book Antiqua" w:cs="宋体"/>
          <w:color w:val="000000"/>
          <w:sz w:val="24"/>
          <w:szCs w:val="24"/>
          <w:lang w:eastAsia="zh-CN"/>
        </w:rPr>
        <w:t xml:space="preserve"> X, </w:t>
      </w:r>
      <w:proofErr w:type="spellStart"/>
      <w:r w:rsidRPr="005A5853">
        <w:rPr>
          <w:rFonts w:ascii="Book Antiqua" w:eastAsia="宋体" w:hAnsi="Book Antiqua" w:cs="宋体"/>
          <w:color w:val="000000"/>
          <w:sz w:val="24"/>
          <w:szCs w:val="24"/>
          <w:lang w:eastAsia="zh-CN"/>
        </w:rPr>
        <w:t>Cortot</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Bouhnik</w:t>
      </w:r>
      <w:proofErr w:type="spellEnd"/>
      <w:r w:rsidRPr="005A5853">
        <w:rPr>
          <w:rFonts w:ascii="Book Antiqua" w:eastAsia="宋体" w:hAnsi="Book Antiqua" w:cs="宋体"/>
          <w:color w:val="000000"/>
          <w:sz w:val="24"/>
          <w:szCs w:val="24"/>
          <w:lang w:eastAsia="zh-CN"/>
        </w:rPr>
        <w:t xml:space="preserve"> Y, </w:t>
      </w:r>
      <w:proofErr w:type="spellStart"/>
      <w:r w:rsidRPr="005A5853">
        <w:rPr>
          <w:rFonts w:ascii="Book Antiqua" w:eastAsia="宋体" w:hAnsi="Book Antiqua" w:cs="宋体"/>
          <w:color w:val="000000"/>
          <w:sz w:val="24"/>
          <w:szCs w:val="24"/>
          <w:lang w:eastAsia="zh-CN"/>
        </w:rPr>
        <w:t>Gendre</w:t>
      </w:r>
      <w:proofErr w:type="spellEnd"/>
      <w:r w:rsidRPr="005A5853">
        <w:rPr>
          <w:rFonts w:ascii="Book Antiqua" w:eastAsia="宋体" w:hAnsi="Book Antiqua" w:cs="宋体"/>
          <w:color w:val="000000"/>
          <w:sz w:val="24"/>
          <w:szCs w:val="24"/>
          <w:lang w:eastAsia="zh-CN"/>
        </w:rPr>
        <w:t xml:space="preserve"> JP, Simon T, </w:t>
      </w:r>
      <w:proofErr w:type="spellStart"/>
      <w:r w:rsidRPr="005A5853">
        <w:rPr>
          <w:rFonts w:ascii="Book Antiqua" w:eastAsia="宋体" w:hAnsi="Book Antiqua" w:cs="宋体"/>
          <w:color w:val="000000"/>
          <w:sz w:val="24"/>
          <w:szCs w:val="24"/>
          <w:lang w:eastAsia="zh-CN"/>
        </w:rPr>
        <w:t>Maynadié</w:t>
      </w:r>
      <w:proofErr w:type="spellEnd"/>
      <w:r w:rsidRPr="005A5853">
        <w:rPr>
          <w:rFonts w:ascii="Book Antiqua" w:eastAsia="宋体" w:hAnsi="Book Antiqua" w:cs="宋体"/>
          <w:color w:val="000000"/>
          <w:sz w:val="24"/>
          <w:szCs w:val="24"/>
          <w:lang w:eastAsia="zh-CN"/>
        </w:rPr>
        <w:t xml:space="preserve"> M, Hermine O, </w:t>
      </w:r>
      <w:proofErr w:type="spellStart"/>
      <w:r w:rsidRPr="005A5853">
        <w:rPr>
          <w:rFonts w:ascii="Book Antiqua" w:eastAsia="宋体" w:hAnsi="Book Antiqua" w:cs="宋体"/>
          <w:color w:val="000000"/>
          <w:sz w:val="24"/>
          <w:szCs w:val="24"/>
          <w:lang w:eastAsia="zh-CN"/>
        </w:rPr>
        <w:t>Faivre</w:t>
      </w:r>
      <w:proofErr w:type="spellEnd"/>
      <w:r w:rsidRPr="005A5853">
        <w:rPr>
          <w:rFonts w:ascii="Book Antiqua" w:eastAsia="宋体" w:hAnsi="Book Antiqua" w:cs="宋体"/>
          <w:color w:val="000000"/>
          <w:sz w:val="24"/>
          <w:szCs w:val="24"/>
          <w:lang w:eastAsia="zh-CN"/>
        </w:rPr>
        <w:t xml:space="preserve"> J, </w:t>
      </w:r>
      <w:proofErr w:type="spellStart"/>
      <w:r w:rsidRPr="005A5853">
        <w:rPr>
          <w:rFonts w:ascii="Book Antiqua" w:eastAsia="宋体" w:hAnsi="Book Antiqua" w:cs="宋体"/>
          <w:color w:val="000000"/>
          <w:sz w:val="24"/>
          <w:szCs w:val="24"/>
          <w:lang w:eastAsia="zh-CN"/>
        </w:rPr>
        <w:t>Carrat</w:t>
      </w:r>
      <w:proofErr w:type="spellEnd"/>
      <w:r w:rsidRPr="005A5853">
        <w:rPr>
          <w:rFonts w:ascii="Book Antiqua" w:eastAsia="宋体" w:hAnsi="Book Antiqua" w:cs="宋体"/>
          <w:color w:val="000000"/>
          <w:sz w:val="24"/>
          <w:szCs w:val="24"/>
          <w:lang w:eastAsia="zh-CN"/>
        </w:rPr>
        <w:t xml:space="preserve"> F</w:t>
      </w:r>
      <w:r w:rsidR="009D2AA9" w:rsidRPr="000E643C">
        <w:rPr>
          <w:rFonts w:ascii="Book Antiqua" w:hAnsi="Book Antiqua" w:cstheme="minorHAnsi"/>
          <w:sz w:val="24"/>
          <w:szCs w:val="24"/>
        </w:rPr>
        <w:t>; CESAME Study Group</w:t>
      </w:r>
      <w:r w:rsidRPr="005A5853">
        <w:rPr>
          <w:rFonts w:ascii="Book Antiqua" w:eastAsia="宋体" w:hAnsi="Book Antiqua" w:cs="宋体"/>
          <w:color w:val="000000"/>
          <w:sz w:val="24"/>
          <w:szCs w:val="24"/>
          <w:lang w:eastAsia="zh-CN"/>
        </w:rPr>
        <w:t xml:space="preserve">. Lymphoproliferative disorders in patients receiving </w:t>
      </w:r>
      <w:proofErr w:type="spellStart"/>
      <w:r w:rsidRPr="005A5853">
        <w:rPr>
          <w:rFonts w:ascii="Book Antiqua" w:eastAsia="宋体" w:hAnsi="Book Antiqua" w:cs="宋体"/>
          <w:color w:val="000000"/>
          <w:sz w:val="24"/>
          <w:szCs w:val="24"/>
          <w:lang w:eastAsia="zh-CN"/>
        </w:rPr>
        <w:t>thiopurines</w:t>
      </w:r>
      <w:proofErr w:type="spellEnd"/>
      <w:r w:rsidRPr="005A5853">
        <w:rPr>
          <w:rFonts w:ascii="Book Antiqua" w:eastAsia="宋体" w:hAnsi="Book Antiqua" w:cs="宋体"/>
          <w:color w:val="000000"/>
          <w:sz w:val="24"/>
          <w:szCs w:val="24"/>
          <w:lang w:eastAsia="zh-CN"/>
        </w:rPr>
        <w:t xml:space="preserve"> for inflammatory bowel disease: a prospective observational cohort study. </w:t>
      </w:r>
      <w:r w:rsidRPr="005A5853">
        <w:rPr>
          <w:rFonts w:ascii="Book Antiqua" w:eastAsia="宋体" w:hAnsi="Book Antiqua" w:cs="宋体"/>
          <w:i/>
          <w:iCs/>
          <w:color w:val="000000"/>
          <w:sz w:val="24"/>
          <w:szCs w:val="24"/>
          <w:lang w:eastAsia="zh-CN"/>
        </w:rPr>
        <w:t>Lancet</w:t>
      </w:r>
      <w:r w:rsidRPr="005A5853">
        <w:rPr>
          <w:rFonts w:ascii="Book Antiqua" w:eastAsia="宋体" w:hAnsi="Book Antiqua" w:cs="宋体"/>
          <w:color w:val="000000"/>
          <w:sz w:val="24"/>
          <w:szCs w:val="24"/>
          <w:lang w:eastAsia="zh-CN"/>
        </w:rPr>
        <w:t> 2009; </w:t>
      </w:r>
      <w:r w:rsidRPr="005A5853">
        <w:rPr>
          <w:rFonts w:ascii="Book Antiqua" w:eastAsia="宋体" w:hAnsi="Book Antiqua" w:cs="宋体"/>
          <w:b/>
          <w:bCs/>
          <w:color w:val="000000"/>
          <w:sz w:val="24"/>
          <w:szCs w:val="24"/>
          <w:lang w:eastAsia="zh-CN"/>
        </w:rPr>
        <w:t>374</w:t>
      </w:r>
      <w:r w:rsidRPr="005A5853">
        <w:rPr>
          <w:rFonts w:ascii="Book Antiqua" w:eastAsia="宋体" w:hAnsi="Book Antiqua" w:cs="宋体"/>
          <w:color w:val="000000"/>
          <w:sz w:val="24"/>
          <w:szCs w:val="24"/>
          <w:lang w:eastAsia="zh-CN"/>
        </w:rPr>
        <w:t>: 1617-1625 [PMID: 19837455 DOI: 10.1016/S0140-6736(09)61302-7</w:t>
      </w:r>
      <w:r>
        <w:rPr>
          <w:rFonts w:ascii="Book Antiqua" w:eastAsia="宋体" w:hAnsi="Book Antiqua" w:cs="宋体"/>
          <w:color w:val="000000"/>
          <w:sz w:val="24"/>
          <w:szCs w:val="24"/>
          <w:lang w:eastAsia="zh-CN"/>
        </w:rPr>
        <w:t>]</w:t>
      </w:r>
    </w:p>
    <w:p w14:paraId="71FF7B20" w14:textId="40FC2EA8"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33 </w:t>
      </w:r>
      <w:r w:rsidRPr="005A5853">
        <w:rPr>
          <w:rFonts w:ascii="Book Antiqua" w:eastAsia="宋体" w:hAnsi="Book Antiqua" w:cs="宋体"/>
          <w:b/>
          <w:bCs/>
          <w:color w:val="000000"/>
          <w:sz w:val="24"/>
          <w:szCs w:val="24"/>
          <w:lang w:eastAsia="zh-CN"/>
        </w:rPr>
        <w:t>Williams CJ</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Peyrin-Biroulet</w:t>
      </w:r>
      <w:proofErr w:type="spellEnd"/>
      <w:r w:rsidRPr="005A5853">
        <w:rPr>
          <w:rFonts w:ascii="Book Antiqua" w:eastAsia="宋体" w:hAnsi="Book Antiqua" w:cs="宋体"/>
          <w:color w:val="000000"/>
          <w:sz w:val="24"/>
          <w:szCs w:val="24"/>
          <w:lang w:eastAsia="zh-CN"/>
        </w:rPr>
        <w:t xml:space="preserve"> L, Ford AC. Systematic review with meta-analysis: malignancies with anti-</w:t>
      </w:r>
      <w:proofErr w:type="spellStart"/>
      <w:r w:rsidRPr="005A5853">
        <w:rPr>
          <w:rFonts w:ascii="Book Antiqua" w:eastAsia="宋体" w:hAnsi="Book Antiqua" w:cs="宋体"/>
          <w:color w:val="000000"/>
          <w:sz w:val="24"/>
          <w:szCs w:val="24"/>
          <w:lang w:eastAsia="zh-CN"/>
        </w:rPr>
        <w:t>tumour</w:t>
      </w:r>
      <w:proofErr w:type="spellEnd"/>
      <w:r w:rsidRPr="005A5853">
        <w:rPr>
          <w:rFonts w:ascii="Book Antiqua" w:eastAsia="宋体" w:hAnsi="Book Antiqua" w:cs="宋体"/>
          <w:color w:val="000000"/>
          <w:sz w:val="24"/>
          <w:szCs w:val="24"/>
          <w:lang w:eastAsia="zh-CN"/>
        </w:rPr>
        <w:t xml:space="preserve"> necrosis factor-α therapy in inflammatory bowel disease. </w:t>
      </w:r>
      <w:r w:rsidRPr="005A5853">
        <w:rPr>
          <w:rFonts w:ascii="Book Antiqua" w:eastAsia="宋体" w:hAnsi="Book Antiqua" w:cs="宋体"/>
          <w:i/>
          <w:iCs/>
          <w:color w:val="000000"/>
          <w:sz w:val="24"/>
          <w:szCs w:val="24"/>
          <w:lang w:eastAsia="zh-CN"/>
        </w:rPr>
        <w:t xml:space="preserve">Aliment </w:t>
      </w:r>
      <w:proofErr w:type="spellStart"/>
      <w:r w:rsidRPr="005A5853">
        <w:rPr>
          <w:rFonts w:ascii="Book Antiqua" w:eastAsia="宋体" w:hAnsi="Book Antiqua" w:cs="宋体"/>
          <w:i/>
          <w:iCs/>
          <w:color w:val="000000"/>
          <w:sz w:val="24"/>
          <w:szCs w:val="24"/>
          <w:lang w:eastAsia="zh-CN"/>
        </w:rPr>
        <w:t>Pharmacol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Ther</w:t>
      </w:r>
      <w:proofErr w:type="spellEnd"/>
      <w:r w:rsidRPr="005A5853">
        <w:rPr>
          <w:rFonts w:ascii="Book Antiqua" w:eastAsia="宋体" w:hAnsi="Book Antiqua" w:cs="宋体"/>
          <w:color w:val="000000"/>
          <w:sz w:val="24"/>
          <w:szCs w:val="24"/>
          <w:lang w:eastAsia="zh-CN"/>
        </w:rPr>
        <w:t> 2014; </w:t>
      </w:r>
      <w:r w:rsidRPr="005A5853">
        <w:rPr>
          <w:rFonts w:ascii="Book Antiqua" w:eastAsia="宋体" w:hAnsi="Book Antiqua" w:cs="宋体"/>
          <w:b/>
          <w:bCs/>
          <w:color w:val="000000"/>
          <w:sz w:val="24"/>
          <w:szCs w:val="24"/>
          <w:lang w:eastAsia="zh-CN"/>
        </w:rPr>
        <w:t>39</w:t>
      </w:r>
      <w:r w:rsidRPr="005A5853">
        <w:rPr>
          <w:rFonts w:ascii="Book Antiqua" w:eastAsia="宋体" w:hAnsi="Book Antiqua" w:cs="宋体"/>
          <w:color w:val="000000"/>
          <w:sz w:val="24"/>
          <w:szCs w:val="24"/>
          <w:lang w:eastAsia="zh-CN"/>
        </w:rPr>
        <w:t>: 447-458 [PMID: 24444171 DOI: 10.1111/apt.12624</w:t>
      </w:r>
      <w:r>
        <w:rPr>
          <w:rFonts w:ascii="Book Antiqua" w:eastAsia="宋体" w:hAnsi="Book Antiqua" w:cs="宋体"/>
          <w:color w:val="000000"/>
          <w:sz w:val="24"/>
          <w:szCs w:val="24"/>
          <w:lang w:eastAsia="zh-CN"/>
        </w:rPr>
        <w:t>]</w:t>
      </w:r>
    </w:p>
    <w:p w14:paraId="71236180" w14:textId="214EBA67"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34 </w:t>
      </w:r>
      <w:r w:rsidRPr="005A5853">
        <w:rPr>
          <w:rFonts w:ascii="Book Antiqua" w:eastAsia="宋体" w:hAnsi="Book Antiqua" w:cs="宋体"/>
          <w:b/>
          <w:bCs/>
          <w:color w:val="000000"/>
          <w:sz w:val="24"/>
          <w:szCs w:val="24"/>
          <w:lang w:eastAsia="zh-CN"/>
        </w:rPr>
        <w:t>Wong AK</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Kerkoutian</w:t>
      </w:r>
      <w:proofErr w:type="spellEnd"/>
      <w:r w:rsidRPr="005A5853">
        <w:rPr>
          <w:rFonts w:ascii="Book Antiqua" w:eastAsia="宋体" w:hAnsi="Book Antiqua" w:cs="宋体"/>
          <w:color w:val="000000"/>
          <w:sz w:val="24"/>
          <w:szCs w:val="24"/>
          <w:lang w:eastAsia="zh-CN"/>
        </w:rPr>
        <w:t xml:space="preserve"> S, Said J, </w:t>
      </w:r>
      <w:proofErr w:type="spellStart"/>
      <w:r w:rsidRPr="005A5853">
        <w:rPr>
          <w:rFonts w:ascii="Book Antiqua" w:eastAsia="宋体" w:hAnsi="Book Antiqua" w:cs="宋体"/>
          <w:color w:val="000000"/>
          <w:sz w:val="24"/>
          <w:szCs w:val="24"/>
          <w:lang w:eastAsia="zh-CN"/>
        </w:rPr>
        <w:t>Rashidi</w:t>
      </w:r>
      <w:proofErr w:type="spellEnd"/>
      <w:r w:rsidRPr="005A5853">
        <w:rPr>
          <w:rFonts w:ascii="Book Antiqua" w:eastAsia="宋体" w:hAnsi="Book Antiqua" w:cs="宋体"/>
          <w:color w:val="000000"/>
          <w:sz w:val="24"/>
          <w:szCs w:val="24"/>
          <w:lang w:eastAsia="zh-CN"/>
        </w:rPr>
        <w:t xml:space="preserve"> H, </w:t>
      </w:r>
      <w:proofErr w:type="spellStart"/>
      <w:r w:rsidRPr="005A5853">
        <w:rPr>
          <w:rFonts w:ascii="Book Antiqua" w:eastAsia="宋体" w:hAnsi="Book Antiqua" w:cs="宋体"/>
          <w:color w:val="000000"/>
          <w:sz w:val="24"/>
          <w:szCs w:val="24"/>
          <w:lang w:eastAsia="zh-CN"/>
        </w:rPr>
        <w:t>Pullarkat</w:t>
      </w:r>
      <w:proofErr w:type="spellEnd"/>
      <w:r w:rsidRPr="005A5853">
        <w:rPr>
          <w:rFonts w:ascii="Book Antiqua" w:eastAsia="宋体" w:hAnsi="Book Antiqua" w:cs="宋体"/>
          <w:color w:val="000000"/>
          <w:sz w:val="24"/>
          <w:szCs w:val="24"/>
          <w:lang w:eastAsia="zh-CN"/>
        </w:rPr>
        <w:t xml:space="preserve"> ST. Risk of lymphoma in patients receiving antitumor necrosis factor therapy: a meta-analysis of published randomized controlled studies. </w:t>
      </w:r>
      <w:proofErr w:type="spellStart"/>
      <w:r w:rsidRPr="005A5853">
        <w:rPr>
          <w:rFonts w:ascii="Book Antiqua" w:eastAsia="宋体" w:hAnsi="Book Antiqua" w:cs="宋体"/>
          <w:i/>
          <w:iCs/>
          <w:color w:val="000000"/>
          <w:sz w:val="24"/>
          <w:szCs w:val="24"/>
          <w:lang w:eastAsia="zh-CN"/>
        </w:rPr>
        <w:t>Clin</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Rheumatol</w:t>
      </w:r>
      <w:proofErr w:type="spellEnd"/>
      <w:r w:rsidRPr="005A5853">
        <w:rPr>
          <w:rFonts w:ascii="Book Antiqua" w:eastAsia="宋体" w:hAnsi="Book Antiqua" w:cs="宋体"/>
          <w:color w:val="000000"/>
          <w:sz w:val="24"/>
          <w:szCs w:val="24"/>
          <w:lang w:eastAsia="zh-CN"/>
        </w:rPr>
        <w:t> 2012; </w:t>
      </w:r>
      <w:r w:rsidRPr="005A5853">
        <w:rPr>
          <w:rFonts w:ascii="Book Antiqua" w:eastAsia="宋体" w:hAnsi="Book Antiqua" w:cs="宋体"/>
          <w:b/>
          <w:bCs/>
          <w:color w:val="000000"/>
          <w:sz w:val="24"/>
          <w:szCs w:val="24"/>
          <w:lang w:eastAsia="zh-CN"/>
        </w:rPr>
        <w:t>31</w:t>
      </w:r>
      <w:r w:rsidRPr="005A5853">
        <w:rPr>
          <w:rFonts w:ascii="Book Antiqua" w:eastAsia="宋体" w:hAnsi="Book Antiqua" w:cs="宋体"/>
          <w:color w:val="000000"/>
          <w:sz w:val="24"/>
          <w:szCs w:val="24"/>
          <w:lang w:eastAsia="zh-CN"/>
        </w:rPr>
        <w:t>: 631-636 [PMID: 22147207 DOI: 10.1007/s10067-011-1895-y</w:t>
      </w:r>
      <w:r>
        <w:rPr>
          <w:rFonts w:ascii="Book Antiqua" w:eastAsia="宋体" w:hAnsi="Book Antiqua" w:cs="宋体"/>
          <w:color w:val="000000"/>
          <w:sz w:val="24"/>
          <w:szCs w:val="24"/>
          <w:lang w:eastAsia="zh-CN"/>
        </w:rPr>
        <w:t>]</w:t>
      </w:r>
    </w:p>
    <w:p w14:paraId="75605479" w14:textId="31A3382E"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35 </w:t>
      </w:r>
      <w:r w:rsidRPr="005A5853">
        <w:rPr>
          <w:rFonts w:ascii="Book Antiqua" w:eastAsia="宋体" w:hAnsi="Book Antiqua" w:cs="宋体"/>
          <w:b/>
          <w:bCs/>
          <w:color w:val="000000"/>
          <w:sz w:val="24"/>
          <w:szCs w:val="24"/>
          <w:lang w:eastAsia="zh-CN"/>
        </w:rPr>
        <w:t>Scott FI</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Vajravelu</w:t>
      </w:r>
      <w:proofErr w:type="spellEnd"/>
      <w:r w:rsidRPr="005A5853">
        <w:rPr>
          <w:rFonts w:ascii="Book Antiqua" w:eastAsia="宋体" w:hAnsi="Book Antiqua" w:cs="宋体"/>
          <w:color w:val="000000"/>
          <w:sz w:val="24"/>
          <w:szCs w:val="24"/>
          <w:lang w:eastAsia="zh-CN"/>
        </w:rPr>
        <w:t xml:space="preserve"> RK, </w:t>
      </w:r>
      <w:proofErr w:type="spellStart"/>
      <w:r w:rsidRPr="005A5853">
        <w:rPr>
          <w:rFonts w:ascii="Book Antiqua" w:eastAsia="宋体" w:hAnsi="Book Antiqua" w:cs="宋体"/>
          <w:color w:val="000000"/>
          <w:sz w:val="24"/>
          <w:szCs w:val="24"/>
          <w:lang w:eastAsia="zh-CN"/>
        </w:rPr>
        <w:t>Bewtra</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Mamtani</w:t>
      </w:r>
      <w:proofErr w:type="spellEnd"/>
      <w:r w:rsidRPr="005A5853">
        <w:rPr>
          <w:rFonts w:ascii="Book Antiqua" w:eastAsia="宋体" w:hAnsi="Book Antiqua" w:cs="宋体"/>
          <w:color w:val="000000"/>
          <w:sz w:val="24"/>
          <w:szCs w:val="24"/>
          <w:lang w:eastAsia="zh-CN"/>
        </w:rPr>
        <w:t xml:space="preserve"> R, Lee D, Goldberg DS, Lewis JD. The benefit-to-risk balance of combining infliximab with azathioprine varies with age: a </w:t>
      </w:r>
      <w:proofErr w:type="spellStart"/>
      <w:r w:rsidRPr="005A5853">
        <w:rPr>
          <w:rFonts w:ascii="Book Antiqua" w:eastAsia="宋体" w:hAnsi="Book Antiqua" w:cs="宋体"/>
          <w:color w:val="000000"/>
          <w:sz w:val="24"/>
          <w:szCs w:val="24"/>
          <w:lang w:eastAsia="zh-CN"/>
        </w:rPr>
        <w:t>markov</w:t>
      </w:r>
      <w:proofErr w:type="spellEnd"/>
      <w:r w:rsidRPr="005A5853">
        <w:rPr>
          <w:rFonts w:ascii="Book Antiqua" w:eastAsia="宋体" w:hAnsi="Book Antiqua" w:cs="宋体"/>
          <w:color w:val="000000"/>
          <w:sz w:val="24"/>
          <w:szCs w:val="24"/>
          <w:lang w:eastAsia="zh-CN"/>
        </w:rPr>
        <w:t xml:space="preserve"> model. </w:t>
      </w:r>
      <w:proofErr w:type="spellStart"/>
      <w:r w:rsidRPr="005A5853">
        <w:rPr>
          <w:rFonts w:ascii="Book Antiqua" w:eastAsia="宋体" w:hAnsi="Book Antiqua" w:cs="宋体"/>
          <w:i/>
          <w:iCs/>
          <w:color w:val="000000"/>
          <w:sz w:val="24"/>
          <w:szCs w:val="24"/>
          <w:lang w:eastAsia="zh-CN"/>
        </w:rPr>
        <w:t>Clin</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Hepatol</w:t>
      </w:r>
      <w:proofErr w:type="spellEnd"/>
      <w:r w:rsidRPr="005A5853">
        <w:rPr>
          <w:rFonts w:ascii="Book Antiqua" w:eastAsia="宋体" w:hAnsi="Book Antiqua" w:cs="宋体"/>
          <w:color w:val="000000"/>
          <w:sz w:val="24"/>
          <w:szCs w:val="24"/>
          <w:lang w:eastAsia="zh-CN"/>
        </w:rPr>
        <w:t> 2015; </w:t>
      </w:r>
      <w:r w:rsidRPr="005A5853">
        <w:rPr>
          <w:rFonts w:ascii="Book Antiqua" w:eastAsia="宋体" w:hAnsi="Book Antiqua" w:cs="宋体"/>
          <w:b/>
          <w:bCs/>
          <w:color w:val="000000"/>
          <w:sz w:val="24"/>
          <w:szCs w:val="24"/>
          <w:lang w:eastAsia="zh-CN"/>
        </w:rPr>
        <w:t>13</w:t>
      </w:r>
      <w:r w:rsidRPr="005A5853">
        <w:rPr>
          <w:rFonts w:ascii="Book Antiqua" w:eastAsia="宋体" w:hAnsi="Book Antiqua" w:cs="宋体"/>
          <w:color w:val="000000"/>
          <w:sz w:val="24"/>
          <w:szCs w:val="24"/>
          <w:lang w:eastAsia="zh-CN"/>
        </w:rPr>
        <w:t>: 302-309.e11 [PMID: 25117775 DOI: 10.1016/j.cgh.2014.07.058</w:t>
      </w:r>
      <w:r>
        <w:rPr>
          <w:rFonts w:ascii="Book Antiqua" w:eastAsia="宋体" w:hAnsi="Book Antiqua" w:cs="宋体"/>
          <w:color w:val="000000"/>
          <w:sz w:val="24"/>
          <w:szCs w:val="24"/>
          <w:lang w:eastAsia="zh-CN"/>
        </w:rPr>
        <w:t>]</w:t>
      </w:r>
    </w:p>
    <w:p w14:paraId="0B95923B" w14:textId="1C74C546"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36 </w:t>
      </w:r>
      <w:r w:rsidRPr="005A5853">
        <w:rPr>
          <w:rFonts w:ascii="Book Antiqua" w:eastAsia="宋体" w:hAnsi="Book Antiqua" w:cs="宋体"/>
          <w:b/>
          <w:bCs/>
          <w:color w:val="000000"/>
          <w:sz w:val="24"/>
          <w:szCs w:val="24"/>
          <w:lang w:eastAsia="zh-CN"/>
        </w:rPr>
        <w:t>Siegel CA</w:t>
      </w:r>
      <w:r w:rsidRPr="005A5853">
        <w:rPr>
          <w:rFonts w:ascii="Book Antiqua" w:eastAsia="宋体" w:hAnsi="Book Antiqua" w:cs="宋体"/>
          <w:color w:val="000000"/>
          <w:sz w:val="24"/>
          <w:szCs w:val="24"/>
          <w:lang w:eastAsia="zh-CN"/>
        </w:rPr>
        <w:t xml:space="preserve">, Finlayson SR, Sands BE, </w:t>
      </w:r>
      <w:proofErr w:type="spellStart"/>
      <w:r w:rsidRPr="005A5853">
        <w:rPr>
          <w:rFonts w:ascii="Book Antiqua" w:eastAsia="宋体" w:hAnsi="Book Antiqua" w:cs="宋体"/>
          <w:color w:val="000000"/>
          <w:sz w:val="24"/>
          <w:szCs w:val="24"/>
          <w:lang w:eastAsia="zh-CN"/>
        </w:rPr>
        <w:t>Tosteson</w:t>
      </w:r>
      <w:proofErr w:type="spellEnd"/>
      <w:r w:rsidRPr="005A5853">
        <w:rPr>
          <w:rFonts w:ascii="Book Antiqua" w:eastAsia="宋体" w:hAnsi="Book Antiqua" w:cs="宋体"/>
          <w:color w:val="000000"/>
          <w:sz w:val="24"/>
          <w:szCs w:val="24"/>
          <w:lang w:eastAsia="zh-CN"/>
        </w:rPr>
        <w:t xml:space="preserve"> AN. Adverse events do not outweigh benefits of combination therapy for Crohn's disease in a decision analytic model. </w:t>
      </w:r>
      <w:proofErr w:type="spellStart"/>
      <w:r w:rsidRPr="005A5853">
        <w:rPr>
          <w:rFonts w:ascii="Book Antiqua" w:eastAsia="宋体" w:hAnsi="Book Antiqua" w:cs="宋体"/>
          <w:i/>
          <w:iCs/>
          <w:color w:val="000000"/>
          <w:sz w:val="24"/>
          <w:szCs w:val="24"/>
          <w:lang w:eastAsia="zh-CN"/>
        </w:rPr>
        <w:t>Clin</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Hepatol</w:t>
      </w:r>
      <w:proofErr w:type="spellEnd"/>
      <w:r w:rsidRPr="005A5853">
        <w:rPr>
          <w:rFonts w:ascii="Book Antiqua" w:eastAsia="宋体" w:hAnsi="Book Antiqua" w:cs="宋体"/>
          <w:color w:val="000000"/>
          <w:sz w:val="24"/>
          <w:szCs w:val="24"/>
          <w:lang w:eastAsia="zh-CN"/>
        </w:rPr>
        <w:t> 2012; </w:t>
      </w:r>
      <w:r w:rsidRPr="005A5853">
        <w:rPr>
          <w:rFonts w:ascii="Book Antiqua" w:eastAsia="宋体" w:hAnsi="Book Antiqua" w:cs="宋体"/>
          <w:b/>
          <w:bCs/>
          <w:color w:val="000000"/>
          <w:sz w:val="24"/>
          <w:szCs w:val="24"/>
          <w:lang w:eastAsia="zh-CN"/>
        </w:rPr>
        <w:t>10</w:t>
      </w:r>
      <w:r w:rsidRPr="005A5853">
        <w:rPr>
          <w:rFonts w:ascii="Book Antiqua" w:eastAsia="宋体" w:hAnsi="Book Antiqua" w:cs="宋体"/>
          <w:color w:val="000000"/>
          <w:sz w:val="24"/>
          <w:szCs w:val="24"/>
          <w:lang w:eastAsia="zh-CN"/>
        </w:rPr>
        <w:t>: 46-51 [PMID: 21963958 DOI: 10.1016/j.cgh.2011.09.017</w:t>
      </w:r>
      <w:r>
        <w:rPr>
          <w:rFonts w:ascii="Book Antiqua" w:eastAsia="宋体" w:hAnsi="Book Antiqua" w:cs="宋体"/>
          <w:color w:val="000000"/>
          <w:sz w:val="24"/>
          <w:szCs w:val="24"/>
          <w:lang w:eastAsia="zh-CN"/>
        </w:rPr>
        <w:t>]</w:t>
      </w:r>
    </w:p>
    <w:p w14:paraId="0417A70C" w14:textId="6EB2F23B"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37 </w:t>
      </w:r>
      <w:proofErr w:type="spellStart"/>
      <w:r w:rsidRPr="005A5853">
        <w:rPr>
          <w:rFonts w:ascii="Book Antiqua" w:eastAsia="宋体" w:hAnsi="Book Antiqua" w:cs="宋体"/>
          <w:b/>
          <w:bCs/>
          <w:color w:val="000000"/>
          <w:sz w:val="24"/>
          <w:szCs w:val="24"/>
          <w:lang w:eastAsia="zh-CN"/>
        </w:rPr>
        <w:t>Kotlyar</w:t>
      </w:r>
      <w:proofErr w:type="spellEnd"/>
      <w:r w:rsidRPr="005A5853">
        <w:rPr>
          <w:rFonts w:ascii="Book Antiqua" w:eastAsia="宋体" w:hAnsi="Book Antiqua" w:cs="宋体"/>
          <w:b/>
          <w:bCs/>
          <w:color w:val="000000"/>
          <w:sz w:val="24"/>
          <w:szCs w:val="24"/>
          <w:lang w:eastAsia="zh-CN"/>
        </w:rPr>
        <w:t xml:space="preserve"> DS</w:t>
      </w:r>
      <w:r w:rsidRPr="005A5853">
        <w:rPr>
          <w:rFonts w:ascii="Book Antiqua" w:eastAsia="宋体" w:hAnsi="Book Antiqua" w:cs="宋体"/>
          <w:color w:val="000000"/>
          <w:sz w:val="24"/>
          <w:szCs w:val="24"/>
          <w:lang w:eastAsia="zh-CN"/>
        </w:rPr>
        <w:t xml:space="preserve">, Osterman MT, Diamond RH, Porter D, </w:t>
      </w:r>
      <w:proofErr w:type="spellStart"/>
      <w:r w:rsidRPr="005A5853">
        <w:rPr>
          <w:rFonts w:ascii="Book Antiqua" w:eastAsia="宋体" w:hAnsi="Book Antiqua" w:cs="宋体"/>
          <w:color w:val="000000"/>
          <w:sz w:val="24"/>
          <w:szCs w:val="24"/>
          <w:lang w:eastAsia="zh-CN"/>
        </w:rPr>
        <w:t>Blonski</w:t>
      </w:r>
      <w:proofErr w:type="spellEnd"/>
      <w:r w:rsidRPr="005A5853">
        <w:rPr>
          <w:rFonts w:ascii="Book Antiqua" w:eastAsia="宋体" w:hAnsi="Book Antiqua" w:cs="宋体"/>
          <w:color w:val="000000"/>
          <w:sz w:val="24"/>
          <w:szCs w:val="24"/>
          <w:lang w:eastAsia="zh-CN"/>
        </w:rPr>
        <w:t xml:space="preserve"> WC, </w:t>
      </w:r>
      <w:proofErr w:type="spellStart"/>
      <w:r w:rsidRPr="005A5853">
        <w:rPr>
          <w:rFonts w:ascii="Book Antiqua" w:eastAsia="宋体" w:hAnsi="Book Antiqua" w:cs="宋体"/>
          <w:color w:val="000000"/>
          <w:sz w:val="24"/>
          <w:szCs w:val="24"/>
          <w:lang w:eastAsia="zh-CN"/>
        </w:rPr>
        <w:t>Wasik</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Sampat</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Mendizabal</w:t>
      </w:r>
      <w:proofErr w:type="spellEnd"/>
      <w:r w:rsidRPr="005A5853">
        <w:rPr>
          <w:rFonts w:ascii="Book Antiqua" w:eastAsia="宋体" w:hAnsi="Book Antiqua" w:cs="宋体"/>
          <w:color w:val="000000"/>
          <w:sz w:val="24"/>
          <w:szCs w:val="24"/>
          <w:lang w:eastAsia="zh-CN"/>
        </w:rPr>
        <w:t xml:space="preserve"> M, Lin MV, Lichtenstein GR. </w:t>
      </w:r>
      <w:proofErr w:type="gramStart"/>
      <w:r w:rsidRPr="005A5853">
        <w:rPr>
          <w:rFonts w:ascii="Book Antiqua" w:eastAsia="宋体" w:hAnsi="Book Antiqua" w:cs="宋体"/>
          <w:color w:val="000000"/>
          <w:sz w:val="24"/>
          <w:szCs w:val="24"/>
          <w:lang w:eastAsia="zh-CN"/>
        </w:rPr>
        <w:t xml:space="preserve">A systematic review of factors that contribute to </w:t>
      </w:r>
      <w:proofErr w:type="spellStart"/>
      <w:r w:rsidRPr="005A5853">
        <w:rPr>
          <w:rFonts w:ascii="Book Antiqua" w:eastAsia="宋体" w:hAnsi="Book Antiqua" w:cs="宋体"/>
          <w:color w:val="000000"/>
          <w:sz w:val="24"/>
          <w:szCs w:val="24"/>
          <w:lang w:eastAsia="zh-CN"/>
        </w:rPr>
        <w:t>hepatosplenic</w:t>
      </w:r>
      <w:proofErr w:type="spellEnd"/>
      <w:r w:rsidRPr="005A5853">
        <w:rPr>
          <w:rFonts w:ascii="Book Antiqua" w:eastAsia="宋体" w:hAnsi="Book Antiqua" w:cs="宋体"/>
          <w:color w:val="000000"/>
          <w:sz w:val="24"/>
          <w:szCs w:val="24"/>
          <w:lang w:eastAsia="zh-CN"/>
        </w:rPr>
        <w:t xml:space="preserve"> T-cell lymphoma in patients with inflammatory bowel disease.</w:t>
      </w:r>
      <w:proofErr w:type="gramEnd"/>
      <w:r w:rsidRPr="005A5853">
        <w:rPr>
          <w:rFonts w:ascii="Book Antiqua" w:eastAsia="宋体" w:hAnsi="Book Antiqua" w:cs="宋体"/>
          <w:color w:val="000000"/>
          <w:sz w:val="24"/>
          <w:szCs w:val="24"/>
          <w:lang w:eastAsia="zh-CN"/>
        </w:rPr>
        <w:t> </w:t>
      </w:r>
      <w:proofErr w:type="spellStart"/>
      <w:r w:rsidRPr="005A5853">
        <w:rPr>
          <w:rFonts w:ascii="Book Antiqua" w:eastAsia="宋体" w:hAnsi="Book Antiqua" w:cs="宋体"/>
          <w:i/>
          <w:iCs/>
          <w:color w:val="000000"/>
          <w:sz w:val="24"/>
          <w:szCs w:val="24"/>
          <w:lang w:eastAsia="zh-CN"/>
        </w:rPr>
        <w:t>Clin</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Hepatol</w:t>
      </w:r>
      <w:proofErr w:type="spellEnd"/>
      <w:r w:rsidRPr="005A5853">
        <w:rPr>
          <w:rFonts w:ascii="Book Antiqua" w:eastAsia="宋体" w:hAnsi="Book Antiqua" w:cs="宋体"/>
          <w:color w:val="000000"/>
          <w:sz w:val="24"/>
          <w:szCs w:val="24"/>
          <w:lang w:eastAsia="zh-CN"/>
        </w:rPr>
        <w:t> 2011; </w:t>
      </w:r>
      <w:r w:rsidRPr="005A5853">
        <w:rPr>
          <w:rFonts w:ascii="Book Antiqua" w:eastAsia="宋体" w:hAnsi="Book Antiqua" w:cs="宋体"/>
          <w:b/>
          <w:bCs/>
          <w:color w:val="000000"/>
          <w:sz w:val="24"/>
          <w:szCs w:val="24"/>
          <w:lang w:eastAsia="zh-CN"/>
        </w:rPr>
        <w:t>9</w:t>
      </w:r>
      <w:r w:rsidRPr="005A5853">
        <w:rPr>
          <w:rFonts w:ascii="Book Antiqua" w:eastAsia="宋体" w:hAnsi="Book Antiqua" w:cs="宋体"/>
          <w:color w:val="000000"/>
          <w:sz w:val="24"/>
          <w:szCs w:val="24"/>
          <w:lang w:eastAsia="zh-CN"/>
        </w:rPr>
        <w:t>: 36-41.e1 [PMID: 20888436 DOI: 10.1016/j.cgh.2010.09.016</w:t>
      </w:r>
      <w:r>
        <w:rPr>
          <w:rFonts w:ascii="Book Antiqua" w:eastAsia="宋体" w:hAnsi="Book Antiqua" w:cs="宋体"/>
          <w:color w:val="000000"/>
          <w:sz w:val="24"/>
          <w:szCs w:val="24"/>
          <w:lang w:eastAsia="zh-CN"/>
        </w:rPr>
        <w:t>]</w:t>
      </w:r>
    </w:p>
    <w:p w14:paraId="1A702106" w14:textId="4411886E"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38 </w:t>
      </w:r>
      <w:proofErr w:type="spellStart"/>
      <w:r w:rsidRPr="005A5853">
        <w:rPr>
          <w:rFonts w:ascii="Book Antiqua" w:eastAsia="宋体" w:hAnsi="Book Antiqua" w:cs="宋体"/>
          <w:b/>
          <w:bCs/>
          <w:color w:val="000000"/>
          <w:sz w:val="24"/>
          <w:szCs w:val="24"/>
          <w:lang w:eastAsia="zh-CN"/>
        </w:rPr>
        <w:t>Ananthakrishnan</w:t>
      </w:r>
      <w:proofErr w:type="spellEnd"/>
      <w:r w:rsidRPr="005A5853">
        <w:rPr>
          <w:rFonts w:ascii="Book Antiqua" w:eastAsia="宋体" w:hAnsi="Book Antiqua" w:cs="宋体"/>
          <w:b/>
          <w:bCs/>
          <w:color w:val="000000"/>
          <w:sz w:val="24"/>
          <w:szCs w:val="24"/>
          <w:lang w:eastAsia="zh-CN"/>
        </w:rPr>
        <w:t xml:space="preserve"> AN</w:t>
      </w:r>
      <w:r w:rsidRPr="005A5853">
        <w:rPr>
          <w:rFonts w:ascii="Book Antiqua" w:eastAsia="宋体" w:hAnsi="Book Antiqua" w:cs="宋体"/>
          <w:color w:val="000000"/>
          <w:sz w:val="24"/>
          <w:szCs w:val="24"/>
          <w:lang w:eastAsia="zh-CN"/>
        </w:rPr>
        <w:t xml:space="preserve">, Kwon J, </w:t>
      </w:r>
      <w:proofErr w:type="spellStart"/>
      <w:r w:rsidRPr="005A5853">
        <w:rPr>
          <w:rFonts w:ascii="Book Antiqua" w:eastAsia="宋体" w:hAnsi="Book Antiqua" w:cs="宋体"/>
          <w:color w:val="000000"/>
          <w:sz w:val="24"/>
          <w:szCs w:val="24"/>
          <w:lang w:eastAsia="zh-CN"/>
        </w:rPr>
        <w:t>Raffals</w:t>
      </w:r>
      <w:proofErr w:type="spellEnd"/>
      <w:r w:rsidRPr="005A5853">
        <w:rPr>
          <w:rFonts w:ascii="Book Antiqua" w:eastAsia="宋体" w:hAnsi="Book Antiqua" w:cs="宋体"/>
          <w:color w:val="000000"/>
          <w:sz w:val="24"/>
          <w:szCs w:val="24"/>
          <w:lang w:eastAsia="zh-CN"/>
        </w:rPr>
        <w:t xml:space="preserve"> L, Sands B, Stenson WF, McGovern D, Kwon JH, </w:t>
      </w:r>
      <w:proofErr w:type="spellStart"/>
      <w:r w:rsidRPr="005A5853">
        <w:rPr>
          <w:rFonts w:ascii="Book Antiqua" w:eastAsia="宋体" w:hAnsi="Book Antiqua" w:cs="宋体"/>
          <w:color w:val="000000"/>
          <w:sz w:val="24"/>
          <w:szCs w:val="24"/>
          <w:lang w:eastAsia="zh-CN"/>
        </w:rPr>
        <w:t>Rheaume</w:t>
      </w:r>
      <w:proofErr w:type="spellEnd"/>
      <w:r w:rsidRPr="005A5853">
        <w:rPr>
          <w:rFonts w:ascii="Book Antiqua" w:eastAsia="宋体" w:hAnsi="Book Antiqua" w:cs="宋体"/>
          <w:color w:val="000000"/>
          <w:sz w:val="24"/>
          <w:szCs w:val="24"/>
          <w:lang w:eastAsia="zh-CN"/>
        </w:rPr>
        <w:t xml:space="preserve"> RL, Sandler RS. Variation in treatment of patients with inflammatory </w:t>
      </w:r>
      <w:r w:rsidRPr="005A5853">
        <w:rPr>
          <w:rFonts w:ascii="Book Antiqua" w:eastAsia="宋体" w:hAnsi="Book Antiqua" w:cs="宋体"/>
          <w:color w:val="000000"/>
          <w:sz w:val="24"/>
          <w:szCs w:val="24"/>
          <w:lang w:eastAsia="zh-CN"/>
        </w:rPr>
        <w:lastRenderedPageBreak/>
        <w:t>bowel diseases at major referral centers in the United States. </w:t>
      </w:r>
      <w:proofErr w:type="spellStart"/>
      <w:r w:rsidRPr="005A5853">
        <w:rPr>
          <w:rFonts w:ascii="Book Antiqua" w:eastAsia="宋体" w:hAnsi="Book Antiqua" w:cs="宋体"/>
          <w:i/>
          <w:iCs/>
          <w:color w:val="000000"/>
          <w:sz w:val="24"/>
          <w:szCs w:val="24"/>
          <w:lang w:eastAsia="zh-CN"/>
        </w:rPr>
        <w:t>Clin</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Hepatol</w:t>
      </w:r>
      <w:proofErr w:type="spellEnd"/>
      <w:r w:rsidRPr="005A5853">
        <w:rPr>
          <w:rFonts w:ascii="Book Antiqua" w:eastAsia="宋体" w:hAnsi="Book Antiqua" w:cs="宋体"/>
          <w:color w:val="000000"/>
          <w:sz w:val="24"/>
          <w:szCs w:val="24"/>
          <w:lang w:eastAsia="zh-CN"/>
        </w:rPr>
        <w:t> 2015; </w:t>
      </w:r>
      <w:r w:rsidRPr="005A5853">
        <w:rPr>
          <w:rFonts w:ascii="Book Antiqua" w:eastAsia="宋体" w:hAnsi="Book Antiqua" w:cs="宋体"/>
          <w:b/>
          <w:bCs/>
          <w:color w:val="000000"/>
          <w:sz w:val="24"/>
          <w:szCs w:val="24"/>
          <w:lang w:eastAsia="zh-CN"/>
        </w:rPr>
        <w:t>13</w:t>
      </w:r>
      <w:r w:rsidRPr="005A5853">
        <w:rPr>
          <w:rFonts w:ascii="Book Antiqua" w:eastAsia="宋体" w:hAnsi="Book Antiqua" w:cs="宋体"/>
          <w:color w:val="000000"/>
          <w:sz w:val="24"/>
          <w:szCs w:val="24"/>
          <w:lang w:eastAsia="zh-CN"/>
        </w:rPr>
        <w:t>: 1197-1200 [PMID: 25460565 DOI: 10.1016/j.cgh.2014.11.020</w:t>
      </w:r>
      <w:r>
        <w:rPr>
          <w:rFonts w:ascii="Book Antiqua" w:eastAsia="宋体" w:hAnsi="Book Antiqua" w:cs="宋体"/>
          <w:color w:val="000000"/>
          <w:sz w:val="24"/>
          <w:szCs w:val="24"/>
          <w:lang w:eastAsia="zh-CN"/>
        </w:rPr>
        <w:t>]</w:t>
      </w:r>
    </w:p>
    <w:p w14:paraId="5AAF965B" w14:textId="2CF5F81E"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39 </w:t>
      </w:r>
      <w:proofErr w:type="spellStart"/>
      <w:r w:rsidRPr="005A5853">
        <w:rPr>
          <w:rFonts w:ascii="Book Antiqua" w:eastAsia="宋体" w:hAnsi="Book Antiqua" w:cs="宋体"/>
          <w:b/>
          <w:bCs/>
          <w:color w:val="000000"/>
          <w:sz w:val="24"/>
          <w:szCs w:val="24"/>
          <w:lang w:eastAsia="zh-CN"/>
        </w:rPr>
        <w:t>Kirchgesner</w:t>
      </w:r>
      <w:proofErr w:type="spellEnd"/>
      <w:r w:rsidRPr="005A5853">
        <w:rPr>
          <w:rFonts w:ascii="Book Antiqua" w:eastAsia="宋体" w:hAnsi="Book Antiqua" w:cs="宋体"/>
          <w:b/>
          <w:bCs/>
          <w:color w:val="000000"/>
          <w:sz w:val="24"/>
          <w:szCs w:val="24"/>
          <w:lang w:eastAsia="zh-CN"/>
        </w:rPr>
        <w:t xml:space="preserve"> J</w:t>
      </w:r>
      <w:r w:rsidRPr="005A5853">
        <w:rPr>
          <w:rFonts w:ascii="Book Antiqua" w:eastAsia="宋体" w:hAnsi="Book Antiqua" w:cs="宋体"/>
          <w:color w:val="000000"/>
          <w:sz w:val="24"/>
          <w:szCs w:val="24"/>
          <w:lang w:eastAsia="zh-CN"/>
        </w:rPr>
        <w:t xml:space="preserve">, Lemaitre M, </w:t>
      </w:r>
      <w:proofErr w:type="spellStart"/>
      <w:r w:rsidRPr="005A5853">
        <w:rPr>
          <w:rFonts w:ascii="Book Antiqua" w:eastAsia="宋体" w:hAnsi="Book Antiqua" w:cs="宋体"/>
          <w:color w:val="000000"/>
          <w:sz w:val="24"/>
          <w:szCs w:val="24"/>
          <w:lang w:eastAsia="zh-CN"/>
        </w:rPr>
        <w:t>Rudnichi</w:t>
      </w:r>
      <w:proofErr w:type="spellEnd"/>
      <w:r w:rsidRPr="005A5853">
        <w:rPr>
          <w:rFonts w:ascii="Book Antiqua" w:eastAsia="宋体" w:hAnsi="Book Antiqua" w:cs="宋体"/>
          <w:color w:val="000000"/>
          <w:sz w:val="24"/>
          <w:szCs w:val="24"/>
          <w:lang w:eastAsia="zh-CN"/>
        </w:rPr>
        <w:t xml:space="preserve"> A, Racine A, </w:t>
      </w:r>
      <w:proofErr w:type="spellStart"/>
      <w:r w:rsidRPr="005A5853">
        <w:rPr>
          <w:rFonts w:ascii="Book Antiqua" w:eastAsia="宋体" w:hAnsi="Book Antiqua" w:cs="宋体"/>
          <w:color w:val="000000"/>
          <w:sz w:val="24"/>
          <w:szCs w:val="24"/>
          <w:lang w:eastAsia="zh-CN"/>
        </w:rPr>
        <w:t>Zureik</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Carbonnel</w:t>
      </w:r>
      <w:proofErr w:type="spellEnd"/>
      <w:r w:rsidRPr="005A5853">
        <w:rPr>
          <w:rFonts w:ascii="Book Antiqua" w:eastAsia="宋体" w:hAnsi="Book Antiqua" w:cs="宋体"/>
          <w:color w:val="000000"/>
          <w:sz w:val="24"/>
          <w:szCs w:val="24"/>
          <w:lang w:eastAsia="zh-CN"/>
        </w:rPr>
        <w:t xml:space="preserve"> F, Dray-</w:t>
      </w:r>
      <w:proofErr w:type="spellStart"/>
      <w:r w:rsidRPr="005A5853">
        <w:rPr>
          <w:rFonts w:ascii="Book Antiqua" w:eastAsia="宋体" w:hAnsi="Book Antiqua" w:cs="宋体"/>
          <w:color w:val="000000"/>
          <w:sz w:val="24"/>
          <w:szCs w:val="24"/>
          <w:lang w:eastAsia="zh-CN"/>
        </w:rPr>
        <w:t>Spira</w:t>
      </w:r>
      <w:proofErr w:type="spellEnd"/>
      <w:r w:rsidRPr="005A5853">
        <w:rPr>
          <w:rFonts w:ascii="Book Antiqua" w:eastAsia="宋体" w:hAnsi="Book Antiqua" w:cs="宋体"/>
          <w:color w:val="000000"/>
          <w:sz w:val="24"/>
          <w:szCs w:val="24"/>
          <w:lang w:eastAsia="zh-CN"/>
        </w:rPr>
        <w:t xml:space="preserve"> R. Therapeutic management of inflammatory bowel disease in real-life practice in the current era of anti-TNF agents: analysis of the French administrative health databases 2009-2014. </w:t>
      </w:r>
      <w:r w:rsidRPr="005A5853">
        <w:rPr>
          <w:rFonts w:ascii="Book Antiqua" w:eastAsia="宋体" w:hAnsi="Book Antiqua" w:cs="宋体"/>
          <w:i/>
          <w:iCs/>
          <w:color w:val="000000"/>
          <w:sz w:val="24"/>
          <w:szCs w:val="24"/>
          <w:lang w:eastAsia="zh-CN"/>
        </w:rPr>
        <w:t xml:space="preserve">Aliment </w:t>
      </w:r>
      <w:proofErr w:type="spellStart"/>
      <w:r w:rsidRPr="005A5853">
        <w:rPr>
          <w:rFonts w:ascii="Book Antiqua" w:eastAsia="宋体" w:hAnsi="Book Antiqua" w:cs="宋体"/>
          <w:i/>
          <w:iCs/>
          <w:color w:val="000000"/>
          <w:sz w:val="24"/>
          <w:szCs w:val="24"/>
          <w:lang w:eastAsia="zh-CN"/>
        </w:rPr>
        <w:t>Pharmacol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Ther</w:t>
      </w:r>
      <w:proofErr w:type="spellEnd"/>
      <w:r w:rsidRPr="005A5853">
        <w:rPr>
          <w:rFonts w:ascii="Book Antiqua" w:eastAsia="宋体" w:hAnsi="Book Antiqua" w:cs="宋体"/>
          <w:color w:val="000000"/>
          <w:sz w:val="24"/>
          <w:szCs w:val="24"/>
          <w:lang w:eastAsia="zh-CN"/>
        </w:rPr>
        <w:t> 2017; </w:t>
      </w:r>
      <w:r w:rsidRPr="005A5853">
        <w:rPr>
          <w:rFonts w:ascii="Book Antiqua" w:eastAsia="宋体" w:hAnsi="Book Antiqua" w:cs="宋体"/>
          <w:b/>
          <w:bCs/>
          <w:color w:val="000000"/>
          <w:sz w:val="24"/>
          <w:szCs w:val="24"/>
          <w:lang w:eastAsia="zh-CN"/>
        </w:rPr>
        <w:t>45</w:t>
      </w:r>
      <w:r w:rsidRPr="005A5853">
        <w:rPr>
          <w:rFonts w:ascii="Book Antiqua" w:eastAsia="宋体" w:hAnsi="Book Antiqua" w:cs="宋体"/>
          <w:color w:val="000000"/>
          <w:sz w:val="24"/>
          <w:szCs w:val="24"/>
          <w:lang w:eastAsia="zh-CN"/>
        </w:rPr>
        <w:t>: 37-49 [PMID: 27781286 DOI: 10.1111/apt.13835</w:t>
      </w:r>
      <w:r>
        <w:rPr>
          <w:rFonts w:ascii="Book Antiqua" w:eastAsia="宋体" w:hAnsi="Book Antiqua" w:cs="宋体"/>
          <w:color w:val="000000"/>
          <w:sz w:val="24"/>
          <w:szCs w:val="24"/>
          <w:lang w:eastAsia="zh-CN"/>
        </w:rPr>
        <w:t>]</w:t>
      </w:r>
    </w:p>
    <w:p w14:paraId="1D27FD39" w14:textId="4DAE3329"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 xml:space="preserve">40 </w:t>
      </w:r>
      <w:r w:rsidR="00DC65CE" w:rsidRPr="00DC65CE">
        <w:rPr>
          <w:rFonts w:ascii="Book Antiqua" w:eastAsia="宋体" w:hAnsi="Book Antiqua" w:cs="宋体"/>
          <w:color w:val="000000"/>
          <w:sz w:val="24"/>
          <w:szCs w:val="24"/>
          <w:lang w:eastAsia="zh-CN"/>
        </w:rPr>
        <w:t>[No authors listed]</w:t>
      </w:r>
      <w:r w:rsidRPr="005A5853">
        <w:rPr>
          <w:rFonts w:ascii="Book Antiqua" w:eastAsia="宋体" w:hAnsi="Book Antiqua" w:cs="宋体"/>
          <w:color w:val="000000"/>
          <w:sz w:val="24"/>
          <w:szCs w:val="24"/>
          <w:lang w:eastAsia="zh-CN"/>
        </w:rPr>
        <w:t xml:space="preserve">. </w:t>
      </w:r>
      <w:proofErr w:type="gramStart"/>
      <w:r w:rsidRPr="005A5853">
        <w:rPr>
          <w:rFonts w:ascii="Book Antiqua" w:eastAsia="宋体" w:hAnsi="Book Antiqua" w:cs="宋体"/>
          <w:color w:val="000000"/>
          <w:sz w:val="24"/>
          <w:szCs w:val="24"/>
          <w:lang w:eastAsia="zh-CN"/>
        </w:rPr>
        <w:t>Inflammatory Bowel Disease.</w:t>
      </w:r>
      <w:proofErr w:type="gramEnd"/>
      <w:r w:rsidRPr="005A5853">
        <w:rPr>
          <w:rFonts w:ascii="Book Antiqua" w:eastAsia="宋体" w:hAnsi="Book Antiqua" w:cs="宋体"/>
          <w:color w:val="000000"/>
          <w:sz w:val="24"/>
          <w:szCs w:val="24"/>
          <w:lang w:eastAsia="zh-CN"/>
        </w:rPr>
        <w:t> </w:t>
      </w:r>
      <w:r w:rsidRPr="005A5853">
        <w:rPr>
          <w:rFonts w:ascii="Book Antiqua" w:eastAsia="宋体" w:hAnsi="Book Antiqua" w:cs="宋体"/>
          <w:i/>
          <w:iCs/>
          <w:color w:val="000000"/>
          <w:sz w:val="24"/>
          <w:szCs w:val="24"/>
          <w:lang w:eastAsia="zh-CN"/>
        </w:rPr>
        <w:t xml:space="preserve">Am J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color w:val="000000"/>
          <w:sz w:val="24"/>
          <w:szCs w:val="24"/>
          <w:lang w:eastAsia="zh-CN"/>
        </w:rPr>
        <w:t> 2015; </w:t>
      </w:r>
      <w:r w:rsidRPr="005A5853">
        <w:rPr>
          <w:rFonts w:ascii="Book Antiqua" w:eastAsia="宋体" w:hAnsi="Book Antiqua" w:cs="宋体"/>
          <w:b/>
          <w:bCs/>
          <w:color w:val="000000"/>
          <w:sz w:val="24"/>
          <w:szCs w:val="24"/>
          <w:lang w:eastAsia="zh-CN"/>
        </w:rPr>
        <w:t xml:space="preserve">110 </w:t>
      </w:r>
      <w:proofErr w:type="spellStart"/>
      <w:r w:rsidRPr="005A5853">
        <w:rPr>
          <w:rFonts w:ascii="Book Antiqua" w:eastAsia="宋体" w:hAnsi="Book Antiqua" w:cs="宋体"/>
          <w:b/>
          <w:bCs/>
          <w:color w:val="000000"/>
          <w:sz w:val="24"/>
          <w:szCs w:val="24"/>
          <w:lang w:eastAsia="zh-CN"/>
        </w:rPr>
        <w:t>Suppl</w:t>
      </w:r>
      <w:proofErr w:type="spellEnd"/>
      <w:r w:rsidRPr="005A5853">
        <w:rPr>
          <w:rFonts w:ascii="Book Antiqua" w:eastAsia="宋体" w:hAnsi="Book Antiqua" w:cs="宋体"/>
          <w:b/>
          <w:bCs/>
          <w:color w:val="000000"/>
          <w:sz w:val="24"/>
          <w:szCs w:val="24"/>
          <w:lang w:eastAsia="zh-CN"/>
        </w:rPr>
        <w:t xml:space="preserve"> 1</w:t>
      </w:r>
      <w:r w:rsidRPr="005A5853">
        <w:rPr>
          <w:rFonts w:ascii="Book Antiqua" w:eastAsia="宋体" w:hAnsi="Book Antiqua" w:cs="宋体"/>
          <w:color w:val="000000"/>
          <w:sz w:val="24"/>
          <w:szCs w:val="24"/>
          <w:lang w:eastAsia="zh-CN"/>
        </w:rPr>
        <w:t>: S766-S847 [PMID: 26436816 DOI: 10.1038/ajg.2015.276]</w:t>
      </w:r>
    </w:p>
    <w:p w14:paraId="222A3738" w14:textId="6E1772DA"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41 </w:t>
      </w:r>
      <w:r w:rsidRPr="005A5853">
        <w:rPr>
          <w:rFonts w:ascii="Book Antiqua" w:eastAsia="宋体" w:hAnsi="Book Antiqua" w:cs="宋体"/>
          <w:b/>
          <w:bCs/>
          <w:color w:val="000000"/>
          <w:sz w:val="24"/>
          <w:szCs w:val="24"/>
          <w:lang w:eastAsia="zh-CN"/>
        </w:rPr>
        <w:t>Lichtenstein GR</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Hanauer</w:t>
      </w:r>
      <w:proofErr w:type="spellEnd"/>
      <w:r w:rsidRPr="005A5853">
        <w:rPr>
          <w:rFonts w:ascii="Book Antiqua" w:eastAsia="宋体" w:hAnsi="Book Antiqua" w:cs="宋体"/>
          <w:color w:val="000000"/>
          <w:sz w:val="24"/>
          <w:szCs w:val="24"/>
          <w:lang w:eastAsia="zh-CN"/>
        </w:rPr>
        <w:t xml:space="preserve"> SB, </w:t>
      </w:r>
      <w:proofErr w:type="spellStart"/>
      <w:r w:rsidRPr="005A5853">
        <w:rPr>
          <w:rFonts w:ascii="Book Antiqua" w:eastAsia="宋体" w:hAnsi="Book Antiqua" w:cs="宋体"/>
          <w:color w:val="000000"/>
          <w:sz w:val="24"/>
          <w:szCs w:val="24"/>
          <w:lang w:eastAsia="zh-CN"/>
        </w:rPr>
        <w:t>Sandborn</w:t>
      </w:r>
      <w:proofErr w:type="spellEnd"/>
      <w:r w:rsidRPr="005A5853">
        <w:rPr>
          <w:rFonts w:ascii="Book Antiqua" w:eastAsia="宋体" w:hAnsi="Book Antiqua" w:cs="宋体"/>
          <w:color w:val="000000"/>
          <w:sz w:val="24"/>
          <w:szCs w:val="24"/>
          <w:lang w:eastAsia="zh-CN"/>
        </w:rPr>
        <w:t xml:space="preserve"> WJ. </w:t>
      </w:r>
      <w:proofErr w:type="gramStart"/>
      <w:r w:rsidRPr="005A5853">
        <w:rPr>
          <w:rFonts w:ascii="Book Antiqua" w:eastAsia="宋体" w:hAnsi="Book Antiqua" w:cs="宋体"/>
          <w:color w:val="000000"/>
          <w:sz w:val="24"/>
          <w:szCs w:val="24"/>
          <w:lang w:eastAsia="zh-CN"/>
        </w:rPr>
        <w:t>Management of Crohn's disease in adults.</w:t>
      </w:r>
      <w:proofErr w:type="gramEnd"/>
      <w:r w:rsidRPr="005A5853">
        <w:rPr>
          <w:rFonts w:ascii="Book Antiqua" w:eastAsia="宋体" w:hAnsi="Book Antiqua" w:cs="宋体"/>
          <w:color w:val="000000"/>
          <w:sz w:val="24"/>
          <w:szCs w:val="24"/>
          <w:lang w:eastAsia="zh-CN"/>
        </w:rPr>
        <w:t> </w:t>
      </w:r>
      <w:r w:rsidRPr="005A5853">
        <w:rPr>
          <w:rFonts w:ascii="Book Antiqua" w:eastAsia="宋体" w:hAnsi="Book Antiqua" w:cs="宋体"/>
          <w:i/>
          <w:iCs/>
          <w:color w:val="000000"/>
          <w:sz w:val="24"/>
          <w:szCs w:val="24"/>
          <w:lang w:eastAsia="zh-CN"/>
        </w:rPr>
        <w:t xml:space="preserve">Am J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color w:val="000000"/>
          <w:sz w:val="24"/>
          <w:szCs w:val="24"/>
          <w:lang w:eastAsia="zh-CN"/>
        </w:rPr>
        <w:t> 2009; </w:t>
      </w:r>
      <w:r w:rsidRPr="005A5853">
        <w:rPr>
          <w:rFonts w:ascii="Book Antiqua" w:eastAsia="宋体" w:hAnsi="Book Antiqua" w:cs="宋体"/>
          <w:b/>
          <w:bCs/>
          <w:color w:val="000000"/>
          <w:sz w:val="24"/>
          <w:szCs w:val="24"/>
          <w:lang w:eastAsia="zh-CN"/>
        </w:rPr>
        <w:t>104</w:t>
      </w:r>
      <w:r w:rsidRPr="005A5853">
        <w:rPr>
          <w:rFonts w:ascii="Book Antiqua" w:eastAsia="宋体" w:hAnsi="Book Antiqua" w:cs="宋体"/>
          <w:color w:val="000000"/>
          <w:sz w:val="24"/>
          <w:szCs w:val="24"/>
          <w:lang w:eastAsia="zh-CN"/>
        </w:rPr>
        <w:t>: 465-83; quiz 464, 484 [PMID: 19174807 DOI: 10.1038/ajg.2008.168</w:t>
      </w:r>
      <w:r>
        <w:rPr>
          <w:rFonts w:ascii="Book Antiqua" w:eastAsia="宋体" w:hAnsi="Book Antiqua" w:cs="宋体"/>
          <w:color w:val="000000"/>
          <w:sz w:val="24"/>
          <w:szCs w:val="24"/>
          <w:lang w:eastAsia="zh-CN"/>
        </w:rPr>
        <w:t>]</w:t>
      </w:r>
    </w:p>
    <w:p w14:paraId="48952C12" w14:textId="0BDC2784"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42 </w:t>
      </w:r>
      <w:proofErr w:type="spellStart"/>
      <w:r w:rsidRPr="005A5853">
        <w:rPr>
          <w:rFonts w:ascii="Book Antiqua" w:eastAsia="宋体" w:hAnsi="Book Antiqua" w:cs="宋体"/>
          <w:b/>
          <w:bCs/>
          <w:color w:val="000000"/>
          <w:sz w:val="24"/>
          <w:szCs w:val="24"/>
          <w:lang w:eastAsia="zh-CN"/>
        </w:rPr>
        <w:t>Kornbluth</w:t>
      </w:r>
      <w:proofErr w:type="spellEnd"/>
      <w:r w:rsidRPr="005A5853">
        <w:rPr>
          <w:rFonts w:ascii="Book Antiqua" w:eastAsia="宋体" w:hAnsi="Book Antiqua" w:cs="宋体"/>
          <w:b/>
          <w:bCs/>
          <w:color w:val="000000"/>
          <w:sz w:val="24"/>
          <w:szCs w:val="24"/>
          <w:lang w:eastAsia="zh-CN"/>
        </w:rPr>
        <w:t xml:space="preserve"> A</w:t>
      </w:r>
      <w:r w:rsidRPr="005A5853">
        <w:rPr>
          <w:rFonts w:ascii="Book Antiqua" w:eastAsia="宋体" w:hAnsi="Book Antiqua" w:cs="宋体"/>
          <w:color w:val="000000"/>
          <w:sz w:val="24"/>
          <w:szCs w:val="24"/>
          <w:lang w:eastAsia="zh-CN"/>
        </w:rPr>
        <w:t>, Sachar DB. Ulcerative colitis practice guidelines in adults: American College Of Gastroenterology, Practice Parameters Committee. </w:t>
      </w:r>
      <w:r w:rsidRPr="005A5853">
        <w:rPr>
          <w:rFonts w:ascii="Book Antiqua" w:eastAsia="宋体" w:hAnsi="Book Antiqua" w:cs="宋体"/>
          <w:i/>
          <w:iCs/>
          <w:color w:val="000000"/>
          <w:sz w:val="24"/>
          <w:szCs w:val="24"/>
          <w:lang w:eastAsia="zh-CN"/>
        </w:rPr>
        <w:t xml:space="preserve">Am J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color w:val="000000"/>
          <w:sz w:val="24"/>
          <w:szCs w:val="24"/>
          <w:lang w:eastAsia="zh-CN"/>
        </w:rPr>
        <w:t> 2010; </w:t>
      </w:r>
      <w:r w:rsidRPr="005A5853">
        <w:rPr>
          <w:rFonts w:ascii="Book Antiqua" w:eastAsia="宋体" w:hAnsi="Book Antiqua" w:cs="宋体"/>
          <w:b/>
          <w:bCs/>
          <w:color w:val="000000"/>
          <w:sz w:val="24"/>
          <w:szCs w:val="24"/>
          <w:lang w:eastAsia="zh-CN"/>
        </w:rPr>
        <w:t>105</w:t>
      </w:r>
      <w:r w:rsidRPr="005A5853">
        <w:rPr>
          <w:rFonts w:ascii="Book Antiqua" w:eastAsia="宋体" w:hAnsi="Book Antiqua" w:cs="宋体"/>
          <w:color w:val="000000"/>
          <w:sz w:val="24"/>
          <w:szCs w:val="24"/>
          <w:lang w:eastAsia="zh-CN"/>
        </w:rPr>
        <w:t>: 501-23; quiz 524 [PMID: 20068560 DOI: 10.1038/ajg.2009.727</w:t>
      </w:r>
      <w:r>
        <w:rPr>
          <w:rFonts w:ascii="Book Antiqua" w:eastAsia="宋体" w:hAnsi="Book Antiqua" w:cs="宋体"/>
          <w:color w:val="000000"/>
          <w:sz w:val="24"/>
          <w:szCs w:val="24"/>
          <w:lang w:eastAsia="zh-CN"/>
        </w:rPr>
        <w:t>]</w:t>
      </w:r>
    </w:p>
    <w:p w14:paraId="1DC88861" w14:textId="3C91DBF3"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43 </w:t>
      </w:r>
      <w:proofErr w:type="spellStart"/>
      <w:r w:rsidRPr="005A5853">
        <w:rPr>
          <w:rFonts w:ascii="Book Antiqua" w:eastAsia="宋体" w:hAnsi="Book Antiqua" w:cs="宋体"/>
          <w:b/>
          <w:bCs/>
          <w:color w:val="000000"/>
          <w:sz w:val="24"/>
          <w:szCs w:val="24"/>
          <w:lang w:eastAsia="zh-CN"/>
        </w:rPr>
        <w:t>D'Haens</w:t>
      </w:r>
      <w:proofErr w:type="spellEnd"/>
      <w:r w:rsidRPr="005A5853">
        <w:rPr>
          <w:rFonts w:ascii="Book Antiqua" w:eastAsia="宋体" w:hAnsi="Book Antiqua" w:cs="宋体"/>
          <w:b/>
          <w:bCs/>
          <w:color w:val="000000"/>
          <w:sz w:val="24"/>
          <w:szCs w:val="24"/>
          <w:lang w:eastAsia="zh-CN"/>
        </w:rPr>
        <w:t xml:space="preserve"> GR</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Panaccione</w:t>
      </w:r>
      <w:proofErr w:type="spellEnd"/>
      <w:r w:rsidRPr="005A5853">
        <w:rPr>
          <w:rFonts w:ascii="Book Antiqua" w:eastAsia="宋体" w:hAnsi="Book Antiqua" w:cs="宋体"/>
          <w:color w:val="000000"/>
          <w:sz w:val="24"/>
          <w:szCs w:val="24"/>
          <w:lang w:eastAsia="zh-CN"/>
        </w:rPr>
        <w:t xml:space="preserve"> R, Higgins PD, </w:t>
      </w:r>
      <w:proofErr w:type="spellStart"/>
      <w:r w:rsidRPr="005A5853">
        <w:rPr>
          <w:rFonts w:ascii="Book Antiqua" w:eastAsia="宋体" w:hAnsi="Book Antiqua" w:cs="宋体"/>
          <w:color w:val="000000"/>
          <w:sz w:val="24"/>
          <w:szCs w:val="24"/>
          <w:lang w:eastAsia="zh-CN"/>
        </w:rPr>
        <w:t>Vermeire</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Gassull</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Chowers</w:t>
      </w:r>
      <w:proofErr w:type="spellEnd"/>
      <w:r w:rsidRPr="005A5853">
        <w:rPr>
          <w:rFonts w:ascii="Book Antiqua" w:eastAsia="宋体" w:hAnsi="Book Antiqua" w:cs="宋体"/>
          <w:color w:val="000000"/>
          <w:sz w:val="24"/>
          <w:szCs w:val="24"/>
          <w:lang w:eastAsia="zh-CN"/>
        </w:rPr>
        <w:t xml:space="preserve"> Y, </w:t>
      </w:r>
      <w:proofErr w:type="spellStart"/>
      <w:r w:rsidRPr="005A5853">
        <w:rPr>
          <w:rFonts w:ascii="Book Antiqua" w:eastAsia="宋体" w:hAnsi="Book Antiqua" w:cs="宋体"/>
          <w:color w:val="000000"/>
          <w:sz w:val="24"/>
          <w:szCs w:val="24"/>
          <w:lang w:eastAsia="zh-CN"/>
        </w:rPr>
        <w:t>Hanauer</w:t>
      </w:r>
      <w:proofErr w:type="spellEnd"/>
      <w:r w:rsidRPr="005A5853">
        <w:rPr>
          <w:rFonts w:ascii="Book Antiqua" w:eastAsia="宋体" w:hAnsi="Book Antiqua" w:cs="宋体"/>
          <w:color w:val="000000"/>
          <w:sz w:val="24"/>
          <w:szCs w:val="24"/>
          <w:lang w:eastAsia="zh-CN"/>
        </w:rPr>
        <w:t xml:space="preserve"> SB, </w:t>
      </w:r>
      <w:proofErr w:type="spellStart"/>
      <w:r w:rsidRPr="005A5853">
        <w:rPr>
          <w:rFonts w:ascii="Book Antiqua" w:eastAsia="宋体" w:hAnsi="Book Antiqua" w:cs="宋体"/>
          <w:color w:val="000000"/>
          <w:sz w:val="24"/>
          <w:szCs w:val="24"/>
          <w:lang w:eastAsia="zh-CN"/>
        </w:rPr>
        <w:t>Herfarth</w:t>
      </w:r>
      <w:proofErr w:type="spellEnd"/>
      <w:r w:rsidRPr="005A5853">
        <w:rPr>
          <w:rFonts w:ascii="Book Antiqua" w:eastAsia="宋体" w:hAnsi="Book Antiqua" w:cs="宋体"/>
          <w:color w:val="000000"/>
          <w:sz w:val="24"/>
          <w:szCs w:val="24"/>
          <w:lang w:eastAsia="zh-CN"/>
        </w:rPr>
        <w:t xml:space="preserve"> H, Hommes DW, </w:t>
      </w:r>
      <w:proofErr w:type="spellStart"/>
      <w:r w:rsidRPr="005A5853">
        <w:rPr>
          <w:rFonts w:ascii="Book Antiqua" w:eastAsia="宋体" w:hAnsi="Book Antiqua" w:cs="宋体"/>
          <w:color w:val="000000"/>
          <w:sz w:val="24"/>
          <w:szCs w:val="24"/>
          <w:lang w:eastAsia="zh-CN"/>
        </w:rPr>
        <w:t>Kamm</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Löfberg</w:t>
      </w:r>
      <w:proofErr w:type="spellEnd"/>
      <w:r w:rsidRPr="005A5853">
        <w:rPr>
          <w:rFonts w:ascii="Book Antiqua" w:eastAsia="宋体" w:hAnsi="Book Antiqua" w:cs="宋体"/>
          <w:color w:val="000000"/>
          <w:sz w:val="24"/>
          <w:szCs w:val="24"/>
          <w:lang w:eastAsia="zh-CN"/>
        </w:rPr>
        <w:t xml:space="preserve"> R, </w:t>
      </w:r>
      <w:proofErr w:type="spellStart"/>
      <w:r w:rsidRPr="005A5853">
        <w:rPr>
          <w:rFonts w:ascii="Book Antiqua" w:eastAsia="宋体" w:hAnsi="Book Antiqua" w:cs="宋体"/>
          <w:color w:val="000000"/>
          <w:sz w:val="24"/>
          <w:szCs w:val="24"/>
          <w:lang w:eastAsia="zh-CN"/>
        </w:rPr>
        <w:t>Quary</w:t>
      </w:r>
      <w:proofErr w:type="spellEnd"/>
      <w:r w:rsidRPr="005A5853">
        <w:rPr>
          <w:rFonts w:ascii="Book Antiqua" w:eastAsia="宋体" w:hAnsi="Book Antiqua" w:cs="宋体"/>
          <w:color w:val="000000"/>
          <w:sz w:val="24"/>
          <w:szCs w:val="24"/>
          <w:lang w:eastAsia="zh-CN"/>
        </w:rPr>
        <w:t xml:space="preserve"> A, Sands B, </w:t>
      </w:r>
      <w:proofErr w:type="spellStart"/>
      <w:r w:rsidRPr="005A5853">
        <w:rPr>
          <w:rFonts w:ascii="Book Antiqua" w:eastAsia="宋体" w:hAnsi="Book Antiqua" w:cs="宋体"/>
          <w:color w:val="000000"/>
          <w:sz w:val="24"/>
          <w:szCs w:val="24"/>
          <w:lang w:eastAsia="zh-CN"/>
        </w:rPr>
        <w:t>Sood</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Watermeyer</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Lashner</w:t>
      </w:r>
      <w:proofErr w:type="spellEnd"/>
      <w:r w:rsidRPr="005A5853">
        <w:rPr>
          <w:rFonts w:ascii="Book Antiqua" w:eastAsia="宋体" w:hAnsi="Book Antiqua" w:cs="宋体"/>
          <w:color w:val="000000"/>
          <w:sz w:val="24"/>
          <w:szCs w:val="24"/>
          <w:lang w:eastAsia="zh-CN"/>
        </w:rPr>
        <w:t xml:space="preserve"> B, </w:t>
      </w:r>
      <w:proofErr w:type="spellStart"/>
      <w:r w:rsidRPr="005A5853">
        <w:rPr>
          <w:rFonts w:ascii="Book Antiqua" w:eastAsia="宋体" w:hAnsi="Book Antiqua" w:cs="宋体"/>
          <w:color w:val="000000"/>
          <w:sz w:val="24"/>
          <w:szCs w:val="24"/>
          <w:lang w:eastAsia="zh-CN"/>
        </w:rPr>
        <w:t>Lémann</w:t>
      </w:r>
      <w:proofErr w:type="spellEnd"/>
      <w:r w:rsidRPr="005A5853">
        <w:rPr>
          <w:rFonts w:ascii="Book Antiqua" w:eastAsia="宋体" w:hAnsi="Book Antiqua" w:cs="宋体"/>
          <w:color w:val="000000"/>
          <w:sz w:val="24"/>
          <w:szCs w:val="24"/>
          <w:lang w:eastAsia="zh-CN"/>
        </w:rPr>
        <w:t xml:space="preserve"> M, </w:t>
      </w:r>
      <w:proofErr w:type="spellStart"/>
      <w:r w:rsidRPr="005A5853">
        <w:rPr>
          <w:rFonts w:ascii="Book Antiqua" w:eastAsia="宋体" w:hAnsi="Book Antiqua" w:cs="宋体"/>
          <w:color w:val="000000"/>
          <w:sz w:val="24"/>
          <w:szCs w:val="24"/>
          <w:lang w:eastAsia="zh-CN"/>
        </w:rPr>
        <w:t>Plevy</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Reinisch</w:t>
      </w:r>
      <w:proofErr w:type="spellEnd"/>
      <w:r w:rsidRPr="005A5853">
        <w:rPr>
          <w:rFonts w:ascii="Book Antiqua" w:eastAsia="宋体" w:hAnsi="Book Antiqua" w:cs="宋体"/>
          <w:color w:val="000000"/>
          <w:sz w:val="24"/>
          <w:szCs w:val="24"/>
          <w:lang w:eastAsia="zh-CN"/>
        </w:rPr>
        <w:t xml:space="preserve"> W, Schreiber S, Siegel C, </w:t>
      </w:r>
      <w:proofErr w:type="spellStart"/>
      <w:r w:rsidRPr="005A5853">
        <w:rPr>
          <w:rFonts w:ascii="Book Antiqua" w:eastAsia="宋体" w:hAnsi="Book Antiqua" w:cs="宋体"/>
          <w:color w:val="000000"/>
          <w:sz w:val="24"/>
          <w:szCs w:val="24"/>
          <w:lang w:eastAsia="zh-CN"/>
        </w:rPr>
        <w:t>Targan</w:t>
      </w:r>
      <w:proofErr w:type="spellEnd"/>
      <w:r w:rsidRPr="005A5853">
        <w:rPr>
          <w:rFonts w:ascii="Book Antiqua" w:eastAsia="宋体" w:hAnsi="Book Antiqua" w:cs="宋体"/>
          <w:color w:val="000000"/>
          <w:sz w:val="24"/>
          <w:szCs w:val="24"/>
          <w:lang w:eastAsia="zh-CN"/>
        </w:rPr>
        <w:t xml:space="preserve"> S, Watanabe M, </w:t>
      </w:r>
      <w:proofErr w:type="spellStart"/>
      <w:r w:rsidRPr="005A5853">
        <w:rPr>
          <w:rFonts w:ascii="Book Antiqua" w:eastAsia="宋体" w:hAnsi="Book Antiqua" w:cs="宋体"/>
          <w:color w:val="000000"/>
          <w:sz w:val="24"/>
          <w:szCs w:val="24"/>
          <w:lang w:eastAsia="zh-CN"/>
        </w:rPr>
        <w:t>Feagan</w:t>
      </w:r>
      <w:proofErr w:type="spellEnd"/>
      <w:r w:rsidRPr="005A5853">
        <w:rPr>
          <w:rFonts w:ascii="Book Antiqua" w:eastAsia="宋体" w:hAnsi="Book Antiqua" w:cs="宋体"/>
          <w:color w:val="000000"/>
          <w:sz w:val="24"/>
          <w:szCs w:val="24"/>
          <w:lang w:eastAsia="zh-CN"/>
        </w:rPr>
        <w:t xml:space="preserve"> B, </w:t>
      </w:r>
      <w:proofErr w:type="spellStart"/>
      <w:r w:rsidRPr="005A5853">
        <w:rPr>
          <w:rFonts w:ascii="Book Antiqua" w:eastAsia="宋体" w:hAnsi="Book Antiqua" w:cs="宋体"/>
          <w:color w:val="000000"/>
          <w:sz w:val="24"/>
          <w:szCs w:val="24"/>
          <w:lang w:eastAsia="zh-CN"/>
        </w:rPr>
        <w:t>Sandborn</w:t>
      </w:r>
      <w:proofErr w:type="spellEnd"/>
      <w:r w:rsidRPr="005A5853">
        <w:rPr>
          <w:rFonts w:ascii="Book Antiqua" w:eastAsia="宋体" w:hAnsi="Book Antiqua" w:cs="宋体"/>
          <w:color w:val="000000"/>
          <w:sz w:val="24"/>
          <w:szCs w:val="24"/>
          <w:lang w:eastAsia="zh-CN"/>
        </w:rPr>
        <w:t xml:space="preserve"> WJ, </w:t>
      </w:r>
      <w:proofErr w:type="spellStart"/>
      <w:r w:rsidRPr="005A5853">
        <w:rPr>
          <w:rFonts w:ascii="Book Antiqua" w:eastAsia="宋体" w:hAnsi="Book Antiqua" w:cs="宋体"/>
          <w:color w:val="000000"/>
          <w:sz w:val="24"/>
          <w:szCs w:val="24"/>
          <w:lang w:eastAsia="zh-CN"/>
        </w:rPr>
        <w:t>Colombel</w:t>
      </w:r>
      <w:proofErr w:type="spellEnd"/>
      <w:r w:rsidRPr="005A5853">
        <w:rPr>
          <w:rFonts w:ascii="Book Antiqua" w:eastAsia="宋体" w:hAnsi="Book Antiqua" w:cs="宋体"/>
          <w:color w:val="000000"/>
          <w:sz w:val="24"/>
          <w:szCs w:val="24"/>
          <w:lang w:eastAsia="zh-CN"/>
        </w:rPr>
        <w:t xml:space="preserve"> JF, Travis S. The London Position Statement of the World Congress of Gastroenterology on Biological Therapy for IBD with the European Crohn's and Colitis Organization: when to start, when to stop, which drug to choose, and how to predict response? </w:t>
      </w:r>
      <w:r w:rsidRPr="005A5853">
        <w:rPr>
          <w:rFonts w:ascii="Book Antiqua" w:eastAsia="宋体" w:hAnsi="Book Antiqua" w:cs="宋体"/>
          <w:i/>
          <w:iCs/>
          <w:color w:val="000000"/>
          <w:sz w:val="24"/>
          <w:szCs w:val="24"/>
          <w:lang w:eastAsia="zh-CN"/>
        </w:rPr>
        <w:t xml:space="preserve">Am J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color w:val="000000"/>
          <w:sz w:val="24"/>
          <w:szCs w:val="24"/>
          <w:lang w:eastAsia="zh-CN"/>
        </w:rPr>
        <w:t> 2011; </w:t>
      </w:r>
      <w:r w:rsidRPr="005A5853">
        <w:rPr>
          <w:rFonts w:ascii="Book Antiqua" w:eastAsia="宋体" w:hAnsi="Book Antiqua" w:cs="宋体"/>
          <w:b/>
          <w:bCs/>
          <w:color w:val="000000"/>
          <w:sz w:val="24"/>
          <w:szCs w:val="24"/>
          <w:lang w:eastAsia="zh-CN"/>
        </w:rPr>
        <w:t>106</w:t>
      </w:r>
      <w:r w:rsidRPr="005A5853">
        <w:rPr>
          <w:rFonts w:ascii="Book Antiqua" w:eastAsia="宋体" w:hAnsi="Book Antiqua" w:cs="宋体"/>
          <w:color w:val="000000"/>
          <w:sz w:val="24"/>
          <w:szCs w:val="24"/>
          <w:lang w:eastAsia="zh-CN"/>
        </w:rPr>
        <w:t>: 199-212; quiz 213 [PMID: 21045814 DOI: 10.1038/ajg.2010.392</w:t>
      </w:r>
      <w:r>
        <w:rPr>
          <w:rFonts w:ascii="Book Antiqua" w:eastAsia="宋体" w:hAnsi="Book Antiqua" w:cs="宋体"/>
          <w:color w:val="000000"/>
          <w:sz w:val="24"/>
          <w:szCs w:val="24"/>
          <w:lang w:eastAsia="zh-CN"/>
        </w:rPr>
        <w:t>]</w:t>
      </w:r>
    </w:p>
    <w:p w14:paraId="3124C2E9" w14:textId="6C5D2D6D"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44 </w:t>
      </w:r>
      <w:proofErr w:type="spellStart"/>
      <w:r w:rsidRPr="005A5853">
        <w:rPr>
          <w:rFonts w:ascii="Book Antiqua" w:eastAsia="宋体" w:hAnsi="Book Antiqua" w:cs="宋体"/>
          <w:b/>
          <w:bCs/>
          <w:color w:val="000000"/>
          <w:sz w:val="24"/>
          <w:szCs w:val="24"/>
          <w:lang w:eastAsia="zh-CN"/>
        </w:rPr>
        <w:t>Terdiman</w:t>
      </w:r>
      <w:proofErr w:type="spellEnd"/>
      <w:r w:rsidRPr="005A5853">
        <w:rPr>
          <w:rFonts w:ascii="Book Antiqua" w:eastAsia="宋体" w:hAnsi="Book Antiqua" w:cs="宋体"/>
          <w:b/>
          <w:bCs/>
          <w:color w:val="000000"/>
          <w:sz w:val="24"/>
          <w:szCs w:val="24"/>
          <w:lang w:eastAsia="zh-CN"/>
        </w:rPr>
        <w:t xml:space="preserve"> JP</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Gruss</w:t>
      </w:r>
      <w:proofErr w:type="spellEnd"/>
      <w:r w:rsidRPr="005A5853">
        <w:rPr>
          <w:rFonts w:ascii="Book Antiqua" w:eastAsia="宋体" w:hAnsi="Book Antiqua" w:cs="宋体"/>
          <w:color w:val="000000"/>
          <w:sz w:val="24"/>
          <w:szCs w:val="24"/>
          <w:lang w:eastAsia="zh-CN"/>
        </w:rPr>
        <w:t xml:space="preserve"> CB, </w:t>
      </w:r>
      <w:proofErr w:type="spellStart"/>
      <w:r w:rsidRPr="005A5853">
        <w:rPr>
          <w:rFonts w:ascii="Book Antiqua" w:eastAsia="宋体" w:hAnsi="Book Antiqua" w:cs="宋体"/>
          <w:color w:val="000000"/>
          <w:sz w:val="24"/>
          <w:szCs w:val="24"/>
          <w:lang w:eastAsia="zh-CN"/>
        </w:rPr>
        <w:t>Heidelbaugh</w:t>
      </w:r>
      <w:proofErr w:type="spellEnd"/>
      <w:r w:rsidRPr="005A5853">
        <w:rPr>
          <w:rFonts w:ascii="Book Antiqua" w:eastAsia="宋体" w:hAnsi="Book Antiqua" w:cs="宋体"/>
          <w:color w:val="000000"/>
          <w:sz w:val="24"/>
          <w:szCs w:val="24"/>
          <w:lang w:eastAsia="zh-CN"/>
        </w:rPr>
        <w:t xml:space="preserve"> JJ, Sultan S, </w:t>
      </w:r>
      <w:proofErr w:type="spellStart"/>
      <w:r w:rsidRPr="005A5853">
        <w:rPr>
          <w:rFonts w:ascii="Book Antiqua" w:eastAsia="宋体" w:hAnsi="Book Antiqua" w:cs="宋体"/>
          <w:color w:val="000000"/>
          <w:sz w:val="24"/>
          <w:szCs w:val="24"/>
          <w:lang w:eastAsia="zh-CN"/>
        </w:rPr>
        <w:t>Falck-Ytter</w:t>
      </w:r>
      <w:proofErr w:type="spellEnd"/>
      <w:r w:rsidRPr="005A5853">
        <w:rPr>
          <w:rFonts w:ascii="Book Antiqua" w:eastAsia="宋体" w:hAnsi="Book Antiqua" w:cs="宋体"/>
          <w:color w:val="000000"/>
          <w:sz w:val="24"/>
          <w:szCs w:val="24"/>
          <w:lang w:eastAsia="zh-CN"/>
        </w:rPr>
        <w:t xml:space="preserve"> YT. </w:t>
      </w:r>
      <w:proofErr w:type="gramStart"/>
      <w:r w:rsidRPr="005A5853">
        <w:rPr>
          <w:rFonts w:ascii="Book Antiqua" w:eastAsia="宋体" w:hAnsi="Book Antiqua" w:cs="宋体"/>
          <w:color w:val="000000"/>
          <w:sz w:val="24"/>
          <w:szCs w:val="24"/>
          <w:lang w:eastAsia="zh-CN"/>
        </w:rPr>
        <w:t xml:space="preserve">American Gastroenterological Association Institute guideline on the use of </w:t>
      </w:r>
      <w:proofErr w:type="spellStart"/>
      <w:r w:rsidRPr="005A5853">
        <w:rPr>
          <w:rFonts w:ascii="Book Antiqua" w:eastAsia="宋体" w:hAnsi="Book Antiqua" w:cs="宋体"/>
          <w:color w:val="000000"/>
          <w:sz w:val="24"/>
          <w:szCs w:val="24"/>
          <w:lang w:eastAsia="zh-CN"/>
        </w:rPr>
        <w:t>thiopurines</w:t>
      </w:r>
      <w:proofErr w:type="spellEnd"/>
      <w:r w:rsidRPr="005A5853">
        <w:rPr>
          <w:rFonts w:ascii="Book Antiqua" w:eastAsia="宋体" w:hAnsi="Book Antiqua" w:cs="宋体"/>
          <w:color w:val="000000"/>
          <w:sz w:val="24"/>
          <w:szCs w:val="24"/>
          <w:lang w:eastAsia="zh-CN"/>
        </w:rPr>
        <w:t>, methotrexate, and anti-TNF-α biologic drugs for the induction and maintenance of remission in inflammatory Crohn's disease.</w:t>
      </w:r>
      <w:proofErr w:type="gramEnd"/>
      <w:r w:rsidRPr="005A5853">
        <w:rPr>
          <w:rFonts w:ascii="Book Antiqua" w:eastAsia="宋体" w:hAnsi="Book Antiqua" w:cs="宋体"/>
          <w:color w:val="000000"/>
          <w:sz w:val="24"/>
          <w:szCs w:val="24"/>
          <w:lang w:eastAsia="zh-CN"/>
        </w:rPr>
        <w:t> </w:t>
      </w:r>
      <w:r w:rsidRPr="005A5853">
        <w:rPr>
          <w:rFonts w:ascii="Book Antiqua" w:eastAsia="宋体" w:hAnsi="Book Antiqua" w:cs="宋体"/>
          <w:i/>
          <w:iCs/>
          <w:color w:val="000000"/>
          <w:sz w:val="24"/>
          <w:szCs w:val="24"/>
          <w:lang w:eastAsia="zh-CN"/>
        </w:rPr>
        <w:t>Gastroenterology</w:t>
      </w:r>
      <w:r w:rsidRPr="005A5853">
        <w:rPr>
          <w:rFonts w:ascii="Book Antiqua" w:eastAsia="宋体" w:hAnsi="Book Antiqua" w:cs="宋体"/>
          <w:color w:val="000000"/>
          <w:sz w:val="24"/>
          <w:szCs w:val="24"/>
          <w:lang w:eastAsia="zh-CN"/>
        </w:rPr>
        <w:t> 2013; </w:t>
      </w:r>
      <w:r w:rsidRPr="005A5853">
        <w:rPr>
          <w:rFonts w:ascii="Book Antiqua" w:eastAsia="宋体" w:hAnsi="Book Antiqua" w:cs="宋体"/>
          <w:b/>
          <w:bCs/>
          <w:color w:val="000000"/>
          <w:sz w:val="24"/>
          <w:szCs w:val="24"/>
          <w:lang w:eastAsia="zh-CN"/>
        </w:rPr>
        <w:t>145</w:t>
      </w:r>
      <w:r w:rsidRPr="005A5853">
        <w:rPr>
          <w:rFonts w:ascii="Book Antiqua" w:eastAsia="宋体" w:hAnsi="Book Antiqua" w:cs="宋体"/>
          <w:color w:val="000000"/>
          <w:sz w:val="24"/>
          <w:szCs w:val="24"/>
          <w:lang w:eastAsia="zh-CN"/>
        </w:rPr>
        <w:t>: 1459-1463 [PMID: 24267474 DOI: 10.1053/j.gastro.2013.10.047</w:t>
      </w:r>
      <w:r>
        <w:rPr>
          <w:rFonts w:ascii="Book Antiqua" w:eastAsia="宋体" w:hAnsi="Book Antiqua" w:cs="宋体"/>
          <w:color w:val="000000"/>
          <w:sz w:val="24"/>
          <w:szCs w:val="24"/>
          <w:lang w:eastAsia="zh-CN"/>
        </w:rPr>
        <w:t>]</w:t>
      </w:r>
    </w:p>
    <w:p w14:paraId="6A563E08" w14:textId="3CE4D8EB"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lastRenderedPageBreak/>
        <w:t>45 </w:t>
      </w:r>
      <w:proofErr w:type="spellStart"/>
      <w:r w:rsidRPr="005A5853">
        <w:rPr>
          <w:rFonts w:ascii="Book Antiqua" w:eastAsia="宋体" w:hAnsi="Book Antiqua" w:cs="宋体"/>
          <w:b/>
          <w:bCs/>
          <w:color w:val="000000"/>
          <w:sz w:val="24"/>
          <w:szCs w:val="24"/>
          <w:lang w:eastAsia="zh-CN"/>
        </w:rPr>
        <w:t>Dassopoulos</w:t>
      </w:r>
      <w:proofErr w:type="spellEnd"/>
      <w:r w:rsidRPr="005A5853">
        <w:rPr>
          <w:rFonts w:ascii="Book Antiqua" w:eastAsia="宋体" w:hAnsi="Book Antiqua" w:cs="宋体"/>
          <w:b/>
          <w:bCs/>
          <w:color w:val="000000"/>
          <w:sz w:val="24"/>
          <w:szCs w:val="24"/>
          <w:lang w:eastAsia="zh-CN"/>
        </w:rPr>
        <w:t xml:space="preserve"> T</w:t>
      </w:r>
      <w:r w:rsidRPr="005A5853">
        <w:rPr>
          <w:rFonts w:ascii="Book Antiqua" w:eastAsia="宋体" w:hAnsi="Book Antiqua" w:cs="宋体"/>
          <w:color w:val="000000"/>
          <w:sz w:val="24"/>
          <w:szCs w:val="24"/>
          <w:lang w:eastAsia="zh-CN"/>
        </w:rPr>
        <w:t xml:space="preserve">, Cohen RD, </w:t>
      </w:r>
      <w:proofErr w:type="spellStart"/>
      <w:r w:rsidRPr="005A5853">
        <w:rPr>
          <w:rFonts w:ascii="Book Antiqua" w:eastAsia="宋体" w:hAnsi="Book Antiqua" w:cs="宋体"/>
          <w:color w:val="000000"/>
          <w:sz w:val="24"/>
          <w:szCs w:val="24"/>
          <w:lang w:eastAsia="zh-CN"/>
        </w:rPr>
        <w:t>Scherl</w:t>
      </w:r>
      <w:proofErr w:type="spellEnd"/>
      <w:r w:rsidRPr="005A5853">
        <w:rPr>
          <w:rFonts w:ascii="Book Antiqua" w:eastAsia="宋体" w:hAnsi="Book Antiqua" w:cs="宋体"/>
          <w:color w:val="000000"/>
          <w:sz w:val="24"/>
          <w:szCs w:val="24"/>
          <w:lang w:eastAsia="zh-CN"/>
        </w:rPr>
        <w:t xml:space="preserve"> EJ, Schwartz RM, </w:t>
      </w:r>
      <w:proofErr w:type="spellStart"/>
      <w:r w:rsidRPr="005A5853">
        <w:rPr>
          <w:rFonts w:ascii="Book Antiqua" w:eastAsia="宋体" w:hAnsi="Book Antiqua" w:cs="宋体"/>
          <w:color w:val="000000"/>
          <w:sz w:val="24"/>
          <w:szCs w:val="24"/>
          <w:lang w:eastAsia="zh-CN"/>
        </w:rPr>
        <w:t>Kosinski</w:t>
      </w:r>
      <w:proofErr w:type="spellEnd"/>
      <w:r w:rsidRPr="005A5853">
        <w:rPr>
          <w:rFonts w:ascii="Book Antiqua" w:eastAsia="宋体" w:hAnsi="Book Antiqua" w:cs="宋体"/>
          <w:color w:val="000000"/>
          <w:sz w:val="24"/>
          <w:szCs w:val="24"/>
          <w:lang w:eastAsia="zh-CN"/>
        </w:rPr>
        <w:t xml:space="preserve"> L, </w:t>
      </w:r>
      <w:proofErr w:type="spellStart"/>
      <w:r w:rsidRPr="005A5853">
        <w:rPr>
          <w:rFonts w:ascii="Book Antiqua" w:eastAsia="宋体" w:hAnsi="Book Antiqua" w:cs="宋体"/>
          <w:color w:val="000000"/>
          <w:sz w:val="24"/>
          <w:szCs w:val="24"/>
          <w:lang w:eastAsia="zh-CN"/>
        </w:rPr>
        <w:t>Regueiro</w:t>
      </w:r>
      <w:proofErr w:type="spellEnd"/>
      <w:r w:rsidRPr="005A5853">
        <w:rPr>
          <w:rFonts w:ascii="Book Antiqua" w:eastAsia="宋体" w:hAnsi="Book Antiqua" w:cs="宋体"/>
          <w:color w:val="000000"/>
          <w:sz w:val="24"/>
          <w:szCs w:val="24"/>
          <w:lang w:eastAsia="zh-CN"/>
        </w:rPr>
        <w:t xml:space="preserve"> MD. </w:t>
      </w:r>
      <w:proofErr w:type="gramStart"/>
      <w:r w:rsidRPr="005A5853">
        <w:rPr>
          <w:rFonts w:ascii="Book Antiqua" w:eastAsia="宋体" w:hAnsi="Book Antiqua" w:cs="宋体"/>
          <w:color w:val="000000"/>
          <w:sz w:val="24"/>
          <w:szCs w:val="24"/>
          <w:lang w:eastAsia="zh-CN"/>
        </w:rPr>
        <w:t>Ulcerative Colitis Care Pathway.</w:t>
      </w:r>
      <w:proofErr w:type="gramEnd"/>
      <w:r w:rsidRPr="005A5853">
        <w:rPr>
          <w:rFonts w:ascii="Book Antiqua" w:eastAsia="宋体" w:hAnsi="Book Antiqua" w:cs="宋体"/>
          <w:color w:val="000000"/>
          <w:sz w:val="24"/>
          <w:szCs w:val="24"/>
          <w:lang w:eastAsia="zh-CN"/>
        </w:rPr>
        <w:t> </w:t>
      </w:r>
      <w:r w:rsidRPr="005A5853">
        <w:rPr>
          <w:rFonts w:ascii="Book Antiqua" w:eastAsia="宋体" w:hAnsi="Book Antiqua" w:cs="宋体"/>
          <w:i/>
          <w:iCs/>
          <w:color w:val="000000"/>
          <w:sz w:val="24"/>
          <w:szCs w:val="24"/>
          <w:lang w:eastAsia="zh-CN"/>
        </w:rPr>
        <w:t>Gastroenterology</w:t>
      </w:r>
      <w:r w:rsidRPr="005A5853">
        <w:rPr>
          <w:rFonts w:ascii="Book Antiqua" w:eastAsia="宋体" w:hAnsi="Book Antiqua" w:cs="宋体"/>
          <w:color w:val="000000"/>
          <w:sz w:val="24"/>
          <w:szCs w:val="24"/>
          <w:lang w:eastAsia="zh-CN"/>
        </w:rPr>
        <w:t> 2015; </w:t>
      </w:r>
      <w:r w:rsidRPr="005A5853">
        <w:rPr>
          <w:rFonts w:ascii="Book Antiqua" w:eastAsia="宋体" w:hAnsi="Book Antiqua" w:cs="宋体"/>
          <w:b/>
          <w:bCs/>
          <w:color w:val="000000"/>
          <w:sz w:val="24"/>
          <w:szCs w:val="24"/>
          <w:lang w:eastAsia="zh-CN"/>
        </w:rPr>
        <w:t>149</w:t>
      </w:r>
      <w:r w:rsidRPr="005A5853">
        <w:rPr>
          <w:rFonts w:ascii="Book Antiqua" w:eastAsia="宋体" w:hAnsi="Book Antiqua" w:cs="宋体"/>
          <w:color w:val="000000"/>
          <w:sz w:val="24"/>
          <w:szCs w:val="24"/>
          <w:lang w:eastAsia="zh-CN"/>
        </w:rPr>
        <w:t>: 238-245 [PMID: 26025078 DOI: 10.1053/j.gastro.2015.05.036</w:t>
      </w:r>
      <w:r>
        <w:rPr>
          <w:rFonts w:ascii="Book Antiqua" w:eastAsia="宋体" w:hAnsi="Book Antiqua" w:cs="宋体"/>
          <w:color w:val="000000"/>
          <w:sz w:val="24"/>
          <w:szCs w:val="24"/>
          <w:lang w:eastAsia="zh-CN"/>
        </w:rPr>
        <w:t>]</w:t>
      </w:r>
    </w:p>
    <w:p w14:paraId="0996AD80" w14:textId="0A0E4498" w:rsidR="005A5853" w:rsidRPr="005A5853" w:rsidRDefault="005A5853" w:rsidP="005A5853">
      <w:pPr>
        <w:spacing w:after="0" w:line="360" w:lineRule="auto"/>
        <w:jc w:val="both"/>
        <w:rPr>
          <w:rFonts w:ascii="Book Antiqua" w:eastAsia="宋体" w:hAnsi="Book Antiqua" w:cs="宋体"/>
          <w:color w:val="000000"/>
          <w:sz w:val="24"/>
          <w:szCs w:val="24"/>
          <w:lang w:eastAsia="zh-CN"/>
        </w:rPr>
      </w:pPr>
      <w:proofErr w:type="gramStart"/>
      <w:r w:rsidRPr="005A5853">
        <w:rPr>
          <w:rFonts w:ascii="Book Antiqua" w:eastAsia="宋体" w:hAnsi="Book Antiqua" w:cs="宋体"/>
          <w:color w:val="000000"/>
          <w:sz w:val="24"/>
          <w:szCs w:val="24"/>
          <w:lang w:eastAsia="zh-CN"/>
        </w:rPr>
        <w:t>46 </w:t>
      </w:r>
      <w:proofErr w:type="spellStart"/>
      <w:r w:rsidRPr="005A5853">
        <w:rPr>
          <w:rFonts w:ascii="Book Antiqua" w:eastAsia="宋体" w:hAnsi="Book Antiqua" w:cs="宋体"/>
          <w:b/>
          <w:bCs/>
          <w:color w:val="000000"/>
          <w:sz w:val="24"/>
          <w:szCs w:val="24"/>
          <w:lang w:eastAsia="zh-CN"/>
        </w:rPr>
        <w:t>Sandborn</w:t>
      </w:r>
      <w:proofErr w:type="spellEnd"/>
      <w:r w:rsidRPr="005A5853">
        <w:rPr>
          <w:rFonts w:ascii="Book Antiqua" w:eastAsia="宋体" w:hAnsi="Book Antiqua" w:cs="宋体"/>
          <w:b/>
          <w:bCs/>
          <w:color w:val="000000"/>
          <w:sz w:val="24"/>
          <w:szCs w:val="24"/>
          <w:lang w:eastAsia="zh-CN"/>
        </w:rPr>
        <w:t xml:space="preserve"> WJ</w:t>
      </w:r>
      <w:r w:rsidRPr="005A5853">
        <w:rPr>
          <w:rFonts w:ascii="Book Antiqua" w:eastAsia="宋体" w:hAnsi="Book Antiqua" w:cs="宋体"/>
          <w:color w:val="000000"/>
          <w:sz w:val="24"/>
          <w:szCs w:val="24"/>
          <w:lang w:eastAsia="zh-CN"/>
        </w:rPr>
        <w:t>.</w:t>
      </w:r>
      <w:proofErr w:type="gramEnd"/>
      <w:r w:rsidRPr="005A5853">
        <w:rPr>
          <w:rFonts w:ascii="Book Antiqua" w:eastAsia="宋体" w:hAnsi="Book Antiqua" w:cs="宋体"/>
          <w:color w:val="000000"/>
          <w:sz w:val="24"/>
          <w:szCs w:val="24"/>
          <w:lang w:eastAsia="zh-CN"/>
        </w:rPr>
        <w:t xml:space="preserve"> Crohn's disease evaluation and treatment: clinical decision tool. </w:t>
      </w:r>
      <w:r w:rsidRPr="005A5853">
        <w:rPr>
          <w:rFonts w:ascii="Book Antiqua" w:eastAsia="宋体" w:hAnsi="Book Antiqua" w:cs="宋体"/>
          <w:i/>
          <w:iCs/>
          <w:color w:val="000000"/>
          <w:sz w:val="24"/>
          <w:szCs w:val="24"/>
          <w:lang w:eastAsia="zh-CN"/>
        </w:rPr>
        <w:t>Gastroenterology</w:t>
      </w:r>
      <w:r w:rsidRPr="005A5853">
        <w:rPr>
          <w:rFonts w:ascii="Book Antiqua" w:eastAsia="宋体" w:hAnsi="Book Antiqua" w:cs="宋体"/>
          <w:color w:val="000000"/>
          <w:sz w:val="24"/>
          <w:szCs w:val="24"/>
          <w:lang w:eastAsia="zh-CN"/>
        </w:rPr>
        <w:t> 2014; </w:t>
      </w:r>
      <w:r w:rsidRPr="005A5853">
        <w:rPr>
          <w:rFonts w:ascii="Book Antiqua" w:eastAsia="宋体" w:hAnsi="Book Antiqua" w:cs="宋体"/>
          <w:b/>
          <w:bCs/>
          <w:color w:val="000000"/>
          <w:sz w:val="24"/>
          <w:szCs w:val="24"/>
          <w:lang w:eastAsia="zh-CN"/>
        </w:rPr>
        <w:t>147</w:t>
      </w:r>
      <w:r w:rsidRPr="005A5853">
        <w:rPr>
          <w:rFonts w:ascii="Book Antiqua" w:eastAsia="宋体" w:hAnsi="Book Antiqua" w:cs="宋体"/>
          <w:color w:val="000000"/>
          <w:sz w:val="24"/>
          <w:szCs w:val="24"/>
          <w:lang w:eastAsia="zh-CN"/>
        </w:rPr>
        <w:t>: 702-705 [PMID: 25046160 DOI: 10.1053/j.gastro.2014.07.022</w:t>
      </w:r>
      <w:r>
        <w:rPr>
          <w:rFonts w:ascii="Book Antiqua" w:eastAsia="宋体" w:hAnsi="Book Antiqua" w:cs="宋体"/>
          <w:color w:val="000000"/>
          <w:sz w:val="24"/>
          <w:szCs w:val="24"/>
          <w:lang w:eastAsia="zh-CN"/>
        </w:rPr>
        <w:t>]</w:t>
      </w:r>
    </w:p>
    <w:p w14:paraId="748AACE3" w14:textId="77777777"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47 </w:t>
      </w:r>
      <w:r w:rsidRPr="005A5853">
        <w:rPr>
          <w:rFonts w:ascii="Book Antiqua" w:eastAsia="宋体" w:hAnsi="Book Antiqua" w:cs="宋体"/>
          <w:b/>
          <w:bCs/>
          <w:color w:val="000000"/>
          <w:sz w:val="24"/>
          <w:szCs w:val="24"/>
          <w:lang w:eastAsia="zh-CN"/>
        </w:rPr>
        <w:t>Ueno F</w:t>
      </w:r>
      <w:r w:rsidRPr="005A5853">
        <w:rPr>
          <w:rFonts w:ascii="Book Antiqua" w:eastAsia="宋体" w:hAnsi="Book Antiqua" w:cs="宋体"/>
          <w:color w:val="000000"/>
          <w:sz w:val="24"/>
          <w:szCs w:val="24"/>
          <w:lang w:eastAsia="zh-CN"/>
        </w:rPr>
        <w:t xml:space="preserve">, Matsui T, Matsumoto T, Matsuoka K, Watanabe M, </w:t>
      </w:r>
      <w:proofErr w:type="spellStart"/>
      <w:r w:rsidRPr="005A5853">
        <w:rPr>
          <w:rFonts w:ascii="Book Antiqua" w:eastAsia="宋体" w:hAnsi="Book Antiqua" w:cs="宋体"/>
          <w:color w:val="000000"/>
          <w:sz w:val="24"/>
          <w:szCs w:val="24"/>
          <w:lang w:eastAsia="zh-CN"/>
        </w:rPr>
        <w:t>Hibi</w:t>
      </w:r>
      <w:proofErr w:type="spellEnd"/>
      <w:r w:rsidRPr="005A5853">
        <w:rPr>
          <w:rFonts w:ascii="Book Antiqua" w:eastAsia="宋体" w:hAnsi="Book Antiqua" w:cs="宋体"/>
          <w:color w:val="000000"/>
          <w:sz w:val="24"/>
          <w:szCs w:val="24"/>
          <w:lang w:eastAsia="zh-CN"/>
        </w:rPr>
        <w:t xml:space="preserve"> T. Evidence-based clinical practice guidelines for Crohn's disease, integrated with formal consensus of experts in Japan. </w:t>
      </w:r>
      <w:r w:rsidRPr="005A5853">
        <w:rPr>
          <w:rFonts w:ascii="Book Antiqua" w:eastAsia="宋体" w:hAnsi="Book Antiqua" w:cs="宋体"/>
          <w:i/>
          <w:iCs/>
          <w:color w:val="000000"/>
          <w:sz w:val="24"/>
          <w:szCs w:val="24"/>
          <w:lang w:eastAsia="zh-CN"/>
        </w:rPr>
        <w:t xml:space="preserve">J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color w:val="000000"/>
          <w:sz w:val="24"/>
          <w:szCs w:val="24"/>
          <w:lang w:eastAsia="zh-CN"/>
        </w:rPr>
        <w:t> 2013; </w:t>
      </w:r>
      <w:r w:rsidRPr="005A5853">
        <w:rPr>
          <w:rFonts w:ascii="Book Antiqua" w:eastAsia="宋体" w:hAnsi="Book Antiqua" w:cs="宋体"/>
          <w:b/>
          <w:bCs/>
          <w:color w:val="000000"/>
          <w:sz w:val="24"/>
          <w:szCs w:val="24"/>
          <w:lang w:eastAsia="zh-CN"/>
        </w:rPr>
        <w:t>48</w:t>
      </w:r>
      <w:r w:rsidRPr="005A5853">
        <w:rPr>
          <w:rFonts w:ascii="Book Antiqua" w:eastAsia="宋体" w:hAnsi="Book Antiqua" w:cs="宋体"/>
          <w:color w:val="000000"/>
          <w:sz w:val="24"/>
          <w:szCs w:val="24"/>
          <w:lang w:eastAsia="zh-CN"/>
        </w:rPr>
        <w:t>: 31-72 [PMID: 23090001]</w:t>
      </w:r>
    </w:p>
    <w:p w14:paraId="071772CF" w14:textId="642998DC"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48 </w:t>
      </w:r>
      <w:r w:rsidRPr="005A5853">
        <w:rPr>
          <w:rFonts w:ascii="Book Antiqua" w:eastAsia="宋体" w:hAnsi="Book Antiqua" w:cs="宋体"/>
          <w:b/>
          <w:bCs/>
          <w:color w:val="000000"/>
          <w:sz w:val="24"/>
          <w:szCs w:val="24"/>
          <w:lang w:eastAsia="zh-CN"/>
        </w:rPr>
        <w:t>Ramakrishna BS</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Makharia</w:t>
      </w:r>
      <w:proofErr w:type="spellEnd"/>
      <w:r w:rsidRPr="005A5853">
        <w:rPr>
          <w:rFonts w:ascii="Book Antiqua" w:eastAsia="宋体" w:hAnsi="Book Antiqua" w:cs="宋体"/>
          <w:color w:val="000000"/>
          <w:sz w:val="24"/>
          <w:szCs w:val="24"/>
          <w:lang w:eastAsia="zh-CN"/>
        </w:rPr>
        <w:t xml:space="preserve"> GK, Abraham P, </w:t>
      </w:r>
      <w:proofErr w:type="spellStart"/>
      <w:r w:rsidRPr="005A5853">
        <w:rPr>
          <w:rFonts w:ascii="Book Antiqua" w:eastAsia="宋体" w:hAnsi="Book Antiqua" w:cs="宋体"/>
          <w:color w:val="000000"/>
          <w:sz w:val="24"/>
          <w:szCs w:val="24"/>
          <w:lang w:eastAsia="zh-CN"/>
        </w:rPr>
        <w:t>Ghoshal</w:t>
      </w:r>
      <w:proofErr w:type="spellEnd"/>
      <w:r w:rsidRPr="005A5853">
        <w:rPr>
          <w:rFonts w:ascii="Book Antiqua" w:eastAsia="宋体" w:hAnsi="Book Antiqua" w:cs="宋体"/>
          <w:color w:val="000000"/>
          <w:sz w:val="24"/>
          <w:szCs w:val="24"/>
          <w:lang w:eastAsia="zh-CN"/>
        </w:rPr>
        <w:t xml:space="preserve"> UC, </w:t>
      </w:r>
      <w:proofErr w:type="spellStart"/>
      <w:r w:rsidRPr="005A5853">
        <w:rPr>
          <w:rFonts w:ascii="Book Antiqua" w:eastAsia="宋体" w:hAnsi="Book Antiqua" w:cs="宋体"/>
          <w:color w:val="000000"/>
          <w:sz w:val="24"/>
          <w:szCs w:val="24"/>
          <w:lang w:eastAsia="zh-CN"/>
        </w:rPr>
        <w:t>Jayanthi</w:t>
      </w:r>
      <w:proofErr w:type="spellEnd"/>
      <w:r w:rsidRPr="005A5853">
        <w:rPr>
          <w:rFonts w:ascii="Book Antiqua" w:eastAsia="宋体" w:hAnsi="Book Antiqua" w:cs="宋体"/>
          <w:color w:val="000000"/>
          <w:sz w:val="24"/>
          <w:szCs w:val="24"/>
          <w:lang w:eastAsia="zh-CN"/>
        </w:rPr>
        <w:t xml:space="preserve"> V, Agarwal BK, Ahuja V, </w:t>
      </w:r>
      <w:proofErr w:type="spellStart"/>
      <w:r w:rsidRPr="005A5853">
        <w:rPr>
          <w:rFonts w:ascii="Book Antiqua" w:eastAsia="宋体" w:hAnsi="Book Antiqua" w:cs="宋体"/>
          <w:color w:val="000000"/>
          <w:sz w:val="24"/>
          <w:szCs w:val="24"/>
          <w:lang w:eastAsia="zh-CN"/>
        </w:rPr>
        <w:t>Bhasin</w:t>
      </w:r>
      <w:proofErr w:type="spellEnd"/>
      <w:r w:rsidRPr="005A5853">
        <w:rPr>
          <w:rFonts w:ascii="Book Antiqua" w:eastAsia="宋体" w:hAnsi="Book Antiqua" w:cs="宋体"/>
          <w:color w:val="000000"/>
          <w:sz w:val="24"/>
          <w:szCs w:val="24"/>
          <w:lang w:eastAsia="zh-CN"/>
        </w:rPr>
        <w:t xml:space="preserve"> DK, Bhatia SJ, </w:t>
      </w:r>
      <w:proofErr w:type="spellStart"/>
      <w:r w:rsidRPr="005A5853">
        <w:rPr>
          <w:rFonts w:ascii="Book Antiqua" w:eastAsia="宋体" w:hAnsi="Book Antiqua" w:cs="宋体"/>
          <w:color w:val="000000"/>
          <w:sz w:val="24"/>
          <w:szCs w:val="24"/>
          <w:lang w:eastAsia="zh-CN"/>
        </w:rPr>
        <w:t>Choudhuri</w:t>
      </w:r>
      <w:proofErr w:type="spellEnd"/>
      <w:r w:rsidRPr="005A5853">
        <w:rPr>
          <w:rFonts w:ascii="Book Antiqua" w:eastAsia="宋体" w:hAnsi="Book Antiqua" w:cs="宋体"/>
          <w:color w:val="000000"/>
          <w:sz w:val="24"/>
          <w:szCs w:val="24"/>
          <w:lang w:eastAsia="zh-CN"/>
        </w:rPr>
        <w:t xml:space="preserve"> G, Dadhich S, Desai DC, </w:t>
      </w:r>
      <w:proofErr w:type="spellStart"/>
      <w:r w:rsidRPr="005A5853">
        <w:rPr>
          <w:rFonts w:ascii="Book Antiqua" w:eastAsia="宋体" w:hAnsi="Book Antiqua" w:cs="宋体"/>
          <w:color w:val="000000"/>
          <w:sz w:val="24"/>
          <w:szCs w:val="24"/>
          <w:lang w:eastAsia="zh-CN"/>
        </w:rPr>
        <w:t>Dhali</w:t>
      </w:r>
      <w:proofErr w:type="spellEnd"/>
      <w:r w:rsidRPr="005A5853">
        <w:rPr>
          <w:rFonts w:ascii="Book Antiqua" w:eastAsia="宋体" w:hAnsi="Book Antiqua" w:cs="宋体"/>
          <w:color w:val="000000"/>
          <w:sz w:val="24"/>
          <w:szCs w:val="24"/>
          <w:lang w:eastAsia="zh-CN"/>
        </w:rPr>
        <w:t xml:space="preserve"> GK, </w:t>
      </w:r>
      <w:proofErr w:type="spellStart"/>
      <w:r w:rsidRPr="005A5853">
        <w:rPr>
          <w:rFonts w:ascii="Book Antiqua" w:eastAsia="宋体" w:hAnsi="Book Antiqua" w:cs="宋体"/>
          <w:color w:val="000000"/>
          <w:sz w:val="24"/>
          <w:szCs w:val="24"/>
          <w:lang w:eastAsia="zh-CN"/>
        </w:rPr>
        <w:t>Goswami</w:t>
      </w:r>
      <w:proofErr w:type="spellEnd"/>
      <w:r w:rsidRPr="005A5853">
        <w:rPr>
          <w:rFonts w:ascii="Book Antiqua" w:eastAsia="宋体" w:hAnsi="Book Antiqua" w:cs="宋体"/>
          <w:color w:val="000000"/>
          <w:sz w:val="24"/>
          <w:szCs w:val="24"/>
          <w:lang w:eastAsia="zh-CN"/>
        </w:rPr>
        <w:t xml:space="preserve"> BD, Issar SK, Jain AK, </w:t>
      </w:r>
      <w:proofErr w:type="spellStart"/>
      <w:r w:rsidRPr="005A5853">
        <w:rPr>
          <w:rFonts w:ascii="Book Antiqua" w:eastAsia="宋体" w:hAnsi="Book Antiqua" w:cs="宋体"/>
          <w:color w:val="000000"/>
          <w:sz w:val="24"/>
          <w:szCs w:val="24"/>
          <w:lang w:eastAsia="zh-CN"/>
        </w:rPr>
        <w:t>Kochhar</w:t>
      </w:r>
      <w:proofErr w:type="spellEnd"/>
      <w:r w:rsidRPr="005A5853">
        <w:rPr>
          <w:rFonts w:ascii="Book Antiqua" w:eastAsia="宋体" w:hAnsi="Book Antiqua" w:cs="宋体"/>
          <w:color w:val="000000"/>
          <w:sz w:val="24"/>
          <w:szCs w:val="24"/>
          <w:lang w:eastAsia="zh-CN"/>
        </w:rPr>
        <w:t xml:space="preserve"> R, Kumar A, </w:t>
      </w:r>
      <w:proofErr w:type="spellStart"/>
      <w:r w:rsidRPr="005A5853">
        <w:rPr>
          <w:rFonts w:ascii="Book Antiqua" w:eastAsia="宋体" w:hAnsi="Book Antiqua" w:cs="宋体"/>
          <w:color w:val="000000"/>
          <w:sz w:val="24"/>
          <w:szCs w:val="24"/>
          <w:lang w:eastAsia="zh-CN"/>
        </w:rPr>
        <w:t>Loganathan</w:t>
      </w:r>
      <w:proofErr w:type="spellEnd"/>
      <w:r w:rsidRPr="005A5853">
        <w:rPr>
          <w:rFonts w:ascii="Book Antiqua" w:eastAsia="宋体" w:hAnsi="Book Antiqua" w:cs="宋体"/>
          <w:color w:val="000000"/>
          <w:sz w:val="24"/>
          <w:szCs w:val="24"/>
          <w:lang w:eastAsia="zh-CN"/>
        </w:rPr>
        <w:t xml:space="preserve"> G, </w:t>
      </w:r>
      <w:proofErr w:type="spellStart"/>
      <w:r w:rsidRPr="005A5853">
        <w:rPr>
          <w:rFonts w:ascii="Book Antiqua" w:eastAsia="宋体" w:hAnsi="Book Antiqua" w:cs="宋体"/>
          <w:color w:val="000000"/>
          <w:sz w:val="24"/>
          <w:szCs w:val="24"/>
          <w:lang w:eastAsia="zh-CN"/>
        </w:rPr>
        <w:t>Misra</w:t>
      </w:r>
      <w:proofErr w:type="spellEnd"/>
      <w:r w:rsidRPr="005A5853">
        <w:rPr>
          <w:rFonts w:ascii="Book Antiqua" w:eastAsia="宋体" w:hAnsi="Book Antiqua" w:cs="宋体"/>
          <w:color w:val="000000"/>
          <w:sz w:val="24"/>
          <w:szCs w:val="24"/>
          <w:lang w:eastAsia="zh-CN"/>
        </w:rPr>
        <w:t xml:space="preserve"> SP, </w:t>
      </w:r>
      <w:proofErr w:type="spellStart"/>
      <w:r w:rsidRPr="005A5853">
        <w:rPr>
          <w:rFonts w:ascii="Book Antiqua" w:eastAsia="宋体" w:hAnsi="Book Antiqua" w:cs="宋体"/>
          <w:color w:val="000000"/>
          <w:sz w:val="24"/>
          <w:szCs w:val="24"/>
          <w:lang w:eastAsia="zh-CN"/>
        </w:rPr>
        <w:t>Pai</w:t>
      </w:r>
      <w:proofErr w:type="spellEnd"/>
      <w:r w:rsidRPr="005A5853">
        <w:rPr>
          <w:rFonts w:ascii="Book Antiqua" w:eastAsia="宋体" w:hAnsi="Book Antiqua" w:cs="宋体"/>
          <w:color w:val="000000"/>
          <w:sz w:val="24"/>
          <w:szCs w:val="24"/>
          <w:lang w:eastAsia="zh-CN"/>
        </w:rPr>
        <w:t xml:space="preserve"> CG, Pal S, </w:t>
      </w:r>
      <w:proofErr w:type="spellStart"/>
      <w:r w:rsidRPr="005A5853">
        <w:rPr>
          <w:rFonts w:ascii="Book Antiqua" w:eastAsia="宋体" w:hAnsi="Book Antiqua" w:cs="宋体"/>
          <w:color w:val="000000"/>
          <w:sz w:val="24"/>
          <w:szCs w:val="24"/>
          <w:lang w:eastAsia="zh-CN"/>
        </w:rPr>
        <w:t>Pulimood</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Puri</w:t>
      </w:r>
      <w:proofErr w:type="spellEnd"/>
      <w:r w:rsidRPr="005A5853">
        <w:rPr>
          <w:rFonts w:ascii="Book Antiqua" w:eastAsia="宋体" w:hAnsi="Book Antiqua" w:cs="宋体"/>
          <w:color w:val="000000"/>
          <w:sz w:val="24"/>
          <w:szCs w:val="24"/>
          <w:lang w:eastAsia="zh-CN"/>
        </w:rPr>
        <w:t xml:space="preserve"> AS, Ramesh GN, Ray G, Singh SP, </w:t>
      </w:r>
      <w:proofErr w:type="spellStart"/>
      <w:r w:rsidRPr="005A5853">
        <w:rPr>
          <w:rFonts w:ascii="Book Antiqua" w:eastAsia="宋体" w:hAnsi="Book Antiqua" w:cs="宋体"/>
          <w:color w:val="000000"/>
          <w:sz w:val="24"/>
          <w:szCs w:val="24"/>
          <w:lang w:eastAsia="zh-CN"/>
        </w:rPr>
        <w:t>Sood</w:t>
      </w:r>
      <w:proofErr w:type="spellEnd"/>
      <w:r w:rsidRPr="005A5853">
        <w:rPr>
          <w:rFonts w:ascii="Book Antiqua" w:eastAsia="宋体" w:hAnsi="Book Antiqua" w:cs="宋体"/>
          <w:color w:val="000000"/>
          <w:sz w:val="24"/>
          <w:szCs w:val="24"/>
          <w:lang w:eastAsia="zh-CN"/>
        </w:rPr>
        <w:t xml:space="preserve"> A, </w:t>
      </w:r>
      <w:proofErr w:type="spellStart"/>
      <w:r w:rsidRPr="005A5853">
        <w:rPr>
          <w:rFonts w:ascii="Book Antiqua" w:eastAsia="宋体" w:hAnsi="Book Antiqua" w:cs="宋体"/>
          <w:color w:val="000000"/>
          <w:sz w:val="24"/>
          <w:szCs w:val="24"/>
          <w:lang w:eastAsia="zh-CN"/>
        </w:rPr>
        <w:t>Tandan</w:t>
      </w:r>
      <w:proofErr w:type="spellEnd"/>
      <w:r w:rsidRPr="005A5853">
        <w:rPr>
          <w:rFonts w:ascii="Book Antiqua" w:eastAsia="宋体" w:hAnsi="Book Antiqua" w:cs="宋体"/>
          <w:color w:val="000000"/>
          <w:sz w:val="24"/>
          <w:szCs w:val="24"/>
          <w:lang w:eastAsia="zh-CN"/>
        </w:rPr>
        <w:t xml:space="preserve"> M. Indian Society of Gastroenterology consensus on ulcerative colitis. </w:t>
      </w:r>
      <w:r w:rsidRPr="005A5853">
        <w:rPr>
          <w:rFonts w:ascii="Book Antiqua" w:eastAsia="宋体" w:hAnsi="Book Antiqua" w:cs="宋体"/>
          <w:i/>
          <w:iCs/>
          <w:color w:val="000000"/>
          <w:sz w:val="24"/>
          <w:szCs w:val="24"/>
          <w:lang w:eastAsia="zh-CN"/>
        </w:rPr>
        <w:t xml:space="preserve">Indian J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color w:val="000000"/>
          <w:sz w:val="24"/>
          <w:szCs w:val="24"/>
          <w:lang w:eastAsia="zh-CN"/>
        </w:rPr>
        <w:t> 2012; </w:t>
      </w:r>
      <w:r w:rsidRPr="005A5853">
        <w:rPr>
          <w:rFonts w:ascii="Book Antiqua" w:eastAsia="宋体" w:hAnsi="Book Antiqua" w:cs="宋体"/>
          <w:b/>
          <w:bCs/>
          <w:color w:val="000000"/>
          <w:sz w:val="24"/>
          <w:szCs w:val="24"/>
          <w:lang w:eastAsia="zh-CN"/>
        </w:rPr>
        <w:t>31</w:t>
      </w:r>
      <w:r w:rsidRPr="005A5853">
        <w:rPr>
          <w:rFonts w:ascii="Book Antiqua" w:eastAsia="宋体" w:hAnsi="Book Antiqua" w:cs="宋体"/>
          <w:color w:val="000000"/>
          <w:sz w:val="24"/>
          <w:szCs w:val="24"/>
          <w:lang w:eastAsia="zh-CN"/>
        </w:rPr>
        <w:t>: 307-323 [PMID: 23096266 DOI: 10.1007/s12664-012-0259-0</w:t>
      </w:r>
      <w:r>
        <w:rPr>
          <w:rFonts w:ascii="Book Antiqua" w:eastAsia="宋体" w:hAnsi="Book Antiqua" w:cs="宋体"/>
          <w:color w:val="000000"/>
          <w:sz w:val="24"/>
          <w:szCs w:val="24"/>
          <w:lang w:eastAsia="zh-CN"/>
        </w:rPr>
        <w:t>]</w:t>
      </w:r>
    </w:p>
    <w:p w14:paraId="299C29B8" w14:textId="0E023DFC"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49 </w:t>
      </w:r>
      <w:proofErr w:type="spellStart"/>
      <w:r w:rsidRPr="005A5853">
        <w:rPr>
          <w:rFonts w:ascii="Book Antiqua" w:eastAsia="宋体" w:hAnsi="Book Antiqua" w:cs="宋体"/>
          <w:b/>
          <w:bCs/>
          <w:color w:val="000000"/>
          <w:sz w:val="24"/>
          <w:szCs w:val="24"/>
          <w:lang w:eastAsia="zh-CN"/>
        </w:rPr>
        <w:t>Ooi</w:t>
      </w:r>
      <w:proofErr w:type="spellEnd"/>
      <w:r w:rsidRPr="005A5853">
        <w:rPr>
          <w:rFonts w:ascii="Book Antiqua" w:eastAsia="宋体" w:hAnsi="Book Antiqua" w:cs="宋体"/>
          <w:b/>
          <w:bCs/>
          <w:color w:val="000000"/>
          <w:sz w:val="24"/>
          <w:szCs w:val="24"/>
          <w:lang w:eastAsia="zh-CN"/>
        </w:rPr>
        <w:t xml:space="preserve"> CJ</w:t>
      </w:r>
      <w:r w:rsidRPr="005A5853">
        <w:rPr>
          <w:rFonts w:ascii="Book Antiqua" w:eastAsia="宋体" w:hAnsi="Book Antiqua" w:cs="宋体"/>
          <w:color w:val="000000"/>
          <w:sz w:val="24"/>
          <w:szCs w:val="24"/>
          <w:lang w:eastAsia="zh-CN"/>
        </w:rPr>
        <w:t xml:space="preserve">, </w:t>
      </w:r>
      <w:proofErr w:type="spellStart"/>
      <w:r w:rsidRPr="005A5853">
        <w:rPr>
          <w:rFonts w:ascii="Book Antiqua" w:eastAsia="宋体" w:hAnsi="Book Antiqua" w:cs="宋体"/>
          <w:color w:val="000000"/>
          <w:sz w:val="24"/>
          <w:szCs w:val="24"/>
          <w:lang w:eastAsia="zh-CN"/>
        </w:rPr>
        <w:t>Fock</w:t>
      </w:r>
      <w:proofErr w:type="spellEnd"/>
      <w:r w:rsidRPr="005A5853">
        <w:rPr>
          <w:rFonts w:ascii="Book Antiqua" w:eastAsia="宋体" w:hAnsi="Book Antiqua" w:cs="宋体"/>
          <w:color w:val="000000"/>
          <w:sz w:val="24"/>
          <w:szCs w:val="24"/>
          <w:lang w:eastAsia="zh-CN"/>
        </w:rPr>
        <w:t xml:space="preserve"> KM, </w:t>
      </w:r>
      <w:proofErr w:type="spellStart"/>
      <w:r w:rsidRPr="005A5853">
        <w:rPr>
          <w:rFonts w:ascii="Book Antiqua" w:eastAsia="宋体" w:hAnsi="Book Antiqua" w:cs="宋体"/>
          <w:color w:val="000000"/>
          <w:sz w:val="24"/>
          <w:szCs w:val="24"/>
          <w:lang w:eastAsia="zh-CN"/>
        </w:rPr>
        <w:t>Makharia</w:t>
      </w:r>
      <w:proofErr w:type="spellEnd"/>
      <w:r w:rsidRPr="005A5853">
        <w:rPr>
          <w:rFonts w:ascii="Book Antiqua" w:eastAsia="宋体" w:hAnsi="Book Antiqua" w:cs="宋体"/>
          <w:color w:val="000000"/>
          <w:sz w:val="24"/>
          <w:szCs w:val="24"/>
          <w:lang w:eastAsia="zh-CN"/>
        </w:rPr>
        <w:t xml:space="preserve"> GK, Goh KL, Ling KL, </w:t>
      </w:r>
      <w:proofErr w:type="spellStart"/>
      <w:r w:rsidRPr="005A5853">
        <w:rPr>
          <w:rFonts w:ascii="Book Antiqua" w:eastAsia="宋体" w:hAnsi="Book Antiqua" w:cs="宋体"/>
          <w:color w:val="000000"/>
          <w:sz w:val="24"/>
          <w:szCs w:val="24"/>
          <w:lang w:eastAsia="zh-CN"/>
        </w:rPr>
        <w:t>Hilmi</w:t>
      </w:r>
      <w:proofErr w:type="spellEnd"/>
      <w:r w:rsidRPr="005A5853">
        <w:rPr>
          <w:rFonts w:ascii="Book Antiqua" w:eastAsia="宋体" w:hAnsi="Book Antiqua" w:cs="宋体"/>
          <w:color w:val="000000"/>
          <w:sz w:val="24"/>
          <w:szCs w:val="24"/>
          <w:lang w:eastAsia="zh-CN"/>
        </w:rPr>
        <w:t xml:space="preserve"> I, Lim WC, Kelvin T, Gibson PR, </w:t>
      </w:r>
      <w:proofErr w:type="spellStart"/>
      <w:r w:rsidRPr="005A5853">
        <w:rPr>
          <w:rFonts w:ascii="Book Antiqua" w:eastAsia="宋体" w:hAnsi="Book Antiqua" w:cs="宋体"/>
          <w:color w:val="000000"/>
          <w:sz w:val="24"/>
          <w:szCs w:val="24"/>
          <w:lang w:eastAsia="zh-CN"/>
        </w:rPr>
        <w:t>Gearry</w:t>
      </w:r>
      <w:proofErr w:type="spellEnd"/>
      <w:r w:rsidRPr="005A5853">
        <w:rPr>
          <w:rFonts w:ascii="Book Antiqua" w:eastAsia="宋体" w:hAnsi="Book Antiqua" w:cs="宋体"/>
          <w:color w:val="000000"/>
          <w:sz w:val="24"/>
          <w:szCs w:val="24"/>
          <w:lang w:eastAsia="zh-CN"/>
        </w:rPr>
        <w:t xml:space="preserve"> RB, Ouyang Q, </w:t>
      </w:r>
      <w:proofErr w:type="spellStart"/>
      <w:r w:rsidRPr="005A5853">
        <w:rPr>
          <w:rFonts w:ascii="Book Antiqua" w:eastAsia="宋体" w:hAnsi="Book Antiqua" w:cs="宋体"/>
          <w:color w:val="000000"/>
          <w:sz w:val="24"/>
          <w:szCs w:val="24"/>
          <w:lang w:eastAsia="zh-CN"/>
        </w:rPr>
        <w:t>Sollano</w:t>
      </w:r>
      <w:proofErr w:type="spellEnd"/>
      <w:r w:rsidRPr="005A5853">
        <w:rPr>
          <w:rFonts w:ascii="Book Antiqua" w:eastAsia="宋体" w:hAnsi="Book Antiqua" w:cs="宋体"/>
          <w:color w:val="000000"/>
          <w:sz w:val="24"/>
          <w:szCs w:val="24"/>
          <w:lang w:eastAsia="zh-CN"/>
        </w:rPr>
        <w:t xml:space="preserve"> J, </w:t>
      </w:r>
      <w:proofErr w:type="spellStart"/>
      <w:r w:rsidRPr="005A5853">
        <w:rPr>
          <w:rFonts w:ascii="Book Antiqua" w:eastAsia="宋体" w:hAnsi="Book Antiqua" w:cs="宋体"/>
          <w:color w:val="000000"/>
          <w:sz w:val="24"/>
          <w:szCs w:val="24"/>
          <w:lang w:eastAsia="zh-CN"/>
        </w:rPr>
        <w:t>Manatsathit</w:t>
      </w:r>
      <w:proofErr w:type="spellEnd"/>
      <w:r w:rsidRPr="005A5853">
        <w:rPr>
          <w:rFonts w:ascii="Book Antiqua" w:eastAsia="宋体" w:hAnsi="Book Antiqua" w:cs="宋体"/>
          <w:color w:val="000000"/>
          <w:sz w:val="24"/>
          <w:szCs w:val="24"/>
          <w:lang w:eastAsia="zh-CN"/>
        </w:rPr>
        <w:t xml:space="preserve"> S, </w:t>
      </w:r>
      <w:proofErr w:type="spellStart"/>
      <w:r w:rsidRPr="005A5853">
        <w:rPr>
          <w:rFonts w:ascii="Book Antiqua" w:eastAsia="宋体" w:hAnsi="Book Antiqua" w:cs="宋体"/>
          <w:color w:val="000000"/>
          <w:sz w:val="24"/>
          <w:szCs w:val="24"/>
          <w:lang w:eastAsia="zh-CN"/>
        </w:rPr>
        <w:t>Rerknimitr</w:t>
      </w:r>
      <w:proofErr w:type="spellEnd"/>
      <w:r w:rsidRPr="005A5853">
        <w:rPr>
          <w:rFonts w:ascii="Book Antiqua" w:eastAsia="宋体" w:hAnsi="Book Antiqua" w:cs="宋体"/>
          <w:color w:val="000000"/>
          <w:sz w:val="24"/>
          <w:szCs w:val="24"/>
          <w:lang w:eastAsia="zh-CN"/>
        </w:rPr>
        <w:t xml:space="preserve"> R, Wei SC, Leung WK, de Silva HJ, Leong RW. </w:t>
      </w:r>
      <w:proofErr w:type="gramStart"/>
      <w:r w:rsidRPr="005A5853">
        <w:rPr>
          <w:rFonts w:ascii="Book Antiqua" w:eastAsia="宋体" w:hAnsi="Book Antiqua" w:cs="宋体"/>
          <w:color w:val="000000"/>
          <w:sz w:val="24"/>
          <w:szCs w:val="24"/>
          <w:lang w:eastAsia="zh-CN"/>
        </w:rPr>
        <w:t>The Asia-Pacific consensus on ulcerative colitis.</w:t>
      </w:r>
      <w:proofErr w:type="gramEnd"/>
      <w:r w:rsidRPr="005A5853">
        <w:rPr>
          <w:rFonts w:ascii="Book Antiqua" w:eastAsia="宋体" w:hAnsi="Book Antiqua" w:cs="宋体"/>
          <w:color w:val="000000"/>
          <w:sz w:val="24"/>
          <w:szCs w:val="24"/>
          <w:lang w:eastAsia="zh-CN"/>
        </w:rPr>
        <w:t> </w:t>
      </w:r>
      <w:r w:rsidRPr="005A5853">
        <w:rPr>
          <w:rFonts w:ascii="Book Antiqua" w:eastAsia="宋体" w:hAnsi="Book Antiqua" w:cs="宋体"/>
          <w:i/>
          <w:iCs/>
          <w:color w:val="000000"/>
          <w:sz w:val="24"/>
          <w:szCs w:val="24"/>
          <w:lang w:eastAsia="zh-CN"/>
        </w:rPr>
        <w:t xml:space="preserve">J </w:t>
      </w:r>
      <w:proofErr w:type="spellStart"/>
      <w:r w:rsidRPr="005A5853">
        <w:rPr>
          <w:rFonts w:ascii="Book Antiqua" w:eastAsia="宋体" w:hAnsi="Book Antiqua" w:cs="宋体"/>
          <w:i/>
          <w:iCs/>
          <w:color w:val="000000"/>
          <w:sz w:val="24"/>
          <w:szCs w:val="24"/>
          <w:lang w:eastAsia="zh-CN"/>
        </w:rPr>
        <w:t>Gastroenterol</w:t>
      </w:r>
      <w:proofErr w:type="spellEnd"/>
      <w:r w:rsidRPr="005A5853">
        <w:rPr>
          <w:rFonts w:ascii="Book Antiqua" w:eastAsia="宋体" w:hAnsi="Book Antiqua" w:cs="宋体"/>
          <w:i/>
          <w:iCs/>
          <w:color w:val="000000"/>
          <w:sz w:val="24"/>
          <w:szCs w:val="24"/>
          <w:lang w:eastAsia="zh-CN"/>
        </w:rPr>
        <w:t xml:space="preserve"> </w:t>
      </w:r>
      <w:proofErr w:type="spellStart"/>
      <w:r w:rsidRPr="005A5853">
        <w:rPr>
          <w:rFonts w:ascii="Book Antiqua" w:eastAsia="宋体" w:hAnsi="Book Antiqua" w:cs="宋体"/>
          <w:i/>
          <w:iCs/>
          <w:color w:val="000000"/>
          <w:sz w:val="24"/>
          <w:szCs w:val="24"/>
          <w:lang w:eastAsia="zh-CN"/>
        </w:rPr>
        <w:t>Hepatol</w:t>
      </w:r>
      <w:proofErr w:type="spellEnd"/>
      <w:r w:rsidRPr="005A5853">
        <w:rPr>
          <w:rFonts w:ascii="Book Antiqua" w:eastAsia="宋体" w:hAnsi="Book Antiqua" w:cs="宋体"/>
          <w:color w:val="000000"/>
          <w:sz w:val="24"/>
          <w:szCs w:val="24"/>
          <w:lang w:eastAsia="zh-CN"/>
        </w:rPr>
        <w:t> 2010; </w:t>
      </w:r>
      <w:r w:rsidRPr="005A5853">
        <w:rPr>
          <w:rFonts w:ascii="Book Antiqua" w:eastAsia="宋体" w:hAnsi="Book Antiqua" w:cs="宋体"/>
          <w:b/>
          <w:bCs/>
          <w:color w:val="000000"/>
          <w:sz w:val="24"/>
          <w:szCs w:val="24"/>
          <w:lang w:eastAsia="zh-CN"/>
        </w:rPr>
        <w:t>25</w:t>
      </w:r>
      <w:r w:rsidRPr="005A5853">
        <w:rPr>
          <w:rFonts w:ascii="Book Antiqua" w:eastAsia="宋体" w:hAnsi="Book Antiqua" w:cs="宋体"/>
          <w:color w:val="000000"/>
          <w:sz w:val="24"/>
          <w:szCs w:val="24"/>
          <w:lang w:eastAsia="zh-CN"/>
        </w:rPr>
        <w:t>: 453-468 [PMID: 20370724 DOI: 10.1111/j.1440-1746.2010.06241.x</w:t>
      </w:r>
      <w:r>
        <w:rPr>
          <w:rFonts w:ascii="Book Antiqua" w:eastAsia="宋体" w:hAnsi="Book Antiqua" w:cs="宋体"/>
          <w:color w:val="000000"/>
          <w:sz w:val="24"/>
          <w:szCs w:val="24"/>
          <w:lang w:eastAsia="zh-CN"/>
        </w:rPr>
        <w:t>]</w:t>
      </w:r>
    </w:p>
    <w:p w14:paraId="66F94C5C" w14:textId="22F4C212" w:rsidR="005A5853" w:rsidRPr="005A5853" w:rsidRDefault="005A5853" w:rsidP="005A5853">
      <w:pPr>
        <w:spacing w:after="0" w:line="360" w:lineRule="auto"/>
        <w:jc w:val="both"/>
        <w:rPr>
          <w:rFonts w:ascii="Book Antiqua" w:eastAsia="宋体" w:hAnsi="Book Antiqua" w:cs="宋体"/>
          <w:color w:val="000000"/>
          <w:sz w:val="24"/>
          <w:szCs w:val="24"/>
          <w:lang w:eastAsia="zh-CN"/>
        </w:rPr>
      </w:pPr>
      <w:r w:rsidRPr="005A5853">
        <w:rPr>
          <w:rFonts w:ascii="Book Antiqua" w:eastAsia="宋体" w:hAnsi="Book Antiqua" w:cs="宋体"/>
          <w:color w:val="000000"/>
          <w:sz w:val="24"/>
          <w:szCs w:val="24"/>
          <w:lang w:eastAsia="zh-CN"/>
        </w:rPr>
        <w:t>50 </w:t>
      </w:r>
      <w:r w:rsidRPr="005A5853">
        <w:rPr>
          <w:rFonts w:ascii="Book Antiqua" w:eastAsia="宋体" w:hAnsi="Book Antiqua" w:cs="宋体"/>
          <w:b/>
          <w:bCs/>
          <w:color w:val="000000"/>
          <w:sz w:val="24"/>
          <w:szCs w:val="24"/>
          <w:lang w:eastAsia="zh-CN"/>
        </w:rPr>
        <w:t>Leung WK</w:t>
      </w:r>
      <w:r w:rsidRPr="005A5853">
        <w:rPr>
          <w:rFonts w:ascii="Book Antiqua" w:eastAsia="宋体" w:hAnsi="Book Antiqua" w:cs="宋体"/>
          <w:color w:val="000000"/>
          <w:sz w:val="24"/>
          <w:szCs w:val="24"/>
          <w:lang w:eastAsia="zh-CN"/>
        </w:rPr>
        <w:t>, Ng SC, Chow DK, Lao WC, Leung VK, Li MK, Hui YT, Ng SS, Hui AJ, Lai ST, Lam JT, Poon JT, Chan AO, Yuen H, Wu JC. Use of biologics for inflammatory bowel disease in Hong Kong: consensus statement. </w:t>
      </w:r>
      <w:r w:rsidRPr="005A5853">
        <w:rPr>
          <w:rFonts w:ascii="Book Antiqua" w:eastAsia="宋体" w:hAnsi="Book Antiqua" w:cs="宋体"/>
          <w:i/>
          <w:iCs/>
          <w:color w:val="000000"/>
          <w:sz w:val="24"/>
          <w:szCs w:val="24"/>
          <w:lang w:eastAsia="zh-CN"/>
        </w:rPr>
        <w:t>Hong Kong Med J</w:t>
      </w:r>
      <w:r w:rsidRPr="005A5853">
        <w:rPr>
          <w:rFonts w:ascii="Book Antiqua" w:eastAsia="宋体" w:hAnsi="Book Antiqua" w:cs="宋体"/>
          <w:color w:val="000000"/>
          <w:sz w:val="24"/>
          <w:szCs w:val="24"/>
          <w:lang w:eastAsia="zh-CN"/>
        </w:rPr>
        <w:t> 2013; </w:t>
      </w:r>
      <w:r w:rsidRPr="005A5853">
        <w:rPr>
          <w:rFonts w:ascii="Book Antiqua" w:eastAsia="宋体" w:hAnsi="Book Antiqua" w:cs="宋体"/>
          <w:b/>
          <w:bCs/>
          <w:color w:val="000000"/>
          <w:sz w:val="24"/>
          <w:szCs w:val="24"/>
          <w:lang w:eastAsia="zh-CN"/>
        </w:rPr>
        <w:t>19</w:t>
      </w:r>
      <w:r w:rsidRPr="005A5853">
        <w:rPr>
          <w:rFonts w:ascii="Book Antiqua" w:eastAsia="宋体" w:hAnsi="Book Antiqua" w:cs="宋体"/>
          <w:color w:val="000000"/>
          <w:sz w:val="24"/>
          <w:szCs w:val="24"/>
          <w:lang w:eastAsia="zh-CN"/>
        </w:rPr>
        <w:t>: 61-68 [PMID: 23378357 DOI: 10.1007/s00535-012-0673-1</w:t>
      </w:r>
      <w:r>
        <w:rPr>
          <w:rFonts w:ascii="Book Antiqua" w:eastAsia="宋体" w:hAnsi="Book Antiqua" w:cs="宋体"/>
          <w:color w:val="000000"/>
          <w:sz w:val="24"/>
          <w:szCs w:val="24"/>
          <w:lang w:eastAsia="zh-CN"/>
        </w:rPr>
        <w:t>]</w:t>
      </w:r>
    </w:p>
    <w:p w14:paraId="73481623" w14:textId="77777777" w:rsidR="0069331F" w:rsidRPr="000E643C" w:rsidRDefault="0069331F" w:rsidP="00E57DEB">
      <w:pPr>
        <w:widowControl w:val="0"/>
        <w:adjustRightInd w:val="0"/>
        <w:snapToGrid w:val="0"/>
        <w:spacing w:after="0" w:line="360" w:lineRule="auto"/>
        <w:jc w:val="both"/>
        <w:rPr>
          <w:rFonts w:ascii="Book Antiqua" w:hAnsi="Book Antiqua" w:cstheme="minorHAnsi"/>
          <w:sz w:val="24"/>
          <w:szCs w:val="24"/>
        </w:rPr>
      </w:pPr>
    </w:p>
    <w:p w14:paraId="015E5BD4" w14:textId="37B6D6DA" w:rsidR="00DC65CE" w:rsidRPr="00DC65CE" w:rsidRDefault="00DC65CE" w:rsidP="00DC65CE">
      <w:pPr>
        <w:wordWrap w:val="0"/>
        <w:spacing w:after="0" w:line="360" w:lineRule="auto"/>
        <w:jc w:val="right"/>
        <w:rPr>
          <w:rFonts w:ascii="Book Antiqua" w:hAnsi="Book Antiqua"/>
          <w:b/>
          <w:sz w:val="24"/>
          <w:szCs w:val="24"/>
        </w:rPr>
      </w:pPr>
      <w:r w:rsidRPr="00DC65CE">
        <w:rPr>
          <w:rFonts w:ascii="Book Antiqua" w:hAnsi="Book Antiqua"/>
          <w:b/>
          <w:sz w:val="24"/>
          <w:szCs w:val="24"/>
        </w:rPr>
        <w:t>P- Reviewer:</w:t>
      </w:r>
      <w:r w:rsidRPr="00DC65CE">
        <w:rPr>
          <w:rFonts w:ascii="Book Antiqua" w:eastAsia="宋体" w:hAnsi="Book Antiqua"/>
          <w:b/>
          <w:sz w:val="24"/>
          <w:szCs w:val="24"/>
          <w:lang w:eastAsia="zh-CN"/>
        </w:rPr>
        <w:t xml:space="preserve"> </w:t>
      </w:r>
      <w:r w:rsidR="00E00674" w:rsidRPr="00E00674">
        <w:rPr>
          <w:rFonts w:ascii="Book Antiqua" w:hAnsi="Book Antiqua"/>
          <w:sz w:val="24"/>
          <w:szCs w:val="24"/>
          <w:lang w:eastAsia="zh-CN"/>
        </w:rPr>
        <w:t>Freeman, HJ</w:t>
      </w:r>
      <w:r w:rsidR="00E00674" w:rsidRPr="00E00674">
        <w:rPr>
          <w:rFonts w:ascii="Book Antiqua" w:hAnsi="Book Antiqua" w:hint="eastAsia"/>
          <w:sz w:val="24"/>
          <w:szCs w:val="24"/>
          <w:lang w:eastAsia="zh-CN"/>
        </w:rPr>
        <w:t xml:space="preserve">, </w:t>
      </w:r>
      <w:proofErr w:type="spellStart"/>
      <w:r w:rsidR="00E00674" w:rsidRPr="00E00674">
        <w:rPr>
          <w:rFonts w:ascii="Book Antiqua" w:hAnsi="Book Antiqua"/>
          <w:sz w:val="24"/>
          <w:szCs w:val="24"/>
          <w:lang w:eastAsia="zh-CN"/>
        </w:rPr>
        <w:t>Seow-Choen</w:t>
      </w:r>
      <w:proofErr w:type="spellEnd"/>
      <w:r w:rsidR="00E00674" w:rsidRPr="00E00674">
        <w:rPr>
          <w:rFonts w:ascii="Book Antiqua" w:hAnsi="Book Antiqua" w:hint="eastAsia"/>
          <w:sz w:val="24"/>
          <w:szCs w:val="24"/>
          <w:lang w:eastAsia="zh-CN"/>
        </w:rPr>
        <w:t xml:space="preserve"> F </w:t>
      </w:r>
      <w:r w:rsidRPr="00DC65CE">
        <w:rPr>
          <w:rFonts w:ascii="Book Antiqua" w:hAnsi="Book Antiqua"/>
          <w:b/>
          <w:sz w:val="24"/>
          <w:szCs w:val="24"/>
        </w:rPr>
        <w:t>S- Editor:</w:t>
      </w:r>
      <w:r w:rsidRPr="00DC65CE">
        <w:rPr>
          <w:rFonts w:ascii="Book Antiqua" w:hAnsi="Book Antiqua"/>
          <w:sz w:val="24"/>
          <w:szCs w:val="24"/>
        </w:rPr>
        <w:t xml:space="preserve"> </w:t>
      </w:r>
      <w:r>
        <w:rPr>
          <w:rFonts w:ascii="Book Antiqua" w:hAnsi="Book Antiqua" w:hint="eastAsia"/>
          <w:sz w:val="24"/>
          <w:szCs w:val="24"/>
          <w:lang w:eastAsia="zh-CN"/>
        </w:rPr>
        <w:t xml:space="preserve">Song XX </w:t>
      </w:r>
      <w:r w:rsidRPr="00DC65CE">
        <w:rPr>
          <w:rFonts w:ascii="Book Antiqua" w:hAnsi="Book Antiqua"/>
          <w:b/>
          <w:sz w:val="24"/>
          <w:szCs w:val="24"/>
        </w:rPr>
        <w:t>L- Editor:</w:t>
      </w:r>
      <w:r w:rsidRPr="00DC65CE">
        <w:rPr>
          <w:rFonts w:ascii="Book Antiqua" w:hAnsi="Book Antiqua"/>
          <w:sz w:val="24"/>
          <w:szCs w:val="24"/>
        </w:rPr>
        <w:t xml:space="preserve"> </w:t>
      </w:r>
      <w:r w:rsidRPr="00DC65CE">
        <w:rPr>
          <w:rFonts w:ascii="Book Antiqua" w:hAnsi="Book Antiqua"/>
          <w:b/>
          <w:sz w:val="24"/>
          <w:szCs w:val="24"/>
        </w:rPr>
        <w:t>E- Editor:</w:t>
      </w:r>
    </w:p>
    <w:p w14:paraId="2F864323" w14:textId="77777777" w:rsidR="00CE5E7F" w:rsidRPr="00DC65CE" w:rsidRDefault="00CE5E7F" w:rsidP="00E57DEB">
      <w:pPr>
        <w:widowControl w:val="0"/>
        <w:adjustRightInd w:val="0"/>
        <w:snapToGrid w:val="0"/>
        <w:spacing w:after="0" w:line="360" w:lineRule="auto"/>
        <w:jc w:val="both"/>
        <w:rPr>
          <w:rFonts w:ascii="Book Antiqua" w:hAnsi="Book Antiqua"/>
          <w:sz w:val="24"/>
          <w:szCs w:val="24"/>
        </w:rPr>
      </w:pPr>
    </w:p>
    <w:p w14:paraId="4CCA6A75" w14:textId="77777777" w:rsidR="00980695" w:rsidRPr="00DC65CE" w:rsidRDefault="00980695" w:rsidP="00E57DEB">
      <w:pPr>
        <w:widowControl w:val="0"/>
        <w:adjustRightInd w:val="0"/>
        <w:snapToGrid w:val="0"/>
        <w:spacing w:after="0" w:line="360" w:lineRule="auto"/>
        <w:jc w:val="both"/>
        <w:rPr>
          <w:rFonts w:ascii="Book Antiqua" w:hAnsi="Book Antiqua"/>
          <w:sz w:val="24"/>
          <w:szCs w:val="24"/>
        </w:rPr>
      </w:pPr>
    </w:p>
    <w:p w14:paraId="5B883D32" w14:textId="77777777" w:rsidR="003E4DEE" w:rsidRDefault="003E4DEE" w:rsidP="00E57DEB">
      <w:pPr>
        <w:widowControl w:val="0"/>
        <w:adjustRightInd w:val="0"/>
        <w:snapToGrid w:val="0"/>
        <w:spacing w:after="0" w:line="360" w:lineRule="auto"/>
        <w:jc w:val="both"/>
        <w:rPr>
          <w:rFonts w:ascii="Book Antiqua" w:hAnsi="Book Antiqua"/>
          <w:sz w:val="24"/>
          <w:szCs w:val="24"/>
          <w:lang w:eastAsia="zh-CN"/>
        </w:rPr>
      </w:pPr>
    </w:p>
    <w:p w14:paraId="258AE0CA" w14:textId="77777777" w:rsidR="00E00674" w:rsidRDefault="00E00674" w:rsidP="00E57DEB">
      <w:pPr>
        <w:widowControl w:val="0"/>
        <w:adjustRightInd w:val="0"/>
        <w:snapToGrid w:val="0"/>
        <w:spacing w:after="0" w:line="360" w:lineRule="auto"/>
        <w:jc w:val="both"/>
        <w:rPr>
          <w:rFonts w:ascii="Book Antiqua" w:hAnsi="Book Antiqua"/>
          <w:sz w:val="24"/>
          <w:szCs w:val="24"/>
          <w:lang w:eastAsia="zh-CN"/>
        </w:rPr>
      </w:pPr>
    </w:p>
    <w:p w14:paraId="5BDE5B2E" w14:textId="77777777" w:rsidR="00E00674" w:rsidRDefault="00E00674" w:rsidP="00E57DEB">
      <w:pPr>
        <w:widowControl w:val="0"/>
        <w:adjustRightInd w:val="0"/>
        <w:snapToGrid w:val="0"/>
        <w:spacing w:after="0" w:line="360" w:lineRule="auto"/>
        <w:jc w:val="both"/>
        <w:rPr>
          <w:rFonts w:ascii="Book Antiqua" w:hAnsi="Book Antiqua"/>
          <w:sz w:val="24"/>
          <w:szCs w:val="24"/>
          <w:lang w:eastAsia="zh-CN"/>
        </w:rPr>
      </w:pPr>
    </w:p>
    <w:p w14:paraId="7C5CDD95" w14:textId="77777777" w:rsidR="00E00674" w:rsidRDefault="00E00674" w:rsidP="00E57DEB">
      <w:pPr>
        <w:widowControl w:val="0"/>
        <w:adjustRightInd w:val="0"/>
        <w:snapToGrid w:val="0"/>
        <w:spacing w:after="0" w:line="360" w:lineRule="auto"/>
        <w:jc w:val="both"/>
        <w:rPr>
          <w:rFonts w:ascii="Book Antiqua" w:hAnsi="Book Antiqua"/>
          <w:sz w:val="24"/>
          <w:szCs w:val="24"/>
          <w:lang w:eastAsia="zh-CN"/>
        </w:rPr>
      </w:pPr>
    </w:p>
    <w:p w14:paraId="11AD9039" w14:textId="77777777" w:rsidR="00E00674" w:rsidRDefault="00E00674" w:rsidP="00E57DEB">
      <w:pPr>
        <w:widowControl w:val="0"/>
        <w:adjustRightInd w:val="0"/>
        <w:snapToGrid w:val="0"/>
        <w:spacing w:after="0" w:line="360" w:lineRule="auto"/>
        <w:jc w:val="both"/>
        <w:rPr>
          <w:rFonts w:ascii="Book Antiqua" w:hAnsi="Book Antiqua"/>
          <w:sz w:val="24"/>
          <w:szCs w:val="24"/>
          <w:lang w:eastAsia="zh-CN"/>
        </w:rPr>
      </w:pPr>
    </w:p>
    <w:p w14:paraId="4A828E2F" w14:textId="77777777" w:rsidR="00E00674" w:rsidRDefault="00E00674" w:rsidP="00E57DEB">
      <w:pPr>
        <w:widowControl w:val="0"/>
        <w:adjustRightInd w:val="0"/>
        <w:snapToGrid w:val="0"/>
        <w:spacing w:after="0" w:line="360" w:lineRule="auto"/>
        <w:jc w:val="both"/>
        <w:rPr>
          <w:rFonts w:ascii="Book Antiqua" w:hAnsi="Book Antiqua"/>
          <w:sz w:val="24"/>
          <w:szCs w:val="24"/>
          <w:lang w:eastAsia="zh-CN"/>
        </w:rPr>
      </w:pPr>
    </w:p>
    <w:p w14:paraId="395FE2C7" w14:textId="77777777" w:rsidR="00E00674" w:rsidRPr="000E643C" w:rsidRDefault="00E00674" w:rsidP="00E57DEB">
      <w:pPr>
        <w:widowControl w:val="0"/>
        <w:adjustRightInd w:val="0"/>
        <w:snapToGrid w:val="0"/>
        <w:spacing w:after="0" w:line="360" w:lineRule="auto"/>
        <w:jc w:val="both"/>
        <w:rPr>
          <w:rFonts w:ascii="Book Antiqua" w:hAnsi="Book Antiqua"/>
          <w:sz w:val="24"/>
          <w:szCs w:val="24"/>
          <w:lang w:eastAsia="zh-CN"/>
        </w:rPr>
      </w:pPr>
    </w:p>
    <w:p w14:paraId="0C62F50E" w14:textId="58841AD6" w:rsidR="00F45384" w:rsidRPr="00E00674" w:rsidRDefault="00F45384" w:rsidP="00E57DEB">
      <w:pPr>
        <w:widowControl w:val="0"/>
        <w:adjustRightInd w:val="0"/>
        <w:snapToGrid w:val="0"/>
        <w:spacing w:after="0" w:line="360" w:lineRule="auto"/>
        <w:jc w:val="both"/>
        <w:rPr>
          <w:rFonts w:ascii="Book Antiqua" w:hAnsi="Book Antiqua"/>
          <w:b/>
          <w:sz w:val="24"/>
          <w:szCs w:val="24"/>
        </w:rPr>
      </w:pPr>
      <w:r w:rsidRPr="00E00674">
        <w:rPr>
          <w:rFonts w:ascii="Book Antiqua" w:hAnsi="Book Antiqua"/>
          <w:b/>
          <w:sz w:val="24"/>
          <w:szCs w:val="24"/>
        </w:rPr>
        <w:t>Tabl</w:t>
      </w:r>
      <w:r w:rsidR="00E00674" w:rsidRPr="00E00674">
        <w:rPr>
          <w:rFonts w:ascii="Book Antiqua" w:hAnsi="Book Antiqua"/>
          <w:b/>
          <w:sz w:val="24"/>
          <w:szCs w:val="24"/>
        </w:rPr>
        <w:t>e 1</w:t>
      </w:r>
      <w:r w:rsidRPr="00E00674">
        <w:rPr>
          <w:rFonts w:ascii="Book Antiqua" w:hAnsi="Book Antiqua"/>
          <w:b/>
          <w:sz w:val="24"/>
          <w:szCs w:val="24"/>
        </w:rPr>
        <w:t xml:space="preserve"> Author’s </w:t>
      </w:r>
      <w:r w:rsidR="00E00674" w:rsidRPr="00E00674">
        <w:rPr>
          <w:rFonts w:ascii="Book Antiqua" w:hAnsi="Book Antiqua"/>
          <w:b/>
          <w:sz w:val="24"/>
          <w:szCs w:val="24"/>
        </w:rPr>
        <w:t>summary of the evidence for combination therapy</w:t>
      </w:r>
    </w:p>
    <w:tbl>
      <w:tblPr>
        <w:tblStyle w:val="TableGrid"/>
        <w:tblW w:w="0" w:type="auto"/>
        <w:tblInd w:w="-522" w:type="dxa"/>
        <w:tblLayout w:type="fixed"/>
        <w:tblLook w:val="04A0" w:firstRow="1" w:lastRow="0" w:firstColumn="1" w:lastColumn="0" w:noHBand="0" w:noVBand="1"/>
      </w:tblPr>
      <w:tblGrid>
        <w:gridCol w:w="2430"/>
        <w:gridCol w:w="1080"/>
        <w:gridCol w:w="2070"/>
        <w:gridCol w:w="1170"/>
        <w:gridCol w:w="2160"/>
      </w:tblGrid>
      <w:tr w:rsidR="00E57DEB" w:rsidRPr="000E643C" w14:paraId="117E429D" w14:textId="77777777" w:rsidTr="00782889">
        <w:tc>
          <w:tcPr>
            <w:tcW w:w="2430" w:type="dxa"/>
          </w:tcPr>
          <w:p w14:paraId="4B5FD8CD"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p>
          <w:p w14:paraId="370D0B96"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p>
        </w:tc>
        <w:tc>
          <w:tcPr>
            <w:tcW w:w="3150" w:type="dxa"/>
            <w:gridSpan w:val="2"/>
          </w:tcPr>
          <w:p w14:paraId="0A824E8A" w14:textId="1174D7FC" w:rsidR="00F45384" w:rsidRPr="000E643C" w:rsidRDefault="00F45384" w:rsidP="00E00674">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 xml:space="preserve">Crohn’s </w:t>
            </w:r>
            <w:r w:rsidR="00E00674">
              <w:rPr>
                <w:rFonts w:ascii="Book Antiqua" w:hAnsi="Book Antiqua" w:hint="eastAsia"/>
                <w:sz w:val="24"/>
                <w:szCs w:val="24"/>
                <w:lang w:eastAsia="zh-CN"/>
              </w:rPr>
              <w:t>d</w:t>
            </w:r>
            <w:r w:rsidRPr="000E643C">
              <w:rPr>
                <w:rFonts w:ascii="Book Antiqua" w:hAnsi="Book Antiqua"/>
                <w:sz w:val="24"/>
                <w:szCs w:val="24"/>
              </w:rPr>
              <w:t>isease</w:t>
            </w:r>
          </w:p>
        </w:tc>
        <w:tc>
          <w:tcPr>
            <w:tcW w:w="3330" w:type="dxa"/>
            <w:gridSpan w:val="2"/>
          </w:tcPr>
          <w:p w14:paraId="440BBDD4" w14:textId="5E0E391D" w:rsidR="00F45384" w:rsidRPr="000E643C" w:rsidRDefault="00F45384" w:rsidP="00E00674">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 xml:space="preserve">Ulcerative </w:t>
            </w:r>
            <w:r w:rsidR="00E00674">
              <w:rPr>
                <w:rFonts w:ascii="Book Antiqua" w:hAnsi="Book Antiqua" w:hint="eastAsia"/>
                <w:sz w:val="24"/>
                <w:szCs w:val="24"/>
                <w:lang w:eastAsia="zh-CN"/>
              </w:rPr>
              <w:t>c</w:t>
            </w:r>
            <w:r w:rsidRPr="000E643C">
              <w:rPr>
                <w:rFonts w:ascii="Book Antiqua" w:hAnsi="Book Antiqua"/>
                <w:sz w:val="24"/>
                <w:szCs w:val="24"/>
              </w:rPr>
              <w:t>olitis</w:t>
            </w:r>
          </w:p>
        </w:tc>
      </w:tr>
      <w:tr w:rsidR="00E57DEB" w:rsidRPr="000E643C" w14:paraId="2CA751B1" w14:textId="77777777" w:rsidTr="00782889">
        <w:tc>
          <w:tcPr>
            <w:tcW w:w="2430" w:type="dxa"/>
          </w:tcPr>
          <w:p w14:paraId="33CE3749"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p>
        </w:tc>
        <w:tc>
          <w:tcPr>
            <w:tcW w:w="1080" w:type="dxa"/>
          </w:tcPr>
          <w:p w14:paraId="092BB27B" w14:textId="5EE37596" w:rsidR="00F45384" w:rsidRPr="000E643C" w:rsidRDefault="00F45384" w:rsidP="00E00674">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 xml:space="preserve">Clinical </w:t>
            </w:r>
            <w:r w:rsidR="00E00674">
              <w:rPr>
                <w:rFonts w:ascii="Book Antiqua" w:hAnsi="Book Antiqua" w:hint="eastAsia"/>
                <w:sz w:val="24"/>
                <w:szCs w:val="24"/>
                <w:lang w:eastAsia="zh-CN"/>
              </w:rPr>
              <w:t>b</w:t>
            </w:r>
            <w:r w:rsidRPr="000E643C">
              <w:rPr>
                <w:rFonts w:ascii="Book Antiqua" w:hAnsi="Book Antiqua"/>
                <w:sz w:val="24"/>
                <w:szCs w:val="24"/>
              </w:rPr>
              <w:t>enefit</w:t>
            </w:r>
          </w:p>
        </w:tc>
        <w:tc>
          <w:tcPr>
            <w:tcW w:w="2070" w:type="dxa"/>
          </w:tcPr>
          <w:p w14:paraId="6C6ACCAE" w14:textId="727DE016"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Pharmacokinetic/</w:t>
            </w:r>
            <w:r w:rsidR="00E00674" w:rsidRPr="000E643C">
              <w:rPr>
                <w:rFonts w:ascii="Book Antiqua" w:hAnsi="Book Antiqua"/>
                <w:sz w:val="24"/>
                <w:szCs w:val="24"/>
              </w:rPr>
              <w:t>immunogenic benefit</w:t>
            </w:r>
          </w:p>
        </w:tc>
        <w:tc>
          <w:tcPr>
            <w:tcW w:w="1170" w:type="dxa"/>
          </w:tcPr>
          <w:p w14:paraId="583B31A9" w14:textId="4BFBC8AD" w:rsidR="00F45384" w:rsidRPr="000E643C" w:rsidRDefault="00F45384" w:rsidP="00E00674">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 xml:space="preserve">Clinical </w:t>
            </w:r>
            <w:r w:rsidR="00E00674">
              <w:rPr>
                <w:rFonts w:ascii="Book Antiqua" w:hAnsi="Book Antiqua" w:hint="eastAsia"/>
                <w:sz w:val="24"/>
                <w:szCs w:val="24"/>
                <w:lang w:eastAsia="zh-CN"/>
              </w:rPr>
              <w:t>b</w:t>
            </w:r>
            <w:r w:rsidRPr="000E643C">
              <w:rPr>
                <w:rFonts w:ascii="Book Antiqua" w:hAnsi="Book Antiqua"/>
                <w:sz w:val="24"/>
                <w:szCs w:val="24"/>
              </w:rPr>
              <w:t>enefit</w:t>
            </w:r>
          </w:p>
        </w:tc>
        <w:tc>
          <w:tcPr>
            <w:tcW w:w="2160" w:type="dxa"/>
          </w:tcPr>
          <w:p w14:paraId="71ED035F" w14:textId="7CA5CB5B"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Pharmacokinetic/</w:t>
            </w:r>
            <w:r w:rsidR="00E00674" w:rsidRPr="000E643C">
              <w:rPr>
                <w:rFonts w:ascii="Book Antiqua" w:hAnsi="Book Antiqua"/>
                <w:sz w:val="24"/>
                <w:szCs w:val="24"/>
              </w:rPr>
              <w:t>immunogenic benef</w:t>
            </w:r>
            <w:r w:rsidRPr="000E643C">
              <w:rPr>
                <w:rFonts w:ascii="Book Antiqua" w:hAnsi="Book Antiqua"/>
                <w:sz w:val="24"/>
                <w:szCs w:val="24"/>
              </w:rPr>
              <w:t>it</w:t>
            </w:r>
          </w:p>
        </w:tc>
      </w:tr>
      <w:tr w:rsidR="00E57DEB" w:rsidRPr="000E643C" w14:paraId="6658477E" w14:textId="77777777" w:rsidTr="00782889">
        <w:tc>
          <w:tcPr>
            <w:tcW w:w="2430" w:type="dxa"/>
          </w:tcPr>
          <w:p w14:paraId="29F5C8A5"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IFX+AZA/6MP</w:t>
            </w:r>
          </w:p>
          <w:p w14:paraId="551F3782"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(treatment naïve)</w:t>
            </w:r>
          </w:p>
        </w:tc>
        <w:tc>
          <w:tcPr>
            <w:tcW w:w="1080" w:type="dxa"/>
          </w:tcPr>
          <w:p w14:paraId="29A160B4"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w:t>
            </w:r>
          </w:p>
        </w:tc>
        <w:tc>
          <w:tcPr>
            <w:tcW w:w="2070" w:type="dxa"/>
          </w:tcPr>
          <w:p w14:paraId="2F079123"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w:t>
            </w:r>
          </w:p>
        </w:tc>
        <w:tc>
          <w:tcPr>
            <w:tcW w:w="1170" w:type="dxa"/>
          </w:tcPr>
          <w:p w14:paraId="5057CAF3"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w:t>
            </w:r>
          </w:p>
        </w:tc>
        <w:tc>
          <w:tcPr>
            <w:tcW w:w="2160" w:type="dxa"/>
          </w:tcPr>
          <w:p w14:paraId="5311A0F2"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w:t>
            </w:r>
          </w:p>
        </w:tc>
      </w:tr>
      <w:tr w:rsidR="00E57DEB" w:rsidRPr="000E643C" w14:paraId="61B19D3D" w14:textId="77777777" w:rsidTr="00782889">
        <w:tc>
          <w:tcPr>
            <w:tcW w:w="2430" w:type="dxa"/>
          </w:tcPr>
          <w:p w14:paraId="63BB95F9"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IFX+AZA/6MP</w:t>
            </w:r>
          </w:p>
          <w:p w14:paraId="2E754C32"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 xml:space="preserve">(step-up from </w:t>
            </w:r>
            <w:proofErr w:type="spellStart"/>
            <w:r w:rsidRPr="000E643C">
              <w:rPr>
                <w:rFonts w:ascii="Book Antiqua" w:hAnsi="Book Antiqua"/>
                <w:sz w:val="24"/>
                <w:szCs w:val="24"/>
              </w:rPr>
              <w:t>immunomodulator</w:t>
            </w:r>
            <w:proofErr w:type="spellEnd"/>
            <w:r w:rsidRPr="000E643C">
              <w:rPr>
                <w:rFonts w:ascii="Book Antiqua" w:hAnsi="Book Antiqua"/>
                <w:sz w:val="24"/>
                <w:szCs w:val="24"/>
              </w:rPr>
              <w:t xml:space="preserve"> monotherapy)</w:t>
            </w:r>
          </w:p>
        </w:tc>
        <w:tc>
          <w:tcPr>
            <w:tcW w:w="1080" w:type="dxa"/>
          </w:tcPr>
          <w:p w14:paraId="64F8F2BA"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w:t>
            </w:r>
          </w:p>
        </w:tc>
        <w:tc>
          <w:tcPr>
            <w:tcW w:w="2070" w:type="dxa"/>
          </w:tcPr>
          <w:p w14:paraId="3D84BE3C"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c>
          <w:tcPr>
            <w:tcW w:w="1170" w:type="dxa"/>
          </w:tcPr>
          <w:p w14:paraId="2882D685"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c>
          <w:tcPr>
            <w:tcW w:w="2160" w:type="dxa"/>
          </w:tcPr>
          <w:p w14:paraId="3E6C742C"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r>
      <w:tr w:rsidR="00E57DEB" w:rsidRPr="000E643C" w14:paraId="138B6925" w14:textId="77777777" w:rsidTr="00782889">
        <w:tc>
          <w:tcPr>
            <w:tcW w:w="2430" w:type="dxa"/>
          </w:tcPr>
          <w:p w14:paraId="75EA2485"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IFX+MTX</w:t>
            </w:r>
          </w:p>
        </w:tc>
        <w:tc>
          <w:tcPr>
            <w:tcW w:w="1080" w:type="dxa"/>
          </w:tcPr>
          <w:p w14:paraId="3287E9B8"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w:t>
            </w:r>
          </w:p>
        </w:tc>
        <w:tc>
          <w:tcPr>
            <w:tcW w:w="2070" w:type="dxa"/>
          </w:tcPr>
          <w:p w14:paraId="231E04CC"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w:t>
            </w:r>
          </w:p>
        </w:tc>
        <w:tc>
          <w:tcPr>
            <w:tcW w:w="1170" w:type="dxa"/>
          </w:tcPr>
          <w:p w14:paraId="51AACE7D"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c>
          <w:tcPr>
            <w:tcW w:w="2160" w:type="dxa"/>
          </w:tcPr>
          <w:p w14:paraId="20C07D16"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r>
      <w:tr w:rsidR="00E57DEB" w:rsidRPr="000E643C" w14:paraId="13647D6F" w14:textId="77777777" w:rsidTr="00782889">
        <w:tc>
          <w:tcPr>
            <w:tcW w:w="2430" w:type="dxa"/>
          </w:tcPr>
          <w:p w14:paraId="664D741A"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ADA+IMM</w:t>
            </w:r>
          </w:p>
        </w:tc>
        <w:tc>
          <w:tcPr>
            <w:tcW w:w="1080" w:type="dxa"/>
          </w:tcPr>
          <w:p w14:paraId="446BE41C"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w:t>
            </w:r>
          </w:p>
        </w:tc>
        <w:tc>
          <w:tcPr>
            <w:tcW w:w="2070" w:type="dxa"/>
          </w:tcPr>
          <w:p w14:paraId="7A1AD7C4"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w:t>
            </w:r>
          </w:p>
        </w:tc>
        <w:tc>
          <w:tcPr>
            <w:tcW w:w="1170" w:type="dxa"/>
          </w:tcPr>
          <w:p w14:paraId="72D472FC"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c>
          <w:tcPr>
            <w:tcW w:w="2160" w:type="dxa"/>
          </w:tcPr>
          <w:p w14:paraId="5B4C2641"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r>
      <w:tr w:rsidR="00E57DEB" w:rsidRPr="000E643C" w14:paraId="22436227" w14:textId="77777777" w:rsidTr="00782889">
        <w:tc>
          <w:tcPr>
            <w:tcW w:w="2430" w:type="dxa"/>
          </w:tcPr>
          <w:p w14:paraId="112CBB6E"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VDZ+IMM</w:t>
            </w:r>
          </w:p>
        </w:tc>
        <w:tc>
          <w:tcPr>
            <w:tcW w:w="1080" w:type="dxa"/>
          </w:tcPr>
          <w:p w14:paraId="7C1F35F6"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c>
          <w:tcPr>
            <w:tcW w:w="2070" w:type="dxa"/>
          </w:tcPr>
          <w:p w14:paraId="546617C0"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w:t>
            </w:r>
          </w:p>
        </w:tc>
        <w:tc>
          <w:tcPr>
            <w:tcW w:w="1170" w:type="dxa"/>
          </w:tcPr>
          <w:p w14:paraId="6BAA047A"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c>
          <w:tcPr>
            <w:tcW w:w="2160" w:type="dxa"/>
          </w:tcPr>
          <w:p w14:paraId="747AB374"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r>
      <w:tr w:rsidR="00E57DEB" w:rsidRPr="000E643C" w14:paraId="137A315E" w14:textId="77777777" w:rsidTr="00782889">
        <w:tc>
          <w:tcPr>
            <w:tcW w:w="2430" w:type="dxa"/>
          </w:tcPr>
          <w:p w14:paraId="0E193322"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proofErr w:type="spellStart"/>
            <w:r w:rsidRPr="000E643C">
              <w:rPr>
                <w:rFonts w:ascii="Book Antiqua" w:hAnsi="Book Antiqua"/>
                <w:sz w:val="24"/>
                <w:szCs w:val="24"/>
              </w:rPr>
              <w:t>Ustekinumab</w:t>
            </w:r>
            <w:proofErr w:type="spellEnd"/>
            <w:r w:rsidRPr="000E643C">
              <w:rPr>
                <w:rFonts w:ascii="Book Antiqua" w:hAnsi="Book Antiqua"/>
                <w:sz w:val="24"/>
                <w:szCs w:val="24"/>
              </w:rPr>
              <w:t>+</w:t>
            </w:r>
          </w:p>
          <w:p w14:paraId="77CB6555"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IMM</w:t>
            </w:r>
          </w:p>
        </w:tc>
        <w:tc>
          <w:tcPr>
            <w:tcW w:w="1080" w:type="dxa"/>
          </w:tcPr>
          <w:p w14:paraId="50FB60BE"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c>
          <w:tcPr>
            <w:tcW w:w="2070" w:type="dxa"/>
          </w:tcPr>
          <w:p w14:paraId="56BB4465"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c>
          <w:tcPr>
            <w:tcW w:w="1170" w:type="dxa"/>
          </w:tcPr>
          <w:p w14:paraId="693BBBB1"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c>
          <w:tcPr>
            <w:tcW w:w="2160" w:type="dxa"/>
          </w:tcPr>
          <w:p w14:paraId="339C6FCF" w14:textId="77777777" w:rsidR="00F45384" w:rsidRPr="000E643C" w:rsidRDefault="00F45384"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NA</w:t>
            </w:r>
          </w:p>
        </w:tc>
      </w:tr>
    </w:tbl>
    <w:p w14:paraId="7EB37FB5" w14:textId="753269CB" w:rsidR="00F45384" w:rsidRPr="000E643C" w:rsidRDefault="00F45384" w:rsidP="00E57DEB">
      <w:pPr>
        <w:widowControl w:val="0"/>
        <w:adjustRightInd w:val="0"/>
        <w:snapToGrid w:val="0"/>
        <w:spacing w:after="0" w:line="360" w:lineRule="auto"/>
        <w:jc w:val="both"/>
        <w:rPr>
          <w:rFonts w:ascii="Book Antiqua" w:hAnsi="Book Antiqua"/>
          <w:sz w:val="24"/>
          <w:szCs w:val="24"/>
        </w:rPr>
      </w:pPr>
      <w:r w:rsidRPr="000E643C">
        <w:rPr>
          <w:rFonts w:ascii="Book Antiqua" w:hAnsi="Book Antiqua"/>
          <w:sz w:val="24"/>
          <w:szCs w:val="24"/>
        </w:rPr>
        <w:t>IFX: Infliximab</w:t>
      </w:r>
      <w:r w:rsidR="000D7452">
        <w:rPr>
          <w:rFonts w:ascii="Book Antiqua" w:hAnsi="Book Antiqua" w:hint="eastAsia"/>
          <w:sz w:val="24"/>
          <w:szCs w:val="24"/>
          <w:lang w:eastAsia="zh-CN"/>
        </w:rPr>
        <w:t>;</w:t>
      </w:r>
      <w:r w:rsidRPr="000E643C">
        <w:rPr>
          <w:rFonts w:ascii="Book Antiqua" w:hAnsi="Book Antiqua"/>
          <w:sz w:val="24"/>
          <w:szCs w:val="24"/>
        </w:rPr>
        <w:t xml:space="preserve"> AZA: Azathioprine</w:t>
      </w:r>
      <w:r w:rsidR="000D7452">
        <w:rPr>
          <w:rFonts w:ascii="Book Antiqua" w:hAnsi="Book Antiqua" w:hint="eastAsia"/>
          <w:sz w:val="24"/>
          <w:szCs w:val="24"/>
          <w:lang w:eastAsia="zh-CN"/>
        </w:rPr>
        <w:t>;</w:t>
      </w:r>
      <w:r w:rsidRPr="000E643C">
        <w:rPr>
          <w:rFonts w:ascii="Book Antiqua" w:hAnsi="Book Antiqua"/>
          <w:sz w:val="24"/>
          <w:szCs w:val="24"/>
        </w:rPr>
        <w:t xml:space="preserve"> 6-MP: 6-mercaptopurine</w:t>
      </w:r>
      <w:r w:rsidR="000D7452">
        <w:rPr>
          <w:rFonts w:ascii="Book Antiqua" w:hAnsi="Book Antiqua" w:hint="eastAsia"/>
          <w:sz w:val="24"/>
          <w:szCs w:val="24"/>
          <w:lang w:eastAsia="zh-CN"/>
        </w:rPr>
        <w:t>;</w:t>
      </w:r>
      <w:r w:rsidRPr="000E643C">
        <w:rPr>
          <w:rFonts w:ascii="Book Antiqua" w:hAnsi="Book Antiqua"/>
          <w:sz w:val="24"/>
          <w:szCs w:val="24"/>
        </w:rPr>
        <w:t xml:space="preserve"> MTX: Methotrexate</w:t>
      </w:r>
      <w:r w:rsidR="000D7452">
        <w:rPr>
          <w:rFonts w:ascii="Book Antiqua" w:hAnsi="Book Antiqua" w:hint="eastAsia"/>
          <w:sz w:val="24"/>
          <w:szCs w:val="24"/>
          <w:lang w:eastAsia="zh-CN"/>
        </w:rPr>
        <w:t>;</w:t>
      </w:r>
      <w:r w:rsidRPr="000E643C">
        <w:rPr>
          <w:rFonts w:ascii="Book Antiqua" w:hAnsi="Book Antiqua"/>
          <w:sz w:val="24"/>
          <w:szCs w:val="24"/>
        </w:rPr>
        <w:t xml:space="preserve"> ADA: Adalimumab</w:t>
      </w:r>
      <w:r w:rsidR="000D7452">
        <w:rPr>
          <w:rFonts w:ascii="Book Antiqua" w:hAnsi="Book Antiqua" w:hint="eastAsia"/>
          <w:sz w:val="24"/>
          <w:szCs w:val="24"/>
          <w:lang w:eastAsia="zh-CN"/>
        </w:rPr>
        <w:t>;</w:t>
      </w:r>
      <w:r w:rsidRPr="000E643C">
        <w:rPr>
          <w:rFonts w:ascii="Book Antiqua" w:hAnsi="Book Antiqua"/>
          <w:sz w:val="24"/>
          <w:szCs w:val="24"/>
        </w:rPr>
        <w:t xml:space="preserve"> VDZ: </w:t>
      </w:r>
      <w:proofErr w:type="spellStart"/>
      <w:r w:rsidRPr="000E643C">
        <w:rPr>
          <w:rFonts w:ascii="Book Antiqua" w:hAnsi="Book Antiqua"/>
          <w:sz w:val="24"/>
          <w:szCs w:val="24"/>
        </w:rPr>
        <w:t>Vedolizumab</w:t>
      </w:r>
      <w:proofErr w:type="spellEnd"/>
      <w:r w:rsidR="000D7452">
        <w:rPr>
          <w:rFonts w:ascii="Book Antiqua" w:hAnsi="Book Antiqua" w:hint="eastAsia"/>
          <w:sz w:val="24"/>
          <w:szCs w:val="24"/>
          <w:lang w:eastAsia="zh-CN"/>
        </w:rPr>
        <w:t>;</w:t>
      </w:r>
      <w:r w:rsidRPr="000E643C">
        <w:rPr>
          <w:rFonts w:ascii="Book Antiqua" w:hAnsi="Book Antiqua"/>
          <w:sz w:val="24"/>
          <w:szCs w:val="24"/>
        </w:rPr>
        <w:t xml:space="preserve"> IMM: </w:t>
      </w:r>
      <w:r w:rsidR="000D7452">
        <w:rPr>
          <w:rFonts w:ascii="Book Antiqua" w:hAnsi="Book Antiqua"/>
          <w:sz w:val="24"/>
          <w:szCs w:val="24"/>
        </w:rPr>
        <w:t>immunomodulatory</w:t>
      </w:r>
      <w:r w:rsidR="000D7452">
        <w:rPr>
          <w:rFonts w:ascii="Book Antiqua" w:hAnsi="Book Antiqua" w:hint="eastAsia"/>
          <w:sz w:val="24"/>
          <w:szCs w:val="24"/>
          <w:lang w:eastAsia="zh-CN"/>
        </w:rPr>
        <w:t>;</w:t>
      </w:r>
      <w:r w:rsidRPr="000E643C">
        <w:rPr>
          <w:rFonts w:ascii="Book Antiqua" w:hAnsi="Book Antiqua"/>
          <w:sz w:val="24"/>
          <w:szCs w:val="24"/>
        </w:rPr>
        <w:t xml:space="preserve"> +: beneficial</w:t>
      </w:r>
      <w:r w:rsidR="000D7452">
        <w:rPr>
          <w:rFonts w:ascii="Book Antiqua" w:hAnsi="Book Antiqua" w:hint="eastAsia"/>
          <w:sz w:val="24"/>
          <w:szCs w:val="24"/>
          <w:lang w:eastAsia="zh-CN"/>
        </w:rPr>
        <w:t>;</w:t>
      </w:r>
      <w:r w:rsidRPr="000E643C">
        <w:rPr>
          <w:rFonts w:ascii="Book Antiqua" w:hAnsi="Book Antiqua"/>
          <w:sz w:val="24"/>
          <w:szCs w:val="24"/>
        </w:rPr>
        <w:t xml:space="preserve"> +/-: </w:t>
      </w:r>
      <w:r w:rsidR="000D7452">
        <w:rPr>
          <w:rFonts w:ascii="Book Antiqua" w:hAnsi="Book Antiqua" w:hint="eastAsia"/>
          <w:sz w:val="24"/>
          <w:szCs w:val="24"/>
          <w:lang w:eastAsia="zh-CN"/>
        </w:rPr>
        <w:t>P</w:t>
      </w:r>
      <w:r w:rsidRPr="000E643C">
        <w:rPr>
          <w:rFonts w:ascii="Book Antiqua" w:hAnsi="Book Antiqua"/>
          <w:sz w:val="24"/>
          <w:szCs w:val="24"/>
        </w:rPr>
        <w:t>ossible benefit</w:t>
      </w:r>
      <w:r w:rsidR="000D7452">
        <w:rPr>
          <w:rFonts w:ascii="Book Antiqua" w:hAnsi="Book Antiqua" w:hint="eastAsia"/>
          <w:sz w:val="24"/>
          <w:szCs w:val="24"/>
          <w:lang w:eastAsia="zh-CN"/>
        </w:rPr>
        <w:t>;</w:t>
      </w:r>
      <w:r w:rsidRPr="000E643C">
        <w:rPr>
          <w:rFonts w:ascii="Book Antiqua" w:hAnsi="Book Antiqua"/>
          <w:sz w:val="24"/>
          <w:szCs w:val="24"/>
        </w:rPr>
        <w:t xml:space="preserve"> NA: No </w:t>
      </w:r>
      <w:r w:rsidR="000D7452">
        <w:rPr>
          <w:rFonts w:ascii="Book Antiqua" w:hAnsi="Book Antiqua" w:hint="eastAsia"/>
          <w:sz w:val="24"/>
          <w:szCs w:val="24"/>
          <w:lang w:eastAsia="zh-CN"/>
        </w:rPr>
        <w:t>a</w:t>
      </w:r>
      <w:r w:rsidRPr="000E643C">
        <w:rPr>
          <w:rFonts w:ascii="Book Antiqua" w:hAnsi="Book Antiqua"/>
          <w:sz w:val="24"/>
          <w:szCs w:val="24"/>
        </w:rPr>
        <w:t>dequate data available</w:t>
      </w:r>
      <w:r w:rsidR="0058512D">
        <w:rPr>
          <w:rFonts w:ascii="Book Antiqua" w:hAnsi="Book Antiqua"/>
          <w:sz w:val="24"/>
          <w:szCs w:val="24"/>
        </w:rPr>
        <w:t>.</w:t>
      </w:r>
      <w:bookmarkStart w:id="16" w:name="_GoBack"/>
      <w:bookmarkEnd w:id="16"/>
      <w:r w:rsidRPr="000E643C">
        <w:rPr>
          <w:rFonts w:ascii="Book Antiqua" w:hAnsi="Book Antiqua"/>
          <w:sz w:val="24"/>
          <w:szCs w:val="24"/>
        </w:rPr>
        <w:t xml:space="preserve"> </w:t>
      </w:r>
    </w:p>
    <w:p w14:paraId="473733F8" w14:textId="77777777" w:rsidR="00980695" w:rsidRPr="000E643C" w:rsidRDefault="00980695" w:rsidP="00E57DEB">
      <w:pPr>
        <w:widowControl w:val="0"/>
        <w:adjustRightInd w:val="0"/>
        <w:snapToGrid w:val="0"/>
        <w:spacing w:after="0" w:line="360" w:lineRule="auto"/>
        <w:jc w:val="both"/>
        <w:rPr>
          <w:rFonts w:ascii="Book Antiqua" w:hAnsi="Book Antiqua"/>
          <w:sz w:val="24"/>
          <w:szCs w:val="24"/>
        </w:rPr>
      </w:pPr>
    </w:p>
    <w:p w14:paraId="2BD19C9E" w14:textId="77777777" w:rsidR="00980695" w:rsidRPr="000E643C" w:rsidRDefault="00980695" w:rsidP="00E57DEB">
      <w:pPr>
        <w:widowControl w:val="0"/>
        <w:adjustRightInd w:val="0"/>
        <w:snapToGrid w:val="0"/>
        <w:spacing w:after="0" w:line="360" w:lineRule="auto"/>
        <w:jc w:val="both"/>
        <w:rPr>
          <w:rFonts w:ascii="Book Antiqua" w:hAnsi="Book Antiqua"/>
          <w:sz w:val="24"/>
          <w:szCs w:val="24"/>
        </w:rPr>
      </w:pPr>
    </w:p>
    <w:p w14:paraId="237225FA" w14:textId="77777777" w:rsidR="00980695" w:rsidRPr="000E643C" w:rsidRDefault="00980695" w:rsidP="00E57DEB">
      <w:pPr>
        <w:widowControl w:val="0"/>
        <w:adjustRightInd w:val="0"/>
        <w:snapToGrid w:val="0"/>
        <w:spacing w:after="0" w:line="360" w:lineRule="auto"/>
        <w:jc w:val="both"/>
        <w:rPr>
          <w:rFonts w:ascii="Book Antiqua" w:hAnsi="Book Antiqua"/>
          <w:sz w:val="24"/>
          <w:szCs w:val="24"/>
        </w:rPr>
      </w:pPr>
    </w:p>
    <w:p w14:paraId="6D27B3B8" w14:textId="77777777" w:rsidR="00980695" w:rsidRPr="000E643C" w:rsidRDefault="00980695" w:rsidP="00E57DEB">
      <w:pPr>
        <w:widowControl w:val="0"/>
        <w:adjustRightInd w:val="0"/>
        <w:snapToGrid w:val="0"/>
        <w:spacing w:after="0" w:line="360" w:lineRule="auto"/>
        <w:jc w:val="both"/>
        <w:rPr>
          <w:rFonts w:ascii="Book Antiqua" w:hAnsi="Book Antiqua"/>
          <w:sz w:val="24"/>
          <w:szCs w:val="24"/>
        </w:rPr>
      </w:pPr>
    </w:p>
    <w:p w14:paraId="27269A1F" w14:textId="77777777" w:rsidR="00980695" w:rsidRPr="000E643C" w:rsidRDefault="00980695" w:rsidP="00E57DEB">
      <w:pPr>
        <w:widowControl w:val="0"/>
        <w:adjustRightInd w:val="0"/>
        <w:snapToGrid w:val="0"/>
        <w:spacing w:after="0" w:line="360" w:lineRule="auto"/>
        <w:jc w:val="both"/>
        <w:rPr>
          <w:rFonts w:ascii="Book Antiqua" w:hAnsi="Book Antiqua"/>
          <w:sz w:val="24"/>
          <w:szCs w:val="24"/>
        </w:rPr>
      </w:pPr>
    </w:p>
    <w:p w14:paraId="0EF36FE8" w14:textId="77777777" w:rsidR="00980695" w:rsidRPr="000E643C" w:rsidRDefault="00980695" w:rsidP="00E57DEB">
      <w:pPr>
        <w:widowControl w:val="0"/>
        <w:adjustRightInd w:val="0"/>
        <w:snapToGrid w:val="0"/>
        <w:spacing w:after="0" w:line="360" w:lineRule="auto"/>
        <w:jc w:val="both"/>
        <w:rPr>
          <w:rFonts w:ascii="Book Antiqua" w:hAnsi="Book Antiqua"/>
          <w:sz w:val="24"/>
          <w:szCs w:val="24"/>
        </w:rPr>
      </w:pPr>
    </w:p>
    <w:p w14:paraId="2C18C630" w14:textId="77777777" w:rsidR="00980695" w:rsidRPr="000E643C" w:rsidRDefault="00980695" w:rsidP="00E57DEB">
      <w:pPr>
        <w:widowControl w:val="0"/>
        <w:adjustRightInd w:val="0"/>
        <w:snapToGrid w:val="0"/>
        <w:spacing w:after="0" w:line="360" w:lineRule="auto"/>
        <w:jc w:val="both"/>
        <w:rPr>
          <w:rFonts w:ascii="Book Antiqua" w:hAnsi="Book Antiqua"/>
          <w:sz w:val="24"/>
          <w:szCs w:val="24"/>
        </w:rPr>
      </w:pPr>
    </w:p>
    <w:p w14:paraId="4D77EE09" w14:textId="77777777" w:rsidR="00980695" w:rsidRPr="000E643C" w:rsidRDefault="00980695" w:rsidP="00E57DEB">
      <w:pPr>
        <w:widowControl w:val="0"/>
        <w:adjustRightInd w:val="0"/>
        <w:snapToGrid w:val="0"/>
        <w:spacing w:after="0" w:line="360" w:lineRule="auto"/>
        <w:jc w:val="both"/>
        <w:rPr>
          <w:rFonts w:ascii="Book Antiqua" w:hAnsi="Book Antiqua"/>
          <w:sz w:val="24"/>
          <w:szCs w:val="24"/>
        </w:rPr>
      </w:pPr>
    </w:p>
    <w:p w14:paraId="0CF3BDDE" w14:textId="77777777" w:rsidR="00980695" w:rsidRPr="000E643C" w:rsidRDefault="00980695" w:rsidP="00E57DEB">
      <w:pPr>
        <w:widowControl w:val="0"/>
        <w:adjustRightInd w:val="0"/>
        <w:snapToGrid w:val="0"/>
        <w:spacing w:after="0" w:line="360" w:lineRule="auto"/>
        <w:jc w:val="both"/>
        <w:rPr>
          <w:rFonts w:ascii="Book Antiqua" w:hAnsi="Book Antiqua"/>
          <w:sz w:val="24"/>
          <w:szCs w:val="24"/>
        </w:rPr>
      </w:pPr>
    </w:p>
    <w:p w14:paraId="36B43177" w14:textId="6A6E89C6" w:rsidR="00980695" w:rsidRPr="00DC32FE" w:rsidRDefault="00DC32FE" w:rsidP="00E57DEB">
      <w:pPr>
        <w:widowControl w:val="0"/>
        <w:adjustRightInd w:val="0"/>
        <w:snapToGrid w:val="0"/>
        <w:spacing w:after="0" w:line="360" w:lineRule="auto"/>
        <w:jc w:val="both"/>
        <w:rPr>
          <w:rFonts w:ascii="Book Antiqua" w:hAnsi="Book Antiqua"/>
          <w:b/>
          <w:sz w:val="24"/>
          <w:szCs w:val="24"/>
        </w:rPr>
      </w:pPr>
      <w:r w:rsidRPr="00DC32FE">
        <w:rPr>
          <w:rFonts w:ascii="Book Antiqua" w:hAnsi="Book Antiqua"/>
          <w:b/>
          <w:sz w:val="24"/>
          <w:szCs w:val="24"/>
        </w:rPr>
        <w:t>Table 2</w:t>
      </w:r>
      <w:r w:rsidR="00980695" w:rsidRPr="00DC32FE">
        <w:rPr>
          <w:rFonts w:ascii="Book Antiqua" w:hAnsi="Book Antiqua"/>
          <w:b/>
          <w:sz w:val="24"/>
          <w:szCs w:val="24"/>
        </w:rPr>
        <w:t xml:space="preserve"> Summary: Major </w:t>
      </w:r>
      <w:r w:rsidRPr="00DC32FE">
        <w:rPr>
          <w:rFonts w:ascii="Book Antiqua" w:hAnsi="Book Antiqua"/>
          <w:b/>
          <w:sz w:val="24"/>
          <w:szCs w:val="24"/>
        </w:rPr>
        <w:t>society guidelines addressing combination therapy</w:t>
      </w:r>
    </w:p>
    <w:tbl>
      <w:tblPr>
        <w:tblStyle w:val="TableGrid"/>
        <w:tblW w:w="0" w:type="auto"/>
        <w:tblLook w:val="04A0" w:firstRow="1" w:lastRow="0" w:firstColumn="1" w:lastColumn="0" w:noHBand="0" w:noVBand="1"/>
      </w:tblPr>
      <w:tblGrid>
        <w:gridCol w:w="2932"/>
        <w:gridCol w:w="3557"/>
        <w:gridCol w:w="3087"/>
      </w:tblGrid>
      <w:tr w:rsidR="00E57DEB" w:rsidRPr="000E643C" w14:paraId="5E7F83E4" w14:textId="77777777" w:rsidTr="00782889">
        <w:tc>
          <w:tcPr>
            <w:tcW w:w="2932" w:type="dxa"/>
          </w:tcPr>
          <w:p w14:paraId="39DA6B96"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p>
          <w:p w14:paraId="0B5E2CAB"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p>
          <w:p w14:paraId="36E44110"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p>
          <w:p w14:paraId="6DA0CB57"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p>
        </w:tc>
        <w:tc>
          <w:tcPr>
            <w:tcW w:w="3557" w:type="dxa"/>
          </w:tcPr>
          <w:p w14:paraId="4CA5C237" w14:textId="323F9491" w:rsidR="00980695" w:rsidRPr="000E643C" w:rsidRDefault="00980695" w:rsidP="00DC32FE">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 xml:space="preserve">Crohn’s </w:t>
            </w:r>
            <w:r w:rsidR="00DC32FE">
              <w:rPr>
                <w:rFonts w:ascii="Book Antiqua" w:hAnsi="Book Antiqua" w:hint="eastAsia"/>
                <w:sz w:val="24"/>
                <w:szCs w:val="24"/>
                <w:lang w:eastAsia="zh-CN"/>
              </w:rPr>
              <w:t>d</w:t>
            </w:r>
            <w:r w:rsidRPr="000E643C">
              <w:rPr>
                <w:rFonts w:ascii="Book Antiqua" w:hAnsi="Book Antiqua"/>
                <w:sz w:val="24"/>
                <w:szCs w:val="24"/>
              </w:rPr>
              <w:t>isease</w:t>
            </w:r>
          </w:p>
        </w:tc>
        <w:tc>
          <w:tcPr>
            <w:tcW w:w="3087" w:type="dxa"/>
          </w:tcPr>
          <w:p w14:paraId="0E188A54"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UC</w:t>
            </w:r>
          </w:p>
        </w:tc>
      </w:tr>
      <w:tr w:rsidR="00E57DEB" w:rsidRPr="000E643C" w14:paraId="4FD46552" w14:textId="77777777" w:rsidTr="00782889">
        <w:tc>
          <w:tcPr>
            <w:tcW w:w="2932" w:type="dxa"/>
          </w:tcPr>
          <w:p w14:paraId="5CF3B7B0"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American College of Gastroenterology (2009 CD, 2010 UC)</w:t>
            </w:r>
          </w:p>
        </w:tc>
        <w:tc>
          <w:tcPr>
            <w:tcW w:w="3557" w:type="dxa"/>
          </w:tcPr>
          <w:p w14:paraId="0CDAD06E" w14:textId="77777777" w:rsidR="00980695" w:rsidRPr="000E643C" w:rsidRDefault="00980695" w:rsidP="00E57DEB">
            <w:pPr>
              <w:pStyle w:val="NormalWeb"/>
              <w:widowControl w:val="0"/>
              <w:adjustRightInd w:val="0"/>
              <w:snapToGrid w:val="0"/>
              <w:spacing w:before="0" w:beforeAutospacing="0" w:after="0" w:afterAutospacing="0" w:line="360" w:lineRule="auto"/>
              <w:jc w:val="both"/>
              <w:rPr>
                <w:rFonts w:ascii="Book Antiqua" w:hAnsi="Book Antiqua"/>
              </w:rPr>
            </w:pPr>
            <w:r w:rsidRPr="000E643C">
              <w:rPr>
                <w:rFonts w:ascii="Book Antiqua" w:hAnsi="Book Antiqua"/>
              </w:rPr>
              <w:t>IFX or IFX and AZA superior to AZA</w:t>
            </w:r>
          </w:p>
          <w:p w14:paraId="417AB83E"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p>
        </w:tc>
        <w:tc>
          <w:tcPr>
            <w:tcW w:w="3087" w:type="dxa"/>
          </w:tcPr>
          <w:p w14:paraId="1BFB09C7" w14:textId="77777777" w:rsidR="00980695" w:rsidRPr="000E643C" w:rsidRDefault="00980695" w:rsidP="00E57DEB">
            <w:pPr>
              <w:pStyle w:val="NormalWeb"/>
              <w:widowControl w:val="0"/>
              <w:adjustRightInd w:val="0"/>
              <w:snapToGrid w:val="0"/>
              <w:spacing w:before="0" w:beforeAutospacing="0" w:after="0" w:afterAutospacing="0" w:line="360" w:lineRule="auto"/>
              <w:jc w:val="both"/>
              <w:rPr>
                <w:rFonts w:ascii="Book Antiqua" w:hAnsi="Book Antiqua"/>
              </w:rPr>
            </w:pPr>
            <w:r w:rsidRPr="000E643C">
              <w:rPr>
                <w:rFonts w:ascii="Book Antiqua" w:hAnsi="Book Antiqua"/>
              </w:rPr>
              <w:t xml:space="preserve">Unknown efficacy of CT </w:t>
            </w:r>
          </w:p>
          <w:p w14:paraId="08B2D650"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p>
        </w:tc>
      </w:tr>
      <w:tr w:rsidR="00E57DEB" w:rsidRPr="000E643C" w14:paraId="1C3498FA" w14:textId="77777777" w:rsidTr="00782889">
        <w:tc>
          <w:tcPr>
            <w:tcW w:w="2932" w:type="dxa"/>
          </w:tcPr>
          <w:p w14:paraId="223FE5B7"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European Crohn’s and Colitis Organization and World Congress of Gastroenterology (2011)</w:t>
            </w:r>
          </w:p>
        </w:tc>
        <w:tc>
          <w:tcPr>
            <w:tcW w:w="3557" w:type="dxa"/>
          </w:tcPr>
          <w:p w14:paraId="085C58AD"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IFX and AZA superior to monotherapy (in treatment naïve)</w:t>
            </w:r>
          </w:p>
        </w:tc>
        <w:tc>
          <w:tcPr>
            <w:tcW w:w="3087" w:type="dxa"/>
          </w:tcPr>
          <w:p w14:paraId="59C2AB5B"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Unknown efficacy of CT</w:t>
            </w:r>
          </w:p>
        </w:tc>
      </w:tr>
      <w:tr w:rsidR="00E57DEB" w:rsidRPr="000E643C" w14:paraId="4F405014" w14:textId="77777777" w:rsidTr="00782889">
        <w:tc>
          <w:tcPr>
            <w:tcW w:w="2932" w:type="dxa"/>
          </w:tcPr>
          <w:p w14:paraId="28DD7D46"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American Gastroenterological Association (CD guidelines (2013)</w:t>
            </w:r>
          </w:p>
        </w:tc>
        <w:tc>
          <w:tcPr>
            <w:tcW w:w="3557" w:type="dxa"/>
          </w:tcPr>
          <w:p w14:paraId="541BA0B9" w14:textId="062B2825" w:rsidR="00980695" w:rsidRPr="000E643C" w:rsidRDefault="005B7196" w:rsidP="00E57DEB">
            <w:pPr>
              <w:widowControl w:val="0"/>
              <w:adjustRightInd w:val="0"/>
              <w:snapToGrid w:val="0"/>
              <w:spacing w:line="360" w:lineRule="auto"/>
              <w:jc w:val="both"/>
              <w:rPr>
                <w:rFonts w:ascii="Book Antiqua" w:hAnsi="Book Antiqua"/>
                <w:sz w:val="24"/>
                <w:szCs w:val="24"/>
              </w:rPr>
            </w:pPr>
            <w:r>
              <w:rPr>
                <w:rFonts w:ascii="Book Antiqua" w:hAnsi="Book Antiqua" w:hint="eastAsia"/>
                <w:sz w:val="24"/>
                <w:szCs w:val="24"/>
                <w:lang w:eastAsia="zh-CN"/>
              </w:rPr>
              <w:t>A</w:t>
            </w:r>
            <w:r w:rsidR="00980695" w:rsidRPr="000E643C">
              <w:rPr>
                <w:rFonts w:ascii="Book Antiqua" w:hAnsi="Book Antiqua"/>
                <w:sz w:val="24"/>
                <w:szCs w:val="24"/>
              </w:rPr>
              <w:t>nti-TNF-</w:t>
            </w:r>
            <w:r w:rsidR="00980695" w:rsidRPr="000E643C">
              <w:rPr>
                <w:rFonts w:ascii="Book Antiqua" w:hAnsi="Book Antiqua" w:cs="Times New Roman"/>
                <w:sz w:val="24"/>
                <w:szCs w:val="24"/>
              </w:rPr>
              <w:t>α</w:t>
            </w:r>
            <w:r w:rsidR="00980695" w:rsidRPr="000E643C">
              <w:rPr>
                <w:rFonts w:ascii="Book Antiqua" w:hAnsi="Book Antiqua"/>
                <w:sz w:val="24"/>
                <w:szCs w:val="24"/>
              </w:rPr>
              <w:t xml:space="preserve"> and AZA superior to monotherapy</w:t>
            </w:r>
          </w:p>
        </w:tc>
        <w:tc>
          <w:tcPr>
            <w:tcW w:w="3087" w:type="dxa"/>
          </w:tcPr>
          <w:p w14:paraId="42F1BF2F"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p>
        </w:tc>
      </w:tr>
      <w:tr w:rsidR="00E57DEB" w:rsidRPr="000E643C" w14:paraId="657F9DB2" w14:textId="77777777" w:rsidTr="00782889">
        <w:tc>
          <w:tcPr>
            <w:tcW w:w="2932" w:type="dxa"/>
          </w:tcPr>
          <w:p w14:paraId="714CFF95" w14:textId="04B6E216"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American Gastroenterological Association Clinical Care Pathways (2014 CD,</w:t>
            </w:r>
            <w:r w:rsidR="00E57DEB" w:rsidRPr="000E643C">
              <w:rPr>
                <w:rFonts w:ascii="Book Antiqua" w:hAnsi="Book Antiqua"/>
                <w:sz w:val="24"/>
                <w:szCs w:val="24"/>
              </w:rPr>
              <w:t xml:space="preserve"> </w:t>
            </w:r>
            <w:r w:rsidRPr="000E643C">
              <w:rPr>
                <w:rFonts w:ascii="Book Antiqua" w:hAnsi="Book Antiqua"/>
                <w:sz w:val="24"/>
                <w:szCs w:val="24"/>
              </w:rPr>
              <w:t>2015 UC)</w:t>
            </w:r>
          </w:p>
        </w:tc>
        <w:tc>
          <w:tcPr>
            <w:tcW w:w="3557" w:type="dxa"/>
          </w:tcPr>
          <w:p w14:paraId="31F5DBAF"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Consider IMM with anti-TNF-</w:t>
            </w:r>
            <w:r w:rsidRPr="000E643C">
              <w:rPr>
                <w:rFonts w:ascii="Book Antiqua" w:hAnsi="Book Antiqua" w:cs="Times New Roman"/>
                <w:sz w:val="24"/>
                <w:szCs w:val="24"/>
              </w:rPr>
              <w:t>α or 2</w:t>
            </w:r>
            <w:r w:rsidRPr="000E643C">
              <w:rPr>
                <w:rFonts w:ascii="Book Antiqua" w:hAnsi="Book Antiqua" w:cs="Times New Roman"/>
                <w:sz w:val="24"/>
                <w:szCs w:val="24"/>
                <w:vertAlign w:val="superscript"/>
              </w:rPr>
              <w:t>nd</w:t>
            </w:r>
            <w:r w:rsidRPr="000E643C">
              <w:rPr>
                <w:rFonts w:ascii="Book Antiqua" w:hAnsi="Book Antiqua" w:cs="Times New Roman"/>
                <w:sz w:val="24"/>
                <w:szCs w:val="24"/>
              </w:rPr>
              <w:t>/3</w:t>
            </w:r>
            <w:r w:rsidRPr="000E643C">
              <w:rPr>
                <w:rFonts w:ascii="Book Antiqua" w:hAnsi="Book Antiqua" w:cs="Times New Roman"/>
                <w:sz w:val="24"/>
                <w:szCs w:val="24"/>
                <w:vertAlign w:val="superscript"/>
              </w:rPr>
              <w:t>rd</w:t>
            </w:r>
            <w:r w:rsidRPr="000E643C">
              <w:rPr>
                <w:rFonts w:ascii="Book Antiqua" w:hAnsi="Book Antiqua" w:cs="Times New Roman"/>
                <w:sz w:val="24"/>
                <w:szCs w:val="24"/>
              </w:rPr>
              <w:t xml:space="preserve"> line biologic</w:t>
            </w:r>
          </w:p>
        </w:tc>
        <w:tc>
          <w:tcPr>
            <w:tcW w:w="3087" w:type="dxa"/>
          </w:tcPr>
          <w:p w14:paraId="3FF9996C" w14:textId="274AF5FB"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Consider IMM with all</w:t>
            </w:r>
            <w:r w:rsidR="00E57DEB" w:rsidRPr="000E643C">
              <w:rPr>
                <w:rFonts w:ascii="Book Antiqua" w:hAnsi="Book Antiqua"/>
                <w:sz w:val="24"/>
                <w:szCs w:val="24"/>
              </w:rPr>
              <w:t xml:space="preserve"> </w:t>
            </w:r>
            <w:r w:rsidRPr="000E643C">
              <w:rPr>
                <w:rFonts w:ascii="Book Antiqua" w:hAnsi="Book Antiqua"/>
                <w:sz w:val="24"/>
                <w:szCs w:val="24"/>
              </w:rPr>
              <w:t>anti-TNF-</w:t>
            </w:r>
            <w:r w:rsidRPr="000E643C">
              <w:rPr>
                <w:rFonts w:ascii="Book Antiqua" w:hAnsi="Book Antiqua" w:cs="Times New Roman"/>
                <w:sz w:val="24"/>
                <w:szCs w:val="24"/>
              </w:rPr>
              <w:t>α or VDZ use</w:t>
            </w:r>
          </w:p>
        </w:tc>
      </w:tr>
      <w:tr w:rsidR="00E57DEB" w:rsidRPr="000E643C" w14:paraId="48D9CC5D" w14:textId="77777777" w:rsidTr="00782889">
        <w:tc>
          <w:tcPr>
            <w:tcW w:w="2932" w:type="dxa"/>
          </w:tcPr>
          <w:p w14:paraId="6BD1B138"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Hong Kong IBD Society (2013)</w:t>
            </w:r>
          </w:p>
        </w:tc>
        <w:tc>
          <w:tcPr>
            <w:tcW w:w="3557" w:type="dxa"/>
          </w:tcPr>
          <w:p w14:paraId="66889F56"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anti-TNF-</w:t>
            </w:r>
            <w:r w:rsidRPr="000E643C">
              <w:rPr>
                <w:rFonts w:ascii="Book Antiqua" w:hAnsi="Book Antiqua" w:cs="Times New Roman"/>
                <w:sz w:val="24"/>
                <w:szCs w:val="24"/>
              </w:rPr>
              <w:t>α</w:t>
            </w:r>
            <w:r w:rsidRPr="000E643C">
              <w:rPr>
                <w:rFonts w:ascii="Book Antiqua" w:hAnsi="Book Antiqua"/>
                <w:sz w:val="24"/>
                <w:szCs w:val="24"/>
              </w:rPr>
              <w:t xml:space="preserve"> and AZA superior to monotherapy</w:t>
            </w:r>
          </w:p>
        </w:tc>
        <w:tc>
          <w:tcPr>
            <w:tcW w:w="3087" w:type="dxa"/>
          </w:tcPr>
          <w:p w14:paraId="225598F6"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CT Not addressed</w:t>
            </w:r>
          </w:p>
        </w:tc>
      </w:tr>
      <w:tr w:rsidR="00E57DEB" w:rsidRPr="000E643C" w14:paraId="3877B963" w14:textId="77777777" w:rsidTr="00782889">
        <w:tc>
          <w:tcPr>
            <w:tcW w:w="2932" w:type="dxa"/>
          </w:tcPr>
          <w:p w14:paraId="6681F20F"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 xml:space="preserve">Indian Society of </w:t>
            </w:r>
            <w:r w:rsidR="00870F77" w:rsidRPr="000E643C">
              <w:rPr>
                <w:rFonts w:ascii="Book Antiqua" w:hAnsi="Book Antiqua"/>
                <w:sz w:val="24"/>
                <w:szCs w:val="24"/>
              </w:rPr>
              <w:lastRenderedPageBreak/>
              <w:t>Gastroenterology</w:t>
            </w:r>
            <w:r w:rsidRPr="000E643C">
              <w:rPr>
                <w:rFonts w:ascii="Book Antiqua" w:hAnsi="Book Antiqua"/>
                <w:sz w:val="24"/>
                <w:szCs w:val="24"/>
              </w:rPr>
              <w:t xml:space="preserve"> (UC consensus)</w:t>
            </w:r>
          </w:p>
        </w:tc>
        <w:tc>
          <w:tcPr>
            <w:tcW w:w="3557" w:type="dxa"/>
          </w:tcPr>
          <w:p w14:paraId="22302755" w14:textId="77777777" w:rsidR="00980695" w:rsidRPr="000E643C" w:rsidRDefault="00980695" w:rsidP="00E57DEB">
            <w:pPr>
              <w:widowControl w:val="0"/>
              <w:adjustRightInd w:val="0"/>
              <w:snapToGrid w:val="0"/>
              <w:spacing w:line="360" w:lineRule="auto"/>
              <w:jc w:val="both"/>
              <w:rPr>
                <w:rFonts w:ascii="Book Antiqua" w:eastAsia="Times New Roman" w:hAnsi="Book Antiqua" w:cs="Times New Roman"/>
                <w:sz w:val="24"/>
                <w:szCs w:val="24"/>
              </w:rPr>
            </w:pPr>
          </w:p>
        </w:tc>
        <w:tc>
          <w:tcPr>
            <w:tcW w:w="3087" w:type="dxa"/>
          </w:tcPr>
          <w:p w14:paraId="2C61A15A"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CT Not addressed</w:t>
            </w:r>
          </w:p>
        </w:tc>
      </w:tr>
      <w:tr w:rsidR="00E57DEB" w:rsidRPr="000E643C" w14:paraId="749E84C3" w14:textId="77777777" w:rsidTr="00782889">
        <w:tc>
          <w:tcPr>
            <w:tcW w:w="2932" w:type="dxa"/>
          </w:tcPr>
          <w:p w14:paraId="640FCD93"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lastRenderedPageBreak/>
              <w:t>Asian Pacific Association of Gastroenterology (UC consensus)</w:t>
            </w:r>
          </w:p>
        </w:tc>
        <w:tc>
          <w:tcPr>
            <w:tcW w:w="3557" w:type="dxa"/>
          </w:tcPr>
          <w:p w14:paraId="4D4E6C99" w14:textId="77777777" w:rsidR="00980695" w:rsidRPr="000E643C" w:rsidRDefault="00980695" w:rsidP="00E57DEB">
            <w:pPr>
              <w:widowControl w:val="0"/>
              <w:adjustRightInd w:val="0"/>
              <w:snapToGrid w:val="0"/>
              <w:spacing w:line="360" w:lineRule="auto"/>
              <w:jc w:val="both"/>
              <w:rPr>
                <w:rFonts w:ascii="Book Antiqua" w:eastAsia="Times New Roman" w:hAnsi="Book Antiqua" w:cs="Times New Roman"/>
                <w:sz w:val="24"/>
                <w:szCs w:val="24"/>
              </w:rPr>
            </w:pPr>
          </w:p>
        </w:tc>
        <w:tc>
          <w:tcPr>
            <w:tcW w:w="3087" w:type="dxa"/>
          </w:tcPr>
          <w:p w14:paraId="54A90E82"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CT Not addressed</w:t>
            </w:r>
          </w:p>
        </w:tc>
      </w:tr>
      <w:tr w:rsidR="00E57DEB" w:rsidRPr="000E643C" w14:paraId="6524966B" w14:textId="77777777" w:rsidTr="00782889">
        <w:tc>
          <w:tcPr>
            <w:tcW w:w="2932" w:type="dxa"/>
          </w:tcPr>
          <w:p w14:paraId="0058307E"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r w:rsidRPr="000E643C">
              <w:rPr>
                <w:rFonts w:ascii="Book Antiqua" w:hAnsi="Book Antiqua"/>
                <w:sz w:val="24"/>
                <w:szCs w:val="24"/>
              </w:rPr>
              <w:t>Japanese Society of Gastroenterology (CD guidelines)</w:t>
            </w:r>
          </w:p>
        </w:tc>
        <w:tc>
          <w:tcPr>
            <w:tcW w:w="3557" w:type="dxa"/>
          </w:tcPr>
          <w:p w14:paraId="52490ACB" w14:textId="77777777" w:rsidR="00980695" w:rsidRPr="000E643C" w:rsidRDefault="00980695" w:rsidP="00E57DEB">
            <w:pPr>
              <w:widowControl w:val="0"/>
              <w:adjustRightInd w:val="0"/>
              <w:snapToGrid w:val="0"/>
              <w:spacing w:line="360" w:lineRule="auto"/>
              <w:jc w:val="both"/>
              <w:rPr>
                <w:rFonts w:ascii="Book Antiqua" w:eastAsia="Times New Roman" w:hAnsi="Book Antiqua" w:cs="Times New Roman"/>
                <w:sz w:val="24"/>
                <w:szCs w:val="24"/>
              </w:rPr>
            </w:pPr>
            <w:r w:rsidRPr="000E643C">
              <w:rPr>
                <w:rFonts w:ascii="Book Antiqua" w:eastAsia="Times New Roman" w:hAnsi="Book Antiqua" w:cs="Times New Roman"/>
                <w:sz w:val="24"/>
                <w:szCs w:val="24"/>
              </w:rPr>
              <w:t>CT Not addressed</w:t>
            </w:r>
          </w:p>
        </w:tc>
        <w:tc>
          <w:tcPr>
            <w:tcW w:w="3087" w:type="dxa"/>
          </w:tcPr>
          <w:p w14:paraId="572FF05A" w14:textId="77777777" w:rsidR="00980695" w:rsidRPr="000E643C" w:rsidRDefault="00980695" w:rsidP="00E57DEB">
            <w:pPr>
              <w:widowControl w:val="0"/>
              <w:adjustRightInd w:val="0"/>
              <w:snapToGrid w:val="0"/>
              <w:spacing w:line="360" w:lineRule="auto"/>
              <w:jc w:val="both"/>
              <w:rPr>
                <w:rFonts w:ascii="Book Antiqua" w:hAnsi="Book Antiqua"/>
                <w:sz w:val="24"/>
                <w:szCs w:val="24"/>
              </w:rPr>
            </w:pPr>
          </w:p>
        </w:tc>
      </w:tr>
    </w:tbl>
    <w:p w14:paraId="01C68602" w14:textId="6C4B9F72" w:rsidR="00F45384" w:rsidRPr="004620C6" w:rsidRDefault="00980695" w:rsidP="00E57DEB">
      <w:pPr>
        <w:widowControl w:val="0"/>
        <w:adjustRightInd w:val="0"/>
        <w:snapToGrid w:val="0"/>
        <w:spacing w:after="0" w:line="360" w:lineRule="auto"/>
        <w:jc w:val="both"/>
        <w:rPr>
          <w:rFonts w:ascii="Book Antiqua" w:hAnsi="Book Antiqua"/>
          <w:sz w:val="24"/>
          <w:szCs w:val="24"/>
          <w:lang w:eastAsia="zh-CN"/>
        </w:rPr>
      </w:pPr>
      <w:r w:rsidRPr="004620C6">
        <w:rPr>
          <w:rFonts w:ascii="Book Antiqua" w:hAnsi="Book Antiqua"/>
          <w:sz w:val="24"/>
          <w:szCs w:val="24"/>
        </w:rPr>
        <w:t>IFX: Infliximab</w:t>
      </w:r>
      <w:r w:rsidR="004620C6">
        <w:rPr>
          <w:rFonts w:ascii="Book Antiqua" w:hAnsi="Book Antiqua" w:hint="eastAsia"/>
          <w:sz w:val="24"/>
          <w:szCs w:val="24"/>
          <w:lang w:eastAsia="zh-CN"/>
        </w:rPr>
        <w:t>;</w:t>
      </w:r>
      <w:r w:rsidRPr="004620C6">
        <w:rPr>
          <w:rFonts w:ascii="Book Antiqua" w:hAnsi="Book Antiqua"/>
          <w:sz w:val="24"/>
          <w:szCs w:val="24"/>
        </w:rPr>
        <w:t xml:space="preserve"> AZA: Azathioprine</w:t>
      </w:r>
      <w:r w:rsidR="004620C6">
        <w:rPr>
          <w:rFonts w:ascii="Book Antiqua" w:hAnsi="Book Antiqua" w:hint="eastAsia"/>
          <w:sz w:val="24"/>
          <w:szCs w:val="24"/>
          <w:lang w:eastAsia="zh-CN"/>
        </w:rPr>
        <w:t>;</w:t>
      </w:r>
      <w:r w:rsidRPr="004620C6">
        <w:rPr>
          <w:rFonts w:ascii="Book Antiqua" w:hAnsi="Book Antiqua"/>
          <w:sz w:val="24"/>
          <w:szCs w:val="24"/>
        </w:rPr>
        <w:t xml:space="preserve"> IMM: </w:t>
      </w:r>
      <w:proofErr w:type="spellStart"/>
      <w:r w:rsidRPr="004620C6">
        <w:rPr>
          <w:rFonts w:ascii="Book Antiqua" w:hAnsi="Book Antiqua"/>
          <w:sz w:val="24"/>
          <w:szCs w:val="24"/>
        </w:rPr>
        <w:t>Immunomodulator</w:t>
      </w:r>
      <w:proofErr w:type="spellEnd"/>
      <w:r w:rsidRPr="004620C6">
        <w:rPr>
          <w:rFonts w:ascii="Book Antiqua" w:hAnsi="Book Antiqua"/>
          <w:sz w:val="24"/>
          <w:szCs w:val="24"/>
        </w:rPr>
        <w:t xml:space="preserve"> (includes AZA, 6-mercaptopurine, Methotrexate</w:t>
      </w:r>
      <w:r w:rsidR="004620C6">
        <w:rPr>
          <w:rFonts w:ascii="Book Antiqua" w:hAnsi="Book Antiqua" w:hint="eastAsia"/>
          <w:sz w:val="24"/>
          <w:szCs w:val="24"/>
          <w:lang w:eastAsia="zh-CN"/>
        </w:rPr>
        <w:t>;</w:t>
      </w:r>
      <w:r w:rsidRPr="004620C6">
        <w:rPr>
          <w:rFonts w:ascii="Book Antiqua" w:hAnsi="Book Antiqua"/>
          <w:sz w:val="24"/>
          <w:szCs w:val="24"/>
        </w:rPr>
        <w:t xml:space="preserve"> VDZ: </w:t>
      </w:r>
      <w:proofErr w:type="spellStart"/>
      <w:r w:rsidRPr="004620C6">
        <w:rPr>
          <w:rFonts w:ascii="Book Antiqua" w:hAnsi="Book Antiqua"/>
          <w:sz w:val="24"/>
          <w:szCs w:val="24"/>
        </w:rPr>
        <w:t>Vedolizumab</w:t>
      </w:r>
      <w:proofErr w:type="spellEnd"/>
      <w:r w:rsidR="004620C6">
        <w:rPr>
          <w:rFonts w:ascii="Book Antiqua" w:hAnsi="Book Antiqua" w:hint="eastAsia"/>
          <w:sz w:val="24"/>
          <w:szCs w:val="24"/>
          <w:lang w:eastAsia="zh-CN"/>
        </w:rPr>
        <w:t>;</w:t>
      </w:r>
      <w:r w:rsidR="00DC32FE" w:rsidRPr="004620C6">
        <w:rPr>
          <w:rFonts w:ascii="Book Antiqua" w:hAnsi="Book Antiqua"/>
          <w:sz w:val="24"/>
          <w:szCs w:val="24"/>
        </w:rPr>
        <w:t xml:space="preserve"> </w:t>
      </w:r>
      <w:r w:rsidR="005B7196" w:rsidRPr="004620C6">
        <w:rPr>
          <w:rFonts w:ascii="Book Antiqua" w:hAnsi="Book Antiqua" w:hint="eastAsia"/>
          <w:sz w:val="24"/>
          <w:szCs w:val="24"/>
          <w:lang w:eastAsia="zh-CN"/>
        </w:rPr>
        <w:t xml:space="preserve">CT: </w:t>
      </w:r>
      <w:r w:rsidR="004620C6">
        <w:rPr>
          <w:rFonts w:ascii="Book Antiqua" w:hAnsi="Book Antiqua" w:hint="eastAsia"/>
          <w:sz w:val="24"/>
          <w:szCs w:val="24"/>
          <w:lang w:eastAsia="zh-CN"/>
        </w:rPr>
        <w:t>C</w:t>
      </w:r>
      <w:r w:rsidR="005B7196" w:rsidRPr="004620C6">
        <w:rPr>
          <w:rFonts w:ascii="Book Antiqua" w:hAnsi="Book Antiqua"/>
          <w:sz w:val="24"/>
          <w:szCs w:val="24"/>
        </w:rPr>
        <w:t>ombination therapy</w:t>
      </w:r>
      <w:r w:rsidR="005B7196" w:rsidRPr="004620C6">
        <w:rPr>
          <w:rFonts w:ascii="Book Antiqua" w:hAnsi="Book Antiqua" w:hint="eastAsia"/>
          <w:sz w:val="24"/>
          <w:szCs w:val="24"/>
          <w:lang w:eastAsia="zh-CN"/>
        </w:rPr>
        <w:t>; UC:</w:t>
      </w:r>
      <w:r w:rsidR="004620C6" w:rsidRPr="004620C6">
        <w:rPr>
          <w:rFonts w:ascii="Book Antiqua" w:hAnsi="Book Antiqua"/>
          <w:sz w:val="24"/>
          <w:szCs w:val="24"/>
        </w:rPr>
        <w:t xml:space="preserve"> </w:t>
      </w:r>
      <w:r w:rsidR="004620C6">
        <w:rPr>
          <w:rFonts w:ascii="Book Antiqua" w:hAnsi="Book Antiqua" w:hint="eastAsia"/>
          <w:sz w:val="24"/>
          <w:szCs w:val="24"/>
          <w:lang w:eastAsia="zh-CN"/>
        </w:rPr>
        <w:t>U</w:t>
      </w:r>
      <w:r w:rsidR="004620C6" w:rsidRPr="004620C6">
        <w:rPr>
          <w:rFonts w:ascii="Book Antiqua" w:hAnsi="Book Antiqua"/>
          <w:sz w:val="24"/>
          <w:szCs w:val="24"/>
        </w:rPr>
        <w:t>lcerative colitis</w:t>
      </w:r>
      <w:r w:rsidR="004620C6" w:rsidRPr="004620C6">
        <w:rPr>
          <w:rFonts w:ascii="Book Antiqua" w:hAnsi="Book Antiqua" w:hint="eastAsia"/>
          <w:sz w:val="24"/>
          <w:szCs w:val="24"/>
          <w:lang w:eastAsia="zh-CN"/>
        </w:rPr>
        <w:t>.</w:t>
      </w:r>
    </w:p>
    <w:sectPr w:rsidR="00F45384" w:rsidRPr="004620C6" w:rsidSect="00083C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CF9F5" w14:textId="77777777" w:rsidR="00370709" w:rsidRDefault="00370709" w:rsidP="00243737">
      <w:pPr>
        <w:spacing w:after="0" w:line="240" w:lineRule="auto"/>
      </w:pPr>
      <w:r>
        <w:separator/>
      </w:r>
    </w:p>
  </w:endnote>
  <w:endnote w:type="continuationSeparator" w:id="0">
    <w:p w14:paraId="74972AA3" w14:textId="77777777" w:rsidR="00370709" w:rsidRDefault="00370709" w:rsidP="0024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4F167" w14:textId="77777777" w:rsidR="00370709" w:rsidRDefault="00370709" w:rsidP="00243737">
      <w:pPr>
        <w:spacing w:after="0" w:line="240" w:lineRule="auto"/>
      </w:pPr>
      <w:r>
        <w:separator/>
      </w:r>
    </w:p>
  </w:footnote>
  <w:footnote w:type="continuationSeparator" w:id="0">
    <w:p w14:paraId="215DB7E1" w14:textId="77777777" w:rsidR="00370709" w:rsidRDefault="00370709" w:rsidP="002437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1469C6"/>
    <w:multiLevelType w:val="hybridMultilevel"/>
    <w:tmpl w:val="4340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10AAB"/>
    <w:multiLevelType w:val="hybridMultilevel"/>
    <w:tmpl w:val="4340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E0082"/>
    <w:multiLevelType w:val="hybridMultilevel"/>
    <w:tmpl w:val="B156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B77AB"/>
    <w:multiLevelType w:val="hybridMultilevel"/>
    <w:tmpl w:val="4340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F8E2C0-0362-40C4-9CA3-5112A72CF737}"/>
    <w:docVar w:name="dgnword-eventsink" w:val="71781264"/>
  </w:docVars>
  <w:rsids>
    <w:rsidRoot w:val="001746CC"/>
    <w:rsid w:val="00003663"/>
    <w:rsid w:val="00010029"/>
    <w:rsid w:val="00010C70"/>
    <w:rsid w:val="000119D4"/>
    <w:rsid w:val="0001280F"/>
    <w:rsid w:val="0001324C"/>
    <w:rsid w:val="000201FB"/>
    <w:rsid w:val="00020CB6"/>
    <w:rsid w:val="0002347E"/>
    <w:rsid w:val="00030FFC"/>
    <w:rsid w:val="000436DF"/>
    <w:rsid w:val="00046A29"/>
    <w:rsid w:val="00046A48"/>
    <w:rsid w:val="00050405"/>
    <w:rsid w:val="00050E98"/>
    <w:rsid w:val="00051737"/>
    <w:rsid w:val="00055287"/>
    <w:rsid w:val="00055E23"/>
    <w:rsid w:val="00063249"/>
    <w:rsid w:val="00064EA2"/>
    <w:rsid w:val="00065E1C"/>
    <w:rsid w:val="00083C64"/>
    <w:rsid w:val="00086F2D"/>
    <w:rsid w:val="0009214C"/>
    <w:rsid w:val="000930E9"/>
    <w:rsid w:val="00097E20"/>
    <w:rsid w:val="00097E5B"/>
    <w:rsid w:val="000A2657"/>
    <w:rsid w:val="000B2D22"/>
    <w:rsid w:val="000C648B"/>
    <w:rsid w:val="000C6B46"/>
    <w:rsid w:val="000D54E5"/>
    <w:rsid w:val="000D7452"/>
    <w:rsid w:val="000D7696"/>
    <w:rsid w:val="000E0440"/>
    <w:rsid w:val="000E5B77"/>
    <w:rsid w:val="000E643C"/>
    <w:rsid w:val="001031C2"/>
    <w:rsid w:val="00105513"/>
    <w:rsid w:val="00106E15"/>
    <w:rsid w:val="001177BA"/>
    <w:rsid w:val="00123B38"/>
    <w:rsid w:val="00130B72"/>
    <w:rsid w:val="001363B2"/>
    <w:rsid w:val="00137C70"/>
    <w:rsid w:val="00140EA1"/>
    <w:rsid w:val="00146884"/>
    <w:rsid w:val="0014797C"/>
    <w:rsid w:val="00150809"/>
    <w:rsid w:val="00161134"/>
    <w:rsid w:val="00165004"/>
    <w:rsid w:val="00166210"/>
    <w:rsid w:val="001746CC"/>
    <w:rsid w:val="001754AF"/>
    <w:rsid w:val="00183E8A"/>
    <w:rsid w:val="00184E70"/>
    <w:rsid w:val="00187651"/>
    <w:rsid w:val="001936F6"/>
    <w:rsid w:val="00193CE8"/>
    <w:rsid w:val="001A093F"/>
    <w:rsid w:val="001A1D32"/>
    <w:rsid w:val="001A2346"/>
    <w:rsid w:val="001B3272"/>
    <w:rsid w:val="001C63EA"/>
    <w:rsid w:val="001D1B33"/>
    <w:rsid w:val="001E0196"/>
    <w:rsid w:val="001F0F8E"/>
    <w:rsid w:val="0020735A"/>
    <w:rsid w:val="0021277B"/>
    <w:rsid w:val="00215682"/>
    <w:rsid w:val="0022047A"/>
    <w:rsid w:val="00221302"/>
    <w:rsid w:val="00227AFA"/>
    <w:rsid w:val="002342A4"/>
    <w:rsid w:val="00243737"/>
    <w:rsid w:val="002457E5"/>
    <w:rsid w:val="00253604"/>
    <w:rsid w:val="002556F7"/>
    <w:rsid w:val="0025732E"/>
    <w:rsid w:val="002579D7"/>
    <w:rsid w:val="00274115"/>
    <w:rsid w:val="00287A03"/>
    <w:rsid w:val="002B0145"/>
    <w:rsid w:val="002B5EED"/>
    <w:rsid w:val="002B7791"/>
    <w:rsid w:val="002C1B9C"/>
    <w:rsid w:val="002D04D8"/>
    <w:rsid w:val="002D25D5"/>
    <w:rsid w:val="002D4AD0"/>
    <w:rsid w:val="002E6C88"/>
    <w:rsid w:val="002E6D5C"/>
    <w:rsid w:val="00300D7E"/>
    <w:rsid w:val="00304E6C"/>
    <w:rsid w:val="00307E77"/>
    <w:rsid w:val="00310E17"/>
    <w:rsid w:val="0031444F"/>
    <w:rsid w:val="0031675E"/>
    <w:rsid w:val="00316811"/>
    <w:rsid w:val="0032621D"/>
    <w:rsid w:val="003312DE"/>
    <w:rsid w:val="003325F1"/>
    <w:rsid w:val="003473BD"/>
    <w:rsid w:val="00350793"/>
    <w:rsid w:val="00355E8D"/>
    <w:rsid w:val="003619B0"/>
    <w:rsid w:val="00362749"/>
    <w:rsid w:val="0036460A"/>
    <w:rsid w:val="00370709"/>
    <w:rsid w:val="0038081C"/>
    <w:rsid w:val="00387D45"/>
    <w:rsid w:val="003A27A1"/>
    <w:rsid w:val="003A457B"/>
    <w:rsid w:val="003B5478"/>
    <w:rsid w:val="003C1F48"/>
    <w:rsid w:val="003C3741"/>
    <w:rsid w:val="003C7DED"/>
    <w:rsid w:val="003D140E"/>
    <w:rsid w:val="003E4DEE"/>
    <w:rsid w:val="003E6DE8"/>
    <w:rsid w:val="003F5939"/>
    <w:rsid w:val="00400DD8"/>
    <w:rsid w:val="00401670"/>
    <w:rsid w:val="00402176"/>
    <w:rsid w:val="00405E81"/>
    <w:rsid w:val="00416FD2"/>
    <w:rsid w:val="00424D29"/>
    <w:rsid w:val="004272A3"/>
    <w:rsid w:val="00433009"/>
    <w:rsid w:val="00447F6D"/>
    <w:rsid w:val="0045015B"/>
    <w:rsid w:val="00454F03"/>
    <w:rsid w:val="00457B9C"/>
    <w:rsid w:val="004620C6"/>
    <w:rsid w:val="00470779"/>
    <w:rsid w:val="0047410C"/>
    <w:rsid w:val="0048096D"/>
    <w:rsid w:val="00486210"/>
    <w:rsid w:val="004906A3"/>
    <w:rsid w:val="004973ED"/>
    <w:rsid w:val="004A04BA"/>
    <w:rsid w:val="004A1115"/>
    <w:rsid w:val="004A177E"/>
    <w:rsid w:val="004A4948"/>
    <w:rsid w:val="004A4B29"/>
    <w:rsid w:val="004A5B54"/>
    <w:rsid w:val="004A6219"/>
    <w:rsid w:val="004A7FC9"/>
    <w:rsid w:val="004B12C9"/>
    <w:rsid w:val="004B5D8C"/>
    <w:rsid w:val="004C1A08"/>
    <w:rsid w:val="004D3A3F"/>
    <w:rsid w:val="004D701A"/>
    <w:rsid w:val="004E7F60"/>
    <w:rsid w:val="00503AD3"/>
    <w:rsid w:val="00507D2D"/>
    <w:rsid w:val="005130CF"/>
    <w:rsid w:val="00520D97"/>
    <w:rsid w:val="00526401"/>
    <w:rsid w:val="0052719E"/>
    <w:rsid w:val="00530650"/>
    <w:rsid w:val="005342E6"/>
    <w:rsid w:val="00546506"/>
    <w:rsid w:val="00546B70"/>
    <w:rsid w:val="00554CA7"/>
    <w:rsid w:val="005568A9"/>
    <w:rsid w:val="00557FA6"/>
    <w:rsid w:val="00564081"/>
    <w:rsid w:val="0058512D"/>
    <w:rsid w:val="00586E10"/>
    <w:rsid w:val="00587F24"/>
    <w:rsid w:val="00594FDC"/>
    <w:rsid w:val="005A3EDD"/>
    <w:rsid w:val="005A5853"/>
    <w:rsid w:val="005B329A"/>
    <w:rsid w:val="005B4A7E"/>
    <w:rsid w:val="005B7196"/>
    <w:rsid w:val="005C086E"/>
    <w:rsid w:val="005C54E8"/>
    <w:rsid w:val="005E017C"/>
    <w:rsid w:val="005E3430"/>
    <w:rsid w:val="005E49A8"/>
    <w:rsid w:val="005F3DBD"/>
    <w:rsid w:val="005F41FB"/>
    <w:rsid w:val="005F5DD9"/>
    <w:rsid w:val="005F7407"/>
    <w:rsid w:val="00604FA1"/>
    <w:rsid w:val="006052B1"/>
    <w:rsid w:val="00606E65"/>
    <w:rsid w:val="006123F5"/>
    <w:rsid w:val="00612FF7"/>
    <w:rsid w:val="00617B93"/>
    <w:rsid w:val="00622367"/>
    <w:rsid w:val="00627D7F"/>
    <w:rsid w:val="00634D7E"/>
    <w:rsid w:val="00635890"/>
    <w:rsid w:val="00643EFC"/>
    <w:rsid w:val="00646F6C"/>
    <w:rsid w:val="00656EE2"/>
    <w:rsid w:val="0066090C"/>
    <w:rsid w:val="006613C9"/>
    <w:rsid w:val="0066562A"/>
    <w:rsid w:val="006673A5"/>
    <w:rsid w:val="00670931"/>
    <w:rsid w:val="00682BCD"/>
    <w:rsid w:val="0068456F"/>
    <w:rsid w:val="00685D8F"/>
    <w:rsid w:val="00687F27"/>
    <w:rsid w:val="0069331F"/>
    <w:rsid w:val="006A1B52"/>
    <w:rsid w:val="006B1831"/>
    <w:rsid w:val="006B4482"/>
    <w:rsid w:val="006B776D"/>
    <w:rsid w:val="006C6C1A"/>
    <w:rsid w:val="006D38B4"/>
    <w:rsid w:val="006E0BAF"/>
    <w:rsid w:val="006E14BF"/>
    <w:rsid w:val="006F0B6A"/>
    <w:rsid w:val="0070180F"/>
    <w:rsid w:val="007048D1"/>
    <w:rsid w:val="00714DAD"/>
    <w:rsid w:val="00715C57"/>
    <w:rsid w:val="00716E62"/>
    <w:rsid w:val="00724123"/>
    <w:rsid w:val="00724AB6"/>
    <w:rsid w:val="00741964"/>
    <w:rsid w:val="0074233C"/>
    <w:rsid w:val="00742DA5"/>
    <w:rsid w:val="007434CE"/>
    <w:rsid w:val="00745C11"/>
    <w:rsid w:val="007608AB"/>
    <w:rsid w:val="00780AD7"/>
    <w:rsid w:val="00781DFA"/>
    <w:rsid w:val="00782889"/>
    <w:rsid w:val="00783D29"/>
    <w:rsid w:val="007858E0"/>
    <w:rsid w:val="007875BC"/>
    <w:rsid w:val="0079572A"/>
    <w:rsid w:val="00796CB0"/>
    <w:rsid w:val="007A38A0"/>
    <w:rsid w:val="007A4CA1"/>
    <w:rsid w:val="007A7FC3"/>
    <w:rsid w:val="007C05E2"/>
    <w:rsid w:val="007C1714"/>
    <w:rsid w:val="007D7DDB"/>
    <w:rsid w:val="007F1C5F"/>
    <w:rsid w:val="00803013"/>
    <w:rsid w:val="008031CD"/>
    <w:rsid w:val="008056AB"/>
    <w:rsid w:val="008066A4"/>
    <w:rsid w:val="00811B4A"/>
    <w:rsid w:val="00822730"/>
    <w:rsid w:val="00825BF3"/>
    <w:rsid w:val="00831582"/>
    <w:rsid w:val="008367AD"/>
    <w:rsid w:val="008372F9"/>
    <w:rsid w:val="0085045D"/>
    <w:rsid w:val="008509B4"/>
    <w:rsid w:val="00850F1B"/>
    <w:rsid w:val="00860969"/>
    <w:rsid w:val="00867681"/>
    <w:rsid w:val="00870F77"/>
    <w:rsid w:val="008751A2"/>
    <w:rsid w:val="00875F39"/>
    <w:rsid w:val="00876D7A"/>
    <w:rsid w:val="00881DED"/>
    <w:rsid w:val="00885541"/>
    <w:rsid w:val="008A24D7"/>
    <w:rsid w:val="008A66F3"/>
    <w:rsid w:val="008B2E0A"/>
    <w:rsid w:val="008C24B9"/>
    <w:rsid w:val="008D1C6D"/>
    <w:rsid w:val="008D733E"/>
    <w:rsid w:val="008F1A0A"/>
    <w:rsid w:val="008F58BA"/>
    <w:rsid w:val="008F6D3F"/>
    <w:rsid w:val="008F75C4"/>
    <w:rsid w:val="00902A47"/>
    <w:rsid w:val="00911E83"/>
    <w:rsid w:val="00915096"/>
    <w:rsid w:val="00917B68"/>
    <w:rsid w:val="00927973"/>
    <w:rsid w:val="009347FD"/>
    <w:rsid w:val="00935640"/>
    <w:rsid w:val="00945CA0"/>
    <w:rsid w:val="0096280C"/>
    <w:rsid w:val="00965A7A"/>
    <w:rsid w:val="00973645"/>
    <w:rsid w:val="009762FC"/>
    <w:rsid w:val="00980695"/>
    <w:rsid w:val="00985DAB"/>
    <w:rsid w:val="00985E79"/>
    <w:rsid w:val="009A0E8B"/>
    <w:rsid w:val="009A7B4B"/>
    <w:rsid w:val="009B236A"/>
    <w:rsid w:val="009D2AA9"/>
    <w:rsid w:val="009D4535"/>
    <w:rsid w:val="009E23F3"/>
    <w:rsid w:val="009E6CE8"/>
    <w:rsid w:val="009E7463"/>
    <w:rsid w:val="009F2670"/>
    <w:rsid w:val="009F44F6"/>
    <w:rsid w:val="00A041A6"/>
    <w:rsid w:val="00A12982"/>
    <w:rsid w:val="00A16985"/>
    <w:rsid w:val="00A170E2"/>
    <w:rsid w:val="00A23F15"/>
    <w:rsid w:val="00A2490F"/>
    <w:rsid w:val="00A26808"/>
    <w:rsid w:val="00A33AEB"/>
    <w:rsid w:val="00A410D0"/>
    <w:rsid w:val="00A44F75"/>
    <w:rsid w:val="00A56D1C"/>
    <w:rsid w:val="00A60797"/>
    <w:rsid w:val="00A623B0"/>
    <w:rsid w:val="00A63BE4"/>
    <w:rsid w:val="00A65DD5"/>
    <w:rsid w:val="00A677D2"/>
    <w:rsid w:val="00A80874"/>
    <w:rsid w:val="00A9351D"/>
    <w:rsid w:val="00AB5BFB"/>
    <w:rsid w:val="00AC337B"/>
    <w:rsid w:val="00AD4D4A"/>
    <w:rsid w:val="00AE1224"/>
    <w:rsid w:val="00AE39B5"/>
    <w:rsid w:val="00AF1B86"/>
    <w:rsid w:val="00AF2607"/>
    <w:rsid w:val="00B003EB"/>
    <w:rsid w:val="00B012E0"/>
    <w:rsid w:val="00B034D1"/>
    <w:rsid w:val="00B35551"/>
    <w:rsid w:val="00B35F14"/>
    <w:rsid w:val="00B40E34"/>
    <w:rsid w:val="00B4182C"/>
    <w:rsid w:val="00B46EC8"/>
    <w:rsid w:val="00B515DF"/>
    <w:rsid w:val="00B5529D"/>
    <w:rsid w:val="00B64E38"/>
    <w:rsid w:val="00B66630"/>
    <w:rsid w:val="00B7115C"/>
    <w:rsid w:val="00B72D4E"/>
    <w:rsid w:val="00B75A1A"/>
    <w:rsid w:val="00B83FD7"/>
    <w:rsid w:val="00B93FED"/>
    <w:rsid w:val="00BA1E51"/>
    <w:rsid w:val="00BA43DC"/>
    <w:rsid w:val="00BA5CF2"/>
    <w:rsid w:val="00BB1B8F"/>
    <w:rsid w:val="00BB6A32"/>
    <w:rsid w:val="00BC63E6"/>
    <w:rsid w:val="00BD05A0"/>
    <w:rsid w:val="00BD6BE4"/>
    <w:rsid w:val="00BE5B35"/>
    <w:rsid w:val="00BE73FA"/>
    <w:rsid w:val="00BF26E1"/>
    <w:rsid w:val="00BF4658"/>
    <w:rsid w:val="00C05E31"/>
    <w:rsid w:val="00C11C56"/>
    <w:rsid w:val="00C132D4"/>
    <w:rsid w:val="00C13E1E"/>
    <w:rsid w:val="00C1484F"/>
    <w:rsid w:val="00C208AF"/>
    <w:rsid w:val="00C21567"/>
    <w:rsid w:val="00C32B50"/>
    <w:rsid w:val="00C40059"/>
    <w:rsid w:val="00C44737"/>
    <w:rsid w:val="00C47E51"/>
    <w:rsid w:val="00C52BB9"/>
    <w:rsid w:val="00C571FE"/>
    <w:rsid w:val="00C712BC"/>
    <w:rsid w:val="00C76AA7"/>
    <w:rsid w:val="00C8428F"/>
    <w:rsid w:val="00C84BCB"/>
    <w:rsid w:val="00C93140"/>
    <w:rsid w:val="00C932B5"/>
    <w:rsid w:val="00C949B6"/>
    <w:rsid w:val="00CA348E"/>
    <w:rsid w:val="00CA5D70"/>
    <w:rsid w:val="00CB3FFB"/>
    <w:rsid w:val="00CC2814"/>
    <w:rsid w:val="00CD268A"/>
    <w:rsid w:val="00CD3E9F"/>
    <w:rsid w:val="00CD4FE2"/>
    <w:rsid w:val="00CE2CAD"/>
    <w:rsid w:val="00CE5E7F"/>
    <w:rsid w:val="00CE6F65"/>
    <w:rsid w:val="00CF43A5"/>
    <w:rsid w:val="00CF671B"/>
    <w:rsid w:val="00D022A0"/>
    <w:rsid w:val="00D1142B"/>
    <w:rsid w:val="00D25CA8"/>
    <w:rsid w:val="00D309A5"/>
    <w:rsid w:val="00D340CE"/>
    <w:rsid w:val="00D37904"/>
    <w:rsid w:val="00D4781F"/>
    <w:rsid w:val="00D57EF7"/>
    <w:rsid w:val="00D60BAA"/>
    <w:rsid w:val="00D62C60"/>
    <w:rsid w:val="00D643F2"/>
    <w:rsid w:val="00D65A98"/>
    <w:rsid w:val="00D66567"/>
    <w:rsid w:val="00D812ED"/>
    <w:rsid w:val="00D81AF5"/>
    <w:rsid w:val="00D82954"/>
    <w:rsid w:val="00D8785B"/>
    <w:rsid w:val="00DA05AD"/>
    <w:rsid w:val="00DA4488"/>
    <w:rsid w:val="00DB3C61"/>
    <w:rsid w:val="00DB6C4A"/>
    <w:rsid w:val="00DB7369"/>
    <w:rsid w:val="00DC32FE"/>
    <w:rsid w:val="00DC65CE"/>
    <w:rsid w:val="00DD3089"/>
    <w:rsid w:val="00DE10DA"/>
    <w:rsid w:val="00DE6F1A"/>
    <w:rsid w:val="00E00674"/>
    <w:rsid w:val="00E032C0"/>
    <w:rsid w:val="00E03568"/>
    <w:rsid w:val="00E05F6F"/>
    <w:rsid w:val="00E1003D"/>
    <w:rsid w:val="00E11F13"/>
    <w:rsid w:val="00E27749"/>
    <w:rsid w:val="00E310DF"/>
    <w:rsid w:val="00E34630"/>
    <w:rsid w:val="00E34CDA"/>
    <w:rsid w:val="00E363AF"/>
    <w:rsid w:val="00E53FBE"/>
    <w:rsid w:val="00E57DEB"/>
    <w:rsid w:val="00E62C43"/>
    <w:rsid w:val="00E66B32"/>
    <w:rsid w:val="00E677C1"/>
    <w:rsid w:val="00E86EF0"/>
    <w:rsid w:val="00E92EFD"/>
    <w:rsid w:val="00EA3AFE"/>
    <w:rsid w:val="00EA6CFC"/>
    <w:rsid w:val="00EB1659"/>
    <w:rsid w:val="00EB4DFE"/>
    <w:rsid w:val="00EC18E2"/>
    <w:rsid w:val="00ED4338"/>
    <w:rsid w:val="00ED5F0C"/>
    <w:rsid w:val="00EE1CEC"/>
    <w:rsid w:val="00EE5590"/>
    <w:rsid w:val="00EE6EDE"/>
    <w:rsid w:val="00EF070E"/>
    <w:rsid w:val="00EF5041"/>
    <w:rsid w:val="00EF69C0"/>
    <w:rsid w:val="00EF7D47"/>
    <w:rsid w:val="00F028B0"/>
    <w:rsid w:val="00F14ED8"/>
    <w:rsid w:val="00F21A9D"/>
    <w:rsid w:val="00F21CB3"/>
    <w:rsid w:val="00F24B43"/>
    <w:rsid w:val="00F26F3F"/>
    <w:rsid w:val="00F330C1"/>
    <w:rsid w:val="00F45384"/>
    <w:rsid w:val="00F47D70"/>
    <w:rsid w:val="00F522EA"/>
    <w:rsid w:val="00F52788"/>
    <w:rsid w:val="00F54276"/>
    <w:rsid w:val="00F63053"/>
    <w:rsid w:val="00F81EC0"/>
    <w:rsid w:val="00F87F10"/>
    <w:rsid w:val="00F93060"/>
    <w:rsid w:val="00F938FB"/>
    <w:rsid w:val="00F93D38"/>
    <w:rsid w:val="00F9450A"/>
    <w:rsid w:val="00FA029D"/>
    <w:rsid w:val="00FA11AF"/>
    <w:rsid w:val="00FA1321"/>
    <w:rsid w:val="00FA6051"/>
    <w:rsid w:val="00FB3AD7"/>
    <w:rsid w:val="00FC11C0"/>
    <w:rsid w:val="00FC3A0A"/>
    <w:rsid w:val="00FC7C4B"/>
    <w:rsid w:val="00FD09B2"/>
    <w:rsid w:val="00FD1716"/>
    <w:rsid w:val="00FD1A48"/>
    <w:rsid w:val="00FD3CE4"/>
    <w:rsid w:val="00FD706B"/>
    <w:rsid w:val="00FF5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2E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64"/>
  </w:style>
  <w:style w:type="paragraph" w:styleId="Heading1">
    <w:name w:val="heading 1"/>
    <w:basedOn w:val="Normal"/>
    <w:link w:val="Heading1Char"/>
    <w:uiPriority w:val="9"/>
    <w:qFormat/>
    <w:rsid w:val="00234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B93"/>
    <w:pPr>
      <w:ind w:left="720"/>
      <w:contextualSpacing/>
    </w:pPr>
  </w:style>
  <w:style w:type="character" w:styleId="Hyperlink">
    <w:name w:val="Hyperlink"/>
    <w:basedOn w:val="DefaultParagraphFont"/>
    <w:uiPriority w:val="99"/>
    <w:unhideWhenUsed/>
    <w:rsid w:val="00362749"/>
    <w:rPr>
      <w:color w:val="0000FF" w:themeColor="hyperlink"/>
      <w:u w:val="single"/>
    </w:rPr>
  </w:style>
  <w:style w:type="character" w:customStyle="1" w:styleId="highlight">
    <w:name w:val="highlight"/>
    <w:basedOn w:val="DefaultParagraphFont"/>
    <w:rsid w:val="00362749"/>
  </w:style>
  <w:style w:type="character" w:customStyle="1" w:styleId="apple-converted-space">
    <w:name w:val="apple-converted-space"/>
    <w:basedOn w:val="DefaultParagraphFont"/>
    <w:rsid w:val="00362749"/>
  </w:style>
  <w:style w:type="paragraph" w:styleId="NormalWeb">
    <w:name w:val="Normal (Web)"/>
    <w:basedOn w:val="Normal"/>
    <w:uiPriority w:val="99"/>
    <w:semiHidden/>
    <w:unhideWhenUsed/>
    <w:rsid w:val="00050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54CA7"/>
  </w:style>
  <w:style w:type="character" w:styleId="FollowedHyperlink">
    <w:name w:val="FollowedHyperlink"/>
    <w:basedOn w:val="DefaultParagraphFont"/>
    <w:uiPriority w:val="99"/>
    <w:semiHidden/>
    <w:unhideWhenUsed/>
    <w:rsid w:val="0025732E"/>
    <w:rPr>
      <w:color w:val="800080" w:themeColor="followedHyperlink"/>
      <w:u w:val="single"/>
    </w:rPr>
  </w:style>
  <w:style w:type="paragraph" w:styleId="BalloonText">
    <w:name w:val="Balloon Text"/>
    <w:basedOn w:val="Normal"/>
    <w:link w:val="BalloonTextChar"/>
    <w:uiPriority w:val="99"/>
    <w:semiHidden/>
    <w:unhideWhenUsed/>
    <w:rsid w:val="0001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0F"/>
    <w:rPr>
      <w:rFonts w:ascii="Tahoma" w:hAnsi="Tahoma" w:cs="Tahoma"/>
      <w:sz w:val="16"/>
      <w:szCs w:val="16"/>
    </w:rPr>
  </w:style>
  <w:style w:type="character" w:styleId="CommentReference">
    <w:name w:val="annotation reference"/>
    <w:basedOn w:val="DefaultParagraphFont"/>
    <w:uiPriority w:val="99"/>
    <w:semiHidden/>
    <w:unhideWhenUsed/>
    <w:rsid w:val="00AB5BFB"/>
    <w:rPr>
      <w:sz w:val="16"/>
      <w:szCs w:val="16"/>
    </w:rPr>
  </w:style>
  <w:style w:type="paragraph" w:styleId="CommentText">
    <w:name w:val="annotation text"/>
    <w:basedOn w:val="Normal"/>
    <w:link w:val="CommentTextChar"/>
    <w:semiHidden/>
    <w:unhideWhenUsed/>
    <w:rsid w:val="00AB5BFB"/>
    <w:pPr>
      <w:spacing w:line="240" w:lineRule="auto"/>
    </w:pPr>
    <w:rPr>
      <w:sz w:val="20"/>
      <w:szCs w:val="20"/>
    </w:rPr>
  </w:style>
  <w:style w:type="character" w:customStyle="1" w:styleId="CommentTextChar">
    <w:name w:val="Comment Text Char"/>
    <w:basedOn w:val="DefaultParagraphFont"/>
    <w:link w:val="CommentText"/>
    <w:semiHidden/>
    <w:rsid w:val="00AB5BFB"/>
    <w:rPr>
      <w:sz w:val="20"/>
      <w:szCs w:val="20"/>
    </w:rPr>
  </w:style>
  <w:style w:type="paragraph" w:styleId="CommentSubject">
    <w:name w:val="annotation subject"/>
    <w:basedOn w:val="CommentText"/>
    <w:next w:val="CommentText"/>
    <w:link w:val="CommentSubjectChar"/>
    <w:uiPriority w:val="99"/>
    <w:semiHidden/>
    <w:unhideWhenUsed/>
    <w:rsid w:val="00AB5BFB"/>
    <w:rPr>
      <w:b/>
      <w:bCs/>
    </w:rPr>
  </w:style>
  <w:style w:type="character" w:customStyle="1" w:styleId="CommentSubjectChar">
    <w:name w:val="Comment Subject Char"/>
    <w:basedOn w:val="CommentTextChar"/>
    <w:link w:val="CommentSubject"/>
    <w:uiPriority w:val="99"/>
    <w:semiHidden/>
    <w:rsid w:val="00AB5BFB"/>
    <w:rPr>
      <w:b/>
      <w:bCs/>
      <w:sz w:val="20"/>
      <w:szCs w:val="20"/>
    </w:rPr>
  </w:style>
  <w:style w:type="character" w:customStyle="1" w:styleId="Heading1Char">
    <w:name w:val="Heading 1 Char"/>
    <w:basedOn w:val="DefaultParagraphFont"/>
    <w:link w:val="Heading1"/>
    <w:uiPriority w:val="9"/>
    <w:rsid w:val="002342A4"/>
    <w:rPr>
      <w:rFonts w:ascii="Times New Roman" w:eastAsia="Times New Roman" w:hAnsi="Times New Roman" w:cs="Times New Roman"/>
      <w:b/>
      <w:bCs/>
      <w:kern w:val="36"/>
      <w:sz w:val="48"/>
      <w:szCs w:val="48"/>
    </w:rPr>
  </w:style>
  <w:style w:type="table" w:styleId="TableGrid">
    <w:name w:val="Table Grid"/>
    <w:basedOn w:val="TableNormal"/>
    <w:uiPriority w:val="59"/>
    <w:rsid w:val="00F45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373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3737"/>
    <w:rPr>
      <w:sz w:val="18"/>
      <w:szCs w:val="18"/>
    </w:rPr>
  </w:style>
  <w:style w:type="paragraph" w:styleId="Footer">
    <w:name w:val="footer"/>
    <w:basedOn w:val="Normal"/>
    <w:link w:val="FooterChar"/>
    <w:uiPriority w:val="99"/>
    <w:unhideWhenUsed/>
    <w:rsid w:val="0024373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3737"/>
    <w:rPr>
      <w:sz w:val="18"/>
      <w:szCs w:val="18"/>
    </w:rPr>
  </w:style>
  <w:style w:type="character" w:styleId="Emphasis">
    <w:name w:val="Emphasis"/>
    <w:qFormat/>
    <w:rsid w:val="0058512D"/>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C64"/>
  </w:style>
  <w:style w:type="paragraph" w:styleId="Heading1">
    <w:name w:val="heading 1"/>
    <w:basedOn w:val="Normal"/>
    <w:link w:val="Heading1Char"/>
    <w:uiPriority w:val="9"/>
    <w:qFormat/>
    <w:rsid w:val="00234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B93"/>
    <w:pPr>
      <w:ind w:left="720"/>
      <w:contextualSpacing/>
    </w:pPr>
  </w:style>
  <w:style w:type="character" w:styleId="Hyperlink">
    <w:name w:val="Hyperlink"/>
    <w:basedOn w:val="DefaultParagraphFont"/>
    <w:uiPriority w:val="99"/>
    <w:unhideWhenUsed/>
    <w:rsid w:val="00362749"/>
    <w:rPr>
      <w:color w:val="0000FF" w:themeColor="hyperlink"/>
      <w:u w:val="single"/>
    </w:rPr>
  </w:style>
  <w:style w:type="character" w:customStyle="1" w:styleId="highlight">
    <w:name w:val="highlight"/>
    <w:basedOn w:val="DefaultParagraphFont"/>
    <w:rsid w:val="00362749"/>
  </w:style>
  <w:style w:type="character" w:customStyle="1" w:styleId="apple-converted-space">
    <w:name w:val="apple-converted-space"/>
    <w:basedOn w:val="DefaultParagraphFont"/>
    <w:rsid w:val="00362749"/>
  </w:style>
  <w:style w:type="paragraph" w:styleId="NormalWeb">
    <w:name w:val="Normal (Web)"/>
    <w:basedOn w:val="Normal"/>
    <w:uiPriority w:val="99"/>
    <w:semiHidden/>
    <w:unhideWhenUsed/>
    <w:rsid w:val="00050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554CA7"/>
  </w:style>
  <w:style w:type="character" w:styleId="FollowedHyperlink">
    <w:name w:val="FollowedHyperlink"/>
    <w:basedOn w:val="DefaultParagraphFont"/>
    <w:uiPriority w:val="99"/>
    <w:semiHidden/>
    <w:unhideWhenUsed/>
    <w:rsid w:val="0025732E"/>
    <w:rPr>
      <w:color w:val="800080" w:themeColor="followedHyperlink"/>
      <w:u w:val="single"/>
    </w:rPr>
  </w:style>
  <w:style w:type="paragraph" w:styleId="BalloonText">
    <w:name w:val="Balloon Text"/>
    <w:basedOn w:val="Normal"/>
    <w:link w:val="BalloonTextChar"/>
    <w:uiPriority w:val="99"/>
    <w:semiHidden/>
    <w:unhideWhenUsed/>
    <w:rsid w:val="0001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80F"/>
    <w:rPr>
      <w:rFonts w:ascii="Tahoma" w:hAnsi="Tahoma" w:cs="Tahoma"/>
      <w:sz w:val="16"/>
      <w:szCs w:val="16"/>
    </w:rPr>
  </w:style>
  <w:style w:type="character" w:styleId="CommentReference">
    <w:name w:val="annotation reference"/>
    <w:basedOn w:val="DefaultParagraphFont"/>
    <w:uiPriority w:val="99"/>
    <w:semiHidden/>
    <w:unhideWhenUsed/>
    <w:rsid w:val="00AB5BFB"/>
    <w:rPr>
      <w:sz w:val="16"/>
      <w:szCs w:val="16"/>
    </w:rPr>
  </w:style>
  <w:style w:type="paragraph" w:styleId="CommentText">
    <w:name w:val="annotation text"/>
    <w:basedOn w:val="Normal"/>
    <w:link w:val="CommentTextChar"/>
    <w:semiHidden/>
    <w:unhideWhenUsed/>
    <w:rsid w:val="00AB5BFB"/>
    <w:pPr>
      <w:spacing w:line="240" w:lineRule="auto"/>
    </w:pPr>
    <w:rPr>
      <w:sz w:val="20"/>
      <w:szCs w:val="20"/>
    </w:rPr>
  </w:style>
  <w:style w:type="character" w:customStyle="1" w:styleId="CommentTextChar">
    <w:name w:val="Comment Text Char"/>
    <w:basedOn w:val="DefaultParagraphFont"/>
    <w:link w:val="CommentText"/>
    <w:semiHidden/>
    <w:rsid w:val="00AB5BFB"/>
    <w:rPr>
      <w:sz w:val="20"/>
      <w:szCs w:val="20"/>
    </w:rPr>
  </w:style>
  <w:style w:type="paragraph" w:styleId="CommentSubject">
    <w:name w:val="annotation subject"/>
    <w:basedOn w:val="CommentText"/>
    <w:next w:val="CommentText"/>
    <w:link w:val="CommentSubjectChar"/>
    <w:uiPriority w:val="99"/>
    <w:semiHidden/>
    <w:unhideWhenUsed/>
    <w:rsid w:val="00AB5BFB"/>
    <w:rPr>
      <w:b/>
      <w:bCs/>
    </w:rPr>
  </w:style>
  <w:style w:type="character" w:customStyle="1" w:styleId="CommentSubjectChar">
    <w:name w:val="Comment Subject Char"/>
    <w:basedOn w:val="CommentTextChar"/>
    <w:link w:val="CommentSubject"/>
    <w:uiPriority w:val="99"/>
    <w:semiHidden/>
    <w:rsid w:val="00AB5BFB"/>
    <w:rPr>
      <w:b/>
      <w:bCs/>
      <w:sz w:val="20"/>
      <w:szCs w:val="20"/>
    </w:rPr>
  </w:style>
  <w:style w:type="character" w:customStyle="1" w:styleId="Heading1Char">
    <w:name w:val="Heading 1 Char"/>
    <w:basedOn w:val="DefaultParagraphFont"/>
    <w:link w:val="Heading1"/>
    <w:uiPriority w:val="9"/>
    <w:rsid w:val="002342A4"/>
    <w:rPr>
      <w:rFonts w:ascii="Times New Roman" w:eastAsia="Times New Roman" w:hAnsi="Times New Roman" w:cs="Times New Roman"/>
      <w:b/>
      <w:bCs/>
      <w:kern w:val="36"/>
      <w:sz w:val="48"/>
      <w:szCs w:val="48"/>
    </w:rPr>
  </w:style>
  <w:style w:type="table" w:styleId="TableGrid">
    <w:name w:val="Table Grid"/>
    <w:basedOn w:val="TableNormal"/>
    <w:uiPriority w:val="59"/>
    <w:rsid w:val="00F45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373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43737"/>
    <w:rPr>
      <w:sz w:val="18"/>
      <w:szCs w:val="18"/>
    </w:rPr>
  </w:style>
  <w:style w:type="paragraph" w:styleId="Footer">
    <w:name w:val="footer"/>
    <w:basedOn w:val="Normal"/>
    <w:link w:val="FooterChar"/>
    <w:uiPriority w:val="99"/>
    <w:unhideWhenUsed/>
    <w:rsid w:val="0024373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43737"/>
    <w:rPr>
      <w:sz w:val="18"/>
      <w:szCs w:val="18"/>
    </w:rPr>
  </w:style>
  <w:style w:type="character" w:styleId="Emphasis">
    <w:name w:val="Emphasis"/>
    <w:qFormat/>
    <w:rsid w:val="0058512D"/>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761">
      <w:bodyDiv w:val="1"/>
      <w:marLeft w:val="0"/>
      <w:marRight w:val="0"/>
      <w:marTop w:val="0"/>
      <w:marBottom w:val="0"/>
      <w:divBdr>
        <w:top w:val="none" w:sz="0" w:space="0" w:color="auto"/>
        <w:left w:val="none" w:sz="0" w:space="0" w:color="auto"/>
        <w:bottom w:val="none" w:sz="0" w:space="0" w:color="auto"/>
        <w:right w:val="none" w:sz="0" w:space="0" w:color="auto"/>
      </w:divBdr>
    </w:div>
    <w:div w:id="80957297">
      <w:bodyDiv w:val="1"/>
      <w:marLeft w:val="0"/>
      <w:marRight w:val="0"/>
      <w:marTop w:val="0"/>
      <w:marBottom w:val="0"/>
      <w:divBdr>
        <w:top w:val="none" w:sz="0" w:space="0" w:color="auto"/>
        <w:left w:val="none" w:sz="0" w:space="0" w:color="auto"/>
        <w:bottom w:val="none" w:sz="0" w:space="0" w:color="auto"/>
        <w:right w:val="none" w:sz="0" w:space="0" w:color="auto"/>
      </w:divBdr>
    </w:div>
    <w:div w:id="141583955">
      <w:bodyDiv w:val="1"/>
      <w:marLeft w:val="0"/>
      <w:marRight w:val="0"/>
      <w:marTop w:val="0"/>
      <w:marBottom w:val="0"/>
      <w:divBdr>
        <w:top w:val="none" w:sz="0" w:space="0" w:color="auto"/>
        <w:left w:val="none" w:sz="0" w:space="0" w:color="auto"/>
        <w:bottom w:val="none" w:sz="0" w:space="0" w:color="auto"/>
        <w:right w:val="none" w:sz="0" w:space="0" w:color="auto"/>
      </w:divBdr>
    </w:div>
    <w:div w:id="158813616">
      <w:bodyDiv w:val="1"/>
      <w:marLeft w:val="0"/>
      <w:marRight w:val="0"/>
      <w:marTop w:val="0"/>
      <w:marBottom w:val="0"/>
      <w:divBdr>
        <w:top w:val="none" w:sz="0" w:space="0" w:color="auto"/>
        <w:left w:val="none" w:sz="0" w:space="0" w:color="auto"/>
        <w:bottom w:val="none" w:sz="0" w:space="0" w:color="auto"/>
        <w:right w:val="none" w:sz="0" w:space="0" w:color="auto"/>
      </w:divBdr>
    </w:div>
    <w:div w:id="205222525">
      <w:bodyDiv w:val="1"/>
      <w:marLeft w:val="0"/>
      <w:marRight w:val="0"/>
      <w:marTop w:val="0"/>
      <w:marBottom w:val="0"/>
      <w:divBdr>
        <w:top w:val="none" w:sz="0" w:space="0" w:color="auto"/>
        <w:left w:val="none" w:sz="0" w:space="0" w:color="auto"/>
        <w:bottom w:val="none" w:sz="0" w:space="0" w:color="auto"/>
        <w:right w:val="none" w:sz="0" w:space="0" w:color="auto"/>
      </w:divBdr>
    </w:div>
    <w:div w:id="300113860">
      <w:bodyDiv w:val="1"/>
      <w:marLeft w:val="0"/>
      <w:marRight w:val="0"/>
      <w:marTop w:val="0"/>
      <w:marBottom w:val="0"/>
      <w:divBdr>
        <w:top w:val="none" w:sz="0" w:space="0" w:color="auto"/>
        <w:left w:val="none" w:sz="0" w:space="0" w:color="auto"/>
        <w:bottom w:val="none" w:sz="0" w:space="0" w:color="auto"/>
        <w:right w:val="none" w:sz="0" w:space="0" w:color="auto"/>
      </w:divBdr>
    </w:div>
    <w:div w:id="347756368">
      <w:bodyDiv w:val="1"/>
      <w:marLeft w:val="0"/>
      <w:marRight w:val="0"/>
      <w:marTop w:val="0"/>
      <w:marBottom w:val="0"/>
      <w:divBdr>
        <w:top w:val="none" w:sz="0" w:space="0" w:color="auto"/>
        <w:left w:val="none" w:sz="0" w:space="0" w:color="auto"/>
        <w:bottom w:val="none" w:sz="0" w:space="0" w:color="auto"/>
        <w:right w:val="none" w:sz="0" w:space="0" w:color="auto"/>
      </w:divBdr>
    </w:div>
    <w:div w:id="367605418">
      <w:bodyDiv w:val="1"/>
      <w:marLeft w:val="0"/>
      <w:marRight w:val="0"/>
      <w:marTop w:val="0"/>
      <w:marBottom w:val="0"/>
      <w:divBdr>
        <w:top w:val="none" w:sz="0" w:space="0" w:color="auto"/>
        <w:left w:val="none" w:sz="0" w:space="0" w:color="auto"/>
        <w:bottom w:val="none" w:sz="0" w:space="0" w:color="auto"/>
        <w:right w:val="none" w:sz="0" w:space="0" w:color="auto"/>
      </w:divBdr>
    </w:div>
    <w:div w:id="391584938">
      <w:bodyDiv w:val="1"/>
      <w:marLeft w:val="0"/>
      <w:marRight w:val="0"/>
      <w:marTop w:val="0"/>
      <w:marBottom w:val="0"/>
      <w:divBdr>
        <w:top w:val="none" w:sz="0" w:space="0" w:color="auto"/>
        <w:left w:val="none" w:sz="0" w:space="0" w:color="auto"/>
        <w:bottom w:val="none" w:sz="0" w:space="0" w:color="auto"/>
        <w:right w:val="none" w:sz="0" w:space="0" w:color="auto"/>
      </w:divBdr>
    </w:div>
    <w:div w:id="420226655">
      <w:bodyDiv w:val="1"/>
      <w:marLeft w:val="0"/>
      <w:marRight w:val="0"/>
      <w:marTop w:val="0"/>
      <w:marBottom w:val="0"/>
      <w:divBdr>
        <w:top w:val="none" w:sz="0" w:space="0" w:color="auto"/>
        <w:left w:val="none" w:sz="0" w:space="0" w:color="auto"/>
        <w:bottom w:val="none" w:sz="0" w:space="0" w:color="auto"/>
        <w:right w:val="none" w:sz="0" w:space="0" w:color="auto"/>
      </w:divBdr>
    </w:div>
    <w:div w:id="442572380">
      <w:bodyDiv w:val="1"/>
      <w:marLeft w:val="0"/>
      <w:marRight w:val="0"/>
      <w:marTop w:val="0"/>
      <w:marBottom w:val="0"/>
      <w:divBdr>
        <w:top w:val="none" w:sz="0" w:space="0" w:color="auto"/>
        <w:left w:val="none" w:sz="0" w:space="0" w:color="auto"/>
        <w:bottom w:val="none" w:sz="0" w:space="0" w:color="auto"/>
        <w:right w:val="none" w:sz="0" w:space="0" w:color="auto"/>
      </w:divBdr>
    </w:div>
    <w:div w:id="457915914">
      <w:bodyDiv w:val="1"/>
      <w:marLeft w:val="0"/>
      <w:marRight w:val="0"/>
      <w:marTop w:val="0"/>
      <w:marBottom w:val="0"/>
      <w:divBdr>
        <w:top w:val="none" w:sz="0" w:space="0" w:color="auto"/>
        <w:left w:val="none" w:sz="0" w:space="0" w:color="auto"/>
        <w:bottom w:val="none" w:sz="0" w:space="0" w:color="auto"/>
        <w:right w:val="none" w:sz="0" w:space="0" w:color="auto"/>
      </w:divBdr>
    </w:div>
    <w:div w:id="499321756">
      <w:bodyDiv w:val="1"/>
      <w:marLeft w:val="0"/>
      <w:marRight w:val="0"/>
      <w:marTop w:val="0"/>
      <w:marBottom w:val="0"/>
      <w:divBdr>
        <w:top w:val="none" w:sz="0" w:space="0" w:color="auto"/>
        <w:left w:val="none" w:sz="0" w:space="0" w:color="auto"/>
        <w:bottom w:val="none" w:sz="0" w:space="0" w:color="auto"/>
        <w:right w:val="none" w:sz="0" w:space="0" w:color="auto"/>
      </w:divBdr>
    </w:div>
    <w:div w:id="532108476">
      <w:bodyDiv w:val="1"/>
      <w:marLeft w:val="0"/>
      <w:marRight w:val="0"/>
      <w:marTop w:val="0"/>
      <w:marBottom w:val="0"/>
      <w:divBdr>
        <w:top w:val="none" w:sz="0" w:space="0" w:color="auto"/>
        <w:left w:val="none" w:sz="0" w:space="0" w:color="auto"/>
        <w:bottom w:val="none" w:sz="0" w:space="0" w:color="auto"/>
        <w:right w:val="none" w:sz="0" w:space="0" w:color="auto"/>
      </w:divBdr>
    </w:div>
    <w:div w:id="541480783">
      <w:bodyDiv w:val="1"/>
      <w:marLeft w:val="0"/>
      <w:marRight w:val="0"/>
      <w:marTop w:val="0"/>
      <w:marBottom w:val="0"/>
      <w:divBdr>
        <w:top w:val="none" w:sz="0" w:space="0" w:color="auto"/>
        <w:left w:val="none" w:sz="0" w:space="0" w:color="auto"/>
        <w:bottom w:val="none" w:sz="0" w:space="0" w:color="auto"/>
        <w:right w:val="none" w:sz="0" w:space="0" w:color="auto"/>
      </w:divBdr>
    </w:div>
    <w:div w:id="572813366">
      <w:bodyDiv w:val="1"/>
      <w:marLeft w:val="0"/>
      <w:marRight w:val="0"/>
      <w:marTop w:val="0"/>
      <w:marBottom w:val="0"/>
      <w:divBdr>
        <w:top w:val="none" w:sz="0" w:space="0" w:color="auto"/>
        <w:left w:val="none" w:sz="0" w:space="0" w:color="auto"/>
        <w:bottom w:val="none" w:sz="0" w:space="0" w:color="auto"/>
        <w:right w:val="none" w:sz="0" w:space="0" w:color="auto"/>
      </w:divBdr>
    </w:div>
    <w:div w:id="590314642">
      <w:bodyDiv w:val="1"/>
      <w:marLeft w:val="0"/>
      <w:marRight w:val="0"/>
      <w:marTop w:val="0"/>
      <w:marBottom w:val="0"/>
      <w:divBdr>
        <w:top w:val="none" w:sz="0" w:space="0" w:color="auto"/>
        <w:left w:val="none" w:sz="0" w:space="0" w:color="auto"/>
        <w:bottom w:val="none" w:sz="0" w:space="0" w:color="auto"/>
        <w:right w:val="none" w:sz="0" w:space="0" w:color="auto"/>
      </w:divBdr>
    </w:div>
    <w:div w:id="597641026">
      <w:bodyDiv w:val="1"/>
      <w:marLeft w:val="0"/>
      <w:marRight w:val="0"/>
      <w:marTop w:val="0"/>
      <w:marBottom w:val="0"/>
      <w:divBdr>
        <w:top w:val="none" w:sz="0" w:space="0" w:color="auto"/>
        <w:left w:val="none" w:sz="0" w:space="0" w:color="auto"/>
        <w:bottom w:val="none" w:sz="0" w:space="0" w:color="auto"/>
        <w:right w:val="none" w:sz="0" w:space="0" w:color="auto"/>
      </w:divBdr>
    </w:div>
    <w:div w:id="672728951">
      <w:bodyDiv w:val="1"/>
      <w:marLeft w:val="0"/>
      <w:marRight w:val="0"/>
      <w:marTop w:val="0"/>
      <w:marBottom w:val="0"/>
      <w:divBdr>
        <w:top w:val="none" w:sz="0" w:space="0" w:color="auto"/>
        <w:left w:val="none" w:sz="0" w:space="0" w:color="auto"/>
        <w:bottom w:val="none" w:sz="0" w:space="0" w:color="auto"/>
        <w:right w:val="none" w:sz="0" w:space="0" w:color="auto"/>
      </w:divBdr>
    </w:div>
    <w:div w:id="686449726">
      <w:bodyDiv w:val="1"/>
      <w:marLeft w:val="0"/>
      <w:marRight w:val="0"/>
      <w:marTop w:val="0"/>
      <w:marBottom w:val="0"/>
      <w:divBdr>
        <w:top w:val="none" w:sz="0" w:space="0" w:color="auto"/>
        <w:left w:val="none" w:sz="0" w:space="0" w:color="auto"/>
        <w:bottom w:val="none" w:sz="0" w:space="0" w:color="auto"/>
        <w:right w:val="none" w:sz="0" w:space="0" w:color="auto"/>
      </w:divBdr>
    </w:div>
    <w:div w:id="686829179">
      <w:bodyDiv w:val="1"/>
      <w:marLeft w:val="0"/>
      <w:marRight w:val="0"/>
      <w:marTop w:val="0"/>
      <w:marBottom w:val="0"/>
      <w:divBdr>
        <w:top w:val="none" w:sz="0" w:space="0" w:color="auto"/>
        <w:left w:val="none" w:sz="0" w:space="0" w:color="auto"/>
        <w:bottom w:val="none" w:sz="0" w:space="0" w:color="auto"/>
        <w:right w:val="none" w:sz="0" w:space="0" w:color="auto"/>
      </w:divBdr>
    </w:div>
    <w:div w:id="791481021">
      <w:bodyDiv w:val="1"/>
      <w:marLeft w:val="0"/>
      <w:marRight w:val="0"/>
      <w:marTop w:val="0"/>
      <w:marBottom w:val="0"/>
      <w:divBdr>
        <w:top w:val="none" w:sz="0" w:space="0" w:color="auto"/>
        <w:left w:val="none" w:sz="0" w:space="0" w:color="auto"/>
        <w:bottom w:val="none" w:sz="0" w:space="0" w:color="auto"/>
        <w:right w:val="none" w:sz="0" w:space="0" w:color="auto"/>
      </w:divBdr>
    </w:div>
    <w:div w:id="818808586">
      <w:bodyDiv w:val="1"/>
      <w:marLeft w:val="0"/>
      <w:marRight w:val="0"/>
      <w:marTop w:val="0"/>
      <w:marBottom w:val="0"/>
      <w:divBdr>
        <w:top w:val="none" w:sz="0" w:space="0" w:color="auto"/>
        <w:left w:val="none" w:sz="0" w:space="0" w:color="auto"/>
        <w:bottom w:val="none" w:sz="0" w:space="0" w:color="auto"/>
        <w:right w:val="none" w:sz="0" w:space="0" w:color="auto"/>
      </w:divBdr>
    </w:div>
    <w:div w:id="843783694">
      <w:bodyDiv w:val="1"/>
      <w:marLeft w:val="0"/>
      <w:marRight w:val="0"/>
      <w:marTop w:val="0"/>
      <w:marBottom w:val="0"/>
      <w:divBdr>
        <w:top w:val="none" w:sz="0" w:space="0" w:color="auto"/>
        <w:left w:val="none" w:sz="0" w:space="0" w:color="auto"/>
        <w:bottom w:val="none" w:sz="0" w:space="0" w:color="auto"/>
        <w:right w:val="none" w:sz="0" w:space="0" w:color="auto"/>
      </w:divBdr>
    </w:div>
    <w:div w:id="852886149">
      <w:bodyDiv w:val="1"/>
      <w:marLeft w:val="0"/>
      <w:marRight w:val="0"/>
      <w:marTop w:val="0"/>
      <w:marBottom w:val="0"/>
      <w:divBdr>
        <w:top w:val="none" w:sz="0" w:space="0" w:color="auto"/>
        <w:left w:val="none" w:sz="0" w:space="0" w:color="auto"/>
        <w:bottom w:val="none" w:sz="0" w:space="0" w:color="auto"/>
        <w:right w:val="none" w:sz="0" w:space="0" w:color="auto"/>
      </w:divBdr>
    </w:div>
    <w:div w:id="862010346">
      <w:bodyDiv w:val="1"/>
      <w:marLeft w:val="0"/>
      <w:marRight w:val="0"/>
      <w:marTop w:val="0"/>
      <w:marBottom w:val="0"/>
      <w:divBdr>
        <w:top w:val="none" w:sz="0" w:space="0" w:color="auto"/>
        <w:left w:val="none" w:sz="0" w:space="0" w:color="auto"/>
        <w:bottom w:val="none" w:sz="0" w:space="0" w:color="auto"/>
        <w:right w:val="none" w:sz="0" w:space="0" w:color="auto"/>
      </w:divBdr>
    </w:div>
    <w:div w:id="912085165">
      <w:bodyDiv w:val="1"/>
      <w:marLeft w:val="0"/>
      <w:marRight w:val="0"/>
      <w:marTop w:val="0"/>
      <w:marBottom w:val="0"/>
      <w:divBdr>
        <w:top w:val="none" w:sz="0" w:space="0" w:color="auto"/>
        <w:left w:val="none" w:sz="0" w:space="0" w:color="auto"/>
        <w:bottom w:val="none" w:sz="0" w:space="0" w:color="auto"/>
        <w:right w:val="none" w:sz="0" w:space="0" w:color="auto"/>
      </w:divBdr>
    </w:div>
    <w:div w:id="912204445">
      <w:bodyDiv w:val="1"/>
      <w:marLeft w:val="0"/>
      <w:marRight w:val="0"/>
      <w:marTop w:val="0"/>
      <w:marBottom w:val="0"/>
      <w:divBdr>
        <w:top w:val="none" w:sz="0" w:space="0" w:color="auto"/>
        <w:left w:val="none" w:sz="0" w:space="0" w:color="auto"/>
        <w:bottom w:val="none" w:sz="0" w:space="0" w:color="auto"/>
        <w:right w:val="none" w:sz="0" w:space="0" w:color="auto"/>
      </w:divBdr>
    </w:div>
    <w:div w:id="939871367">
      <w:bodyDiv w:val="1"/>
      <w:marLeft w:val="0"/>
      <w:marRight w:val="0"/>
      <w:marTop w:val="0"/>
      <w:marBottom w:val="0"/>
      <w:divBdr>
        <w:top w:val="none" w:sz="0" w:space="0" w:color="auto"/>
        <w:left w:val="none" w:sz="0" w:space="0" w:color="auto"/>
        <w:bottom w:val="none" w:sz="0" w:space="0" w:color="auto"/>
        <w:right w:val="none" w:sz="0" w:space="0" w:color="auto"/>
      </w:divBdr>
    </w:div>
    <w:div w:id="999307198">
      <w:bodyDiv w:val="1"/>
      <w:marLeft w:val="0"/>
      <w:marRight w:val="0"/>
      <w:marTop w:val="0"/>
      <w:marBottom w:val="0"/>
      <w:divBdr>
        <w:top w:val="none" w:sz="0" w:space="0" w:color="auto"/>
        <w:left w:val="none" w:sz="0" w:space="0" w:color="auto"/>
        <w:bottom w:val="none" w:sz="0" w:space="0" w:color="auto"/>
        <w:right w:val="none" w:sz="0" w:space="0" w:color="auto"/>
      </w:divBdr>
      <w:divsChild>
        <w:div w:id="865170917">
          <w:marLeft w:val="0"/>
          <w:marRight w:val="0"/>
          <w:marTop w:val="0"/>
          <w:marBottom w:val="0"/>
          <w:divBdr>
            <w:top w:val="none" w:sz="0" w:space="0" w:color="auto"/>
            <w:left w:val="none" w:sz="0" w:space="0" w:color="auto"/>
            <w:bottom w:val="none" w:sz="0" w:space="0" w:color="auto"/>
            <w:right w:val="none" w:sz="0" w:space="0" w:color="auto"/>
          </w:divBdr>
        </w:div>
        <w:div w:id="264657523">
          <w:marLeft w:val="0"/>
          <w:marRight w:val="0"/>
          <w:marTop w:val="0"/>
          <w:marBottom w:val="0"/>
          <w:divBdr>
            <w:top w:val="none" w:sz="0" w:space="0" w:color="auto"/>
            <w:left w:val="none" w:sz="0" w:space="0" w:color="auto"/>
            <w:bottom w:val="none" w:sz="0" w:space="0" w:color="auto"/>
            <w:right w:val="none" w:sz="0" w:space="0" w:color="auto"/>
          </w:divBdr>
        </w:div>
        <w:div w:id="54011248">
          <w:marLeft w:val="0"/>
          <w:marRight w:val="0"/>
          <w:marTop w:val="0"/>
          <w:marBottom w:val="0"/>
          <w:divBdr>
            <w:top w:val="none" w:sz="0" w:space="0" w:color="auto"/>
            <w:left w:val="none" w:sz="0" w:space="0" w:color="auto"/>
            <w:bottom w:val="none" w:sz="0" w:space="0" w:color="auto"/>
            <w:right w:val="none" w:sz="0" w:space="0" w:color="auto"/>
          </w:divBdr>
        </w:div>
        <w:div w:id="1479765311">
          <w:marLeft w:val="0"/>
          <w:marRight w:val="0"/>
          <w:marTop w:val="0"/>
          <w:marBottom w:val="0"/>
          <w:divBdr>
            <w:top w:val="none" w:sz="0" w:space="0" w:color="auto"/>
            <w:left w:val="none" w:sz="0" w:space="0" w:color="auto"/>
            <w:bottom w:val="none" w:sz="0" w:space="0" w:color="auto"/>
            <w:right w:val="none" w:sz="0" w:space="0" w:color="auto"/>
          </w:divBdr>
        </w:div>
        <w:div w:id="897277849">
          <w:marLeft w:val="0"/>
          <w:marRight w:val="0"/>
          <w:marTop w:val="0"/>
          <w:marBottom w:val="0"/>
          <w:divBdr>
            <w:top w:val="none" w:sz="0" w:space="0" w:color="auto"/>
            <w:left w:val="none" w:sz="0" w:space="0" w:color="auto"/>
            <w:bottom w:val="none" w:sz="0" w:space="0" w:color="auto"/>
            <w:right w:val="none" w:sz="0" w:space="0" w:color="auto"/>
          </w:divBdr>
        </w:div>
        <w:div w:id="410346739">
          <w:marLeft w:val="0"/>
          <w:marRight w:val="0"/>
          <w:marTop w:val="0"/>
          <w:marBottom w:val="0"/>
          <w:divBdr>
            <w:top w:val="none" w:sz="0" w:space="0" w:color="auto"/>
            <w:left w:val="none" w:sz="0" w:space="0" w:color="auto"/>
            <w:bottom w:val="none" w:sz="0" w:space="0" w:color="auto"/>
            <w:right w:val="none" w:sz="0" w:space="0" w:color="auto"/>
          </w:divBdr>
        </w:div>
        <w:div w:id="1577545587">
          <w:marLeft w:val="0"/>
          <w:marRight w:val="0"/>
          <w:marTop w:val="0"/>
          <w:marBottom w:val="0"/>
          <w:divBdr>
            <w:top w:val="none" w:sz="0" w:space="0" w:color="auto"/>
            <w:left w:val="none" w:sz="0" w:space="0" w:color="auto"/>
            <w:bottom w:val="none" w:sz="0" w:space="0" w:color="auto"/>
            <w:right w:val="none" w:sz="0" w:space="0" w:color="auto"/>
          </w:divBdr>
        </w:div>
        <w:div w:id="1243759549">
          <w:marLeft w:val="0"/>
          <w:marRight w:val="0"/>
          <w:marTop w:val="0"/>
          <w:marBottom w:val="0"/>
          <w:divBdr>
            <w:top w:val="none" w:sz="0" w:space="0" w:color="auto"/>
            <w:left w:val="none" w:sz="0" w:space="0" w:color="auto"/>
            <w:bottom w:val="none" w:sz="0" w:space="0" w:color="auto"/>
            <w:right w:val="none" w:sz="0" w:space="0" w:color="auto"/>
          </w:divBdr>
        </w:div>
        <w:div w:id="1424258346">
          <w:marLeft w:val="0"/>
          <w:marRight w:val="0"/>
          <w:marTop w:val="0"/>
          <w:marBottom w:val="0"/>
          <w:divBdr>
            <w:top w:val="none" w:sz="0" w:space="0" w:color="auto"/>
            <w:left w:val="none" w:sz="0" w:space="0" w:color="auto"/>
            <w:bottom w:val="none" w:sz="0" w:space="0" w:color="auto"/>
            <w:right w:val="none" w:sz="0" w:space="0" w:color="auto"/>
          </w:divBdr>
        </w:div>
        <w:div w:id="1873375421">
          <w:marLeft w:val="0"/>
          <w:marRight w:val="0"/>
          <w:marTop w:val="0"/>
          <w:marBottom w:val="0"/>
          <w:divBdr>
            <w:top w:val="none" w:sz="0" w:space="0" w:color="auto"/>
            <w:left w:val="none" w:sz="0" w:space="0" w:color="auto"/>
            <w:bottom w:val="none" w:sz="0" w:space="0" w:color="auto"/>
            <w:right w:val="none" w:sz="0" w:space="0" w:color="auto"/>
          </w:divBdr>
        </w:div>
        <w:div w:id="937374552">
          <w:marLeft w:val="0"/>
          <w:marRight w:val="0"/>
          <w:marTop w:val="0"/>
          <w:marBottom w:val="0"/>
          <w:divBdr>
            <w:top w:val="none" w:sz="0" w:space="0" w:color="auto"/>
            <w:left w:val="none" w:sz="0" w:space="0" w:color="auto"/>
            <w:bottom w:val="none" w:sz="0" w:space="0" w:color="auto"/>
            <w:right w:val="none" w:sz="0" w:space="0" w:color="auto"/>
          </w:divBdr>
        </w:div>
        <w:div w:id="1607886987">
          <w:marLeft w:val="0"/>
          <w:marRight w:val="0"/>
          <w:marTop w:val="0"/>
          <w:marBottom w:val="0"/>
          <w:divBdr>
            <w:top w:val="none" w:sz="0" w:space="0" w:color="auto"/>
            <w:left w:val="none" w:sz="0" w:space="0" w:color="auto"/>
            <w:bottom w:val="none" w:sz="0" w:space="0" w:color="auto"/>
            <w:right w:val="none" w:sz="0" w:space="0" w:color="auto"/>
          </w:divBdr>
        </w:div>
        <w:div w:id="1150172588">
          <w:marLeft w:val="0"/>
          <w:marRight w:val="0"/>
          <w:marTop w:val="0"/>
          <w:marBottom w:val="0"/>
          <w:divBdr>
            <w:top w:val="none" w:sz="0" w:space="0" w:color="auto"/>
            <w:left w:val="none" w:sz="0" w:space="0" w:color="auto"/>
            <w:bottom w:val="none" w:sz="0" w:space="0" w:color="auto"/>
            <w:right w:val="none" w:sz="0" w:space="0" w:color="auto"/>
          </w:divBdr>
        </w:div>
        <w:div w:id="284386997">
          <w:marLeft w:val="0"/>
          <w:marRight w:val="0"/>
          <w:marTop w:val="0"/>
          <w:marBottom w:val="0"/>
          <w:divBdr>
            <w:top w:val="none" w:sz="0" w:space="0" w:color="auto"/>
            <w:left w:val="none" w:sz="0" w:space="0" w:color="auto"/>
            <w:bottom w:val="none" w:sz="0" w:space="0" w:color="auto"/>
            <w:right w:val="none" w:sz="0" w:space="0" w:color="auto"/>
          </w:divBdr>
        </w:div>
        <w:div w:id="1460605690">
          <w:marLeft w:val="0"/>
          <w:marRight w:val="0"/>
          <w:marTop w:val="0"/>
          <w:marBottom w:val="0"/>
          <w:divBdr>
            <w:top w:val="none" w:sz="0" w:space="0" w:color="auto"/>
            <w:left w:val="none" w:sz="0" w:space="0" w:color="auto"/>
            <w:bottom w:val="none" w:sz="0" w:space="0" w:color="auto"/>
            <w:right w:val="none" w:sz="0" w:space="0" w:color="auto"/>
          </w:divBdr>
        </w:div>
        <w:div w:id="148908980">
          <w:marLeft w:val="0"/>
          <w:marRight w:val="0"/>
          <w:marTop w:val="0"/>
          <w:marBottom w:val="0"/>
          <w:divBdr>
            <w:top w:val="none" w:sz="0" w:space="0" w:color="auto"/>
            <w:left w:val="none" w:sz="0" w:space="0" w:color="auto"/>
            <w:bottom w:val="none" w:sz="0" w:space="0" w:color="auto"/>
            <w:right w:val="none" w:sz="0" w:space="0" w:color="auto"/>
          </w:divBdr>
        </w:div>
        <w:div w:id="995457244">
          <w:marLeft w:val="0"/>
          <w:marRight w:val="0"/>
          <w:marTop w:val="0"/>
          <w:marBottom w:val="0"/>
          <w:divBdr>
            <w:top w:val="none" w:sz="0" w:space="0" w:color="auto"/>
            <w:left w:val="none" w:sz="0" w:space="0" w:color="auto"/>
            <w:bottom w:val="none" w:sz="0" w:space="0" w:color="auto"/>
            <w:right w:val="none" w:sz="0" w:space="0" w:color="auto"/>
          </w:divBdr>
        </w:div>
        <w:div w:id="1191333078">
          <w:marLeft w:val="0"/>
          <w:marRight w:val="0"/>
          <w:marTop w:val="0"/>
          <w:marBottom w:val="0"/>
          <w:divBdr>
            <w:top w:val="none" w:sz="0" w:space="0" w:color="auto"/>
            <w:left w:val="none" w:sz="0" w:space="0" w:color="auto"/>
            <w:bottom w:val="none" w:sz="0" w:space="0" w:color="auto"/>
            <w:right w:val="none" w:sz="0" w:space="0" w:color="auto"/>
          </w:divBdr>
        </w:div>
        <w:div w:id="1605456657">
          <w:marLeft w:val="0"/>
          <w:marRight w:val="0"/>
          <w:marTop w:val="0"/>
          <w:marBottom w:val="0"/>
          <w:divBdr>
            <w:top w:val="none" w:sz="0" w:space="0" w:color="auto"/>
            <w:left w:val="none" w:sz="0" w:space="0" w:color="auto"/>
            <w:bottom w:val="none" w:sz="0" w:space="0" w:color="auto"/>
            <w:right w:val="none" w:sz="0" w:space="0" w:color="auto"/>
          </w:divBdr>
        </w:div>
        <w:div w:id="1377773428">
          <w:marLeft w:val="0"/>
          <w:marRight w:val="0"/>
          <w:marTop w:val="0"/>
          <w:marBottom w:val="0"/>
          <w:divBdr>
            <w:top w:val="none" w:sz="0" w:space="0" w:color="auto"/>
            <w:left w:val="none" w:sz="0" w:space="0" w:color="auto"/>
            <w:bottom w:val="none" w:sz="0" w:space="0" w:color="auto"/>
            <w:right w:val="none" w:sz="0" w:space="0" w:color="auto"/>
          </w:divBdr>
        </w:div>
        <w:div w:id="422993698">
          <w:marLeft w:val="0"/>
          <w:marRight w:val="0"/>
          <w:marTop w:val="0"/>
          <w:marBottom w:val="0"/>
          <w:divBdr>
            <w:top w:val="none" w:sz="0" w:space="0" w:color="auto"/>
            <w:left w:val="none" w:sz="0" w:space="0" w:color="auto"/>
            <w:bottom w:val="none" w:sz="0" w:space="0" w:color="auto"/>
            <w:right w:val="none" w:sz="0" w:space="0" w:color="auto"/>
          </w:divBdr>
        </w:div>
        <w:div w:id="1314337665">
          <w:marLeft w:val="0"/>
          <w:marRight w:val="0"/>
          <w:marTop w:val="0"/>
          <w:marBottom w:val="0"/>
          <w:divBdr>
            <w:top w:val="none" w:sz="0" w:space="0" w:color="auto"/>
            <w:left w:val="none" w:sz="0" w:space="0" w:color="auto"/>
            <w:bottom w:val="none" w:sz="0" w:space="0" w:color="auto"/>
            <w:right w:val="none" w:sz="0" w:space="0" w:color="auto"/>
          </w:divBdr>
        </w:div>
        <w:div w:id="1854029655">
          <w:marLeft w:val="0"/>
          <w:marRight w:val="0"/>
          <w:marTop w:val="0"/>
          <w:marBottom w:val="0"/>
          <w:divBdr>
            <w:top w:val="none" w:sz="0" w:space="0" w:color="auto"/>
            <w:left w:val="none" w:sz="0" w:space="0" w:color="auto"/>
            <w:bottom w:val="none" w:sz="0" w:space="0" w:color="auto"/>
            <w:right w:val="none" w:sz="0" w:space="0" w:color="auto"/>
          </w:divBdr>
        </w:div>
        <w:div w:id="149297940">
          <w:marLeft w:val="0"/>
          <w:marRight w:val="0"/>
          <w:marTop w:val="0"/>
          <w:marBottom w:val="0"/>
          <w:divBdr>
            <w:top w:val="none" w:sz="0" w:space="0" w:color="auto"/>
            <w:left w:val="none" w:sz="0" w:space="0" w:color="auto"/>
            <w:bottom w:val="none" w:sz="0" w:space="0" w:color="auto"/>
            <w:right w:val="none" w:sz="0" w:space="0" w:color="auto"/>
          </w:divBdr>
        </w:div>
        <w:div w:id="1307009732">
          <w:marLeft w:val="0"/>
          <w:marRight w:val="0"/>
          <w:marTop w:val="0"/>
          <w:marBottom w:val="0"/>
          <w:divBdr>
            <w:top w:val="none" w:sz="0" w:space="0" w:color="auto"/>
            <w:left w:val="none" w:sz="0" w:space="0" w:color="auto"/>
            <w:bottom w:val="none" w:sz="0" w:space="0" w:color="auto"/>
            <w:right w:val="none" w:sz="0" w:space="0" w:color="auto"/>
          </w:divBdr>
        </w:div>
        <w:div w:id="470171800">
          <w:marLeft w:val="0"/>
          <w:marRight w:val="0"/>
          <w:marTop w:val="0"/>
          <w:marBottom w:val="0"/>
          <w:divBdr>
            <w:top w:val="none" w:sz="0" w:space="0" w:color="auto"/>
            <w:left w:val="none" w:sz="0" w:space="0" w:color="auto"/>
            <w:bottom w:val="none" w:sz="0" w:space="0" w:color="auto"/>
            <w:right w:val="none" w:sz="0" w:space="0" w:color="auto"/>
          </w:divBdr>
        </w:div>
        <w:div w:id="727456088">
          <w:marLeft w:val="0"/>
          <w:marRight w:val="0"/>
          <w:marTop w:val="0"/>
          <w:marBottom w:val="0"/>
          <w:divBdr>
            <w:top w:val="none" w:sz="0" w:space="0" w:color="auto"/>
            <w:left w:val="none" w:sz="0" w:space="0" w:color="auto"/>
            <w:bottom w:val="none" w:sz="0" w:space="0" w:color="auto"/>
            <w:right w:val="none" w:sz="0" w:space="0" w:color="auto"/>
          </w:divBdr>
        </w:div>
        <w:div w:id="1281230763">
          <w:marLeft w:val="0"/>
          <w:marRight w:val="0"/>
          <w:marTop w:val="0"/>
          <w:marBottom w:val="0"/>
          <w:divBdr>
            <w:top w:val="none" w:sz="0" w:space="0" w:color="auto"/>
            <w:left w:val="none" w:sz="0" w:space="0" w:color="auto"/>
            <w:bottom w:val="none" w:sz="0" w:space="0" w:color="auto"/>
            <w:right w:val="none" w:sz="0" w:space="0" w:color="auto"/>
          </w:divBdr>
        </w:div>
        <w:div w:id="832834923">
          <w:marLeft w:val="0"/>
          <w:marRight w:val="0"/>
          <w:marTop w:val="0"/>
          <w:marBottom w:val="0"/>
          <w:divBdr>
            <w:top w:val="none" w:sz="0" w:space="0" w:color="auto"/>
            <w:left w:val="none" w:sz="0" w:space="0" w:color="auto"/>
            <w:bottom w:val="none" w:sz="0" w:space="0" w:color="auto"/>
            <w:right w:val="none" w:sz="0" w:space="0" w:color="auto"/>
          </w:divBdr>
        </w:div>
        <w:div w:id="1168905008">
          <w:marLeft w:val="0"/>
          <w:marRight w:val="0"/>
          <w:marTop w:val="0"/>
          <w:marBottom w:val="0"/>
          <w:divBdr>
            <w:top w:val="none" w:sz="0" w:space="0" w:color="auto"/>
            <w:left w:val="none" w:sz="0" w:space="0" w:color="auto"/>
            <w:bottom w:val="none" w:sz="0" w:space="0" w:color="auto"/>
            <w:right w:val="none" w:sz="0" w:space="0" w:color="auto"/>
          </w:divBdr>
        </w:div>
        <w:div w:id="714501220">
          <w:marLeft w:val="0"/>
          <w:marRight w:val="0"/>
          <w:marTop w:val="0"/>
          <w:marBottom w:val="0"/>
          <w:divBdr>
            <w:top w:val="none" w:sz="0" w:space="0" w:color="auto"/>
            <w:left w:val="none" w:sz="0" w:space="0" w:color="auto"/>
            <w:bottom w:val="none" w:sz="0" w:space="0" w:color="auto"/>
            <w:right w:val="none" w:sz="0" w:space="0" w:color="auto"/>
          </w:divBdr>
        </w:div>
        <w:div w:id="1700157260">
          <w:marLeft w:val="0"/>
          <w:marRight w:val="0"/>
          <w:marTop w:val="0"/>
          <w:marBottom w:val="0"/>
          <w:divBdr>
            <w:top w:val="none" w:sz="0" w:space="0" w:color="auto"/>
            <w:left w:val="none" w:sz="0" w:space="0" w:color="auto"/>
            <w:bottom w:val="none" w:sz="0" w:space="0" w:color="auto"/>
            <w:right w:val="none" w:sz="0" w:space="0" w:color="auto"/>
          </w:divBdr>
        </w:div>
        <w:div w:id="696195761">
          <w:marLeft w:val="0"/>
          <w:marRight w:val="0"/>
          <w:marTop w:val="0"/>
          <w:marBottom w:val="0"/>
          <w:divBdr>
            <w:top w:val="none" w:sz="0" w:space="0" w:color="auto"/>
            <w:left w:val="none" w:sz="0" w:space="0" w:color="auto"/>
            <w:bottom w:val="none" w:sz="0" w:space="0" w:color="auto"/>
            <w:right w:val="none" w:sz="0" w:space="0" w:color="auto"/>
          </w:divBdr>
        </w:div>
        <w:div w:id="144705767">
          <w:marLeft w:val="0"/>
          <w:marRight w:val="0"/>
          <w:marTop w:val="0"/>
          <w:marBottom w:val="0"/>
          <w:divBdr>
            <w:top w:val="none" w:sz="0" w:space="0" w:color="auto"/>
            <w:left w:val="none" w:sz="0" w:space="0" w:color="auto"/>
            <w:bottom w:val="none" w:sz="0" w:space="0" w:color="auto"/>
            <w:right w:val="none" w:sz="0" w:space="0" w:color="auto"/>
          </w:divBdr>
        </w:div>
        <w:div w:id="259265825">
          <w:marLeft w:val="0"/>
          <w:marRight w:val="0"/>
          <w:marTop w:val="0"/>
          <w:marBottom w:val="0"/>
          <w:divBdr>
            <w:top w:val="none" w:sz="0" w:space="0" w:color="auto"/>
            <w:left w:val="none" w:sz="0" w:space="0" w:color="auto"/>
            <w:bottom w:val="none" w:sz="0" w:space="0" w:color="auto"/>
            <w:right w:val="none" w:sz="0" w:space="0" w:color="auto"/>
          </w:divBdr>
        </w:div>
        <w:div w:id="733159062">
          <w:marLeft w:val="0"/>
          <w:marRight w:val="0"/>
          <w:marTop w:val="0"/>
          <w:marBottom w:val="0"/>
          <w:divBdr>
            <w:top w:val="none" w:sz="0" w:space="0" w:color="auto"/>
            <w:left w:val="none" w:sz="0" w:space="0" w:color="auto"/>
            <w:bottom w:val="none" w:sz="0" w:space="0" w:color="auto"/>
            <w:right w:val="none" w:sz="0" w:space="0" w:color="auto"/>
          </w:divBdr>
        </w:div>
        <w:div w:id="2118594106">
          <w:marLeft w:val="0"/>
          <w:marRight w:val="0"/>
          <w:marTop w:val="0"/>
          <w:marBottom w:val="0"/>
          <w:divBdr>
            <w:top w:val="none" w:sz="0" w:space="0" w:color="auto"/>
            <w:left w:val="none" w:sz="0" w:space="0" w:color="auto"/>
            <w:bottom w:val="none" w:sz="0" w:space="0" w:color="auto"/>
            <w:right w:val="none" w:sz="0" w:space="0" w:color="auto"/>
          </w:divBdr>
        </w:div>
        <w:div w:id="1976638685">
          <w:marLeft w:val="0"/>
          <w:marRight w:val="0"/>
          <w:marTop w:val="0"/>
          <w:marBottom w:val="0"/>
          <w:divBdr>
            <w:top w:val="none" w:sz="0" w:space="0" w:color="auto"/>
            <w:left w:val="none" w:sz="0" w:space="0" w:color="auto"/>
            <w:bottom w:val="none" w:sz="0" w:space="0" w:color="auto"/>
            <w:right w:val="none" w:sz="0" w:space="0" w:color="auto"/>
          </w:divBdr>
        </w:div>
        <w:div w:id="1789279172">
          <w:marLeft w:val="0"/>
          <w:marRight w:val="0"/>
          <w:marTop w:val="0"/>
          <w:marBottom w:val="0"/>
          <w:divBdr>
            <w:top w:val="none" w:sz="0" w:space="0" w:color="auto"/>
            <w:left w:val="none" w:sz="0" w:space="0" w:color="auto"/>
            <w:bottom w:val="none" w:sz="0" w:space="0" w:color="auto"/>
            <w:right w:val="none" w:sz="0" w:space="0" w:color="auto"/>
          </w:divBdr>
        </w:div>
        <w:div w:id="1734505171">
          <w:marLeft w:val="0"/>
          <w:marRight w:val="0"/>
          <w:marTop w:val="0"/>
          <w:marBottom w:val="0"/>
          <w:divBdr>
            <w:top w:val="none" w:sz="0" w:space="0" w:color="auto"/>
            <w:left w:val="none" w:sz="0" w:space="0" w:color="auto"/>
            <w:bottom w:val="none" w:sz="0" w:space="0" w:color="auto"/>
            <w:right w:val="none" w:sz="0" w:space="0" w:color="auto"/>
          </w:divBdr>
        </w:div>
        <w:div w:id="1153985210">
          <w:marLeft w:val="0"/>
          <w:marRight w:val="0"/>
          <w:marTop w:val="0"/>
          <w:marBottom w:val="0"/>
          <w:divBdr>
            <w:top w:val="none" w:sz="0" w:space="0" w:color="auto"/>
            <w:left w:val="none" w:sz="0" w:space="0" w:color="auto"/>
            <w:bottom w:val="none" w:sz="0" w:space="0" w:color="auto"/>
            <w:right w:val="none" w:sz="0" w:space="0" w:color="auto"/>
          </w:divBdr>
        </w:div>
        <w:div w:id="142285131">
          <w:marLeft w:val="0"/>
          <w:marRight w:val="0"/>
          <w:marTop w:val="0"/>
          <w:marBottom w:val="0"/>
          <w:divBdr>
            <w:top w:val="none" w:sz="0" w:space="0" w:color="auto"/>
            <w:left w:val="none" w:sz="0" w:space="0" w:color="auto"/>
            <w:bottom w:val="none" w:sz="0" w:space="0" w:color="auto"/>
            <w:right w:val="none" w:sz="0" w:space="0" w:color="auto"/>
          </w:divBdr>
        </w:div>
        <w:div w:id="1728333187">
          <w:marLeft w:val="0"/>
          <w:marRight w:val="0"/>
          <w:marTop w:val="0"/>
          <w:marBottom w:val="0"/>
          <w:divBdr>
            <w:top w:val="none" w:sz="0" w:space="0" w:color="auto"/>
            <w:left w:val="none" w:sz="0" w:space="0" w:color="auto"/>
            <w:bottom w:val="none" w:sz="0" w:space="0" w:color="auto"/>
            <w:right w:val="none" w:sz="0" w:space="0" w:color="auto"/>
          </w:divBdr>
        </w:div>
        <w:div w:id="1417288693">
          <w:marLeft w:val="0"/>
          <w:marRight w:val="0"/>
          <w:marTop w:val="0"/>
          <w:marBottom w:val="0"/>
          <w:divBdr>
            <w:top w:val="none" w:sz="0" w:space="0" w:color="auto"/>
            <w:left w:val="none" w:sz="0" w:space="0" w:color="auto"/>
            <w:bottom w:val="none" w:sz="0" w:space="0" w:color="auto"/>
            <w:right w:val="none" w:sz="0" w:space="0" w:color="auto"/>
          </w:divBdr>
        </w:div>
        <w:div w:id="155725161">
          <w:marLeft w:val="0"/>
          <w:marRight w:val="0"/>
          <w:marTop w:val="0"/>
          <w:marBottom w:val="0"/>
          <w:divBdr>
            <w:top w:val="none" w:sz="0" w:space="0" w:color="auto"/>
            <w:left w:val="none" w:sz="0" w:space="0" w:color="auto"/>
            <w:bottom w:val="none" w:sz="0" w:space="0" w:color="auto"/>
            <w:right w:val="none" w:sz="0" w:space="0" w:color="auto"/>
          </w:divBdr>
        </w:div>
        <w:div w:id="970213724">
          <w:marLeft w:val="0"/>
          <w:marRight w:val="0"/>
          <w:marTop w:val="0"/>
          <w:marBottom w:val="0"/>
          <w:divBdr>
            <w:top w:val="none" w:sz="0" w:space="0" w:color="auto"/>
            <w:left w:val="none" w:sz="0" w:space="0" w:color="auto"/>
            <w:bottom w:val="none" w:sz="0" w:space="0" w:color="auto"/>
            <w:right w:val="none" w:sz="0" w:space="0" w:color="auto"/>
          </w:divBdr>
        </w:div>
        <w:div w:id="1821389145">
          <w:marLeft w:val="0"/>
          <w:marRight w:val="0"/>
          <w:marTop w:val="0"/>
          <w:marBottom w:val="0"/>
          <w:divBdr>
            <w:top w:val="none" w:sz="0" w:space="0" w:color="auto"/>
            <w:left w:val="none" w:sz="0" w:space="0" w:color="auto"/>
            <w:bottom w:val="none" w:sz="0" w:space="0" w:color="auto"/>
            <w:right w:val="none" w:sz="0" w:space="0" w:color="auto"/>
          </w:divBdr>
        </w:div>
        <w:div w:id="1096092151">
          <w:marLeft w:val="0"/>
          <w:marRight w:val="0"/>
          <w:marTop w:val="0"/>
          <w:marBottom w:val="0"/>
          <w:divBdr>
            <w:top w:val="none" w:sz="0" w:space="0" w:color="auto"/>
            <w:left w:val="none" w:sz="0" w:space="0" w:color="auto"/>
            <w:bottom w:val="none" w:sz="0" w:space="0" w:color="auto"/>
            <w:right w:val="none" w:sz="0" w:space="0" w:color="auto"/>
          </w:divBdr>
        </w:div>
        <w:div w:id="1699772041">
          <w:marLeft w:val="0"/>
          <w:marRight w:val="0"/>
          <w:marTop w:val="0"/>
          <w:marBottom w:val="0"/>
          <w:divBdr>
            <w:top w:val="none" w:sz="0" w:space="0" w:color="auto"/>
            <w:left w:val="none" w:sz="0" w:space="0" w:color="auto"/>
            <w:bottom w:val="none" w:sz="0" w:space="0" w:color="auto"/>
            <w:right w:val="none" w:sz="0" w:space="0" w:color="auto"/>
          </w:divBdr>
        </w:div>
        <w:div w:id="161237279">
          <w:marLeft w:val="0"/>
          <w:marRight w:val="0"/>
          <w:marTop w:val="0"/>
          <w:marBottom w:val="0"/>
          <w:divBdr>
            <w:top w:val="none" w:sz="0" w:space="0" w:color="auto"/>
            <w:left w:val="none" w:sz="0" w:space="0" w:color="auto"/>
            <w:bottom w:val="none" w:sz="0" w:space="0" w:color="auto"/>
            <w:right w:val="none" w:sz="0" w:space="0" w:color="auto"/>
          </w:divBdr>
        </w:div>
      </w:divsChild>
    </w:div>
    <w:div w:id="1001661694">
      <w:bodyDiv w:val="1"/>
      <w:marLeft w:val="0"/>
      <w:marRight w:val="0"/>
      <w:marTop w:val="0"/>
      <w:marBottom w:val="0"/>
      <w:divBdr>
        <w:top w:val="none" w:sz="0" w:space="0" w:color="auto"/>
        <w:left w:val="none" w:sz="0" w:space="0" w:color="auto"/>
        <w:bottom w:val="none" w:sz="0" w:space="0" w:color="auto"/>
        <w:right w:val="none" w:sz="0" w:space="0" w:color="auto"/>
      </w:divBdr>
    </w:div>
    <w:div w:id="1046876531">
      <w:bodyDiv w:val="1"/>
      <w:marLeft w:val="0"/>
      <w:marRight w:val="0"/>
      <w:marTop w:val="0"/>
      <w:marBottom w:val="0"/>
      <w:divBdr>
        <w:top w:val="none" w:sz="0" w:space="0" w:color="auto"/>
        <w:left w:val="none" w:sz="0" w:space="0" w:color="auto"/>
        <w:bottom w:val="none" w:sz="0" w:space="0" w:color="auto"/>
        <w:right w:val="none" w:sz="0" w:space="0" w:color="auto"/>
      </w:divBdr>
    </w:div>
    <w:div w:id="1050953788">
      <w:bodyDiv w:val="1"/>
      <w:marLeft w:val="0"/>
      <w:marRight w:val="0"/>
      <w:marTop w:val="0"/>
      <w:marBottom w:val="0"/>
      <w:divBdr>
        <w:top w:val="none" w:sz="0" w:space="0" w:color="auto"/>
        <w:left w:val="none" w:sz="0" w:space="0" w:color="auto"/>
        <w:bottom w:val="none" w:sz="0" w:space="0" w:color="auto"/>
        <w:right w:val="none" w:sz="0" w:space="0" w:color="auto"/>
      </w:divBdr>
    </w:div>
    <w:div w:id="1088308286">
      <w:bodyDiv w:val="1"/>
      <w:marLeft w:val="0"/>
      <w:marRight w:val="0"/>
      <w:marTop w:val="0"/>
      <w:marBottom w:val="0"/>
      <w:divBdr>
        <w:top w:val="none" w:sz="0" w:space="0" w:color="auto"/>
        <w:left w:val="none" w:sz="0" w:space="0" w:color="auto"/>
        <w:bottom w:val="none" w:sz="0" w:space="0" w:color="auto"/>
        <w:right w:val="none" w:sz="0" w:space="0" w:color="auto"/>
      </w:divBdr>
    </w:div>
    <w:div w:id="1093014421">
      <w:bodyDiv w:val="1"/>
      <w:marLeft w:val="0"/>
      <w:marRight w:val="0"/>
      <w:marTop w:val="0"/>
      <w:marBottom w:val="0"/>
      <w:divBdr>
        <w:top w:val="none" w:sz="0" w:space="0" w:color="auto"/>
        <w:left w:val="none" w:sz="0" w:space="0" w:color="auto"/>
        <w:bottom w:val="none" w:sz="0" w:space="0" w:color="auto"/>
        <w:right w:val="none" w:sz="0" w:space="0" w:color="auto"/>
      </w:divBdr>
    </w:div>
    <w:div w:id="1160777147">
      <w:bodyDiv w:val="1"/>
      <w:marLeft w:val="0"/>
      <w:marRight w:val="0"/>
      <w:marTop w:val="0"/>
      <w:marBottom w:val="0"/>
      <w:divBdr>
        <w:top w:val="none" w:sz="0" w:space="0" w:color="auto"/>
        <w:left w:val="none" w:sz="0" w:space="0" w:color="auto"/>
        <w:bottom w:val="none" w:sz="0" w:space="0" w:color="auto"/>
        <w:right w:val="none" w:sz="0" w:space="0" w:color="auto"/>
      </w:divBdr>
    </w:div>
    <w:div w:id="1400254002">
      <w:bodyDiv w:val="1"/>
      <w:marLeft w:val="0"/>
      <w:marRight w:val="0"/>
      <w:marTop w:val="0"/>
      <w:marBottom w:val="0"/>
      <w:divBdr>
        <w:top w:val="none" w:sz="0" w:space="0" w:color="auto"/>
        <w:left w:val="none" w:sz="0" w:space="0" w:color="auto"/>
        <w:bottom w:val="none" w:sz="0" w:space="0" w:color="auto"/>
        <w:right w:val="none" w:sz="0" w:space="0" w:color="auto"/>
      </w:divBdr>
    </w:div>
    <w:div w:id="1414204106">
      <w:bodyDiv w:val="1"/>
      <w:marLeft w:val="0"/>
      <w:marRight w:val="0"/>
      <w:marTop w:val="0"/>
      <w:marBottom w:val="0"/>
      <w:divBdr>
        <w:top w:val="none" w:sz="0" w:space="0" w:color="auto"/>
        <w:left w:val="none" w:sz="0" w:space="0" w:color="auto"/>
        <w:bottom w:val="none" w:sz="0" w:space="0" w:color="auto"/>
        <w:right w:val="none" w:sz="0" w:space="0" w:color="auto"/>
      </w:divBdr>
    </w:div>
    <w:div w:id="1455757527">
      <w:bodyDiv w:val="1"/>
      <w:marLeft w:val="0"/>
      <w:marRight w:val="0"/>
      <w:marTop w:val="0"/>
      <w:marBottom w:val="0"/>
      <w:divBdr>
        <w:top w:val="none" w:sz="0" w:space="0" w:color="auto"/>
        <w:left w:val="none" w:sz="0" w:space="0" w:color="auto"/>
        <w:bottom w:val="none" w:sz="0" w:space="0" w:color="auto"/>
        <w:right w:val="none" w:sz="0" w:space="0" w:color="auto"/>
      </w:divBdr>
    </w:div>
    <w:div w:id="1545407753">
      <w:bodyDiv w:val="1"/>
      <w:marLeft w:val="0"/>
      <w:marRight w:val="0"/>
      <w:marTop w:val="0"/>
      <w:marBottom w:val="0"/>
      <w:divBdr>
        <w:top w:val="none" w:sz="0" w:space="0" w:color="auto"/>
        <w:left w:val="none" w:sz="0" w:space="0" w:color="auto"/>
        <w:bottom w:val="none" w:sz="0" w:space="0" w:color="auto"/>
        <w:right w:val="none" w:sz="0" w:space="0" w:color="auto"/>
      </w:divBdr>
    </w:div>
    <w:div w:id="1588883395">
      <w:bodyDiv w:val="1"/>
      <w:marLeft w:val="0"/>
      <w:marRight w:val="0"/>
      <w:marTop w:val="0"/>
      <w:marBottom w:val="0"/>
      <w:divBdr>
        <w:top w:val="none" w:sz="0" w:space="0" w:color="auto"/>
        <w:left w:val="none" w:sz="0" w:space="0" w:color="auto"/>
        <w:bottom w:val="none" w:sz="0" w:space="0" w:color="auto"/>
        <w:right w:val="none" w:sz="0" w:space="0" w:color="auto"/>
      </w:divBdr>
    </w:div>
    <w:div w:id="1689059386">
      <w:bodyDiv w:val="1"/>
      <w:marLeft w:val="0"/>
      <w:marRight w:val="0"/>
      <w:marTop w:val="0"/>
      <w:marBottom w:val="0"/>
      <w:divBdr>
        <w:top w:val="none" w:sz="0" w:space="0" w:color="auto"/>
        <w:left w:val="none" w:sz="0" w:space="0" w:color="auto"/>
        <w:bottom w:val="none" w:sz="0" w:space="0" w:color="auto"/>
        <w:right w:val="none" w:sz="0" w:space="0" w:color="auto"/>
      </w:divBdr>
    </w:div>
    <w:div w:id="1742369237">
      <w:bodyDiv w:val="1"/>
      <w:marLeft w:val="0"/>
      <w:marRight w:val="0"/>
      <w:marTop w:val="0"/>
      <w:marBottom w:val="0"/>
      <w:divBdr>
        <w:top w:val="none" w:sz="0" w:space="0" w:color="auto"/>
        <w:left w:val="none" w:sz="0" w:space="0" w:color="auto"/>
        <w:bottom w:val="none" w:sz="0" w:space="0" w:color="auto"/>
        <w:right w:val="none" w:sz="0" w:space="0" w:color="auto"/>
      </w:divBdr>
    </w:div>
    <w:div w:id="1767338797">
      <w:bodyDiv w:val="1"/>
      <w:marLeft w:val="0"/>
      <w:marRight w:val="0"/>
      <w:marTop w:val="0"/>
      <w:marBottom w:val="0"/>
      <w:divBdr>
        <w:top w:val="none" w:sz="0" w:space="0" w:color="auto"/>
        <w:left w:val="none" w:sz="0" w:space="0" w:color="auto"/>
        <w:bottom w:val="none" w:sz="0" w:space="0" w:color="auto"/>
        <w:right w:val="none" w:sz="0" w:space="0" w:color="auto"/>
      </w:divBdr>
    </w:div>
    <w:div w:id="1926844395">
      <w:bodyDiv w:val="1"/>
      <w:marLeft w:val="0"/>
      <w:marRight w:val="0"/>
      <w:marTop w:val="0"/>
      <w:marBottom w:val="0"/>
      <w:divBdr>
        <w:top w:val="none" w:sz="0" w:space="0" w:color="auto"/>
        <w:left w:val="none" w:sz="0" w:space="0" w:color="auto"/>
        <w:bottom w:val="none" w:sz="0" w:space="0" w:color="auto"/>
        <w:right w:val="none" w:sz="0" w:space="0" w:color="auto"/>
      </w:divBdr>
    </w:div>
    <w:div w:id="1973561313">
      <w:bodyDiv w:val="1"/>
      <w:marLeft w:val="0"/>
      <w:marRight w:val="0"/>
      <w:marTop w:val="0"/>
      <w:marBottom w:val="0"/>
      <w:divBdr>
        <w:top w:val="none" w:sz="0" w:space="0" w:color="auto"/>
        <w:left w:val="none" w:sz="0" w:space="0" w:color="auto"/>
        <w:bottom w:val="none" w:sz="0" w:space="0" w:color="auto"/>
        <w:right w:val="none" w:sz="0" w:space="0" w:color="auto"/>
      </w:divBdr>
    </w:div>
    <w:div w:id="1999964319">
      <w:bodyDiv w:val="1"/>
      <w:marLeft w:val="0"/>
      <w:marRight w:val="0"/>
      <w:marTop w:val="0"/>
      <w:marBottom w:val="0"/>
      <w:divBdr>
        <w:top w:val="none" w:sz="0" w:space="0" w:color="auto"/>
        <w:left w:val="none" w:sz="0" w:space="0" w:color="auto"/>
        <w:bottom w:val="none" w:sz="0" w:space="0" w:color="auto"/>
        <w:right w:val="none" w:sz="0" w:space="0" w:color="auto"/>
      </w:divBdr>
    </w:div>
    <w:div w:id="2021814545">
      <w:bodyDiv w:val="1"/>
      <w:marLeft w:val="0"/>
      <w:marRight w:val="0"/>
      <w:marTop w:val="0"/>
      <w:marBottom w:val="0"/>
      <w:divBdr>
        <w:top w:val="none" w:sz="0" w:space="0" w:color="auto"/>
        <w:left w:val="none" w:sz="0" w:space="0" w:color="auto"/>
        <w:bottom w:val="none" w:sz="0" w:space="0" w:color="auto"/>
        <w:right w:val="none" w:sz="0" w:space="0" w:color="auto"/>
      </w:divBdr>
    </w:div>
    <w:div w:id="2036078109">
      <w:bodyDiv w:val="1"/>
      <w:marLeft w:val="0"/>
      <w:marRight w:val="0"/>
      <w:marTop w:val="0"/>
      <w:marBottom w:val="0"/>
      <w:divBdr>
        <w:top w:val="none" w:sz="0" w:space="0" w:color="auto"/>
        <w:left w:val="none" w:sz="0" w:space="0" w:color="auto"/>
        <w:bottom w:val="none" w:sz="0" w:space="0" w:color="auto"/>
        <w:right w:val="none" w:sz="0" w:space="0" w:color="auto"/>
      </w:divBdr>
    </w:div>
    <w:div w:id="2041078162">
      <w:bodyDiv w:val="1"/>
      <w:marLeft w:val="0"/>
      <w:marRight w:val="0"/>
      <w:marTop w:val="0"/>
      <w:marBottom w:val="0"/>
      <w:divBdr>
        <w:top w:val="none" w:sz="0" w:space="0" w:color="auto"/>
        <w:left w:val="none" w:sz="0" w:space="0" w:color="auto"/>
        <w:bottom w:val="none" w:sz="0" w:space="0" w:color="auto"/>
        <w:right w:val="none" w:sz="0" w:space="0" w:color="auto"/>
      </w:divBdr>
    </w:div>
    <w:div w:id="20745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sultan@northwel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B4783-53B4-9947-BA5E-B7931A6A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8944</Words>
  <Characters>50982</Characters>
  <Application>Microsoft Macintosh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59807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Na Ma</cp:lastModifiedBy>
  <cp:revision>2</cp:revision>
  <dcterms:created xsi:type="dcterms:W3CDTF">2017-04-23T18:28:00Z</dcterms:created>
  <dcterms:modified xsi:type="dcterms:W3CDTF">2017-04-23T18:28:00Z</dcterms:modified>
</cp:coreProperties>
</file>