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755E" w14:textId="77777777" w:rsidR="001947D4" w:rsidRPr="0086396D" w:rsidRDefault="001947D4" w:rsidP="005C7D8E">
      <w:pPr>
        <w:adjustRightInd w:val="0"/>
        <w:snapToGrid w:val="0"/>
        <w:spacing w:after="0" w:line="360" w:lineRule="auto"/>
        <w:jc w:val="both"/>
        <w:rPr>
          <w:rFonts w:ascii="Book Antiqua" w:hAnsi="Book Antiqua" w:cs="Arial"/>
          <w:b/>
          <w:color w:val="222222"/>
          <w:sz w:val="24"/>
          <w:szCs w:val="24"/>
          <w:shd w:val="clear" w:color="auto" w:fill="FFFFFF"/>
        </w:rPr>
      </w:pPr>
      <w:r w:rsidRPr="0086396D">
        <w:rPr>
          <w:rFonts w:ascii="Book Antiqua" w:hAnsi="Book Antiqua" w:cs="Arial"/>
          <w:b/>
          <w:color w:val="222222"/>
          <w:sz w:val="24"/>
          <w:szCs w:val="24"/>
          <w:shd w:val="clear" w:color="auto" w:fill="FFFFFF"/>
        </w:rPr>
        <w:t>Name of Journal: World Journal of Gastroenterology</w:t>
      </w:r>
    </w:p>
    <w:p w14:paraId="29E75258" w14:textId="394D0502" w:rsidR="001947D4" w:rsidRPr="0086396D" w:rsidRDefault="001947D4" w:rsidP="005C7D8E">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86396D">
        <w:rPr>
          <w:rFonts w:ascii="Book Antiqua" w:hAnsi="Book Antiqua" w:cs="Arial"/>
          <w:b/>
          <w:color w:val="222222"/>
          <w:sz w:val="24"/>
          <w:szCs w:val="24"/>
          <w:shd w:val="clear" w:color="auto" w:fill="FFFFFF"/>
        </w:rPr>
        <w:t xml:space="preserve">Manuscript NO: </w:t>
      </w:r>
      <w:r w:rsidRPr="0086396D">
        <w:rPr>
          <w:rFonts w:ascii="Book Antiqua" w:hAnsi="Book Antiqua" w:cs="Arial"/>
          <w:b/>
          <w:color w:val="222222"/>
          <w:sz w:val="24"/>
          <w:szCs w:val="24"/>
          <w:shd w:val="clear" w:color="auto" w:fill="FFFFFF"/>
          <w:lang w:eastAsia="zh-CN"/>
        </w:rPr>
        <w:t>33886</w:t>
      </w:r>
    </w:p>
    <w:p w14:paraId="2A4EC07A" w14:textId="77777777" w:rsidR="001947D4" w:rsidRPr="0086396D" w:rsidRDefault="001947D4" w:rsidP="005C7D8E">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86396D">
        <w:rPr>
          <w:rFonts w:ascii="Book Antiqua" w:hAnsi="Book Antiqua" w:cs="Arial"/>
          <w:b/>
          <w:color w:val="222222"/>
          <w:sz w:val="24"/>
          <w:szCs w:val="24"/>
          <w:shd w:val="clear" w:color="auto" w:fill="FFFFFF"/>
        </w:rPr>
        <w:t>Manuscript Type: ORIGINAL ARTICLE</w:t>
      </w:r>
    </w:p>
    <w:p w14:paraId="406CDFAE" w14:textId="77777777" w:rsidR="00B950F5" w:rsidRPr="0086396D" w:rsidRDefault="00B950F5" w:rsidP="005C7D8E">
      <w:pPr>
        <w:adjustRightInd w:val="0"/>
        <w:snapToGrid w:val="0"/>
        <w:spacing w:after="0" w:line="360" w:lineRule="auto"/>
        <w:jc w:val="both"/>
        <w:rPr>
          <w:rFonts w:ascii="Book Antiqua" w:hAnsi="Book Antiqua"/>
          <w:b/>
          <w:bCs/>
          <w:sz w:val="24"/>
          <w:szCs w:val="24"/>
          <w:lang w:eastAsia="zh-CN"/>
        </w:rPr>
      </w:pPr>
    </w:p>
    <w:p w14:paraId="2F92F59D" w14:textId="517AEA1B" w:rsidR="001947D4" w:rsidRPr="0086396D" w:rsidRDefault="001947D4" w:rsidP="005C7D8E">
      <w:pPr>
        <w:adjustRightInd w:val="0"/>
        <w:snapToGrid w:val="0"/>
        <w:spacing w:after="0" w:line="360" w:lineRule="auto"/>
        <w:jc w:val="both"/>
        <w:rPr>
          <w:rFonts w:ascii="Book Antiqua" w:hAnsi="Book Antiqua"/>
          <w:b/>
          <w:i/>
          <w:sz w:val="24"/>
          <w:szCs w:val="24"/>
          <w:lang w:eastAsia="zh-CN"/>
        </w:rPr>
      </w:pPr>
      <w:r w:rsidRPr="0086396D">
        <w:rPr>
          <w:rFonts w:ascii="Book Antiqua" w:hAnsi="Book Antiqua"/>
          <w:b/>
          <w:i/>
          <w:sz w:val="24"/>
          <w:szCs w:val="24"/>
        </w:rPr>
        <w:t>Prospective Study</w:t>
      </w:r>
    </w:p>
    <w:p w14:paraId="7D2E767D" w14:textId="040B7013" w:rsidR="001947D4" w:rsidRPr="0086396D" w:rsidRDefault="001947D4" w:rsidP="005C7D8E">
      <w:pPr>
        <w:adjustRightInd w:val="0"/>
        <w:snapToGrid w:val="0"/>
        <w:spacing w:after="0" w:line="360" w:lineRule="auto"/>
        <w:jc w:val="both"/>
        <w:rPr>
          <w:rFonts w:ascii="Book Antiqua" w:hAnsi="Book Antiqua"/>
          <w:b/>
          <w:sz w:val="24"/>
          <w:szCs w:val="24"/>
          <w:lang w:eastAsia="zh-CN"/>
        </w:rPr>
      </w:pPr>
      <w:r w:rsidRPr="0086396D">
        <w:rPr>
          <w:rFonts w:ascii="Book Antiqua" w:hAnsi="Book Antiqua"/>
          <w:b/>
          <w:sz w:val="24"/>
          <w:szCs w:val="24"/>
        </w:rPr>
        <w:t xml:space="preserve">Dietary and metabolomic determinants of relapse in ulcerative colitis patients: </w:t>
      </w:r>
      <w:r w:rsidRPr="0086396D">
        <w:rPr>
          <w:rFonts w:ascii="Book Antiqua" w:hAnsi="Book Antiqua"/>
          <w:b/>
          <w:caps/>
          <w:sz w:val="24"/>
          <w:szCs w:val="24"/>
        </w:rPr>
        <w:t>a</w:t>
      </w:r>
      <w:r w:rsidRPr="0086396D">
        <w:rPr>
          <w:rFonts w:ascii="Book Antiqua" w:hAnsi="Book Antiqua"/>
          <w:b/>
          <w:sz w:val="24"/>
          <w:szCs w:val="24"/>
        </w:rPr>
        <w:t xml:space="preserve"> pilot prospective cohort study</w:t>
      </w:r>
    </w:p>
    <w:p w14:paraId="799013E0" w14:textId="77777777" w:rsidR="00B950F5" w:rsidRPr="0086396D" w:rsidRDefault="00B950F5" w:rsidP="005C7D8E">
      <w:pPr>
        <w:adjustRightInd w:val="0"/>
        <w:snapToGrid w:val="0"/>
        <w:spacing w:after="0" w:line="360" w:lineRule="auto"/>
        <w:jc w:val="both"/>
        <w:rPr>
          <w:rFonts w:ascii="Book Antiqua" w:hAnsi="Book Antiqua"/>
          <w:b/>
          <w:sz w:val="24"/>
          <w:szCs w:val="24"/>
          <w:lang w:eastAsia="zh-CN"/>
        </w:rPr>
      </w:pPr>
    </w:p>
    <w:p w14:paraId="7A84A1C7" w14:textId="5D06CD82" w:rsidR="001947D4" w:rsidRPr="0086396D" w:rsidRDefault="0086396D"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Keshteli </w:t>
      </w:r>
      <w:r>
        <w:rPr>
          <w:rFonts w:ascii="Book Antiqua" w:hAnsi="Book Antiqua" w:hint="eastAsia"/>
          <w:sz w:val="24"/>
          <w:szCs w:val="24"/>
          <w:lang w:eastAsia="zh-CN"/>
        </w:rPr>
        <w:t xml:space="preserve">AH </w:t>
      </w:r>
      <w:r w:rsidRPr="0086396D">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1947D4" w:rsidRPr="0086396D">
        <w:rPr>
          <w:rFonts w:ascii="Book Antiqua" w:hAnsi="Book Antiqua"/>
          <w:sz w:val="24"/>
          <w:szCs w:val="24"/>
        </w:rPr>
        <w:t>Determinants of relapse in ulcerative colitis</w:t>
      </w:r>
    </w:p>
    <w:p w14:paraId="2757779B" w14:textId="77777777" w:rsidR="00B950F5" w:rsidRPr="0086396D" w:rsidRDefault="00B950F5" w:rsidP="005C7D8E">
      <w:pPr>
        <w:adjustRightInd w:val="0"/>
        <w:snapToGrid w:val="0"/>
        <w:spacing w:after="0" w:line="360" w:lineRule="auto"/>
        <w:jc w:val="both"/>
        <w:rPr>
          <w:rFonts w:ascii="Book Antiqua" w:hAnsi="Book Antiqua"/>
          <w:sz w:val="24"/>
          <w:szCs w:val="24"/>
          <w:lang w:eastAsia="zh-CN"/>
        </w:rPr>
      </w:pPr>
    </w:p>
    <w:p w14:paraId="79C6954B" w14:textId="77D42585" w:rsidR="00092741" w:rsidRPr="0086396D" w:rsidRDefault="00542013" w:rsidP="005C7D8E">
      <w:pPr>
        <w:adjustRightInd w:val="0"/>
        <w:snapToGrid w:val="0"/>
        <w:spacing w:after="0" w:line="360" w:lineRule="auto"/>
        <w:jc w:val="both"/>
        <w:rPr>
          <w:rFonts w:ascii="Book Antiqua" w:hAnsi="Book Antiqua"/>
          <w:sz w:val="24"/>
          <w:szCs w:val="24"/>
          <w:vertAlign w:val="superscript"/>
          <w:lang w:eastAsia="zh-CN"/>
        </w:rPr>
      </w:pPr>
      <w:r w:rsidRPr="0086396D">
        <w:rPr>
          <w:rFonts w:ascii="Book Antiqua" w:hAnsi="Book Antiqua"/>
          <w:sz w:val="24"/>
          <w:szCs w:val="24"/>
        </w:rPr>
        <w:t xml:space="preserve">Ammar Hassanzadeh Keshteli, Floris </w:t>
      </w:r>
      <w:r w:rsidR="00B950F5" w:rsidRPr="0086396D">
        <w:rPr>
          <w:rFonts w:ascii="Book Antiqua" w:hAnsi="Book Antiqua"/>
          <w:sz w:val="24"/>
          <w:szCs w:val="24"/>
        </w:rPr>
        <w:t>F</w:t>
      </w:r>
      <w:r w:rsidR="00E74E95" w:rsidRPr="0086396D">
        <w:rPr>
          <w:rFonts w:ascii="Book Antiqua" w:hAnsi="Book Antiqua"/>
          <w:sz w:val="24"/>
          <w:szCs w:val="24"/>
        </w:rPr>
        <w:t xml:space="preserve"> </w:t>
      </w:r>
      <w:r w:rsidRPr="0086396D">
        <w:rPr>
          <w:rFonts w:ascii="Book Antiqua" w:hAnsi="Book Antiqua"/>
          <w:sz w:val="24"/>
          <w:szCs w:val="24"/>
        </w:rPr>
        <w:t xml:space="preserve">van den Brand, </w:t>
      </w:r>
      <w:r w:rsidR="00B950F5" w:rsidRPr="0086396D">
        <w:rPr>
          <w:rFonts w:ascii="Book Antiqua" w:hAnsi="Book Antiqua"/>
          <w:sz w:val="24"/>
          <w:szCs w:val="24"/>
        </w:rPr>
        <w:t>Karen L Madsen</w:t>
      </w:r>
      <w:r w:rsidR="00A47495" w:rsidRPr="0086396D">
        <w:rPr>
          <w:rFonts w:ascii="Book Antiqua" w:hAnsi="Book Antiqua"/>
          <w:sz w:val="24"/>
          <w:szCs w:val="24"/>
        </w:rPr>
        <w:t xml:space="preserve">, </w:t>
      </w:r>
      <w:r w:rsidRPr="0086396D">
        <w:rPr>
          <w:rFonts w:ascii="Book Antiqua" w:hAnsi="Book Antiqua"/>
          <w:sz w:val="24"/>
          <w:szCs w:val="24"/>
        </w:rPr>
        <w:t xml:space="preserve">Rupasri Mandal, Rosica Valcheva, </w:t>
      </w:r>
      <w:r w:rsidR="00B950F5" w:rsidRPr="0086396D">
        <w:rPr>
          <w:rFonts w:ascii="Book Antiqua" w:hAnsi="Book Antiqua"/>
          <w:sz w:val="24"/>
          <w:szCs w:val="24"/>
        </w:rPr>
        <w:t>Karen I Kroeker, Beomsoo Han</w:t>
      </w:r>
      <w:r w:rsidR="00A47495" w:rsidRPr="0086396D">
        <w:rPr>
          <w:rFonts w:ascii="Book Antiqua" w:hAnsi="Book Antiqua"/>
          <w:sz w:val="24"/>
          <w:szCs w:val="24"/>
        </w:rPr>
        <w:t xml:space="preserve">, Rhonda </w:t>
      </w:r>
      <w:r w:rsidR="00B950F5" w:rsidRPr="0086396D">
        <w:rPr>
          <w:rFonts w:ascii="Book Antiqua" w:hAnsi="Book Antiqua"/>
          <w:sz w:val="24"/>
          <w:szCs w:val="24"/>
        </w:rPr>
        <w:t>C</w:t>
      </w:r>
      <w:r w:rsidR="00605FA2" w:rsidRPr="0086396D">
        <w:rPr>
          <w:rFonts w:ascii="Book Antiqua" w:hAnsi="Book Antiqua"/>
          <w:sz w:val="24"/>
          <w:szCs w:val="24"/>
        </w:rPr>
        <w:t xml:space="preserve"> </w:t>
      </w:r>
      <w:r w:rsidR="00B950F5" w:rsidRPr="0086396D">
        <w:rPr>
          <w:rFonts w:ascii="Book Antiqua" w:hAnsi="Book Antiqua"/>
          <w:sz w:val="24"/>
          <w:szCs w:val="24"/>
        </w:rPr>
        <w:t>Bell</w:t>
      </w:r>
      <w:r w:rsidR="00306CA1" w:rsidRPr="0086396D">
        <w:rPr>
          <w:rFonts w:ascii="Book Antiqua" w:hAnsi="Book Antiqua"/>
          <w:sz w:val="24"/>
          <w:szCs w:val="24"/>
        </w:rPr>
        <w:t>, Janis Cole</w:t>
      </w:r>
      <w:r w:rsidR="00A47495" w:rsidRPr="0086396D">
        <w:rPr>
          <w:rFonts w:ascii="Book Antiqua" w:hAnsi="Book Antiqua"/>
          <w:sz w:val="24"/>
          <w:szCs w:val="24"/>
        </w:rPr>
        <w:t xml:space="preserve">, </w:t>
      </w:r>
      <w:r w:rsidRPr="0086396D">
        <w:rPr>
          <w:rFonts w:ascii="Book Antiqua" w:hAnsi="Book Antiqua"/>
          <w:sz w:val="24"/>
          <w:szCs w:val="24"/>
        </w:rPr>
        <w:t>Thomas Hoevers</w:t>
      </w:r>
      <w:r w:rsidR="00A47495" w:rsidRPr="0086396D">
        <w:rPr>
          <w:rFonts w:ascii="Book Antiqua" w:hAnsi="Book Antiqua"/>
          <w:sz w:val="24"/>
          <w:szCs w:val="24"/>
        </w:rPr>
        <w:t>,</w:t>
      </w:r>
      <w:r w:rsidR="00EE6BCC" w:rsidRPr="0086396D">
        <w:rPr>
          <w:rFonts w:ascii="Book Antiqua" w:hAnsi="Book Antiqua"/>
          <w:sz w:val="24"/>
          <w:szCs w:val="24"/>
        </w:rPr>
        <w:t xml:space="preserve"> </w:t>
      </w:r>
      <w:r w:rsidR="00A47495" w:rsidRPr="0086396D">
        <w:rPr>
          <w:rFonts w:ascii="Book Antiqua" w:hAnsi="Book Antiqua"/>
          <w:sz w:val="24"/>
          <w:szCs w:val="24"/>
        </w:rPr>
        <w:t xml:space="preserve">David </w:t>
      </w:r>
      <w:r w:rsidR="00B950F5" w:rsidRPr="0086396D">
        <w:rPr>
          <w:rFonts w:ascii="Book Antiqua" w:hAnsi="Book Antiqua"/>
          <w:sz w:val="24"/>
          <w:szCs w:val="24"/>
        </w:rPr>
        <w:t>S</w:t>
      </w:r>
      <w:r w:rsidR="00140D07" w:rsidRPr="0086396D">
        <w:rPr>
          <w:rFonts w:ascii="Book Antiqua" w:hAnsi="Book Antiqua"/>
          <w:sz w:val="24"/>
          <w:szCs w:val="24"/>
        </w:rPr>
        <w:t xml:space="preserve"> </w:t>
      </w:r>
      <w:r w:rsidR="00B950F5" w:rsidRPr="0086396D">
        <w:rPr>
          <w:rFonts w:ascii="Book Antiqua" w:hAnsi="Book Antiqua"/>
          <w:sz w:val="24"/>
          <w:szCs w:val="24"/>
        </w:rPr>
        <w:t>Wishart</w:t>
      </w:r>
      <w:r w:rsidR="00A47495" w:rsidRPr="0086396D">
        <w:rPr>
          <w:rFonts w:ascii="Book Antiqua" w:hAnsi="Book Antiqua"/>
          <w:sz w:val="24"/>
          <w:szCs w:val="24"/>
        </w:rPr>
        <w:t xml:space="preserve">, </w:t>
      </w:r>
      <w:r w:rsidR="001D6276" w:rsidRPr="0086396D">
        <w:rPr>
          <w:rFonts w:ascii="Book Antiqua" w:hAnsi="Book Antiqua"/>
          <w:sz w:val="24"/>
          <w:szCs w:val="24"/>
        </w:rPr>
        <w:t xml:space="preserve">Richard </w:t>
      </w:r>
      <w:r w:rsidR="00B950F5" w:rsidRPr="0086396D">
        <w:rPr>
          <w:rFonts w:ascii="Book Antiqua" w:hAnsi="Book Antiqua"/>
          <w:sz w:val="24"/>
          <w:szCs w:val="24"/>
        </w:rPr>
        <w:t>N</w:t>
      </w:r>
      <w:r w:rsidR="00F15F34" w:rsidRPr="0086396D">
        <w:rPr>
          <w:rFonts w:ascii="Book Antiqua" w:hAnsi="Book Antiqua"/>
          <w:sz w:val="24"/>
          <w:szCs w:val="24"/>
        </w:rPr>
        <w:t xml:space="preserve"> </w:t>
      </w:r>
      <w:r w:rsidR="001D6276" w:rsidRPr="0086396D">
        <w:rPr>
          <w:rFonts w:ascii="Book Antiqua" w:hAnsi="Book Antiqua"/>
          <w:sz w:val="24"/>
          <w:szCs w:val="24"/>
        </w:rPr>
        <w:t xml:space="preserve">Fedorak, Levinus </w:t>
      </w:r>
      <w:r w:rsidR="00B950F5" w:rsidRPr="0086396D">
        <w:rPr>
          <w:rFonts w:ascii="Book Antiqua" w:hAnsi="Book Antiqua"/>
          <w:sz w:val="24"/>
          <w:szCs w:val="24"/>
        </w:rPr>
        <w:t>A</w:t>
      </w:r>
      <w:r w:rsidR="00092741" w:rsidRPr="0086396D">
        <w:rPr>
          <w:rFonts w:ascii="Book Antiqua" w:hAnsi="Book Antiqua"/>
          <w:sz w:val="24"/>
          <w:szCs w:val="24"/>
        </w:rPr>
        <w:t xml:space="preserve"> </w:t>
      </w:r>
      <w:r w:rsidR="001D6276" w:rsidRPr="0086396D">
        <w:rPr>
          <w:rFonts w:ascii="Book Antiqua" w:hAnsi="Book Antiqua"/>
          <w:sz w:val="24"/>
          <w:szCs w:val="24"/>
        </w:rPr>
        <w:t>Dieleman</w:t>
      </w:r>
    </w:p>
    <w:p w14:paraId="35552CF2" w14:textId="77777777" w:rsidR="00E11AD0" w:rsidRDefault="00E11AD0" w:rsidP="005C7D8E">
      <w:pPr>
        <w:adjustRightInd w:val="0"/>
        <w:snapToGrid w:val="0"/>
        <w:spacing w:after="0" w:line="360" w:lineRule="auto"/>
        <w:jc w:val="both"/>
        <w:rPr>
          <w:rFonts w:ascii="Book Antiqua" w:hAnsi="Book Antiqua"/>
          <w:b/>
          <w:bCs/>
          <w:sz w:val="24"/>
          <w:szCs w:val="24"/>
          <w:lang w:eastAsia="zh-CN"/>
        </w:rPr>
      </w:pPr>
    </w:p>
    <w:p w14:paraId="22B0ED49" w14:textId="762598C7" w:rsidR="0065384B" w:rsidRPr="00A86475" w:rsidRDefault="00A86475" w:rsidP="005C7D8E">
      <w:pPr>
        <w:adjustRightInd w:val="0"/>
        <w:snapToGrid w:val="0"/>
        <w:spacing w:after="0" w:line="360" w:lineRule="auto"/>
        <w:jc w:val="both"/>
        <w:rPr>
          <w:lang w:eastAsia="zh-CN"/>
        </w:rPr>
      </w:pPr>
      <w:r w:rsidRPr="00A86475">
        <w:rPr>
          <w:rFonts w:ascii="Book Antiqua" w:hAnsi="Book Antiqua"/>
          <w:b/>
          <w:sz w:val="24"/>
          <w:szCs w:val="24"/>
        </w:rPr>
        <w:t>Ammar Hassanzadeh Keshteli, Floris F van den Brand, Karen L Madsen, Rosica Valcheva, Karen I Kroeker, Thomas Hoevers, Richard N Fedorak, Levinus A Dieleman</w:t>
      </w:r>
      <w:r w:rsidRPr="00A86475">
        <w:rPr>
          <w:rFonts w:hint="eastAsia"/>
          <w:b/>
          <w:lang w:eastAsia="zh-CN"/>
        </w:rPr>
        <w:t xml:space="preserve">, </w:t>
      </w:r>
      <w:r w:rsidR="00092741" w:rsidRPr="0086396D">
        <w:rPr>
          <w:rFonts w:ascii="Book Antiqua" w:hAnsi="Book Antiqua"/>
          <w:bCs/>
          <w:sz w:val="24"/>
          <w:szCs w:val="24"/>
        </w:rPr>
        <w:t xml:space="preserve">Department of Medicine, </w:t>
      </w:r>
      <w:r w:rsidR="00F15F34" w:rsidRPr="0086396D">
        <w:rPr>
          <w:rFonts w:ascii="Book Antiqua" w:hAnsi="Book Antiqua"/>
          <w:bCs/>
          <w:sz w:val="24"/>
          <w:szCs w:val="24"/>
        </w:rPr>
        <w:t xml:space="preserve">Division of Gastroenterology and CEGIIR, </w:t>
      </w:r>
      <w:r w:rsidR="00092741" w:rsidRPr="0086396D">
        <w:rPr>
          <w:rFonts w:ascii="Book Antiqua" w:hAnsi="Book Antiqua"/>
          <w:bCs/>
          <w:sz w:val="24"/>
          <w:szCs w:val="24"/>
        </w:rPr>
        <w:t>Unive</w:t>
      </w:r>
      <w:r w:rsidR="00270EA1">
        <w:rPr>
          <w:rFonts w:ascii="Book Antiqua" w:hAnsi="Book Antiqua"/>
          <w:bCs/>
          <w:sz w:val="24"/>
          <w:szCs w:val="24"/>
        </w:rPr>
        <w:t xml:space="preserve">rsity of Alberta, Edmonton, AB </w:t>
      </w:r>
      <w:r w:rsidR="001947D4" w:rsidRPr="0086396D">
        <w:rPr>
          <w:rFonts w:ascii="Book Antiqua" w:hAnsi="Book Antiqua"/>
          <w:bCs/>
          <w:sz w:val="24"/>
          <w:szCs w:val="24"/>
        </w:rPr>
        <w:t>T6G 2E1</w:t>
      </w:r>
      <w:r w:rsidR="00270EA1">
        <w:rPr>
          <w:rFonts w:ascii="Book Antiqua" w:hAnsi="Book Antiqua"/>
          <w:bCs/>
          <w:sz w:val="24"/>
          <w:szCs w:val="24"/>
          <w:lang w:eastAsia="zh-CN"/>
        </w:rPr>
        <w:t>,</w:t>
      </w:r>
      <w:r w:rsidR="00270EA1" w:rsidRPr="00270EA1">
        <w:rPr>
          <w:rFonts w:ascii="Book Antiqua" w:hAnsi="Book Antiqua"/>
          <w:bCs/>
          <w:sz w:val="24"/>
          <w:szCs w:val="24"/>
        </w:rPr>
        <w:t xml:space="preserve"> </w:t>
      </w:r>
      <w:r w:rsidR="00270EA1" w:rsidRPr="0086396D">
        <w:rPr>
          <w:rFonts w:ascii="Book Antiqua" w:hAnsi="Book Antiqua"/>
          <w:bCs/>
          <w:sz w:val="24"/>
          <w:szCs w:val="24"/>
        </w:rPr>
        <w:t>Canada</w:t>
      </w:r>
    </w:p>
    <w:p w14:paraId="1FAA0E5E" w14:textId="77777777" w:rsidR="00E11AD0" w:rsidRDefault="00E11AD0" w:rsidP="005C7D8E">
      <w:pPr>
        <w:adjustRightInd w:val="0"/>
        <w:snapToGrid w:val="0"/>
        <w:spacing w:after="0" w:line="360" w:lineRule="auto"/>
        <w:jc w:val="both"/>
        <w:rPr>
          <w:rFonts w:ascii="Book Antiqua" w:hAnsi="Book Antiqua"/>
          <w:b/>
          <w:sz w:val="24"/>
          <w:szCs w:val="24"/>
          <w:lang w:eastAsia="zh-CN"/>
        </w:rPr>
      </w:pPr>
    </w:p>
    <w:p w14:paraId="3EF2FECB" w14:textId="7F2AF460" w:rsidR="0065384B" w:rsidRDefault="00A86475" w:rsidP="005C7D8E">
      <w:pPr>
        <w:adjustRightInd w:val="0"/>
        <w:snapToGrid w:val="0"/>
        <w:spacing w:after="0" w:line="360" w:lineRule="auto"/>
        <w:jc w:val="both"/>
        <w:rPr>
          <w:rFonts w:ascii="Book Antiqua" w:hAnsi="Book Antiqua"/>
          <w:bCs/>
          <w:sz w:val="24"/>
          <w:szCs w:val="24"/>
          <w:lang w:eastAsia="zh-CN"/>
        </w:rPr>
      </w:pPr>
      <w:r w:rsidRPr="00A86475">
        <w:rPr>
          <w:rFonts w:ascii="Book Antiqua" w:hAnsi="Book Antiqua"/>
          <w:b/>
          <w:sz w:val="24"/>
          <w:szCs w:val="24"/>
        </w:rPr>
        <w:t>Rupasri Mandal, Beomsoo Han,</w:t>
      </w:r>
      <w:r w:rsidRPr="00A86475">
        <w:rPr>
          <w:rFonts w:hint="eastAsia"/>
          <w:b/>
          <w:lang w:eastAsia="zh-CN"/>
        </w:rPr>
        <w:t xml:space="preserve"> </w:t>
      </w:r>
      <w:r w:rsidRPr="00A86475">
        <w:rPr>
          <w:rFonts w:ascii="Book Antiqua" w:hAnsi="Book Antiqua"/>
          <w:b/>
          <w:sz w:val="24"/>
          <w:szCs w:val="24"/>
        </w:rPr>
        <w:t xml:space="preserve">David S Wishart, </w:t>
      </w:r>
      <w:r w:rsidR="00092741" w:rsidRPr="0086396D">
        <w:rPr>
          <w:rFonts w:ascii="Book Antiqua" w:hAnsi="Book Antiqua"/>
          <w:bCs/>
          <w:sz w:val="24"/>
          <w:szCs w:val="24"/>
        </w:rPr>
        <w:t>Department of Biological Sciences, University of Alberta, Edmonton, AB</w:t>
      </w:r>
      <w:r>
        <w:rPr>
          <w:rFonts w:ascii="Book Antiqua" w:hAnsi="Book Antiqua" w:hint="eastAsia"/>
          <w:bCs/>
          <w:sz w:val="24"/>
          <w:szCs w:val="24"/>
          <w:lang w:eastAsia="zh-CN"/>
        </w:rPr>
        <w:t xml:space="preserve"> </w:t>
      </w:r>
      <w:r w:rsidRPr="0086396D">
        <w:rPr>
          <w:rFonts w:ascii="Book Antiqua" w:hAnsi="Book Antiqua"/>
          <w:bCs/>
          <w:sz w:val="24"/>
          <w:szCs w:val="24"/>
        </w:rPr>
        <w:t>T6G 2E9</w:t>
      </w:r>
      <w:r w:rsidR="00092741" w:rsidRPr="0086396D">
        <w:rPr>
          <w:rFonts w:ascii="Book Antiqua" w:hAnsi="Book Antiqua"/>
          <w:bCs/>
          <w:sz w:val="24"/>
          <w:szCs w:val="24"/>
        </w:rPr>
        <w:t>, Canada</w:t>
      </w:r>
      <w:r w:rsidR="000C6A8C" w:rsidRPr="0086396D">
        <w:rPr>
          <w:rFonts w:ascii="Book Antiqua" w:hAnsi="Book Antiqua"/>
          <w:bCs/>
          <w:sz w:val="24"/>
          <w:szCs w:val="24"/>
        </w:rPr>
        <w:t xml:space="preserve"> </w:t>
      </w:r>
    </w:p>
    <w:p w14:paraId="2DEE0668" w14:textId="77777777" w:rsidR="00A86475" w:rsidRPr="00A86475" w:rsidRDefault="00A86475" w:rsidP="005C7D8E">
      <w:pPr>
        <w:adjustRightInd w:val="0"/>
        <w:snapToGrid w:val="0"/>
        <w:spacing w:after="0" w:line="360" w:lineRule="auto"/>
        <w:jc w:val="both"/>
        <w:rPr>
          <w:lang w:eastAsia="zh-CN"/>
        </w:rPr>
      </w:pPr>
    </w:p>
    <w:p w14:paraId="287DA06F" w14:textId="40FAFBEF" w:rsidR="00A47495" w:rsidRDefault="00A86475" w:rsidP="005C7D8E">
      <w:pPr>
        <w:adjustRightInd w:val="0"/>
        <w:snapToGrid w:val="0"/>
        <w:spacing w:after="0" w:line="360" w:lineRule="auto"/>
        <w:jc w:val="both"/>
        <w:rPr>
          <w:rFonts w:ascii="Book Antiqua" w:hAnsi="Book Antiqua"/>
          <w:bCs/>
          <w:sz w:val="24"/>
          <w:szCs w:val="24"/>
          <w:lang w:eastAsia="zh-CN"/>
        </w:rPr>
      </w:pPr>
      <w:r w:rsidRPr="00A86475">
        <w:rPr>
          <w:rFonts w:ascii="Book Antiqua" w:hAnsi="Book Antiqua"/>
          <w:b/>
          <w:sz w:val="24"/>
          <w:szCs w:val="24"/>
        </w:rPr>
        <w:t xml:space="preserve">Rhonda C Bell, Janis Cole, </w:t>
      </w:r>
      <w:r w:rsidR="00605FA2" w:rsidRPr="0086396D">
        <w:rPr>
          <w:rFonts w:ascii="Book Antiqua" w:hAnsi="Book Antiqua"/>
          <w:bCs/>
          <w:sz w:val="24"/>
          <w:szCs w:val="24"/>
        </w:rPr>
        <w:t>Department of Agricultural, Food &amp; Nutritional Science, Faculty of Agricultural, Life &amp; Environmental Sciences, University of Alberta, Edmonton, AB</w:t>
      </w:r>
      <w:r w:rsidR="00E11AD0">
        <w:rPr>
          <w:rFonts w:ascii="Book Antiqua" w:hAnsi="Book Antiqua" w:hint="eastAsia"/>
          <w:bCs/>
          <w:sz w:val="24"/>
          <w:szCs w:val="24"/>
          <w:lang w:eastAsia="zh-CN"/>
        </w:rPr>
        <w:t xml:space="preserve"> </w:t>
      </w:r>
      <w:r w:rsidR="00E11AD0" w:rsidRPr="0086396D">
        <w:rPr>
          <w:rFonts w:ascii="Book Antiqua" w:hAnsi="Book Antiqua"/>
          <w:bCs/>
          <w:sz w:val="24"/>
          <w:szCs w:val="24"/>
        </w:rPr>
        <w:t>T6G 2E1</w:t>
      </w:r>
      <w:r w:rsidR="00605FA2" w:rsidRPr="0086396D">
        <w:rPr>
          <w:rFonts w:ascii="Book Antiqua" w:hAnsi="Book Antiqua"/>
          <w:bCs/>
          <w:sz w:val="24"/>
          <w:szCs w:val="24"/>
        </w:rPr>
        <w:t>, Canada</w:t>
      </w:r>
    </w:p>
    <w:p w14:paraId="6A2C70B7" w14:textId="77777777" w:rsidR="00E11AD0" w:rsidRPr="0086396D" w:rsidRDefault="00E11AD0" w:rsidP="005C7D8E">
      <w:pPr>
        <w:adjustRightInd w:val="0"/>
        <w:snapToGrid w:val="0"/>
        <w:spacing w:after="0" w:line="360" w:lineRule="auto"/>
        <w:jc w:val="both"/>
        <w:rPr>
          <w:rFonts w:ascii="Book Antiqua" w:hAnsi="Book Antiqua"/>
          <w:bCs/>
          <w:sz w:val="24"/>
          <w:szCs w:val="24"/>
          <w:lang w:eastAsia="zh-CN"/>
        </w:rPr>
      </w:pPr>
    </w:p>
    <w:p w14:paraId="2EF0A8F0" w14:textId="405AE8E5" w:rsidR="00770199" w:rsidRDefault="00E11AD0" w:rsidP="005C7D8E">
      <w:pPr>
        <w:adjustRightInd w:val="0"/>
        <w:snapToGrid w:val="0"/>
        <w:spacing w:after="0" w:line="360" w:lineRule="auto"/>
        <w:jc w:val="both"/>
        <w:rPr>
          <w:rFonts w:ascii="Book Antiqua" w:hAnsi="Book Antiqua"/>
          <w:bCs/>
          <w:sz w:val="24"/>
          <w:szCs w:val="24"/>
          <w:lang w:eastAsia="zh-CN"/>
        </w:rPr>
      </w:pPr>
      <w:r w:rsidRPr="00E11AD0">
        <w:rPr>
          <w:rFonts w:ascii="Book Antiqua" w:hAnsi="Book Antiqua"/>
          <w:b/>
          <w:sz w:val="24"/>
          <w:szCs w:val="24"/>
        </w:rPr>
        <w:t>David S Wishart,</w:t>
      </w:r>
      <w:r>
        <w:rPr>
          <w:rFonts w:ascii="Book Antiqua" w:hAnsi="Book Antiqua" w:hint="eastAsia"/>
          <w:sz w:val="24"/>
          <w:szCs w:val="24"/>
          <w:lang w:eastAsia="zh-CN"/>
        </w:rPr>
        <w:t xml:space="preserve"> </w:t>
      </w:r>
      <w:r w:rsidR="00092741" w:rsidRPr="0086396D">
        <w:rPr>
          <w:rFonts w:ascii="Book Antiqua" w:hAnsi="Book Antiqua"/>
          <w:bCs/>
          <w:sz w:val="24"/>
          <w:szCs w:val="24"/>
        </w:rPr>
        <w:t>Department of Computing Science, University of Alberta, Edmonton, AB</w:t>
      </w:r>
      <w:r>
        <w:rPr>
          <w:rFonts w:ascii="Book Antiqua" w:hAnsi="Book Antiqua" w:hint="eastAsia"/>
          <w:bCs/>
          <w:sz w:val="24"/>
          <w:szCs w:val="24"/>
          <w:lang w:eastAsia="zh-CN"/>
        </w:rPr>
        <w:t xml:space="preserve"> </w:t>
      </w:r>
      <w:r w:rsidRPr="0086396D">
        <w:rPr>
          <w:rFonts w:ascii="Book Antiqua" w:hAnsi="Book Antiqua"/>
          <w:bCs/>
          <w:sz w:val="24"/>
          <w:szCs w:val="24"/>
        </w:rPr>
        <w:t>T6G 2E8</w:t>
      </w:r>
      <w:r w:rsidR="00092741" w:rsidRPr="0086396D">
        <w:rPr>
          <w:rFonts w:ascii="Book Antiqua" w:hAnsi="Book Antiqua"/>
          <w:bCs/>
          <w:sz w:val="24"/>
          <w:szCs w:val="24"/>
        </w:rPr>
        <w:t>, Canada</w:t>
      </w:r>
    </w:p>
    <w:p w14:paraId="59F5E671" w14:textId="77777777" w:rsidR="00E11AD0" w:rsidRDefault="00E11AD0" w:rsidP="005C7D8E">
      <w:pPr>
        <w:adjustRightInd w:val="0"/>
        <w:snapToGrid w:val="0"/>
        <w:spacing w:after="0" w:line="360" w:lineRule="auto"/>
        <w:jc w:val="both"/>
        <w:rPr>
          <w:rFonts w:ascii="Book Antiqua" w:hAnsi="Book Antiqua"/>
          <w:bCs/>
          <w:sz w:val="24"/>
          <w:szCs w:val="24"/>
          <w:lang w:eastAsia="zh-CN"/>
        </w:rPr>
      </w:pPr>
    </w:p>
    <w:p w14:paraId="1E35CEE7" w14:textId="77777777" w:rsidR="00E11AD0" w:rsidRPr="0086396D" w:rsidRDefault="00E11AD0" w:rsidP="005C7D8E">
      <w:pPr>
        <w:adjustRightInd w:val="0"/>
        <w:snapToGrid w:val="0"/>
        <w:spacing w:after="0" w:line="360" w:lineRule="auto"/>
        <w:jc w:val="both"/>
        <w:rPr>
          <w:rFonts w:ascii="Book Antiqua" w:hAnsi="Book Antiqua"/>
          <w:sz w:val="24"/>
          <w:szCs w:val="24"/>
          <w:vertAlign w:val="superscript"/>
          <w:lang w:eastAsia="zh-CN"/>
        </w:rPr>
      </w:pPr>
      <w:r w:rsidRPr="0086396D">
        <w:rPr>
          <w:rFonts w:ascii="Book Antiqua" w:hAnsi="Book Antiqua"/>
          <w:sz w:val="24"/>
          <w:szCs w:val="24"/>
        </w:rPr>
        <w:lastRenderedPageBreak/>
        <w:t>Ammar Hassanzadeh Keshteli, Floris F van den Brand, Karen L Madsen, Rupasri Mandal, Rosica Valcheva, Karen I Kroeker, Beomsoo Han, Rhonda C Bell, Janis Cole, Thomas Hoevers, David S Wishart, Richard N Fedorak, Levinus A Dieleman</w:t>
      </w:r>
    </w:p>
    <w:p w14:paraId="2BB01C2E" w14:textId="77777777" w:rsidR="00E11AD0" w:rsidRPr="00E11AD0" w:rsidRDefault="00E11AD0" w:rsidP="005C7D8E">
      <w:pPr>
        <w:adjustRightInd w:val="0"/>
        <w:snapToGrid w:val="0"/>
        <w:spacing w:after="0" w:line="360" w:lineRule="auto"/>
        <w:jc w:val="both"/>
        <w:rPr>
          <w:rFonts w:ascii="Book Antiqua" w:hAnsi="Book Antiqua"/>
          <w:bCs/>
          <w:sz w:val="24"/>
          <w:szCs w:val="24"/>
          <w:lang w:eastAsia="zh-CN"/>
        </w:rPr>
      </w:pPr>
    </w:p>
    <w:p w14:paraId="6EFAA054" w14:textId="05973400" w:rsidR="00770199" w:rsidRDefault="00770199"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b/>
          <w:sz w:val="24"/>
          <w:szCs w:val="24"/>
        </w:rPr>
        <w:t xml:space="preserve">Author contributions: </w:t>
      </w:r>
      <w:r w:rsidR="00E11AD0" w:rsidRPr="0086396D">
        <w:rPr>
          <w:rFonts w:ascii="Book Antiqua" w:hAnsi="Book Antiqua"/>
          <w:sz w:val="24"/>
          <w:szCs w:val="24"/>
        </w:rPr>
        <w:t>Madsen</w:t>
      </w:r>
      <w:r w:rsidR="00E11AD0" w:rsidRPr="0086396D">
        <w:rPr>
          <w:rFonts w:ascii="Book Antiqua" w:hAnsi="Book Antiqua"/>
          <w:bCs/>
          <w:sz w:val="24"/>
          <w:szCs w:val="24"/>
        </w:rPr>
        <w:t xml:space="preserve"> </w:t>
      </w:r>
      <w:r w:rsidR="00910657" w:rsidRPr="0086396D">
        <w:rPr>
          <w:rFonts w:ascii="Book Antiqua" w:hAnsi="Book Antiqua"/>
          <w:bCs/>
          <w:sz w:val="24"/>
          <w:szCs w:val="24"/>
        </w:rPr>
        <w:t xml:space="preserve">KL, </w:t>
      </w:r>
      <w:r w:rsidR="00F679C3" w:rsidRPr="0086396D">
        <w:rPr>
          <w:rFonts w:ascii="Book Antiqua" w:hAnsi="Book Antiqua"/>
          <w:sz w:val="24"/>
          <w:szCs w:val="24"/>
        </w:rPr>
        <w:t>Bell</w:t>
      </w:r>
      <w:r w:rsidR="00F679C3" w:rsidRPr="0086396D">
        <w:rPr>
          <w:rFonts w:ascii="Book Antiqua" w:hAnsi="Book Antiqua"/>
          <w:bCs/>
          <w:sz w:val="24"/>
          <w:szCs w:val="24"/>
        </w:rPr>
        <w:t xml:space="preserve"> </w:t>
      </w:r>
      <w:r w:rsidR="00F679C3">
        <w:rPr>
          <w:rFonts w:ascii="Book Antiqua" w:hAnsi="Book Antiqua"/>
          <w:bCs/>
          <w:sz w:val="24"/>
          <w:szCs w:val="24"/>
        </w:rPr>
        <w:t>RC</w:t>
      </w:r>
      <w:r w:rsidR="00910657" w:rsidRPr="0086396D">
        <w:rPr>
          <w:rFonts w:ascii="Book Antiqua" w:hAnsi="Book Antiqua"/>
          <w:bCs/>
          <w:sz w:val="24"/>
          <w:szCs w:val="24"/>
        </w:rPr>
        <w:t xml:space="preserve">, </w:t>
      </w:r>
      <w:r w:rsidR="00F679C3" w:rsidRPr="0086396D">
        <w:rPr>
          <w:rFonts w:ascii="Book Antiqua" w:hAnsi="Book Antiqua"/>
          <w:sz w:val="24"/>
          <w:szCs w:val="24"/>
        </w:rPr>
        <w:t>Wishart</w:t>
      </w:r>
      <w:r w:rsidR="00F679C3" w:rsidRPr="0086396D">
        <w:rPr>
          <w:rFonts w:ascii="Book Antiqua" w:hAnsi="Book Antiqua"/>
          <w:bCs/>
          <w:sz w:val="24"/>
          <w:szCs w:val="24"/>
        </w:rPr>
        <w:t xml:space="preserve"> </w:t>
      </w:r>
      <w:r w:rsidR="00910657" w:rsidRPr="0086396D">
        <w:rPr>
          <w:rFonts w:ascii="Book Antiqua" w:hAnsi="Book Antiqua"/>
          <w:bCs/>
          <w:sz w:val="24"/>
          <w:szCs w:val="24"/>
        </w:rPr>
        <w:t>DS</w:t>
      </w:r>
      <w:r w:rsidR="000B0597" w:rsidRPr="0086396D">
        <w:rPr>
          <w:rFonts w:ascii="Book Antiqua" w:hAnsi="Book Antiqua"/>
          <w:bCs/>
          <w:sz w:val="24"/>
          <w:szCs w:val="24"/>
        </w:rPr>
        <w:t xml:space="preserve"> </w:t>
      </w:r>
      <w:r w:rsidR="00910657" w:rsidRPr="0086396D">
        <w:rPr>
          <w:rFonts w:ascii="Book Antiqua" w:hAnsi="Book Antiqua"/>
          <w:bCs/>
          <w:sz w:val="24"/>
          <w:szCs w:val="24"/>
        </w:rPr>
        <w:t xml:space="preserve">and </w:t>
      </w:r>
      <w:r w:rsidR="00F679C3" w:rsidRPr="0086396D">
        <w:rPr>
          <w:rFonts w:ascii="Book Antiqua" w:hAnsi="Book Antiqua"/>
          <w:sz w:val="24"/>
          <w:szCs w:val="24"/>
        </w:rPr>
        <w:t>Dieleman</w:t>
      </w:r>
      <w:r w:rsidR="00F679C3" w:rsidRPr="0086396D">
        <w:rPr>
          <w:rFonts w:ascii="Book Antiqua" w:hAnsi="Book Antiqua"/>
          <w:bCs/>
          <w:sz w:val="24"/>
          <w:szCs w:val="24"/>
        </w:rPr>
        <w:t xml:space="preserve"> </w:t>
      </w:r>
      <w:r w:rsidR="00F679C3">
        <w:rPr>
          <w:rFonts w:ascii="Book Antiqua" w:hAnsi="Book Antiqua"/>
          <w:bCs/>
          <w:sz w:val="24"/>
          <w:szCs w:val="24"/>
        </w:rPr>
        <w:t>LA</w:t>
      </w:r>
      <w:r w:rsidR="00910657" w:rsidRPr="0086396D">
        <w:rPr>
          <w:rFonts w:ascii="Book Antiqua" w:hAnsi="Book Antiqua"/>
          <w:bCs/>
          <w:sz w:val="24"/>
          <w:szCs w:val="24"/>
        </w:rPr>
        <w:t xml:space="preserve"> were involved in study design</w:t>
      </w:r>
      <w:r w:rsidR="00F679C3">
        <w:rPr>
          <w:rFonts w:ascii="Book Antiqua" w:hAnsi="Book Antiqua" w:hint="eastAsia"/>
          <w:bCs/>
          <w:sz w:val="24"/>
          <w:szCs w:val="24"/>
          <w:lang w:eastAsia="zh-CN"/>
        </w:rPr>
        <w:t>;</w:t>
      </w:r>
      <w:r w:rsidR="00910657" w:rsidRPr="0086396D">
        <w:rPr>
          <w:rFonts w:ascii="Book Antiqua" w:hAnsi="Book Antiqua"/>
          <w:bCs/>
          <w:sz w:val="24"/>
          <w:szCs w:val="24"/>
        </w:rPr>
        <w:t xml:space="preserve"> </w:t>
      </w:r>
      <w:r w:rsidR="00F679C3" w:rsidRPr="0086396D">
        <w:rPr>
          <w:rFonts w:ascii="Book Antiqua" w:hAnsi="Book Antiqua"/>
          <w:sz w:val="24"/>
          <w:szCs w:val="24"/>
        </w:rPr>
        <w:t>Keshteli</w:t>
      </w:r>
      <w:r w:rsidR="00F679C3" w:rsidRPr="0086396D">
        <w:rPr>
          <w:rFonts w:ascii="Book Antiqua" w:hAnsi="Book Antiqua"/>
          <w:bCs/>
          <w:sz w:val="24"/>
          <w:szCs w:val="24"/>
        </w:rPr>
        <w:t xml:space="preserve"> </w:t>
      </w:r>
      <w:r w:rsidR="00F679C3">
        <w:rPr>
          <w:rFonts w:ascii="Book Antiqua" w:hAnsi="Book Antiqua"/>
          <w:bCs/>
          <w:sz w:val="24"/>
          <w:szCs w:val="24"/>
        </w:rPr>
        <w:t>AH</w:t>
      </w:r>
      <w:r w:rsidR="00910657" w:rsidRPr="0086396D">
        <w:rPr>
          <w:rFonts w:ascii="Book Antiqua" w:hAnsi="Book Antiqua"/>
          <w:bCs/>
          <w:sz w:val="24"/>
          <w:szCs w:val="24"/>
        </w:rPr>
        <w:t xml:space="preserve">, </w:t>
      </w:r>
      <w:r w:rsidR="00F679C3" w:rsidRPr="0086396D">
        <w:rPr>
          <w:rFonts w:ascii="Book Antiqua" w:hAnsi="Book Antiqua"/>
          <w:sz w:val="24"/>
          <w:szCs w:val="24"/>
        </w:rPr>
        <w:t>van den Brand</w:t>
      </w:r>
      <w:r w:rsidR="00F679C3" w:rsidRPr="0086396D">
        <w:rPr>
          <w:rFonts w:ascii="Book Antiqua" w:hAnsi="Book Antiqua"/>
          <w:bCs/>
          <w:sz w:val="24"/>
          <w:szCs w:val="24"/>
        </w:rPr>
        <w:t xml:space="preserve"> </w:t>
      </w:r>
      <w:r w:rsidR="00F679C3">
        <w:rPr>
          <w:rFonts w:ascii="Book Antiqua" w:hAnsi="Book Antiqua"/>
          <w:bCs/>
          <w:sz w:val="24"/>
          <w:szCs w:val="24"/>
        </w:rPr>
        <w:t>FF</w:t>
      </w:r>
      <w:r w:rsidR="00910657" w:rsidRPr="0086396D">
        <w:rPr>
          <w:rFonts w:ascii="Book Antiqua" w:hAnsi="Book Antiqua"/>
          <w:bCs/>
          <w:sz w:val="24"/>
          <w:szCs w:val="24"/>
        </w:rPr>
        <w:t xml:space="preserve">, </w:t>
      </w:r>
      <w:r w:rsidR="00F679C3" w:rsidRPr="0086396D">
        <w:rPr>
          <w:rFonts w:ascii="Book Antiqua" w:hAnsi="Book Antiqua"/>
          <w:sz w:val="24"/>
          <w:szCs w:val="24"/>
        </w:rPr>
        <w:t>Kroeker</w:t>
      </w:r>
      <w:r w:rsidR="00F679C3" w:rsidRPr="0086396D">
        <w:rPr>
          <w:rFonts w:ascii="Book Antiqua" w:hAnsi="Book Antiqua"/>
          <w:bCs/>
          <w:sz w:val="24"/>
          <w:szCs w:val="24"/>
        </w:rPr>
        <w:t xml:space="preserve"> </w:t>
      </w:r>
      <w:r w:rsidR="00F679C3">
        <w:rPr>
          <w:rFonts w:ascii="Book Antiqua" w:hAnsi="Book Antiqua"/>
          <w:bCs/>
          <w:sz w:val="24"/>
          <w:szCs w:val="24"/>
        </w:rPr>
        <w:t>KI</w:t>
      </w:r>
      <w:r w:rsidR="00910657" w:rsidRPr="0086396D">
        <w:rPr>
          <w:rFonts w:ascii="Book Antiqua" w:hAnsi="Book Antiqua"/>
          <w:bCs/>
          <w:sz w:val="24"/>
          <w:szCs w:val="24"/>
        </w:rPr>
        <w:t xml:space="preserve">, </w:t>
      </w:r>
      <w:r w:rsidR="00F679C3" w:rsidRPr="0086396D">
        <w:rPr>
          <w:rFonts w:ascii="Book Antiqua" w:hAnsi="Book Antiqua"/>
          <w:sz w:val="24"/>
          <w:szCs w:val="24"/>
        </w:rPr>
        <w:t>Cole</w:t>
      </w:r>
      <w:r w:rsidR="00F679C3" w:rsidRPr="0086396D">
        <w:rPr>
          <w:rFonts w:ascii="Book Antiqua" w:hAnsi="Book Antiqua"/>
          <w:bCs/>
          <w:sz w:val="24"/>
          <w:szCs w:val="24"/>
        </w:rPr>
        <w:t xml:space="preserve"> </w:t>
      </w:r>
      <w:r w:rsidR="00F679C3">
        <w:rPr>
          <w:rFonts w:ascii="Book Antiqua" w:hAnsi="Book Antiqua"/>
          <w:bCs/>
          <w:sz w:val="24"/>
          <w:szCs w:val="24"/>
        </w:rPr>
        <w:t>J</w:t>
      </w:r>
      <w:r w:rsidR="00910657" w:rsidRPr="0086396D">
        <w:rPr>
          <w:rFonts w:ascii="Book Antiqua" w:hAnsi="Book Antiqua"/>
          <w:bCs/>
          <w:sz w:val="24"/>
          <w:szCs w:val="24"/>
        </w:rPr>
        <w:t xml:space="preserve">, </w:t>
      </w:r>
      <w:r w:rsidR="00F679C3" w:rsidRPr="0086396D">
        <w:rPr>
          <w:rFonts w:ascii="Book Antiqua" w:hAnsi="Book Antiqua"/>
          <w:sz w:val="24"/>
          <w:szCs w:val="24"/>
        </w:rPr>
        <w:t>Fedorak</w:t>
      </w:r>
      <w:r w:rsidR="00F679C3" w:rsidRPr="0086396D">
        <w:rPr>
          <w:rFonts w:ascii="Book Antiqua" w:hAnsi="Book Antiqua"/>
          <w:bCs/>
          <w:sz w:val="24"/>
          <w:szCs w:val="24"/>
        </w:rPr>
        <w:t xml:space="preserve"> </w:t>
      </w:r>
      <w:r w:rsidR="00F679C3">
        <w:rPr>
          <w:rFonts w:ascii="Book Antiqua" w:hAnsi="Book Antiqua"/>
          <w:bCs/>
          <w:sz w:val="24"/>
          <w:szCs w:val="24"/>
        </w:rPr>
        <w:t>RN</w:t>
      </w:r>
      <w:r w:rsidR="00910657" w:rsidRPr="0086396D">
        <w:rPr>
          <w:rFonts w:ascii="Book Antiqua" w:hAnsi="Book Antiqua"/>
          <w:bCs/>
          <w:sz w:val="24"/>
          <w:szCs w:val="24"/>
        </w:rPr>
        <w:t xml:space="preserve">, and </w:t>
      </w:r>
      <w:r w:rsidR="00F679C3" w:rsidRPr="0086396D">
        <w:rPr>
          <w:rFonts w:ascii="Book Antiqua" w:hAnsi="Book Antiqua"/>
          <w:sz w:val="24"/>
          <w:szCs w:val="24"/>
        </w:rPr>
        <w:t>Dieleman</w:t>
      </w:r>
      <w:r w:rsidR="00F679C3" w:rsidRPr="0086396D">
        <w:rPr>
          <w:rFonts w:ascii="Book Antiqua" w:hAnsi="Book Antiqua"/>
          <w:bCs/>
          <w:sz w:val="24"/>
          <w:szCs w:val="24"/>
        </w:rPr>
        <w:t xml:space="preserve"> </w:t>
      </w:r>
      <w:r w:rsidR="00F679C3">
        <w:rPr>
          <w:rFonts w:ascii="Book Antiqua" w:hAnsi="Book Antiqua"/>
          <w:bCs/>
          <w:sz w:val="24"/>
          <w:szCs w:val="24"/>
        </w:rPr>
        <w:t>LA</w:t>
      </w:r>
      <w:r w:rsidR="00910657" w:rsidRPr="0086396D">
        <w:rPr>
          <w:rFonts w:ascii="Book Antiqua" w:hAnsi="Book Antiqua"/>
          <w:bCs/>
          <w:sz w:val="24"/>
          <w:szCs w:val="24"/>
        </w:rPr>
        <w:t xml:space="preserve"> were responsible for recruiting participants</w:t>
      </w:r>
      <w:r w:rsidR="000B0597" w:rsidRPr="0086396D">
        <w:rPr>
          <w:rFonts w:ascii="Book Antiqua" w:hAnsi="Book Antiqua"/>
          <w:bCs/>
          <w:sz w:val="24"/>
          <w:szCs w:val="24"/>
        </w:rPr>
        <w:t>, data collection and performing the follow-ups</w:t>
      </w:r>
      <w:r w:rsidR="00F679C3">
        <w:rPr>
          <w:rFonts w:ascii="Book Antiqua" w:hAnsi="Book Antiqua" w:hint="eastAsia"/>
          <w:bCs/>
          <w:sz w:val="24"/>
          <w:szCs w:val="24"/>
          <w:lang w:eastAsia="zh-CN"/>
        </w:rPr>
        <w:t xml:space="preserve">; </w:t>
      </w:r>
      <w:r w:rsidR="00FE46B5" w:rsidRPr="0086396D">
        <w:rPr>
          <w:rFonts w:ascii="Book Antiqua" w:hAnsi="Book Antiqua"/>
          <w:sz w:val="24"/>
          <w:szCs w:val="24"/>
        </w:rPr>
        <w:t>Keshteli</w:t>
      </w:r>
      <w:r w:rsidR="00FE46B5" w:rsidRPr="0086396D">
        <w:rPr>
          <w:rFonts w:ascii="Book Antiqua" w:hAnsi="Book Antiqua"/>
          <w:bCs/>
          <w:sz w:val="24"/>
          <w:szCs w:val="24"/>
        </w:rPr>
        <w:t xml:space="preserve"> </w:t>
      </w:r>
      <w:r w:rsidR="00FE46B5">
        <w:rPr>
          <w:rFonts w:ascii="Book Antiqua" w:hAnsi="Book Antiqua"/>
          <w:bCs/>
          <w:sz w:val="24"/>
          <w:szCs w:val="24"/>
        </w:rPr>
        <w:t>AH</w:t>
      </w:r>
      <w:r w:rsidR="000B0597" w:rsidRPr="0086396D">
        <w:rPr>
          <w:rFonts w:ascii="Book Antiqua" w:hAnsi="Book Antiqua"/>
          <w:bCs/>
          <w:sz w:val="24"/>
          <w:szCs w:val="24"/>
        </w:rPr>
        <w:t xml:space="preserve">, </w:t>
      </w:r>
      <w:r w:rsidR="00597F1C" w:rsidRPr="0086396D">
        <w:rPr>
          <w:rFonts w:ascii="Book Antiqua" w:hAnsi="Book Antiqua"/>
          <w:sz w:val="24"/>
          <w:szCs w:val="24"/>
        </w:rPr>
        <w:t>Han</w:t>
      </w:r>
      <w:r w:rsidR="00597F1C" w:rsidRPr="0086396D">
        <w:rPr>
          <w:rFonts w:ascii="Book Antiqua" w:hAnsi="Book Antiqua"/>
          <w:bCs/>
          <w:sz w:val="24"/>
          <w:szCs w:val="24"/>
        </w:rPr>
        <w:t xml:space="preserve"> </w:t>
      </w:r>
      <w:r w:rsidR="00597F1C">
        <w:rPr>
          <w:rFonts w:ascii="Book Antiqua" w:hAnsi="Book Antiqua"/>
          <w:bCs/>
          <w:sz w:val="24"/>
          <w:szCs w:val="24"/>
        </w:rPr>
        <w:t>B</w:t>
      </w:r>
      <w:r w:rsidR="000B0597" w:rsidRPr="0086396D">
        <w:rPr>
          <w:rFonts w:ascii="Book Antiqua" w:hAnsi="Book Antiqua"/>
          <w:bCs/>
          <w:sz w:val="24"/>
          <w:szCs w:val="24"/>
        </w:rPr>
        <w:t xml:space="preserve"> and </w:t>
      </w:r>
      <w:r w:rsidR="00597F1C" w:rsidRPr="0086396D">
        <w:rPr>
          <w:rFonts w:ascii="Book Antiqua" w:hAnsi="Book Antiqua"/>
          <w:sz w:val="24"/>
          <w:szCs w:val="24"/>
        </w:rPr>
        <w:t>Mandal</w:t>
      </w:r>
      <w:r w:rsidR="00597F1C" w:rsidRPr="0086396D">
        <w:rPr>
          <w:rFonts w:ascii="Book Antiqua" w:hAnsi="Book Antiqua"/>
          <w:bCs/>
          <w:sz w:val="24"/>
          <w:szCs w:val="24"/>
        </w:rPr>
        <w:t xml:space="preserve"> </w:t>
      </w:r>
      <w:r w:rsidR="00597F1C">
        <w:rPr>
          <w:rFonts w:ascii="Book Antiqua" w:hAnsi="Book Antiqua"/>
          <w:bCs/>
          <w:sz w:val="24"/>
          <w:szCs w:val="24"/>
        </w:rPr>
        <w:t>R</w:t>
      </w:r>
      <w:r w:rsidR="000B0597" w:rsidRPr="0086396D">
        <w:rPr>
          <w:rFonts w:ascii="Book Antiqua" w:hAnsi="Book Antiqua"/>
          <w:bCs/>
          <w:sz w:val="24"/>
          <w:szCs w:val="24"/>
        </w:rPr>
        <w:t xml:space="preserve"> did the metabolomic analysis</w:t>
      </w:r>
      <w:r w:rsidR="00597F1C">
        <w:rPr>
          <w:rFonts w:ascii="Book Antiqua" w:hAnsi="Book Antiqua" w:hint="eastAsia"/>
          <w:bCs/>
          <w:sz w:val="24"/>
          <w:szCs w:val="24"/>
          <w:lang w:eastAsia="zh-CN"/>
        </w:rPr>
        <w:t>;</w:t>
      </w:r>
      <w:r w:rsidR="000B0597" w:rsidRPr="0086396D">
        <w:rPr>
          <w:rFonts w:ascii="Book Antiqua" w:hAnsi="Book Antiqua"/>
          <w:bCs/>
          <w:sz w:val="24"/>
          <w:szCs w:val="24"/>
        </w:rPr>
        <w:t xml:space="preserve"> </w:t>
      </w:r>
      <w:r w:rsidR="00597F1C" w:rsidRPr="0086396D">
        <w:rPr>
          <w:rFonts w:ascii="Book Antiqua" w:hAnsi="Book Antiqua"/>
          <w:sz w:val="24"/>
          <w:szCs w:val="24"/>
        </w:rPr>
        <w:t>Keshteli</w:t>
      </w:r>
      <w:r w:rsidR="00597F1C" w:rsidRPr="0086396D">
        <w:rPr>
          <w:rFonts w:ascii="Book Antiqua" w:hAnsi="Book Antiqua"/>
          <w:bCs/>
          <w:sz w:val="24"/>
          <w:szCs w:val="24"/>
        </w:rPr>
        <w:t xml:space="preserve"> </w:t>
      </w:r>
      <w:r w:rsidR="00597F1C">
        <w:rPr>
          <w:rFonts w:ascii="Book Antiqua" w:hAnsi="Book Antiqua"/>
          <w:bCs/>
          <w:sz w:val="24"/>
          <w:szCs w:val="24"/>
        </w:rPr>
        <w:t>AH</w:t>
      </w:r>
      <w:r w:rsidR="000B0597" w:rsidRPr="0086396D">
        <w:rPr>
          <w:rFonts w:ascii="Book Antiqua" w:hAnsi="Book Antiqua"/>
          <w:bCs/>
          <w:sz w:val="24"/>
          <w:szCs w:val="24"/>
        </w:rPr>
        <w:t xml:space="preserve"> prepared the first draft of the manuscript and did statistical analysis</w:t>
      </w:r>
      <w:r w:rsidR="00597F1C">
        <w:rPr>
          <w:rFonts w:ascii="Book Antiqua" w:hAnsi="Book Antiqua" w:hint="eastAsia"/>
          <w:bCs/>
          <w:sz w:val="24"/>
          <w:szCs w:val="24"/>
          <w:lang w:eastAsia="zh-CN"/>
        </w:rPr>
        <w:t>;</w:t>
      </w:r>
      <w:r w:rsidR="000B0597" w:rsidRPr="0086396D">
        <w:rPr>
          <w:rFonts w:ascii="Book Antiqua" w:hAnsi="Book Antiqua"/>
          <w:bCs/>
          <w:sz w:val="24"/>
          <w:szCs w:val="24"/>
        </w:rPr>
        <w:t xml:space="preserve"> </w:t>
      </w:r>
      <w:r w:rsidR="00597F1C" w:rsidRPr="0086396D">
        <w:rPr>
          <w:rFonts w:ascii="Book Antiqua" w:hAnsi="Book Antiqua"/>
          <w:sz w:val="24"/>
          <w:szCs w:val="24"/>
        </w:rPr>
        <w:t>van den Brand</w:t>
      </w:r>
      <w:r w:rsidR="00597F1C" w:rsidRPr="0086396D">
        <w:rPr>
          <w:rFonts w:ascii="Book Antiqua" w:hAnsi="Book Antiqua"/>
          <w:bCs/>
          <w:sz w:val="24"/>
          <w:szCs w:val="24"/>
        </w:rPr>
        <w:t xml:space="preserve"> </w:t>
      </w:r>
      <w:r w:rsidR="00597F1C">
        <w:rPr>
          <w:rFonts w:ascii="Book Antiqua" w:hAnsi="Book Antiqua"/>
          <w:bCs/>
          <w:sz w:val="24"/>
          <w:szCs w:val="24"/>
        </w:rPr>
        <w:t>FF</w:t>
      </w:r>
      <w:r w:rsidR="00597F1C">
        <w:rPr>
          <w:rFonts w:ascii="Book Antiqua" w:hAnsi="Book Antiqua" w:hint="eastAsia"/>
          <w:bCs/>
          <w:sz w:val="24"/>
          <w:szCs w:val="24"/>
          <w:lang w:eastAsia="zh-CN"/>
        </w:rPr>
        <w:t xml:space="preserve"> </w:t>
      </w:r>
      <w:r w:rsidR="000B0597" w:rsidRPr="0086396D">
        <w:rPr>
          <w:rFonts w:ascii="Book Antiqua" w:hAnsi="Book Antiqua"/>
          <w:bCs/>
          <w:sz w:val="24"/>
          <w:szCs w:val="24"/>
        </w:rPr>
        <w:t xml:space="preserve">and </w:t>
      </w:r>
      <w:r w:rsidR="00597F1C" w:rsidRPr="0086396D">
        <w:rPr>
          <w:rFonts w:ascii="Book Antiqua" w:hAnsi="Book Antiqua"/>
          <w:sz w:val="24"/>
          <w:szCs w:val="24"/>
        </w:rPr>
        <w:t>Valcheva</w:t>
      </w:r>
      <w:r w:rsidR="00597F1C" w:rsidRPr="0086396D">
        <w:rPr>
          <w:rFonts w:ascii="Book Antiqua" w:hAnsi="Book Antiqua"/>
          <w:bCs/>
          <w:sz w:val="24"/>
          <w:szCs w:val="24"/>
        </w:rPr>
        <w:t xml:space="preserve"> </w:t>
      </w:r>
      <w:r w:rsidR="00597F1C">
        <w:rPr>
          <w:rFonts w:ascii="Book Antiqua" w:hAnsi="Book Antiqua"/>
          <w:bCs/>
          <w:sz w:val="24"/>
          <w:szCs w:val="24"/>
        </w:rPr>
        <w:t>R</w:t>
      </w:r>
      <w:r w:rsidR="000B0597" w:rsidRPr="0086396D">
        <w:rPr>
          <w:rFonts w:ascii="Book Antiqua" w:hAnsi="Book Antiqua"/>
          <w:bCs/>
          <w:sz w:val="24"/>
          <w:szCs w:val="24"/>
        </w:rPr>
        <w:t xml:space="preserve"> did the FCP assay</w:t>
      </w:r>
      <w:r w:rsidR="00016227">
        <w:rPr>
          <w:rFonts w:ascii="Book Antiqua" w:hAnsi="Book Antiqua" w:hint="eastAsia"/>
          <w:bCs/>
          <w:sz w:val="24"/>
          <w:szCs w:val="24"/>
          <w:lang w:eastAsia="zh-CN"/>
        </w:rPr>
        <w:t>;</w:t>
      </w:r>
      <w:r w:rsidR="000B0597" w:rsidRPr="0086396D">
        <w:rPr>
          <w:rFonts w:ascii="Book Antiqua" w:hAnsi="Book Antiqua"/>
          <w:bCs/>
          <w:sz w:val="24"/>
          <w:szCs w:val="24"/>
        </w:rPr>
        <w:t xml:space="preserve"> All authors read and approved the final manuscript</w:t>
      </w:r>
      <w:r w:rsidR="00016227">
        <w:rPr>
          <w:rFonts w:ascii="Book Antiqua" w:hAnsi="Book Antiqua" w:hint="eastAsia"/>
          <w:bCs/>
          <w:sz w:val="24"/>
          <w:szCs w:val="24"/>
          <w:lang w:eastAsia="zh-CN"/>
        </w:rPr>
        <w:t>;</w:t>
      </w:r>
      <w:r w:rsidR="000B0597" w:rsidRPr="0086396D">
        <w:rPr>
          <w:rFonts w:ascii="Book Antiqua" w:hAnsi="Book Antiqua"/>
          <w:bCs/>
          <w:sz w:val="24"/>
          <w:szCs w:val="24"/>
        </w:rPr>
        <w:t xml:space="preserve"> </w:t>
      </w:r>
      <w:r w:rsidR="009926CC" w:rsidRPr="0086396D">
        <w:rPr>
          <w:rFonts w:ascii="Book Antiqua" w:hAnsi="Book Antiqua"/>
          <w:sz w:val="24"/>
          <w:szCs w:val="24"/>
        </w:rPr>
        <w:t>This study was funded by Alberta Innovates-Bio Solutions.</w:t>
      </w:r>
    </w:p>
    <w:p w14:paraId="14B28652" w14:textId="77777777" w:rsidR="00016227" w:rsidRPr="00016227" w:rsidRDefault="00016227" w:rsidP="005C7D8E">
      <w:pPr>
        <w:adjustRightInd w:val="0"/>
        <w:snapToGrid w:val="0"/>
        <w:spacing w:after="0" w:line="360" w:lineRule="auto"/>
        <w:jc w:val="both"/>
        <w:rPr>
          <w:rFonts w:ascii="Book Antiqua" w:hAnsi="Book Antiqua"/>
          <w:sz w:val="24"/>
          <w:szCs w:val="24"/>
          <w:lang w:eastAsia="zh-CN"/>
        </w:rPr>
      </w:pPr>
    </w:p>
    <w:p w14:paraId="0CC08F0E" w14:textId="75AD0D54" w:rsidR="009926CC" w:rsidRDefault="009926CC"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b/>
          <w:sz w:val="24"/>
          <w:szCs w:val="24"/>
        </w:rPr>
        <w:t>Institutional review board statement:</w:t>
      </w:r>
      <w:r w:rsidRPr="0086396D">
        <w:rPr>
          <w:rFonts w:ascii="Book Antiqua" w:hAnsi="Book Antiqua"/>
          <w:bCs/>
          <w:sz w:val="24"/>
          <w:szCs w:val="24"/>
        </w:rPr>
        <w:t xml:space="preserve"> </w:t>
      </w:r>
      <w:r w:rsidRPr="0086396D">
        <w:rPr>
          <w:rFonts w:ascii="Book Antiqua" w:hAnsi="Book Antiqua"/>
          <w:sz w:val="24"/>
          <w:szCs w:val="24"/>
        </w:rPr>
        <w:t xml:space="preserve">the study protocol was approved by the Health Research Ethics Board-Biomedical Panel, University of Alberta, Edmonton, Canada (Pro00032213). </w:t>
      </w:r>
    </w:p>
    <w:p w14:paraId="1FD7B29C" w14:textId="77777777" w:rsidR="00016227" w:rsidRPr="0086396D" w:rsidRDefault="00016227" w:rsidP="005C7D8E">
      <w:pPr>
        <w:adjustRightInd w:val="0"/>
        <w:snapToGrid w:val="0"/>
        <w:spacing w:after="0" w:line="360" w:lineRule="auto"/>
        <w:jc w:val="both"/>
        <w:rPr>
          <w:rFonts w:ascii="Book Antiqua" w:hAnsi="Book Antiqua"/>
          <w:sz w:val="24"/>
          <w:szCs w:val="24"/>
          <w:lang w:eastAsia="zh-CN"/>
        </w:rPr>
      </w:pPr>
    </w:p>
    <w:p w14:paraId="138702CE" w14:textId="0762D262" w:rsidR="0062250E" w:rsidRPr="00016227" w:rsidRDefault="001D6E1E" w:rsidP="005C7D8E">
      <w:pPr>
        <w:adjustRightInd w:val="0"/>
        <w:snapToGrid w:val="0"/>
        <w:spacing w:after="0" w:line="360" w:lineRule="auto"/>
        <w:jc w:val="both"/>
        <w:rPr>
          <w:rFonts w:ascii="Book Antiqua" w:hAnsi="Book Antiqua"/>
          <w:b/>
          <w:bCs/>
          <w:sz w:val="24"/>
          <w:szCs w:val="24"/>
          <w:lang w:eastAsia="zh-CN"/>
        </w:rPr>
      </w:pPr>
      <w:r w:rsidRPr="0086396D">
        <w:rPr>
          <w:rFonts w:ascii="Book Antiqua" w:hAnsi="Book Antiqua"/>
          <w:b/>
          <w:bCs/>
          <w:sz w:val="24"/>
          <w:szCs w:val="24"/>
        </w:rPr>
        <w:t xml:space="preserve">Informed consent statement: </w:t>
      </w:r>
      <w:r w:rsidRPr="0086396D">
        <w:rPr>
          <w:rFonts w:ascii="Book Antiqua" w:hAnsi="Book Antiqua"/>
          <w:sz w:val="24"/>
          <w:szCs w:val="24"/>
        </w:rPr>
        <w:t>An informed written consent was obtained from all participants.</w:t>
      </w:r>
      <w:r w:rsidRPr="0086396D">
        <w:rPr>
          <w:rFonts w:ascii="Book Antiqua" w:hAnsi="Book Antiqua"/>
          <w:b/>
          <w:bCs/>
          <w:sz w:val="24"/>
          <w:szCs w:val="24"/>
        </w:rPr>
        <w:t xml:space="preserve"> </w:t>
      </w:r>
    </w:p>
    <w:p w14:paraId="624BC28C" w14:textId="77777777" w:rsidR="00016227" w:rsidRPr="00016227" w:rsidRDefault="00016227" w:rsidP="005C7D8E">
      <w:pPr>
        <w:adjustRightInd w:val="0"/>
        <w:snapToGrid w:val="0"/>
        <w:spacing w:after="0" w:line="360" w:lineRule="auto"/>
        <w:jc w:val="both"/>
        <w:rPr>
          <w:rFonts w:ascii="Book Antiqua" w:hAnsi="Book Antiqua"/>
          <w:b/>
          <w:bCs/>
          <w:sz w:val="24"/>
          <w:szCs w:val="24"/>
          <w:lang w:eastAsia="zh-CN"/>
        </w:rPr>
      </w:pPr>
    </w:p>
    <w:p w14:paraId="541FA642" w14:textId="5A2ABAD0" w:rsidR="0065384B" w:rsidRDefault="009926CC" w:rsidP="005C7D8E">
      <w:pPr>
        <w:adjustRightInd w:val="0"/>
        <w:snapToGrid w:val="0"/>
        <w:spacing w:after="0" w:line="360" w:lineRule="auto"/>
        <w:jc w:val="both"/>
        <w:rPr>
          <w:rFonts w:ascii="Book Antiqua" w:hAnsi="Book Antiqua"/>
          <w:bCs/>
          <w:sz w:val="24"/>
          <w:szCs w:val="24"/>
          <w:lang w:eastAsia="zh-CN"/>
        </w:rPr>
      </w:pPr>
      <w:r w:rsidRPr="0086396D">
        <w:rPr>
          <w:rFonts w:ascii="Book Antiqua" w:hAnsi="Book Antiqua"/>
          <w:b/>
          <w:sz w:val="24"/>
          <w:szCs w:val="24"/>
        </w:rPr>
        <w:t>Conflict-of-interest statement:</w:t>
      </w:r>
      <w:r w:rsidRPr="0086396D">
        <w:rPr>
          <w:rFonts w:ascii="Book Antiqua" w:hAnsi="Book Antiqua"/>
          <w:bCs/>
          <w:sz w:val="24"/>
          <w:szCs w:val="24"/>
        </w:rPr>
        <w:t xml:space="preserve"> The authors have no conflicts of interest to disclose.</w:t>
      </w:r>
    </w:p>
    <w:p w14:paraId="0F7367CD" w14:textId="77777777" w:rsidR="00016227" w:rsidRPr="0086396D" w:rsidRDefault="00016227" w:rsidP="005C7D8E">
      <w:pPr>
        <w:adjustRightInd w:val="0"/>
        <w:snapToGrid w:val="0"/>
        <w:spacing w:after="0" w:line="360" w:lineRule="auto"/>
        <w:jc w:val="both"/>
        <w:rPr>
          <w:rFonts w:ascii="Book Antiqua" w:hAnsi="Book Antiqua"/>
          <w:bCs/>
          <w:sz w:val="24"/>
          <w:szCs w:val="24"/>
          <w:lang w:eastAsia="zh-CN"/>
        </w:rPr>
      </w:pPr>
    </w:p>
    <w:p w14:paraId="344D941B" w14:textId="2A4A7B2E" w:rsidR="009C38DF" w:rsidRDefault="009C38DF" w:rsidP="005C7D8E">
      <w:pPr>
        <w:adjustRightInd w:val="0"/>
        <w:snapToGrid w:val="0"/>
        <w:spacing w:after="0" w:line="360" w:lineRule="auto"/>
        <w:jc w:val="both"/>
        <w:rPr>
          <w:rFonts w:ascii="Book Antiqua" w:hAnsi="Book Antiqua"/>
          <w:bCs/>
          <w:sz w:val="24"/>
          <w:szCs w:val="24"/>
          <w:lang w:eastAsia="zh-CN"/>
        </w:rPr>
      </w:pPr>
      <w:r w:rsidRPr="0086396D">
        <w:rPr>
          <w:rFonts w:ascii="Book Antiqua" w:hAnsi="Book Antiqua"/>
          <w:b/>
          <w:sz w:val="24"/>
          <w:szCs w:val="24"/>
        </w:rPr>
        <w:t>Data sharing statement:</w:t>
      </w:r>
      <w:r w:rsidRPr="0086396D">
        <w:rPr>
          <w:rFonts w:ascii="Book Antiqua" w:hAnsi="Book Antiqua"/>
          <w:bCs/>
          <w:sz w:val="24"/>
          <w:szCs w:val="24"/>
        </w:rPr>
        <w:t xml:space="preserve"> No additional data are available.</w:t>
      </w:r>
    </w:p>
    <w:p w14:paraId="5961EF60" w14:textId="77777777" w:rsidR="00016227" w:rsidRDefault="00016227" w:rsidP="005C7D8E">
      <w:pPr>
        <w:adjustRightInd w:val="0"/>
        <w:snapToGrid w:val="0"/>
        <w:spacing w:after="0" w:line="360" w:lineRule="auto"/>
        <w:jc w:val="both"/>
        <w:rPr>
          <w:rFonts w:ascii="Book Antiqua" w:hAnsi="Book Antiqua"/>
          <w:bCs/>
          <w:sz w:val="24"/>
          <w:szCs w:val="24"/>
          <w:lang w:eastAsia="zh-CN"/>
        </w:rPr>
      </w:pPr>
    </w:p>
    <w:p w14:paraId="170B2F9A" w14:textId="77777777" w:rsidR="00016227" w:rsidRDefault="00016227" w:rsidP="005C7D8E">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sz w:val="24"/>
        </w:rPr>
        <w:lastRenderedPageBreak/>
        <w:t xml:space="preserve">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0"/>
      <w:bookmarkEnd w:id="1"/>
      <w:bookmarkEnd w:id="2"/>
      <w:bookmarkEnd w:id="3"/>
    </w:p>
    <w:p w14:paraId="34BBE965" w14:textId="77777777" w:rsidR="00016227" w:rsidRDefault="00016227" w:rsidP="005C7D8E">
      <w:pPr>
        <w:adjustRightInd w:val="0"/>
        <w:snapToGrid w:val="0"/>
        <w:spacing w:after="0" w:line="360" w:lineRule="auto"/>
        <w:jc w:val="both"/>
        <w:rPr>
          <w:rFonts w:ascii="Book Antiqua" w:hAnsi="Book Antiqua"/>
          <w:b/>
          <w:sz w:val="24"/>
          <w:lang w:eastAsia="zh-CN"/>
        </w:rPr>
      </w:pPr>
    </w:p>
    <w:p w14:paraId="232DF27A" w14:textId="77777777" w:rsidR="00016227" w:rsidRDefault="00016227" w:rsidP="005C7D8E">
      <w:pPr>
        <w:adjustRightInd w:val="0"/>
        <w:snapToGrid w:val="0"/>
        <w:spacing w:after="0" w:line="360" w:lineRule="auto"/>
        <w:jc w:val="both"/>
      </w:pPr>
      <w:r w:rsidRPr="00B757B8">
        <w:rPr>
          <w:rFonts w:ascii="Book Antiqua" w:hAnsi="Book Antiqua"/>
          <w:b/>
          <w:sz w:val="24"/>
        </w:rPr>
        <w:t xml:space="preserve">Manuscript source: </w:t>
      </w:r>
      <w:r w:rsidRPr="00B757B8">
        <w:rPr>
          <w:rFonts w:ascii="Book Antiqua" w:hAnsi="Book Antiqua"/>
          <w:sz w:val="24"/>
        </w:rPr>
        <w:t>Unsolicited manuscript</w:t>
      </w:r>
    </w:p>
    <w:p w14:paraId="752D9B77" w14:textId="77777777" w:rsidR="00016227" w:rsidRPr="00016227" w:rsidRDefault="00016227" w:rsidP="005C7D8E">
      <w:pPr>
        <w:adjustRightInd w:val="0"/>
        <w:snapToGrid w:val="0"/>
        <w:spacing w:after="0" w:line="360" w:lineRule="auto"/>
        <w:jc w:val="both"/>
        <w:rPr>
          <w:rFonts w:ascii="Book Antiqua" w:hAnsi="Book Antiqua"/>
          <w:bCs/>
          <w:sz w:val="24"/>
          <w:szCs w:val="24"/>
          <w:lang w:eastAsia="zh-CN"/>
        </w:rPr>
      </w:pPr>
    </w:p>
    <w:p w14:paraId="43B71181" w14:textId="62D0A4E6" w:rsidR="001D6276" w:rsidRPr="00D83405" w:rsidRDefault="009926CC" w:rsidP="005C7D8E">
      <w:pPr>
        <w:adjustRightInd w:val="0"/>
        <w:snapToGrid w:val="0"/>
        <w:spacing w:after="0" w:line="360" w:lineRule="auto"/>
        <w:jc w:val="both"/>
        <w:rPr>
          <w:rFonts w:ascii="Book Antiqua" w:hAnsi="Book Antiqua"/>
          <w:b/>
          <w:bCs/>
          <w:sz w:val="24"/>
          <w:szCs w:val="24"/>
          <w:lang w:eastAsia="zh-CN"/>
        </w:rPr>
      </w:pPr>
      <w:r w:rsidRPr="0086396D">
        <w:rPr>
          <w:rFonts w:ascii="Book Antiqua" w:hAnsi="Book Antiqua"/>
          <w:b/>
          <w:bCs/>
          <w:sz w:val="24"/>
          <w:szCs w:val="24"/>
        </w:rPr>
        <w:t xml:space="preserve">Correspondence to: </w:t>
      </w:r>
      <w:r w:rsidR="00F87552" w:rsidRPr="00F87552">
        <w:rPr>
          <w:rFonts w:ascii="Book Antiqua" w:hAnsi="Book Antiqua"/>
          <w:b/>
          <w:sz w:val="24"/>
          <w:szCs w:val="24"/>
        </w:rPr>
        <w:t>Levinus A</w:t>
      </w:r>
      <w:r w:rsidR="001D6276" w:rsidRPr="00F87552">
        <w:rPr>
          <w:rFonts w:ascii="Book Antiqua" w:hAnsi="Book Antiqua"/>
          <w:b/>
          <w:sz w:val="24"/>
          <w:szCs w:val="24"/>
        </w:rPr>
        <w:t xml:space="preserve"> Dieleman, MD, PhD,</w:t>
      </w:r>
      <w:r w:rsidR="001D6276" w:rsidRPr="0086396D">
        <w:rPr>
          <w:rFonts w:ascii="Book Antiqua" w:hAnsi="Book Antiqua"/>
          <w:sz w:val="24"/>
          <w:szCs w:val="24"/>
        </w:rPr>
        <w:t xml:space="preserve"> Division of Gastroenterology, University of Alberta, 130 University Campus, 2-24 Zeidler Ledcor Bldg, Edmonton, AB</w:t>
      </w:r>
      <w:r w:rsidR="00F87552">
        <w:rPr>
          <w:rFonts w:ascii="Book Antiqua" w:hAnsi="Book Antiqua" w:hint="eastAsia"/>
          <w:sz w:val="24"/>
          <w:szCs w:val="24"/>
          <w:lang w:eastAsia="zh-CN"/>
        </w:rPr>
        <w:t xml:space="preserve"> </w:t>
      </w:r>
      <w:r w:rsidR="00F87552" w:rsidRPr="0086396D">
        <w:rPr>
          <w:rFonts w:ascii="Book Antiqua" w:hAnsi="Book Antiqua"/>
          <w:sz w:val="24"/>
          <w:szCs w:val="24"/>
        </w:rPr>
        <w:t>T6G 2X8</w:t>
      </w:r>
      <w:r w:rsidR="001D6276" w:rsidRPr="0086396D">
        <w:rPr>
          <w:rFonts w:ascii="Book Antiqua" w:hAnsi="Book Antiqua"/>
          <w:sz w:val="24"/>
          <w:szCs w:val="24"/>
        </w:rPr>
        <w:t>, Canada</w:t>
      </w:r>
      <w:r w:rsidR="00F87552">
        <w:rPr>
          <w:rFonts w:ascii="Book Antiqua" w:hAnsi="Book Antiqua" w:hint="eastAsia"/>
          <w:sz w:val="24"/>
          <w:szCs w:val="24"/>
          <w:lang w:eastAsia="zh-CN"/>
        </w:rPr>
        <w:t xml:space="preserve">. </w:t>
      </w:r>
      <w:r w:rsidR="00F87552" w:rsidRPr="0086396D">
        <w:rPr>
          <w:rFonts w:ascii="Book Antiqua" w:hAnsi="Book Antiqua"/>
          <w:sz w:val="24"/>
          <w:szCs w:val="24"/>
        </w:rPr>
        <w:t>l.dieleman@ualberta.ca</w:t>
      </w:r>
      <w:r w:rsidR="009843B6" w:rsidRPr="0086396D">
        <w:rPr>
          <w:rFonts w:ascii="Book Antiqua" w:hAnsi="Book Antiqua"/>
          <w:sz w:val="24"/>
          <w:szCs w:val="24"/>
        </w:rPr>
        <w:t xml:space="preserve"> </w:t>
      </w:r>
    </w:p>
    <w:p w14:paraId="331D5103" w14:textId="2527B9BD" w:rsidR="00616C34" w:rsidRDefault="00616C34" w:rsidP="005C7D8E">
      <w:pPr>
        <w:adjustRightInd w:val="0"/>
        <w:snapToGrid w:val="0"/>
        <w:spacing w:after="0" w:line="360" w:lineRule="auto"/>
        <w:jc w:val="both"/>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+1-</w:t>
      </w:r>
      <w:r w:rsidR="00D83405">
        <w:rPr>
          <w:rFonts w:ascii="Book Antiqua" w:hAnsi="Book Antiqua"/>
          <w:sz w:val="24"/>
          <w:szCs w:val="24"/>
        </w:rPr>
        <w:t>780-492</w:t>
      </w:r>
      <w:r w:rsidR="00D83405" w:rsidRPr="0086396D">
        <w:rPr>
          <w:rFonts w:ascii="Book Antiqua" w:hAnsi="Book Antiqua"/>
          <w:sz w:val="24"/>
          <w:szCs w:val="24"/>
        </w:rPr>
        <w:t>8691</w:t>
      </w:r>
      <w:r w:rsidR="00BA0C62" w:rsidRPr="00BA0C62">
        <w:rPr>
          <w:rFonts w:ascii="Book Antiqua" w:hAnsi="Book Antiqua"/>
          <w:i/>
          <w:color w:val="0A0905"/>
          <w:sz w:val="24"/>
        </w:rPr>
        <w:t xml:space="preserve">  </w:t>
      </w:r>
      <w:r w:rsidR="00BA0C62" w:rsidRPr="00BA0C62">
        <w:rPr>
          <w:rFonts w:ascii="Book Antiqua" w:hAnsi="Book Antiqua" w:hint="eastAsia"/>
          <w:i/>
          <w:color w:val="0A0905"/>
          <w:sz w:val="24"/>
        </w:rPr>
        <w:t xml:space="preserve"> </w:t>
      </w:r>
      <w:r w:rsidRPr="009E3692">
        <w:rPr>
          <w:rFonts w:ascii="Book Antiqua" w:hAnsi="Book Antiqua"/>
          <w:color w:val="0A0905"/>
          <w:sz w:val="24"/>
        </w:rPr>
        <w:t xml:space="preserve"> </w:t>
      </w:r>
    </w:p>
    <w:p w14:paraId="06B9A0C2" w14:textId="17BECA69" w:rsidR="00616C34" w:rsidRPr="009E3692" w:rsidRDefault="00616C34" w:rsidP="005C7D8E">
      <w:pPr>
        <w:adjustRightInd w:val="0"/>
        <w:snapToGrid w:val="0"/>
        <w:spacing w:after="0" w:line="360" w:lineRule="auto"/>
        <w:jc w:val="both"/>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+1-</w:t>
      </w:r>
      <w:r w:rsidR="00D83405">
        <w:rPr>
          <w:rFonts w:ascii="Book Antiqua" w:hAnsi="Book Antiqua"/>
          <w:sz w:val="24"/>
          <w:szCs w:val="24"/>
        </w:rPr>
        <w:t>780-492</w:t>
      </w:r>
      <w:r w:rsidR="00D83405" w:rsidRPr="0086396D">
        <w:rPr>
          <w:rFonts w:ascii="Book Antiqua" w:hAnsi="Book Antiqua"/>
          <w:sz w:val="24"/>
          <w:szCs w:val="24"/>
        </w:rPr>
        <w:t>8121</w:t>
      </w:r>
    </w:p>
    <w:p w14:paraId="1A58DC97" w14:textId="77777777" w:rsidR="00616C34" w:rsidRDefault="00616C34" w:rsidP="005C7D8E">
      <w:pPr>
        <w:adjustRightInd w:val="0"/>
        <w:snapToGrid w:val="0"/>
        <w:spacing w:after="0" w:line="360" w:lineRule="auto"/>
        <w:jc w:val="both"/>
        <w:rPr>
          <w:rFonts w:ascii="Book Antiqua" w:hAnsi="Book Antiqua"/>
          <w:b/>
          <w:sz w:val="24"/>
        </w:rPr>
      </w:pPr>
    </w:p>
    <w:p w14:paraId="5E13437A" w14:textId="1B512976" w:rsidR="00616C34" w:rsidRPr="00867A3A" w:rsidRDefault="00616C34" w:rsidP="005C7D8E">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7C1F14" w:rsidRPr="00A11C75">
        <w:rPr>
          <w:rFonts w:ascii="Book Antiqua" w:hAnsi="Book Antiqua"/>
          <w:sz w:val="24"/>
        </w:rPr>
        <w:t>March</w:t>
      </w:r>
      <w:r w:rsidR="007C1F14">
        <w:rPr>
          <w:rFonts w:ascii="Book Antiqua" w:hAnsi="Book Antiqua" w:hint="eastAsia"/>
          <w:sz w:val="24"/>
        </w:rPr>
        <w:t xml:space="preserve"> </w:t>
      </w:r>
      <w:r w:rsidR="007C1F14">
        <w:rPr>
          <w:rFonts w:ascii="Book Antiqua" w:hAnsi="Book Antiqua" w:hint="eastAsia"/>
          <w:sz w:val="24"/>
          <w:lang w:eastAsia="zh-CN"/>
        </w:rPr>
        <w:t>10</w:t>
      </w:r>
      <w:r>
        <w:rPr>
          <w:rFonts w:ascii="Book Antiqua" w:hAnsi="Book Antiqua" w:hint="eastAsia"/>
          <w:sz w:val="24"/>
        </w:rPr>
        <w:t>, 2017</w:t>
      </w:r>
      <w:r w:rsidR="00BA0C62" w:rsidRPr="00BA0C62">
        <w:rPr>
          <w:rFonts w:ascii="Book Antiqua" w:hAnsi="Book Antiqua"/>
          <w:b/>
          <w:i/>
          <w:sz w:val="24"/>
        </w:rPr>
        <w:t xml:space="preserve"> </w:t>
      </w:r>
    </w:p>
    <w:p w14:paraId="2410891F" w14:textId="14C4EE44" w:rsidR="00616C34" w:rsidRPr="00867A3A" w:rsidRDefault="00616C34" w:rsidP="005C7D8E">
      <w:pPr>
        <w:adjustRightInd w:val="0"/>
        <w:snapToGrid w:val="0"/>
        <w:spacing w:after="0" w:line="360" w:lineRule="auto"/>
        <w:jc w:val="both"/>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952CBA" w:rsidRPr="00A11C75">
        <w:rPr>
          <w:rFonts w:ascii="Book Antiqua" w:hAnsi="Book Antiqua"/>
          <w:sz w:val="24"/>
        </w:rPr>
        <w:t>March</w:t>
      </w:r>
      <w:r w:rsidR="00952CBA">
        <w:rPr>
          <w:rFonts w:ascii="Book Antiqua" w:hAnsi="Book Antiqua" w:hint="eastAsia"/>
          <w:sz w:val="24"/>
        </w:rPr>
        <w:t xml:space="preserve"> </w:t>
      </w:r>
      <w:r w:rsidR="00952CBA">
        <w:rPr>
          <w:rFonts w:ascii="Book Antiqua" w:hAnsi="Book Antiqua" w:hint="eastAsia"/>
          <w:sz w:val="24"/>
          <w:lang w:eastAsia="zh-CN"/>
        </w:rPr>
        <w:t>11</w:t>
      </w:r>
      <w:r>
        <w:rPr>
          <w:rFonts w:ascii="Book Antiqua" w:hAnsi="Book Antiqua" w:hint="eastAsia"/>
          <w:sz w:val="24"/>
        </w:rPr>
        <w:t>, 2017</w:t>
      </w:r>
    </w:p>
    <w:p w14:paraId="29693006" w14:textId="2E4CBE7F" w:rsidR="00616C34" w:rsidRPr="00867A3A" w:rsidRDefault="00616C34" w:rsidP="005C7D8E">
      <w:pPr>
        <w:adjustRightInd w:val="0"/>
        <w:snapToGrid w:val="0"/>
        <w:spacing w:after="0" w:line="360" w:lineRule="auto"/>
        <w:jc w:val="both"/>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Pr="00A11C75">
        <w:rPr>
          <w:rFonts w:ascii="Book Antiqua" w:hAnsi="Book Antiqua"/>
          <w:sz w:val="24"/>
        </w:rPr>
        <w:t>March</w:t>
      </w:r>
      <w:r>
        <w:rPr>
          <w:rFonts w:ascii="Book Antiqua" w:hAnsi="Book Antiqua" w:hint="eastAsia"/>
          <w:sz w:val="24"/>
        </w:rPr>
        <w:t xml:space="preserve"> </w:t>
      </w:r>
      <w:r w:rsidR="00BA0C62">
        <w:rPr>
          <w:rFonts w:ascii="Book Antiqua" w:hAnsi="Book Antiqua" w:hint="eastAsia"/>
          <w:sz w:val="24"/>
          <w:lang w:eastAsia="zh-CN"/>
        </w:rPr>
        <w:t>30</w:t>
      </w:r>
      <w:r>
        <w:rPr>
          <w:rFonts w:ascii="Book Antiqua" w:hAnsi="Book Antiqua" w:hint="eastAsia"/>
          <w:sz w:val="24"/>
        </w:rPr>
        <w:t>, 2017</w:t>
      </w:r>
    </w:p>
    <w:p w14:paraId="43640DC7" w14:textId="7324D0FA" w:rsidR="00616C34" w:rsidRPr="00867A3A" w:rsidRDefault="00616C34" w:rsidP="005C7D8E">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April</w:t>
      </w:r>
      <w:r>
        <w:rPr>
          <w:rFonts w:ascii="Book Antiqua" w:hAnsi="Book Antiqua" w:hint="eastAsia"/>
          <w:sz w:val="24"/>
        </w:rPr>
        <w:t xml:space="preserve"> </w:t>
      </w:r>
      <w:r w:rsidR="00BA0C62">
        <w:rPr>
          <w:rFonts w:ascii="Book Antiqua" w:hAnsi="Book Antiqua" w:hint="eastAsia"/>
          <w:sz w:val="24"/>
          <w:lang w:eastAsia="zh-CN"/>
        </w:rPr>
        <w:t>5</w:t>
      </w:r>
      <w:r>
        <w:rPr>
          <w:rFonts w:ascii="Book Antiqua" w:hAnsi="Book Antiqua" w:hint="eastAsia"/>
          <w:sz w:val="24"/>
        </w:rPr>
        <w:t>, 2017</w:t>
      </w:r>
      <w:r w:rsidRPr="00867A3A">
        <w:rPr>
          <w:rFonts w:ascii="Book Antiqua" w:hAnsi="Book Antiqua"/>
          <w:b/>
          <w:sz w:val="24"/>
        </w:rPr>
        <w:t xml:space="preserve"> </w:t>
      </w:r>
    </w:p>
    <w:p w14:paraId="70715C96" w14:textId="7137ECD9" w:rsidR="00616C34" w:rsidRPr="002977BA" w:rsidRDefault="00616C34" w:rsidP="002977BA">
      <w:pPr>
        <w:spacing w:line="360" w:lineRule="auto"/>
        <w:rPr>
          <w:rFonts w:ascii="Book Antiqua" w:hAnsi="Book Antiqua"/>
          <w:color w:val="000000"/>
          <w:sz w:val="24"/>
        </w:rPr>
      </w:pPr>
      <w:r w:rsidRPr="00867A3A">
        <w:rPr>
          <w:rFonts w:ascii="Book Antiqua" w:hAnsi="Book Antiqua"/>
          <w:b/>
          <w:sz w:val="24"/>
        </w:rPr>
        <w:t>Accepted:</w:t>
      </w:r>
      <w:bookmarkStart w:id="4" w:name="OLE_LINK116"/>
      <w:bookmarkStart w:id="5" w:name="OLE_LINK117"/>
      <w:bookmarkStart w:id="6" w:name="OLE_LINK118"/>
      <w:r w:rsidR="002977BA" w:rsidRPr="002977BA">
        <w:rPr>
          <w:rFonts w:ascii="Book Antiqua" w:hAnsi="Book Antiqua"/>
          <w:color w:val="000000"/>
          <w:sz w:val="24"/>
        </w:rPr>
        <w:t xml:space="preserve"> </w:t>
      </w:r>
      <w:r w:rsidR="002977BA">
        <w:rPr>
          <w:rFonts w:ascii="Book Antiqua" w:hAnsi="Book Antiqua"/>
          <w:color w:val="000000"/>
          <w:sz w:val="24"/>
        </w:rPr>
        <w:t>May 4, 2017</w:t>
      </w:r>
      <w:bookmarkStart w:id="7" w:name="_GoBack"/>
      <w:bookmarkEnd w:id="4"/>
      <w:bookmarkEnd w:id="5"/>
      <w:bookmarkEnd w:id="6"/>
      <w:bookmarkEnd w:id="7"/>
      <w:r w:rsidR="00BA0C62" w:rsidRPr="00BA0C62">
        <w:rPr>
          <w:rFonts w:ascii="Book Antiqua" w:hAnsi="Book Antiqua"/>
          <w:b/>
          <w:i/>
          <w:sz w:val="24"/>
        </w:rPr>
        <w:t xml:space="preserve"> </w:t>
      </w:r>
    </w:p>
    <w:p w14:paraId="47F9E9C4" w14:textId="77777777" w:rsidR="00616C34" w:rsidRPr="00867A3A" w:rsidRDefault="00616C34" w:rsidP="005C7D8E">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14:paraId="5989E708" w14:textId="77777777" w:rsidR="00616C34" w:rsidRPr="009E3692" w:rsidRDefault="00616C34" w:rsidP="005C7D8E">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14:paraId="2466D0CF" w14:textId="3C87A554" w:rsidR="00BA0C62" w:rsidRDefault="00BA0C62" w:rsidP="005C7D8E">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66C4FF37" w14:textId="0C729A57" w:rsidR="00C75D0F" w:rsidRPr="0086396D" w:rsidRDefault="00C75D0F" w:rsidP="005C7D8E">
      <w:pPr>
        <w:adjustRightInd w:val="0"/>
        <w:snapToGrid w:val="0"/>
        <w:spacing w:after="0" w:line="360" w:lineRule="auto"/>
        <w:jc w:val="both"/>
        <w:rPr>
          <w:rFonts w:ascii="Book Antiqua" w:hAnsi="Book Antiqua"/>
          <w:b/>
          <w:bCs/>
          <w:sz w:val="24"/>
          <w:szCs w:val="24"/>
        </w:rPr>
      </w:pPr>
      <w:r w:rsidRPr="0086396D">
        <w:rPr>
          <w:rFonts w:ascii="Book Antiqua" w:hAnsi="Book Antiqua"/>
          <w:b/>
          <w:bCs/>
          <w:sz w:val="24"/>
          <w:szCs w:val="24"/>
        </w:rPr>
        <w:lastRenderedPageBreak/>
        <w:t>Abstract</w:t>
      </w:r>
    </w:p>
    <w:p w14:paraId="1556AC35" w14:textId="77777777" w:rsidR="006D4CDA" w:rsidRPr="0086396D" w:rsidRDefault="000C6A8C" w:rsidP="005C7D8E">
      <w:pPr>
        <w:adjustRightInd w:val="0"/>
        <w:snapToGrid w:val="0"/>
        <w:spacing w:after="0" w:line="360" w:lineRule="auto"/>
        <w:jc w:val="both"/>
        <w:rPr>
          <w:rFonts w:ascii="Book Antiqua" w:hAnsi="Book Antiqua"/>
          <w:b/>
          <w:bCs/>
          <w:i/>
          <w:sz w:val="24"/>
          <w:szCs w:val="24"/>
          <w:lang w:eastAsia="zh-CN"/>
        </w:rPr>
      </w:pPr>
      <w:r w:rsidRPr="0086396D">
        <w:rPr>
          <w:rFonts w:ascii="Book Antiqua" w:hAnsi="Book Antiqua"/>
          <w:b/>
          <w:bCs/>
          <w:i/>
          <w:sz w:val="24"/>
          <w:szCs w:val="24"/>
        </w:rPr>
        <w:t>AIM</w:t>
      </w:r>
    </w:p>
    <w:p w14:paraId="1F50974E" w14:textId="259F31A7" w:rsidR="00C75D0F" w:rsidRPr="0086396D" w:rsidRDefault="0077242A" w:rsidP="005C7D8E">
      <w:pPr>
        <w:adjustRightInd w:val="0"/>
        <w:snapToGrid w:val="0"/>
        <w:spacing w:after="0" w:line="360" w:lineRule="auto"/>
        <w:jc w:val="both"/>
        <w:rPr>
          <w:rFonts w:ascii="Book Antiqua" w:hAnsi="Book Antiqua"/>
          <w:bCs/>
          <w:sz w:val="24"/>
          <w:szCs w:val="24"/>
          <w:lang w:eastAsia="zh-CN"/>
        </w:rPr>
      </w:pPr>
      <w:r w:rsidRPr="0086396D">
        <w:rPr>
          <w:rFonts w:ascii="Book Antiqua" w:hAnsi="Book Antiqua"/>
          <w:bCs/>
          <w:sz w:val="24"/>
          <w:szCs w:val="24"/>
        </w:rPr>
        <w:t>T</w:t>
      </w:r>
      <w:r w:rsidR="00C75D0F" w:rsidRPr="0086396D">
        <w:rPr>
          <w:rFonts w:ascii="Book Antiqua" w:hAnsi="Book Antiqua"/>
          <w:bCs/>
          <w:sz w:val="24"/>
          <w:szCs w:val="24"/>
        </w:rPr>
        <w:t>o identify demographic, clinical, metabolomic, and lifestyle related predictors of relapse in</w:t>
      </w:r>
      <w:r w:rsidR="00682306" w:rsidRPr="0086396D">
        <w:rPr>
          <w:rFonts w:ascii="Book Antiqua" w:hAnsi="Book Antiqua"/>
          <w:bCs/>
          <w:sz w:val="24"/>
          <w:szCs w:val="24"/>
        </w:rPr>
        <w:t xml:space="preserve"> adult</w:t>
      </w:r>
      <w:r w:rsidR="00C75D0F" w:rsidRPr="0086396D">
        <w:rPr>
          <w:rFonts w:ascii="Book Antiqua" w:hAnsi="Book Antiqua"/>
          <w:bCs/>
          <w:sz w:val="24"/>
          <w:szCs w:val="24"/>
        </w:rPr>
        <w:t xml:space="preserve"> </w:t>
      </w:r>
      <w:r w:rsidR="0069525F" w:rsidRPr="0086396D">
        <w:rPr>
          <w:rFonts w:ascii="Book Antiqua" w:hAnsi="Book Antiqua"/>
          <w:bCs/>
          <w:sz w:val="24"/>
          <w:szCs w:val="24"/>
        </w:rPr>
        <w:t>ulcerative colitis</w:t>
      </w:r>
      <w:r w:rsidR="00C75D0F" w:rsidRPr="0086396D">
        <w:rPr>
          <w:rFonts w:ascii="Book Antiqua" w:hAnsi="Book Antiqua"/>
          <w:bCs/>
          <w:sz w:val="24"/>
          <w:szCs w:val="24"/>
        </w:rPr>
        <w:t xml:space="preserve"> </w:t>
      </w:r>
      <w:r w:rsidR="00BA0C62">
        <w:rPr>
          <w:rFonts w:ascii="Book Antiqua" w:hAnsi="Book Antiqua" w:hint="eastAsia"/>
          <w:bCs/>
          <w:sz w:val="24"/>
          <w:szCs w:val="24"/>
          <w:lang w:eastAsia="zh-CN"/>
        </w:rPr>
        <w:t>(</w:t>
      </w:r>
      <w:r w:rsidR="00BA0C62" w:rsidRPr="0086396D">
        <w:rPr>
          <w:rFonts w:ascii="Book Antiqua" w:hAnsi="Book Antiqua"/>
          <w:bCs/>
          <w:sz w:val="24"/>
          <w:szCs w:val="24"/>
        </w:rPr>
        <w:t>UC</w:t>
      </w:r>
      <w:r w:rsidR="00BA0C62">
        <w:rPr>
          <w:rFonts w:ascii="Book Antiqua" w:hAnsi="Book Antiqua" w:hint="eastAsia"/>
          <w:bCs/>
          <w:sz w:val="24"/>
          <w:szCs w:val="24"/>
          <w:lang w:eastAsia="zh-CN"/>
        </w:rPr>
        <w:t xml:space="preserve">) </w:t>
      </w:r>
      <w:r w:rsidR="00C75D0F" w:rsidRPr="0086396D">
        <w:rPr>
          <w:rFonts w:ascii="Book Antiqua" w:hAnsi="Book Antiqua"/>
          <w:bCs/>
          <w:sz w:val="24"/>
          <w:szCs w:val="24"/>
        </w:rPr>
        <w:t>patients.</w:t>
      </w:r>
    </w:p>
    <w:p w14:paraId="1767D0CF" w14:textId="77777777" w:rsidR="006D4CDA" w:rsidRPr="00BA0C62" w:rsidRDefault="006D4CDA" w:rsidP="005C7D8E">
      <w:pPr>
        <w:adjustRightInd w:val="0"/>
        <w:snapToGrid w:val="0"/>
        <w:spacing w:after="0" w:line="360" w:lineRule="auto"/>
        <w:jc w:val="both"/>
        <w:rPr>
          <w:rFonts w:ascii="Book Antiqua" w:hAnsi="Book Antiqua"/>
          <w:bCs/>
          <w:sz w:val="24"/>
          <w:szCs w:val="24"/>
          <w:lang w:eastAsia="zh-CN"/>
        </w:rPr>
      </w:pPr>
    </w:p>
    <w:p w14:paraId="30CBF415" w14:textId="77777777" w:rsidR="006D4CDA" w:rsidRPr="0086396D" w:rsidRDefault="0077242A" w:rsidP="005C7D8E">
      <w:pPr>
        <w:adjustRightInd w:val="0"/>
        <w:snapToGrid w:val="0"/>
        <w:spacing w:after="0" w:line="360" w:lineRule="auto"/>
        <w:jc w:val="both"/>
        <w:rPr>
          <w:rFonts w:ascii="Book Antiqua" w:hAnsi="Book Antiqua"/>
          <w:b/>
          <w:bCs/>
          <w:i/>
          <w:sz w:val="24"/>
          <w:szCs w:val="24"/>
          <w:lang w:eastAsia="zh-CN"/>
        </w:rPr>
      </w:pPr>
      <w:r w:rsidRPr="0086396D">
        <w:rPr>
          <w:rFonts w:ascii="Book Antiqua" w:hAnsi="Book Antiqua"/>
          <w:b/>
          <w:bCs/>
          <w:i/>
          <w:sz w:val="24"/>
          <w:szCs w:val="24"/>
        </w:rPr>
        <w:t>METHODS</w:t>
      </w:r>
    </w:p>
    <w:p w14:paraId="5C312249" w14:textId="6740AD81" w:rsidR="00682306" w:rsidRPr="0086396D" w:rsidRDefault="00C75D0F" w:rsidP="005C7D8E">
      <w:pPr>
        <w:adjustRightInd w:val="0"/>
        <w:snapToGrid w:val="0"/>
        <w:spacing w:after="0" w:line="360" w:lineRule="auto"/>
        <w:jc w:val="both"/>
        <w:rPr>
          <w:rFonts w:ascii="Book Antiqua" w:hAnsi="Book Antiqua"/>
          <w:bCs/>
          <w:sz w:val="24"/>
          <w:szCs w:val="24"/>
          <w:lang w:eastAsia="zh-CN"/>
        </w:rPr>
      </w:pPr>
      <w:r w:rsidRPr="0086396D">
        <w:rPr>
          <w:rFonts w:ascii="Book Antiqua" w:hAnsi="Book Antiqua"/>
          <w:bCs/>
          <w:sz w:val="24"/>
          <w:szCs w:val="24"/>
        </w:rPr>
        <w:t xml:space="preserve">In this prospective </w:t>
      </w:r>
      <w:r w:rsidR="004106F5" w:rsidRPr="0086396D">
        <w:rPr>
          <w:rFonts w:ascii="Book Antiqua" w:hAnsi="Book Antiqua"/>
          <w:bCs/>
          <w:sz w:val="24"/>
          <w:szCs w:val="24"/>
        </w:rPr>
        <w:t xml:space="preserve">pilot </w:t>
      </w:r>
      <w:r w:rsidRPr="0086396D">
        <w:rPr>
          <w:rFonts w:ascii="Book Antiqua" w:hAnsi="Book Antiqua"/>
          <w:bCs/>
          <w:sz w:val="24"/>
          <w:szCs w:val="24"/>
        </w:rPr>
        <w:t>study, UC patients in clinical remission were recruited and follow</w:t>
      </w:r>
      <w:r w:rsidR="00471B0E" w:rsidRPr="0086396D">
        <w:rPr>
          <w:rFonts w:ascii="Book Antiqua" w:hAnsi="Book Antiqua"/>
          <w:bCs/>
          <w:sz w:val="24"/>
          <w:szCs w:val="24"/>
        </w:rPr>
        <w:t>ed</w:t>
      </w:r>
      <w:r w:rsidRPr="0086396D">
        <w:rPr>
          <w:rFonts w:ascii="Book Antiqua" w:hAnsi="Book Antiqua"/>
          <w:bCs/>
          <w:sz w:val="24"/>
          <w:szCs w:val="24"/>
        </w:rPr>
        <w:t xml:space="preserve">-up </w:t>
      </w:r>
      <w:r w:rsidR="00471B0E" w:rsidRPr="0086396D">
        <w:rPr>
          <w:rFonts w:ascii="Book Antiqua" w:hAnsi="Book Antiqua"/>
          <w:bCs/>
          <w:sz w:val="24"/>
          <w:szCs w:val="24"/>
        </w:rPr>
        <w:t xml:space="preserve">at 12 mo to assess a clinical relapse, or not. </w:t>
      </w:r>
      <w:r w:rsidRPr="0086396D">
        <w:rPr>
          <w:rFonts w:ascii="Book Antiqua" w:hAnsi="Book Antiqua"/>
          <w:bCs/>
          <w:sz w:val="24"/>
          <w:szCs w:val="24"/>
        </w:rPr>
        <w:t xml:space="preserve">At baseline information on demographic and clinical parameters </w:t>
      </w:r>
      <w:r w:rsidR="00471B0E" w:rsidRPr="0086396D">
        <w:rPr>
          <w:rFonts w:ascii="Book Antiqua" w:hAnsi="Book Antiqua"/>
          <w:bCs/>
          <w:sz w:val="24"/>
          <w:szCs w:val="24"/>
        </w:rPr>
        <w:t xml:space="preserve">was </w:t>
      </w:r>
      <w:r w:rsidRPr="0086396D">
        <w:rPr>
          <w:rFonts w:ascii="Book Antiqua" w:hAnsi="Book Antiqua"/>
          <w:bCs/>
          <w:sz w:val="24"/>
          <w:szCs w:val="24"/>
        </w:rPr>
        <w:t xml:space="preserve">collected. </w:t>
      </w:r>
      <w:r w:rsidR="009F5EFD" w:rsidRPr="0086396D">
        <w:rPr>
          <w:rFonts w:ascii="Book Antiqua" w:hAnsi="Book Antiqua"/>
          <w:bCs/>
          <w:sz w:val="24"/>
          <w:szCs w:val="24"/>
        </w:rPr>
        <w:t>S</w:t>
      </w:r>
      <w:r w:rsidRPr="0086396D">
        <w:rPr>
          <w:rFonts w:ascii="Book Antiqua" w:hAnsi="Book Antiqua"/>
          <w:bCs/>
          <w:sz w:val="24"/>
          <w:szCs w:val="24"/>
        </w:rPr>
        <w:t xml:space="preserve">erum and urine samples were collected </w:t>
      </w:r>
      <w:r w:rsidR="00306CA1" w:rsidRPr="0086396D">
        <w:rPr>
          <w:rFonts w:ascii="Book Antiqua" w:hAnsi="Book Antiqua"/>
          <w:bCs/>
          <w:sz w:val="24"/>
          <w:szCs w:val="24"/>
        </w:rPr>
        <w:t>for analysis of</w:t>
      </w:r>
      <w:r w:rsidRPr="0086396D">
        <w:rPr>
          <w:rFonts w:ascii="Book Antiqua" w:hAnsi="Book Antiqua"/>
          <w:bCs/>
          <w:sz w:val="24"/>
          <w:szCs w:val="24"/>
        </w:rPr>
        <w:t xml:space="preserve"> metabolomic assays using </w:t>
      </w:r>
      <w:r w:rsidR="00682306" w:rsidRPr="0086396D">
        <w:rPr>
          <w:rFonts w:ascii="Book Antiqua" w:hAnsi="Book Antiqua"/>
          <w:bCs/>
          <w:sz w:val="24"/>
          <w:szCs w:val="24"/>
        </w:rPr>
        <w:t>a combined direct infusion/liquid chromatography tandem mass spectrometry and nuclear magnetic resolution spectroscopy</w:t>
      </w:r>
      <w:r w:rsidR="00BB0395" w:rsidRPr="0086396D">
        <w:rPr>
          <w:rFonts w:ascii="Book Antiqua" w:hAnsi="Book Antiqua"/>
          <w:bCs/>
          <w:sz w:val="24"/>
          <w:szCs w:val="24"/>
        </w:rPr>
        <w:t>. S</w:t>
      </w:r>
      <w:r w:rsidR="00682306" w:rsidRPr="0086396D">
        <w:rPr>
          <w:rFonts w:ascii="Book Antiqua" w:hAnsi="Book Antiqua"/>
          <w:bCs/>
          <w:sz w:val="24"/>
          <w:szCs w:val="24"/>
        </w:rPr>
        <w:t xml:space="preserve">tool samples were </w:t>
      </w:r>
      <w:r w:rsidR="00BB0395" w:rsidRPr="0086396D">
        <w:rPr>
          <w:rFonts w:ascii="Book Antiqua" w:hAnsi="Book Antiqua"/>
          <w:bCs/>
          <w:sz w:val="24"/>
          <w:szCs w:val="24"/>
        </w:rPr>
        <w:t xml:space="preserve">also </w:t>
      </w:r>
      <w:r w:rsidR="00682306" w:rsidRPr="0086396D">
        <w:rPr>
          <w:rFonts w:ascii="Book Antiqua" w:hAnsi="Book Antiqua"/>
          <w:bCs/>
          <w:sz w:val="24"/>
          <w:szCs w:val="24"/>
        </w:rPr>
        <w:t xml:space="preserve">collected </w:t>
      </w:r>
      <w:r w:rsidR="00EA6D81" w:rsidRPr="0086396D">
        <w:rPr>
          <w:rFonts w:ascii="Book Antiqua" w:hAnsi="Book Antiqua"/>
          <w:bCs/>
          <w:sz w:val="24"/>
          <w:szCs w:val="24"/>
        </w:rPr>
        <w:t>to</w:t>
      </w:r>
      <w:r w:rsidR="00682306" w:rsidRPr="0086396D">
        <w:rPr>
          <w:rFonts w:ascii="Book Antiqua" w:hAnsi="Book Antiqua"/>
          <w:bCs/>
          <w:sz w:val="24"/>
          <w:szCs w:val="24"/>
        </w:rPr>
        <w:t xml:space="preserve"> measure fecal calprotectin</w:t>
      </w:r>
      <w:r w:rsidR="00306CA1" w:rsidRPr="0086396D">
        <w:rPr>
          <w:rFonts w:ascii="Book Antiqua" w:hAnsi="Book Antiqua"/>
          <w:bCs/>
          <w:sz w:val="24"/>
          <w:szCs w:val="24"/>
        </w:rPr>
        <w:t xml:space="preserve"> (FCP)</w:t>
      </w:r>
      <w:r w:rsidR="00682306" w:rsidRPr="0086396D">
        <w:rPr>
          <w:rFonts w:ascii="Book Antiqua" w:hAnsi="Book Antiqua"/>
          <w:bCs/>
          <w:sz w:val="24"/>
          <w:szCs w:val="24"/>
        </w:rPr>
        <w:t xml:space="preserve">. Dietary assessment was performed using a validated self-administered food frequency questionnaire. </w:t>
      </w:r>
    </w:p>
    <w:p w14:paraId="3F98FE0F" w14:textId="77777777" w:rsidR="006D4CDA" w:rsidRPr="0086396D" w:rsidRDefault="006D4CDA" w:rsidP="005C7D8E">
      <w:pPr>
        <w:adjustRightInd w:val="0"/>
        <w:snapToGrid w:val="0"/>
        <w:spacing w:after="0" w:line="360" w:lineRule="auto"/>
        <w:jc w:val="both"/>
        <w:rPr>
          <w:rFonts w:ascii="Book Antiqua" w:hAnsi="Book Antiqua"/>
          <w:bCs/>
          <w:sz w:val="24"/>
          <w:szCs w:val="24"/>
          <w:lang w:eastAsia="zh-CN"/>
        </w:rPr>
      </w:pPr>
    </w:p>
    <w:p w14:paraId="10F836AE" w14:textId="77777777" w:rsidR="006D4CDA" w:rsidRPr="0086396D" w:rsidRDefault="0077242A" w:rsidP="005C7D8E">
      <w:pPr>
        <w:adjustRightInd w:val="0"/>
        <w:snapToGrid w:val="0"/>
        <w:spacing w:after="0" w:line="360" w:lineRule="auto"/>
        <w:jc w:val="both"/>
        <w:rPr>
          <w:rFonts w:ascii="Book Antiqua" w:hAnsi="Book Antiqua"/>
          <w:b/>
          <w:bCs/>
          <w:i/>
          <w:sz w:val="24"/>
          <w:szCs w:val="24"/>
          <w:lang w:eastAsia="zh-CN"/>
        </w:rPr>
      </w:pPr>
      <w:r w:rsidRPr="0086396D">
        <w:rPr>
          <w:rFonts w:ascii="Book Antiqua" w:hAnsi="Book Antiqua"/>
          <w:b/>
          <w:bCs/>
          <w:i/>
          <w:sz w:val="24"/>
          <w:szCs w:val="24"/>
        </w:rPr>
        <w:t>RESULTS</w:t>
      </w:r>
    </w:p>
    <w:p w14:paraId="6AD04754" w14:textId="0A75AC7F" w:rsidR="00C75D0F" w:rsidRPr="0086396D" w:rsidRDefault="00682306" w:rsidP="005C7D8E">
      <w:pPr>
        <w:adjustRightInd w:val="0"/>
        <w:snapToGrid w:val="0"/>
        <w:spacing w:after="0" w:line="360" w:lineRule="auto"/>
        <w:jc w:val="both"/>
        <w:rPr>
          <w:rFonts w:ascii="Book Antiqua" w:hAnsi="Book Antiqua"/>
          <w:sz w:val="24"/>
          <w:szCs w:val="24"/>
          <w:lang w:val="en-CA" w:eastAsia="zh-CN"/>
        </w:rPr>
      </w:pPr>
      <w:r w:rsidRPr="0086396D">
        <w:rPr>
          <w:rFonts w:ascii="Book Antiqua" w:hAnsi="Book Antiqua"/>
          <w:bCs/>
          <w:sz w:val="24"/>
          <w:szCs w:val="24"/>
        </w:rPr>
        <w:t>Twenty patients were included (mean age: 42.7±14.8 years, females: 55%). Seven</w:t>
      </w:r>
      <w:r w:rsidRPr="0086396D">
        <w:rPr>
          <w:rFonts w:ascii="Book Antiqua" w:hAnsi="Book Antiqua"/>
          <w:sz w:val="24"/>
          <w:szCs w:val="24"/>
        </w:rPr>
        <w:t xml:space="preserve"> patients (35%) experienced a clinical relapse during the follow-up period. While 6 patients (66.7%) with normal </w:t>
      </w:r>
      <w:r w:rsidR="00471B0E" w:rsidRPr="0086396D">
        <w:rPr>
          <w:rFonts w:ascii="Book Antiqua" w:hAnsi="Book Antiqua"/>
          <w:sz w:val="24"/>
          <w:szCs w:val="24"/>
        </w:rPr>
        <w:t xml:space="preserve">body </w:t>
      </w:r>
      <w:r w:rsidRPr="0086396D">
        <w:rPr>
          <w:rFonts w:ascii="Book Antiqua" w:hAnsi="Book Antiqua"/>
          <w:sz w:val="24"/>
          <w:szCs w:val="24"/>
        </w:rPr>
        <w:t>weight developed a clinical relapse, 1 UC patient (9.1%) who was overweight/obese relapsed during the follow-up (</w:t>
      </w:r>
      <w:r w:rsidR="00BA0C62" w:rsidRPr="00BA0C62">
        <w:rPr>
          <w:rFonts w:ascii="Book Antiqua" w:hAnsi="Book Antiqua"/>
          <w:i/>
          <w:sz w:val="24"/>
          <w:szCs w:val="24"/>
        </w:rPr>
        <w:t xml:space="preserve">P = </w:t>
      </w:r>
      <w:r w:rsidRPr="0086396D">
        <w:rPr>
          <w:rFonts w:ascii="Book Antiqua" w:hAnsi="Book Antiqua"/>
          <w:sz w:val="24"/>
          <w:szCs w:val="24"/>
        </w:rPr>
        <w:t xml:space="preserve">0.02). At baseline, poultry intake was </w:t>
      </w:r>
      <w:r w:rsidR="00471B0E" w:rsidRPr="0086396D">
        <w:rPr>
          <w:rFonts w:ascii="Book Antiqua" w:hAnsi="Book Antiqua"/>
          <w:sz w:val="24"/>
          <w:szCs w:val="24"/>
        </w:rPr>
        <w:t xml:space="preserve">significantly </w:t>
      </w:r>
      <w:r w:rsidRPr="0086396D">
        <w:rPr>
          <w:rFonts w:ascii="Book Antiqua" w:hAnsi="Book Antiqua"/>
          <w:sz w:val="24"/>
          <w:szCs w:val="24"/>
        </w:rPr>
        <w:t xml:space="preserve">higher in patients who were still in remission during follow-up (0.9 oz </w:t>
      </w:r>
      <w:r w:rsidR="00BA0C62" w:rsidRPr="00BA0C62">
        <w:rPr>
          <w:rFonts w:ascii="Book Antiqua" w:hAnsi="Book Antiqua"/>
          <w:i/>
          <w:sz w:val="24"/>
          <w:szCs w:val="24"/>
        </w:rPr>
        <w:t>vs</w:t>
      </w:r>
      <w:r w:rsidRPr="0086396D">
        <w:rPr>
          <w:rFonts w:ascii="Book Antiqua" w:hAnsi="Book Antiqua"/>
          <w:sz w:val="24"/>
          <w:szCs w:val="24"/>
        </w:rPr>
        <w:t xml:space="preserve"> 0.2 oz, </w:t>
      </w:r>
      <w:r w:rsidR="00BA0C62" w:rsidRPr="00BA0C62">
        <w:rPr>
          <w:rFonts w:ascii="Book Antiqua" w:hAnsi="Book Antiqua"/>
          <w:i/>
          <w:sz w:val="24"/>
          <w:szCs w:val="24"/>
        </w:rPr>
        <w:t xml:space="preserve">P = </w:t>
      </w:r>
      <w:r w:rsidRPr="0086396D">
        <w:rPr>
          <w:rFonts w:ascii="Book Antiqua" w:hAnsi="Book Antiqua"/>
          <w:sz w:val="24"/>
          <w:szCs w:val="24"/>
        </w:rPr>
        <w:t>0.002).</w:t>
      </w:r>
      <w:r w:rsidRPr="0086396D">
        <w:rPr>
          <w:rFonts w:ascii="Book Antiqua" w:hAnsi="Book Antiqua"/>
          <w:sz w:val="24"/>
          <w:szCs w:val="24"/>
          <w:lang w:val="en-CA"/>
        </w:rPr>
        <w:t xml:space="preserve"> Five patients (71.4%) with </w:t>
      </w:r>
      <w:r w:rsidR="00306CA1" w:rsidRPr="0086396D">
        <w:rPr>
          <w:rFonts w:ascii="Book Antiqua" w:hAnsi="Book Antiqua"/>
          <w:sz w:val="24"/>
          <w:szCs w:val="24"/>
          <w:lang w:val="en-CA"/>
        </w:rPr>
        <w:t>FCP</w:t>
      </w:r>
      <w:r w:rsidRPr="0086396D">
        <w:rPr>
          <w:rFonts w:ascii="Book Antiqua" w:hAnsi="Book Antiqua"/>
          <w:sz w:val="24"/>
          <w:szCs w:val="24"/>
          <w:lang w:val="en-CA"/>
        </w:rPr>
        <w:t xml:space="preserve"> &gt;</w:t>
      </w:r>
      <w:r w:rsidR="00BA0C62">
        <w:rPr>
          <w:rFonts w:ascii="Book Antiqua" w:hAnsi="Book Antiqua" w:hint="eastAsia"/>
          <w:sz w:val="24"/>
          <w:szCs w:val="24"/>
          <w:lang w:val="en-CA" w:eastAsia="zh-CN"/>
        </w:rPr>
        <w:t xml:space="preserve"> </w:t>
      </w:r>
      <w:r w:rsidRPr="0086396D">
        <w:rPr>
          <w:rFonts w:ascii="Book Antiqua" w:hAnsi="Book Antiqua"/>
          <w:sz w:val="24"/>
          <w:szCs w:val="24"/>
          <w:lang w:val="en-CA"/>
        </w:rPr>
        <w:t>150</w:t>
      </w:r>
      <w:r w:rsidR="00BA0C62">
        <w:rPr>
          <w:rFonts w:ascii="Book Antiqua" w:hAnsi="Book Antiqua" w:hint="eastAsia"/>
          <w:sz w:val="24"/>
          <w:szCs w:val="24"/>
          <w:lang w:val="en-CA" w:eastAsia="zh-CN"/>
        </w:rPr>
        <w:t xml:space="preserve"> </w:t>
      </w:r>
      <w:r w:rsidRPr="0086396D">
        <w:rPr>
          <w:rFonts w:ascii="Book Antiqua" w:hAnsi="Book Antiqua"/>
          <w:sz w:val="24"/>
          <w:szCs w:val="24"/>
          <w:lang w:val="en-CA"/>
        </w:rPr>
        <w:t>µg/g and 2 patients (15.4%) with normal FC</w:t>
      </w:r>
      <w:r w:rsidR="00306CA1" w:rsidRPr="0086396D">
        <w:rPr>
          <w:rFonts w:ascii="Book Antiqua" w:hAnsi="Book Antiqua"/>
          <w:sz w:val="24"/>
          <w:szCs w:val="24"/>
          <w:lang w:val="en-CA"/>
        </w:rPr>
        <w:t>P</w:t>
      </w:r>
      <w:r w:rsidRPr="0086396D">
        <w:rPr>
          <w:rFonts w:ascii="Book Antiqua" w:hAnsi="Book Antiqua"/>
          <w:sz w:val="24"/>
          <w:szCs w:val="24"/>
          <w:lang w:val="en-CA"/>
        </w:rPr>
        <w:t xml:space="preserve"> </w:t>
      </w:r>
      <w:r w:rsidR="0069525F" w:rsidRPr="0086396D">
        <w:rPr>
          <w:rFonts w:ascii="Book Antiqua" w:hAnsi="Book Antiqua"/>
          <w:sz w:val="24"/>
          <w:szCs w:val="24"/>
          <w:lang w:val="en-CA"/>
        </w:rPr>
        <w:t>(≤</w:t>
      </w:r>
      <w:r w:rsidR="00BA0C62">
        <w:rPr>
          <w:rFonts w:ascii="Book Antiqua" w:hAnsi="Book Antiqua" w:hint="eastAsia"/>
          <w:sz w:val="24"/>
          <w:szCs w:val="24"/>
          <w:lang w:val="en-CA" w:eastAsia="zh-CN"/>
        </w:rPr>
        <w:t xml:space="preserve"> </w:t>
      </w:r>
      <w:r w:rsidR="0069525F" w:rsidRPr="0086396D">
        <w:rPr>
          <w:rFonts w:ascii="Book Antiqua" w:hAnsi="Book Antiqua"/>
          <w:sz w:val="24"/>
          <w:szCs w:val="24"/>
          <w:lang w:val="en-CA"/>
        </w:rPr>
        <w:t>150</w:t>
      </w:r>
      <w:r w:rsidR="00BA0C62">
        <w:rPr>
          <w:rFonts w:ascii="Book Antiqua" w:hAnsi="Book Antiqua" w:hint="eastAsia"/>
          <w:sz w:val="24"/>
          <w:szCs w:val="24"/>
          <w:lang w:val="en-CA" w:eastAsia="zh-CN"/>
        </w:rPr>
        <w:t xml:space="preserve"> </w:t>
      </w:r>
      <w:r w:rsidR="0069525F" w:rsidRPr="0086396D">
        <w:rPr>
          <w:rFonts w:ascii="Book Antiqua" w:hAnsi="Book Antiqua"/>
          <w:sz w:val="24"/>
          <w:szCs w:val="24"/>
          <w:lang w:val="en-CA"/>
        </w:rPr>
        <w:t>µg/g)</w:t>
      </w:r>
      <w:r w:rsidRPr="0086396D">
        <w:rPr>
          <w:rFonts w:ascii="Book Antiqua" w:hAnsi="Book Antiqua"/>
          <w:sz w:val="24"/>
          <w:szCs w:val="24"/>
          <w:lang w:val="en-CA"/>
        </w:rPr>
        <w:t xml:space="preserve"> at baseline relapsed during the follow-up (</w:t>
      </w:r>
      <w:r w:rsidR="00BA0C62" w:rsidRPr="00BA0C62">
        <w:rPr>
          <w:rFonts w:ascii="Book Antiqua" w:hAnsi="Book Antiqua"/>
          <w:i/>
          <w:sz w:val="24"/>
          <w:szCs w:val="24"/>
          <w:lang w:val="en-CA"/>
        </w:rPr>
        <w:t xml:space="preserve">P = </w:t>
      </w:r>
      <w:r w:rsidRPr="0086396D">
        <w:rPr>
          <w:rFonts w:ascii="Book Antiqua" w:hAnsi="Book Antiqua"/>
          <w:sz w:val="24"/>
          <w:szCs w:val="24"/>
          <w:lang w:val="en-CA"/>
        </w:rPr>
        <w:t>0.02).</w:t>
      </w:r>
      <w:r w:rsidR="00BA0C62" w:rsidRPr="00BA0C62">
        <w:rPr>
          <w:rFonts w:ascii="Book Antiqua" w:hAnsi="Book Antiqua"/>
          <w:i/>
          <w:sz w:val="24"/>
          <w:szCs w:val="24"/>
          <w:lang w:val="en-CA"/>
        </w:rPr>
        <w:t xml:space="preserve"> </w:t>
      </w:r>
      <w:r w:rsidR="00BB0395" w:rsidRPr="0086396D">
        <w:rPr>
          <w:rFonts w:ascii="Book Antiqua" w:hAnsi="Book Antiqua"/>
          <w:sz w:val="24"/>
          <w:szCs w:val="24"/>
          <w:lang w:val="en-CA"/>
        </w:rPr>
        <w:t>Interestingly,</w:t>
      </w:r>
      <w:r w:rsidR="004730E4" w:rsidRPr="0086396D">
        <w:rPr>
          <w:rFonts w:ascii="Book Antiqua" w:hAnsi="Book Antiqua"/>
          <w:sz w:val="24"/>
          <w:szCs w:val="24"/>
          <w:rtl/>
          <w:lang w:val="en-CA"/>
        </w:rPr>
        <w:t xml:space="preserve"> </w:t>
      </w:r>
      <w:r w:rsidR="004106F5" w:rsidRPr="0086396D">
        <w:rPr>
          <w:rFonts w:ascii="Book Antiqua" w:hAnsi="Book Antiqua"/>
          <w:sz w:val="24"/>
          <w:szCs w:val="24"/>
        </w:rPr>
        <w:t xml:space="preserve">baseline </w:t>
      </w:r>
      <w:r w:rsidR="00BB0395" w:rsidRPr="0086396D">
        <w:rPr>
          <w:rFonts w:ascii="Book Antiqua" w:hAnsi="Book Antiqua"/>
          <w:sz w:val="24"/>
          <w:szCs w:val="24"/>
          <w:lang w:val="en-CA"/>
        </w:rPr>
        <w:t>u</w:t>
      </w:r>
      <w:r w:rsidR="0069525F" w:rsidRPr="0086396D">
        <w:rPr>
          <w:rFonts w:ascii="Book Antiqua" w:hAnsi="Book Antiqua"/>
          <w:sz w:val="24"/>
          <w:szCs w:val="24"/>
          <w:lang w:val="en-CA"/>
        </w:rPr>
        <w:t xml:space="preserve">rinary and serum metabolomic profiling of </w:t>
      </w:r>
      <w:r w:rsidR="00721D40" w:rsidRPr="0086396D">
        <w:rPr>
          <w:rFonts w:ascii="Book Antiqua" w:hAnsi="Book Antiqua"/>
          <w:sz w:val="24"/>
          <w:szCs w:val="24"/>
          <w:lang w:val="en-CA"/>
        </w:rPr>
        <w:t xml:space="preserve">UC patients with or without </w:t>
      </w:r>
      <w:r w:rsidR="00471B0E" w:rsidRPr="0086396D">
        <w:rPr>
          <w:rFonts w:ascii="Book Antiqua" w:hAnsi="Book Antiqua"/>
          <w:sz w:val="24"/>
          <w:szCs w:val="24"/>
          <w:lang w:val="en-CA"/>
        </w:rPr>
        <w:t xml:space="preserve">clinical </w:t>
      </w:r>
      <w:r w:rsidR="00721D40" w:rsidRPr="0086396D">
        <w:rPr>
          <w:rFonts w:ascii="Book Antiqua" w:hAnsi="Book Antiqua"/>
          <w:sz w:val="24"/>
          <w:szCs w:val="24"/>
          <w:lang w:val="en-CA"/>
        </w:rPr>
        <w:t xml:space="preserve">relapse </w:t>
      </w:r>
      <w:r w:rsidR="004106F5" w:rsidRPr="0086396D">
        <w:rPr>
          <w:rFonts w:ascii="Book Antiqua" w:hAnsi="Book Antiqua"/>
          <w:sz w:val="24"/>
          <w:szCs w:val="24"/>
          <w:lang w:val="en-CA"/>
        </w:rPr>
        <w:t xml:space="preserve">within 12 months </w:t>
      </w:r>
      <w:r w:rsidR="001811AD" w:rsidRPr="0086396D">
        <w:rPr>
          <w:rFonts w:ascii="Book Antiqua" w:hAnsi="Book Antiqua"/>
          <w:sz w:val="24"/>
          <w:szCs w:val="24"/>
          <w:lang w:val="en-CA"/>
        </w:rPr>
        <w:t xml:space="preserve">showed </w:t>
      </w:r>
      <w:r w:rsidR="00BB0395" w:rsidRPr="0086396D">
        <w:rPr>
          <w:rFonts w:ascii="Book Antiqua" w:hAnsi="Book Antiqua"/>
          <w:sz w:val="24"/>
          <w:szCs w:val="24"/>
          <w:lang w:val="en-CA"/>
        </w:rPr>
        <w:t xml:space="preserve">a </w:t>
      </w:r>
      <w:r w:rsidR="001811AD" w:rsidRPr="0086396D">
        <w:rPr>
          <w:rFonts w:ascii="Book Antiqua" w:hAnsi="Book Antiqua"/>
          <w:sz w:val="24"/>
          <w:szCs w:val="24"/>
          <w:lang w:val="en-CA"/>
        </w:rPr>
        <w:t>significant difference</w:t>
      </w:r>
      <w:r w:rsidR="00721D40" w:rsidRPr="0086396D">
        <w:rPr>
          <w:rFonts w:ascii="Book Antiqua" w:hAnsi="Book Antiqua"/>
          <w:sz w:val="24"/>
          <w:szCs w:val="24"/>
          <w:lang w:val="en-CA"/>
        </w:rPr>
        <w:t xml:space="preserve">. The most important metabolites that were responsible for this discrimination were trans-aconitate, cystine and acetamide in urine, and 3-hydroxybutyrate, acetoacetate and acetone in serum. </w:t>
      </w:r>
    </w:p>
    <w:p w14:paraId="17AEF69C" w14:textId="77777777" w:rsidR="006D4CDA" w:rsidRPr="0086396D" w:rsidRDefault="006D4CDA" w:rsidP="005C7D8E">
      <w:pPr>
        <w:adjustRightInd w:val="0"/>
        <w:snapToGrid w:val="0"/>
        <w:spacing w:after="0" w:line="360" w:lineRule="auto"/>
        <w:jc w:val="both"/>
        <w:rPr>
          <w:rFonts w:ascii="Book Antiqua" w:hAnsi="Book Antiqua"/>
          <w:sz w:val="24"/>
          <w:szCs w:val="24"/>
          <w:lang w:eastAsia="zh-CN"/>
        </w:rPr>
      </w:pPr>
    </w:p>
    <w:p w14:paraId="232B0A90" w14:textId="77777777" w:rsidR="006D4CDA" w:rsidRPr="0086396D" w:rsidRDefault="00C75D0F" w:rsidP="005C7D8E">
      <w:pPr>
        <w:adjustRightInd w:val="0"/>
        <w:snapToGrid w:val="0"/>
        <w:spacing w:after="0" w:line="360" w:lineRule="auto"/>
        <w:jc w:val="both"/>
        <w:rPr>
          <w:rFonts w:ascii="Book Antiqua" w:hAnsi="Book Antiqua"/>
          <w:b/>
          <w:bCs/>
          <w:i/>
          <w:sz w:val="24"/>
          <w:szCs w:val="24"/>
          <w:lang w:eastAsia="zh-CN"/>
        </w:rPr>
      </w:pPr>
      <w:r w:rsidRPr="0086396D">
        <w:rPr>
          <w:rFonts w:ascii="Book Antiqua" w:hAnsi="Book Antiqua"/>
          <w:b/>
          <w:bCs/>
          <w:i/>
          <w:sz w:val="24"/>
          <w:szCs w:val="24"/>
        </w:rPr>
        <w:lastRenderedPageBreak/>
        <w:t>C</w:t>
      </w:r>
      <w:r w:rsidR="0077242A" w:rsidRPr="0086396D">
        <w:rPr>
          <w:rFonts w:ascii="Book Antiqua" w:hAnsi="Book Antiqua"/>
          <w:b/>
          <w:bCs/>
          <w:i/>
          <w:sz w:val="24"/>
          <w:szCs w:val="24"/>
        </w:rPr>
        <w:t>ONCLUSION</w:t>
      </w:r>
    </w:p>
    <w:p w14:paraId="57BC636B" w14:textId="4540E930" w:rsidR="00C75D0F" w:rsidRPr="0086396D" w:rsidRDefault="0077242A" w:rsidP="005C7D8E">
      <w:pPr>
        <w:adjustRightInd w:val="0"/>
        <w:snapToGrid w:val="0"/>
        <w:spacing w:after="0" w:line="360" w:lineRule="auto"/>
        <w:jc w:val="both"/>
        <w:rPr>
          <w:rFonts w:ascii="Book Antiqua" w:hAnsi="Book Antiqua"/>
          <w:bCs/>
          <w:sz w:val="24"/>
          <w:szCs w:val="24"/>
        </w:rPr>
      </w:pPr>
      <w:r w:rsidRPr="0086396D">
        <w:rPr>
          <w:rFonts w:ascii="Book Antiqua" w:hAnsi="Book Antiqua"/>
          <w:bCs/>
          <w:sz w:val="24"/>
          <w:szCs w:val="24"/>
        </w:rPr>
        <w:t>A</w:t>
      </w:r>
      <w:r w:rsidR="00721D40" w:rsidRPr="0086396D">
        <w:rPr>
          <w:rFonts w:ascii="Book Antiqua" w:hAnsi="Book Antiqua"/>
          <w:bCs/>
          <w:sz w:val="24"/>
          <w:szCs w:val="24"/>
        </w:rPr>
        <w:t xml:space="preserve"> combination of </w:t>
      </w:r>
      <w:r w:rsidR="00667D6D" w:rsidRPr="0086396D">
        <w:rPr>
          <w:rFonts w:ascii="Book Antiqua" w:hAnsi="Book Antiqua"/>
          <w:bCs/>
          <w:sz w:val="24"/>
          <w:szCs w:val="24"/>
        </w:rPr>
        <w:t xml:space="preserve">baseline </w:t>
      </w:r>
      <w:r w:rsidR="00721D40" w:rsidRPr="0086396D">
        <w:rPr>
          <w:rFonts w:ascii="Book Antiqua" w:hAnsi="Book Antiqua"/>
          <w:bCs/>
          <w:sz w:val="24"/>
          <w:szCs w:val="24"/>
        </w:rPr>
        <w:t>dietary</w:t>
      </w:r>
      <w:r w:rsidR="009F5EFD" w:rsidRPr="0086396D">
        <w:rPr>
          <w:rFonts w:ascii="Book Antiqua" w:hAnsi="Book Antiqua"/>
          <w:bCs/>
          <w:sz w:val="24"/>
          <w:szCs w:val="24"/>
        </w:rPr>
        <w:t xml:space="preserve"> intake</w:t>
      </w:r>
      <w:r w:rsidR="00721D40" w:rsidRPr="0086396D">
        <w:rPr>
          <w:rFonts w:ascii="Book Antiqua" w:hAnsi="Book Antiqua"/>
          <w:bCs/>
          <w:sz w:val="24"/>
          <w:szCs w:val="24"/>
        </w:rPr>
        <w:t>,</w:t>
      </w:r>
      <w:r w:rsidR="009F5EFD" w:rsidRPr="0086396D">
        <w:rPr>
          <w:rFonts w:ascii="Book Antiqua" w:hAnsi="Book Antiqua"/>
          <w:bCs/>
          <w:sz w:val="24"/>
          <w:szCs w:val="24"/>
        </w:rPr>
        <w:t xml:space="preserve"> fecal calprotectin, and</w:t>
      </w:r>
      <w:r w:rsidR="00721D40" w:rsidRPr="0086396D">
        <w:rPr>
          <w:rFonts w:ascii="Book Antiqua" w:hAnsi="Book Antiqua"/>
          <w:bCs/>
          <w:sz w:val="24"/>
          <w:szCs w:val="24"/>
        </w:rPr>
        <w:t xml:space="preserve"> metabolomic factors </w:t>
      </w:r>
      <w:r w:rsidRPr="0086396D">
        <w:rPr>
          <w:rFonts w:ascii="Book Antiqua" w:hAnsi="Book Antiqua"/>
          <w:bCs/>
          <w:sz w:val="24"/>
          <w:szCs w:val="24"/>
        </w:rPr>
        <w:t>a</w:t>
      </w:r>
      <w:r w:rsidR="00721D40" w:rsidRPr="0086396D">
        <w:rPr>
          <w:rFonts w:ascii="Book Antiqua" w:hAnsi="Book Antiqua"/>
          <w:bCs/>
          <w:sz w:val="24"/>
          <w:szCs w:val="24"/>
        </w:rPr>
        <w:t xml:space="preserve">re </w:t>
      </w:r>
      <w:r w:rsidR="00A240CB" w:rsidRPr="0086396D">
        <w:rPr>
          <w:rFonts w:ascii="Book Antiqua" w:hAnsi="Book Antiqua"/>
          <w:bCs/>
          <w:sz w:val="24"/>
          <w:szCs w:val="24"/>
        </w:rPr>
        <w:t>associated with</w:t>
      </w:r>
      <w:r w:rsidR="00721D40" w:rsidRPr="0086396D">
        <w:rPr>
          <w:rFonts w:ascii="Book Antiqua" w:hAnsi="Book Antiqua"/>
          <w:bCs/>
          <w:sz w:val="24"/>
          <w:szCs w:val="24"/>
        </w:rPr>
        <w:t xml:space="preserve"> risk of </w:t>
      </w:r>
      <w:r w:rsidRPr="0086396D">
        <w:rPr>
          <w:rFonts w:ascii="Book Antiqua" w:hAnsi="Book Antiqua"/>
          <w:bCs/>
          <w:sz w:val="24"/>
          <w:szCs w:val="24"/>
        </w:rPr>
        <w:t xml:space="preserve">UC clinical relapse </w:t>
      </w:r>
      <w:r w:rsidR="004106F5" w:rsidRPr="0086396D">
        <w:rPr>
          <w:rFonts w:ascii="Book Antiqua" w:hAnsi="Book Antiqua"/>
          <w:bCs/>
          <w:sz w:val="24"/>
          <w:szCs w:val="24"/>
        </w:rPr>
        <w:t xml:space="preserve">within </w:t>
      </w:r>
      <w:r w:rsidR="00667D6D" w:rsidRPr="0086396D">
        <w:rPr>
          <w:rFonts w:ascii="Book Antiqua" w:hAnsi="Book Antiqua"/>
          <w:bCs/>
          <w:sz w:val="24"/>
          <w:szCs w:val="24"/>
        </w:rPr>
        <w:t>12 months</w:t>
      </w:r>
      <w:r w:rsidR="00721D40" w:rsidRPr="0086396D">
        <w:rPr>
          <w:rFonts w:ascii="Book Antiqua" w:hAnsi="Book Antiqua"/>
          <w:bCs/>
          <w:sz w:val="24"/>
          <w:szCs w:val="24"/>
        </w:rPr>
        <w:t>.</w:t>
      </w:r>
      <w:r w:rsidR="00946303" w:rsidRPr="0086396D">
        <w:rPr>
          <w:rFonts w:ascii="Book Antiqua" w:hAnsi="Book Antiqua"/>
          <w:bCs/>
          <w:sz w:val="24"/>
          <w:szCs w:val="24"/>
        </w:rPr>
        <w:t xml:space="preserve"> </w:t>
      </w:r>
    </w:p>
    <w:p w14:paraId="74DEE608" w14:textId="77777777" w:rsidR="00721D40" w:rsidRPr="0086396D" w:rsidRDefault="00721D40" w:rsidP="005C7D8E">
      <w:pPr>
        <w:adjustRightInd w:val="0"/>
        <w:snapToGrid w:val="0"/>
        <w:spacing w:after="0" w:line="360" w:lineRule="auto"/>
        <w:jc w:val="both"/>
        <w:rPr>
          <w:rFonts w:ascii="Book Antiqua" w:hAnsi="Book Antiqua"/>
          <w:bCs/>
          <w:sz w:val="24"/>
          <w:szCs w:val="24"/>
        </w:rPr>
      </w:pPr>
    </w:p>
    <w:p w14:paraId="262BB054" w14:textId="5CDE67EA" w:rsidR="00721D40" w:rsidRPr="0086396D" w:rsidRDefault="00721D40" w:rsidP="005C7D8E">
      <w:pPr>
        <w:adjustRightInd w:val="0"/>
        <w:snapToGrid w:val="0"/>
        <w:spacing w:after="0" w:line="360" w:lineRule="auto"/>
        <w:jc w:val="both"/>
        <w:rPr>
          <w:rFonts w:ascii="Book Antiqua" w:hAnsi="Book Antiqua"/>
          <w:bCs/>
          <w:sz w:val="24"/>
          <w:szCs w:val="24"/>
        </w:rPr>
      </w:pPr>
      <w:r w:rsidRPr="0086396D">
        <w:rPr>
          <w:rFonts w:ascii="Book Antiqua" w:hAnsi="Book Antiqua"/>
          <w:b/>
          <w:bCs/>
          <w:sz w:val="24"/>
          <w:szCs w:val="24"/>
        </w:rPr>
        <w:t xml:space="preserve">Key words: </w:t>
      </w:r>
      <w:r w:rsidR="003D0FE8" w:rsidRPr="0086396D">
        <w:rPr>
          <w:rFonts w:ascii="Book Antiqua" w:hAnsi="Book Antiqua"/>
          <w:bCs/>
          <w:sz w:val="24"/>
          <w:szCs w:val="24"/>
        </w:rPr>
        <w:t xml:space="preserve">Ulcerative </w:t>
      </w:r>
      <w:r w:rsidRPr="0086396D">
        <w:rPr>
          <w:rFonts w:ascii="Book Antiqua" w:hAnsi="Book Antiqua"/>
          <w:bCs/>
          <w:sz w:val="24"/>
          <w:szCs w:val="24"/>
        </w:rPr>
        <w:t>colitis</w:t>
      </w:r>
      <w:r w:rsidR="003D0FE8" w:rsidRPr="0086396D">
        <w:rPr>
          <w:rFonts w:ascii="Book Antiqua" w:hAnsi="Book Antiqua"/>
          <w:bCs/>
          <w:sz w:val="24"/>
          <w:szCs w:val="24"/>
          <w:lang w:eastAsia="zh-CN"/>
        </w:rPr>
        <w:t>;</w:t>
      </w:r>
      <w:r w:rsidRPr="0086396D">
        <w:rPr>
          <w:rFonts w:ascii="Book Antiqua" w:hAnsi="Book Antiqua"/>
          <w:bCs/>
          <w:sz w:val="24"/>
          <w:szCs w:val="24"/>
        </w:rPr>
        <w:t xml:space="preserve"> </w:t>
      </w:r>
      <w:r w:rsidR="003D0FE8" w:rsidRPr="0086396D">
        <w:rPr>
          <w:rFonts w:ascii="Book Antiqua" w:hAnsi="Book Antiqua"/>
          <w:bCs/>
          <w:sz w:val="24"/>
          <w:szCs w:val="24"/>
        </w:rPr>
        <w:t>Relapse</w:t>
      </w:r>
      <w:r w:rsidR="003D0FE8" w:rsidRPr="0086396D">
        <w:rPr>
          <w:rFonts w:ascii="Book Antiqua" w:hAnsi="Book Antiqua"/>
          <w:bCs/>
          <w:sz w:val="24"/>
          <w:szCs w:val="24"/>
          <w:lang w:eastAsia="zh-CN"/>
        </w:rPr>
        <w:t>;</w:t>
      </w:r>
      <w:r w:rsidRPr="0086396D">
        <w:rPr>
          <w:rFonts w:ascii="Book Antiqua" w:hAnsi="Book Antiqua"/>
          <w:bCs/>
          <w:sz w:val="24"/>
          <w:szCs w:val="24"/>
        </w:rPr>
        <w:t xml:space="preserve"> </w:t>
      </w:r>
      <w:r w:rsidR="003D0FE8" w:rsidRPr="0086396D">
        <w:rPr>
          <w:rFonts w:ascii="Book Antiqua" w:hAnsi="Book Antiqua"/>
          <w:bCs/>
          <w:sz w:val="24"/>
          <w:szCs w:val="24"/>
        </w:rPr>
        <w:t>Metabolomics</w:t>
      </w:r>
      <w:r w:rsidR="003D0FE8" w:rsidRPr="0086396D">
        <w:rPr>
          <w:rFonts w:ascii="Book Antiqua" w:hAnsi="Book Antiqua"/>
          <w:bCs/>
          <w:sz w:val="24"/>
          <w:szCs w:val="24"/>
          <w:lang w:eastAsia="zh-CN"/>
        </w:rPr>
        <w:t>;</w:t>
      </w:r>
      <w:r w:rsidRPr="0086396D">
        <w:rPr>
          <w:rFonts w:ascii="Book Antiqua" w:hAnsi="Book Antiqua"/>
          <w:bCs/>
          <w:sz w:val="24"/>
          <w:szCs w:val="24"/>
        </w:rPr>
        <w:t xml:space="preserve"> </w:t>
      </w:r>
      <w:r w:rsidR="003D0FE8" w:rsidRPr="0086396D">
        <w:rPr>
          <w:rFonts w:ascii="Book Antiqua" w:hAnsi="Book Antiqua"/>
          <w:bCs/>
          <w:sz w:val="24"/>
          <w:szCs w:val="24"/>
        </w:rPr>
        <w:t>Diet</w:t>
      </w:r>
      <w:r w:rsidR="003D0FE8" w:rsidRPr="0086396D">
        <w:rPr>
          <w:rFonts w:ascii="Book Antiqua" w:hAnsi="Book Antiqua"/>
          <w:bCs/>
          <w:sz w:val="24"/>
          <w:szCs w:val="24"/>
          <w:lang w:eastAsia="zh-CN"/>
        </w:rPr>
        <w:t>;</w:t>
      </w:r>
      <w:r w:rsidRPr="0086396D">
        <w:rPr>
          <w:rFonts w:ascii="Book Antiqua" w:hAnsi="Book Antiqua"/>
          <w:bCs/>
          <w:sz w:val="24"/>
          <w:szCs w:val="24"/>
        </w:rPr>
        <w:t xml:space="preserve"> </w:t>
      </w:r>
      <w:r w:rsidR="003D0FE8" w:rsidRPr="0086396D">
        <w:rPr>
          <w:rFonts w:ascii="Book Antiqua" w:hAnsi="Book Antiqua"/>
          <w:bCs/>
          <w:sz w:val="24"/>
          <w:szCs w:val="24"/>
        </w:rPr>
        <w:t xml:space="preserve">Fecal </w:t>
      </w:r>
      <w:r w:rsidRPr="0086396D">
        <w:rPr>
          <w:rFonts w:ascii="Book Antiqua" w:hAnsi="Book Antiqua"/>
          <w:bCs/>
          <w:sz w:val="24"/>
          <w:szCs w:val="24"/>
        </w:rPr>
        <w:t>calprotectin</w:t>
      </w:r>
    </w:p>
    <w:p w14:paraId="75183DE2" w14:textId="77777777" w:rsidR="00721D40" w:rsidRDefault="00721D40" w:rsidP="005C7D8E">
      <w:pPr>
        <w:adjustRightInd w:val="0"/>
        <w:snapToGrid w:val="0"/>
        <w:spacing w:after="0" w:line="360" w:lineRule="auto"/>
        <w:jc w:val="both"/>
        <w:rPr>
          <w:rFonts w:ascii="Book Antiqua" w:hAnsi="Book Antiqua"/>
          <w:bCs/>
          <w:sz w:val="24"/>
          <w:szCs w:val="24"/>
          <w:lang w:eastAsia="zh-CN"/>
        </w:rPr>
      </w:pPr>
    </w:p>
    <w:p w14:paraId="5F6743F9" w14:textId="1473601B" w:rsidR="00BA0C62" w:rsidRDefault="00BA0C62" w:rsidP="005C7D8E">
      <w:pPr>
        <w:adjustRightInd w:val="0"/>
        <w:snapToGrid w:val="0"/>
        <w:spacing w:after="0" w:line="360" w:lineRule="auto"/>
        <w:jc w:val="both"/>
        <w:rPr>
          <w:rFonts w:ascii="Book Antiqua" w:hAnsi="Book Antiqua" w:cs="Arial Unicode MS"/>
          <w:sz w:val="24"/>
          <w:lang w:eastAsia="zh-CN"/>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The Author(s) 201</w:t>
      </w:r>
      <w:r w:rsidRPr="007A0AFD">
        <w:rPr>
          <w:rFonts w:ascii="SimSun" w:hAnsi="SimSun" w:cs="AdvTimes" w:hint="eastAsia"/>
          <w:b/>
          <w:color w:val="000000"/>
          <w:sz w:val="24"/>
        </w:rPr>
        <w:t>7</w:t>
      </w:r>
      <w:r w:rsidRPr="007A0AFD">
        <w:rPr>
          <w:rFonts w:ascii="Book Antiqua" w:eastAsia="AdvTimes" w:hAnsi="Book Antiqua" w:cs="AdvTimes"/>
          <w:b/>
          <w:color w:val="000000"/>
          <w:sz w:val="24"/>
        </w:rPr>
        <w:t>.</w:t>
      </w:r>
      <w:r w:rsidRPr="007A0AFD">
        <w:rPr>
          <w:rFonts w:ascii="Book Antiqua" w:eastAsia="AdvTimes" w:hAnsi="Book Antiqua" w:cs="AdvTimes"/>
          <w:color w:val="000000"/>
          <w:sz w:val="24"/>
        </w:rPr>
        <w:t xml:space="preserve"> Published by </w:t>
      </w:r>
      <w:r w:rsidRPr="007A0AFD">
        <w:rPr>
          <w:rFonts w:ascii="Book Antiqua" w:hAnsi="Book Antiqua" w:cs="Arial Unicode MS"/>
          <w:color w:val="000000"/>
          <w:sz w:val="24"/>
          <w:lang w:val="en-GB"/>
        </w:rPr>
        <w:t>Baishideng Publishing Group Inc.</w:t>
      </w:r>
      <w:r w:rsidRPr="007A0AFD">
        <w:rPr>
          <w:rFonts w:ascii="Book Antiqua" w:hAnsi="Book Antiqua" w:cs="Arial Unicode MS"/>
          <w:sz w:val="24"/>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93AAB20" w14:textId="77777777" w:rsidR="00BA0C62" w:rsidRPr="0086396D" w:rsidRDefault="00BA0C62" w:rsidP="005C7D8E">
      <w:pPr>
        <w:adjustRightInd w:val="0"/>
        <w:snapToGrid w:val="0"/>
        <w:spacing w:after="0" w:line="360" w:lineRule="auto"/>
        <w:jc w:val="both"/>
        <w:rPr>
          <w:rFonts w:ascii="Book Antiqua" w:hAnsi="Book Antiqua"/>
          <w:bCs/>
          <w:sz w:val="24"/>
          <w:szCs w:val="24"/>
          <w:lang w:eastAsia="zh-CN"/>
        </w:rPr>
      </w:pPr>
    </w:p>
    <w:p w14:paraId="5B2C9396" w14:textId="4AC3B0C2" w:rsidR="00B53D96" w:rsidRPr="0086396D" w:rsidRDefault="00B53D96" w:rsidP="005C7D8E">
      <w:pPr>
        <w:adjustRightInd w:val="0"/>
        <w:snapToGrid w:val="0"/>
        <w:spacing w:after="0" w:line="360" w:lineRule="auto"/>
        <w:jc w:val="both"/>
        <w:rPr>
          <w:rFonts w:ascii="Book Antiqua" w:hAnsi="Book Antiqua"/>
          <w:bCs/>
          <w:sz w:val="24"/>
          <w:szCs w:val="24"/>
          <w:lang w:eastAsia="zh-CN"/>
        </w:rPr>
      </w:pPr>
      <w:r w:rsidRPr="0086396D">
        <w:rPr>
          <w:rFonts w:ascii="Book Antiqua" w:hAnsi="Book Antiqua"/>
          <w:b/>
          <w:sz w:val="24"/>
          <w:szCs w:val="24"/>
        </w:rPr>
        <w:t xml:space="preserve">Core </w:t>
      </w:r>
      <w:r w:rsidR="003D0FE8" w:rsidRPr="0086396D">
        <w:rPr>
          <w:rFonts w:ascii="Book Antiqua" w:hAnsi="Book Antiqua"/>
          <w:b/>
          <w:sz w:val="24"/>
          <w:szCs w:val="24"/>
        </w:rPr>
        <w:t>t</w:t>
      </w:r>
      <w:r w:rsidR="00D018B5" w:rsidRPr="0086396D">
        <w:rPr>
          <w:rFonts w:ascii="Book Antiqua" w:hAnsi="Book Antiqua"/>
          <w:b/>
          <w:sz w:val="24"/>
          <w:szCs w:val="24"/>
        </w:rPr>
        <w:t>ip:</w:t>
      </w:r>
      <w:r w:rsidR="00D018B5" w:rsidRPr="0086396D">
        <w:rPr>
          <w:rFonts w:ascii="Book Antiqua" w:hAnsi="Book Antiqua"/>
          <w:bCs/>
          <w:sz w:val="24"/>
          <w:szCs w:val="24"/>
        </w:rPr>
        <w:t xml:space="preserve"> This was a </w:t>
      </w:r>
      <w:r w:rsidR="00946303" w:rsidRPr="0086396D">
        <w:rPr>
          <w:rFonts w:ascii="Book Antiqua" w:hAnsi="Book Antiqua"/>
          <w:bCs/>
          <w:sz w:val="24"/>
          <w:szCs w:val="24"/>
        </w:rPr>
        <w:t xml:space="preserve">pilot </w:t>
      </w:r>
      <w:r w:rsidR="00D018B5" w:rsidRPr="0086396D">
        <w:rPr>
          <w:rFonts w:ascii="Book Antiqua" w:hAnsi="Book Antiqua"/>
          <w:bCs/>
          <w:sz w:val="24"/>
          <w:szCs w:val="24"/>
        </w:rPr>
        <w:t xml:space="preserve">prospective cohort study to evaluate the determinants of clinical relapse in </w:t>
      </w:r>
      <w:r w:rsidR="00672E9A" w:rsidRPr="0086396D">
        <w:rPr>
          <w:rFonts w:ascii="Book Antiqua" w:hAnsi="Book Antiqua"/>
          <w:bCs/>
          <w:sz w:val="24"/>
          <w:szCs w:val="24"/>
        </w:rPr>
        <w:t xml:space="preserve">adult </w:t>
      </w:r>
      <w:r w:rsidR="00D018B5" w:rsidRPr="0086396D">
        <w:rPr>
          <w:rFonts w:ascii="Book Antiqua" w:hAnsi="Book Antiqua"/>
          <w:bCs/>
          <w:sz w:val="24"/>
          <w:szCs w:val="24"/>
        </w:rPr>
        <w:t xml:space="preserve">ulcerative colitis patients. We found that </w:t>
      </w:r>
      <w:r w:rsidR="00672E9A" w:rsidRPr="0086396D">
        <w:rPr>
          <w:rFonts w:ascii="Book Antiqua" w:hAnsi="Book Antiqua"/>
          <w:bCs/>
          <w:sz w:val="24"/>
          <w:szCs w:val="24"/>
        </w:rPr>
        <w:t xml:space="preserve">different </w:t>
      </w:r>
      <w:r w:rsidR="000325D4" w:rsidRPr="0086396D">
        <w:rPr>
          <w:rFonts w:ascii="Book Antiqua" w:hAnsi="Book Antiqua"/>
          <w:bCs/>
          <w:sz w:val="24"/>
          <w:szCs w:val="24"/>
        </w:rPr>
        <w:t xml:space="preserve">dietary, anthropometric, </w:t>
      </w:r>
      <w:r w:rsidR="00672E9A" w:rsidRPr="0086396D">
        <w:rPr>
          <w:rFonts w:ascii="Book Antiqua" w:hAnsi="Book Antiqua"/>
          <w:bCs/>
          <w:sz w:val="24"/>
          <w:szCs w:val="24"/>
        </w:rPr>
        <w:t xml:space="preserve">and metabolomic factors at baseline were associated with the risk of disease relapse </w:t>
      </w:r>
      <w:r w:rsidR="004106F5" w:rsidRPr="0086396D">
        <w:rPr>
          <w:rFonts w:ascii="Book Antiqua" w:hAnsi="Book Antiqua"/>
          <w:bCs/>
          <w:sz w:val="24"/>
          <w:szCs w:val="24"/>
        </w:rPr>
        <w:t xml:space="preserve">within </w:t>
      </w:r>
      <w:r w:rsidR="00672E9A" w:rsidRPr="0086396D">
        <w:rPr>
          <w:rFonts w:ascii="Book Antiqua" w:hAnsi="Book Antiqua"/>
          <w:bCs/>
          <w:sz w:val="24"/>
          <w:szCs w:val="24"/>
        </w:rPr>
        <w:t xml:space="preserve">12 mo of follow-up. </w:t>
      </w:r>
    </w:p>
    <w:p w14:paraId="17DC4113" w14:textId="77777777" w:rsidR="003D0FE8" w:rsidRPr="0086396D" w:rsidRDefault="003D0FE8" w:rsidP="005C7D8E">
      <w:pPr>
        <w:adjustRightInd w:val="0"/>
        <w:snapToGrid w:val="0"/>
        <w:spacing w:after="0" w:line="360" w:lineRule="auto"/>
        <w:jc w:val="both"/>
        <w:rPr>
          <w:rFonts w:ascii="Book Antiqua" w:hAnsi="Book Antiqua"/>
          <w:b/>
          <w:sz w:val="24"/>
          <w:szCs w:val="24"/>
          <w:lang w:eastAsia="zh-CN"/>
        </w:rPr>
      </w:pPr>
    </w:p>
    <w:p w14:paraId="341C725D" w14:textId="1193B61F" w:rsidR="00946303" w:rsidRPr="0086396D" w:rsidRDefault="002B22A0"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bCs/>
          <w:sz w:val="24"/>
          <w:szCs w:val="24"/>
        </w:rPr>
        <w:t xml:space="preserve">Keshteli AH, van den Brand FF, Madsen KL, Mandal R, Valcheva R, Kroeker KI, Han B, Bell RC, Cole J, Hoevers T, Wishart DS, Fedorak RN, Dieleman LA. </w:t>
      </w:r>
      <w:r w:rsidR="00C47ED0" w:rsidRPr="0086396D">
        <w:rPr>
          <w:rFonts w:ascii="Book Antiqua" w:hAnsi="Book Antiqua"/>
          <w:sz w:val="24"/>
          <w:szCs w:val="24"/>
        </w:rPr>
        <w:t>Dietary and metabolomic d</w:t>
      </w:r>
      <w:r w:rsidR="00762032" w:rsidRPr="0086396D">
        <w:rPr>
          <w:rFonts w:ascii="Book Antiqua" w:hAnsi="Book Antiqua"/>
          <w:sz w:val="24"/>
          <w:szCs w:val="24"/>
        </w:rPr>
        <w:t>eterminants of relapse in ulcerative colitis patients: a pilot prospective cohort study</w:t>
      </w:r>
      <w:r w:rsidR="00992F96">
        <w:rPr>
          <w:rFonts w:ascii="Book Antiqua" w:hAnsi="Book Antiqua" w:hint="eastAsia"/>
          <w:sz w:val="24"/>
          <w:szCs w:val="24"/>
          <w:lang w:eastAsia="zh-CN"/>
        </w:rPr>
        <w:t xml:space="preserve">. </w:t>
      </w:r>
      <w:r w:rsidR="00992F96" w:rsidRPr="009E3692">
        <w:rPr>
          <w:rFonts w:ascii="Book Antiqua" w:hAnsi="Book Antiqua"/>
          <w:i/>
          <w:sz w:val="24"/>
        </w:rPr>
        <w:t>World J Gastroenterol</w:t>
      </w:r>
      <w:r w:rsidR="00992F96" w:rsidRPr="009E3692">
        <w:rPr>
          <w:rFonts w:ascii="Book Antiqua" w:hAnsi="Book Antiqua"/>
          <w:sz w:val="24"/>
        </w:rPr>
        <w:t xml:space="preserve"> 201</w:t>
      </w:r>
      <w:r w:rsidR="00992F96">
        <w:rPr>
          <w:rFonts w:ascii="Book Antiqua" w:hAnsi="Book Antiqua" w:hint="eastAsia"/>
          <w:sz w:val="24"/>
        </w:rPr>
        <w:t>7</w:t>
      </w:r>
      <w:r w:rsidR="00992F96" w:rsidRPr="009E3692">
        <w:rPr>
          <w:rFonts w:ascii="Book Antiqua" w:hAnsi="Book Antiqua"/>
          <w:sz w:val="24"/>
        </w:rPr>
        <w:t>; In press</w:t>
      </w:r>
    </w:p>
    <w:p w14:paraId="510A93D4" w14:textId="281A5F9E" w:rsidR="00992F96" w:rsidRDefault="00992F96" w:rsidP="005C7D8E">
      <w:pPr>
        <w:adjustRightInd w:val="0"/>
        <w:snapToGrid w:val="0"/>
        <w:spacing w:after="0" w:line="360" w:lineRule="auto"/>
        <w:jc w:val="both"/>
        <w:rPr>
          <w:rFonts w:ascii="Book Antiqua" w:hAnsi="Book Antiqua"/>
          <w:b/>
          <w:bCs/>
          <w:sz w:val="24"/>
          <w:szCs w:val="24"/>
          <w:lang w:eastAsia="zh-CN"/>
        </w:rPr>
      </w:pPr>
      <w:r>
        <w:rPr>
          <w:rFonts w:ascii="Book Antiqua" w:hAnsi="Book Antiqua"/>
          <w:b/>
          <w:bCs/>
          <w:sz w:val="24"/>
          <w:szCs w:val="24"/>
          <w:lang w:eastAsia="zh-CN"/>
        </w:rPr>
        <w:br w:type="page"/>
      </w:r>
    </w:p>
    <w:p w14:paraId="65D5799F" w14:textId="1807824C" w:rsidR="00D846B7" w:rsidRPr="0086396D" w:rsidRDefault="001D6E1E" w:rsidP="005C7D8E">
      <w:pPr>
        <w:adjustRightInd w:val="0"/>
        <w:snapToGrid w:val="0"/>
        <w:spacing w:after="0" w:line="360" w:lineRule="auto"/>
        <w:jc w:val="both"/>
        <w:rPr>
          <w:rFonts w:ascii="Book Antiqua" w:hAnsi="Book Antiqua"/>
          <w:bCs/>
          <w:caps/>
          <w:sz w:val="24"/>
          <w:szCs w:val="24"/>
          <w:lang w:eastAsia="zh-CN"/>
        </w:rPr>
      </w:pPr>
      <w:r w:rsidRPr="0086396D">
        <w:rPr>
          <w:rFonts w:ascii="Book Antiqua" w:hAnsi="Book Antiqua"/>
          <w:b/>
          <w:bCs/>
          <w:caps/>
          <w:sz w:val="24"/>
          <w:szCs w:val="24"/>
        </w:rPr>
        <w:lastRenderedPageBreak/>
        <w:t>In</w:t>
      </w:r>
      <w:r w:rsidR="003D0FE8" w:rsidRPr="0086396D">
        <w:rPr>
          <w:rFonts w:ascii="Book Antiqua" w:hAnsi="Book Antiqua"/>
          <w:b/>
          <w:bCs/>
          <w:caps/>
          <w:sz w:val="24"/>
          <w:szCs w:val="24"/>
        </w:rPr>
        <w:t>troduction</w:t>
      </w:r>
    </w:p>
    <w:p w14:paraId="61504691" w14:textId="41E5B28F" w:rsidR="004D471E" w:rsidRPr="0086396D" w:rsidRDefault="00F566A7" w:rsidP="005C7D8E">
      <w:pPr>
        <w:adjustRightInd w:val="0"/>
        <w:snapToGrid w:val="0"/>
        <w:spacing w:after="0" w:line="360" w:lineRule="auto"/>
        <w:jc w:val="both"/>
        <w:rPr>
          <w:rFonts w:ascii="Book Antiqua" w:hAnsi="Book Antiqua"/>
          <w:sz w:val="24"/>
          <w:szCs w:val="24"/>
        </w:rPr>
      </w:pPr>
      <w:r w:rsidRPr="0086396D">
        <w:rPr>
          <w:rFonts w:ascii="Book Antiqua" w:hAnsi="Book Antiqua"/>
          <w:sz w:val="24"/>
          <w:szCs w:val="24"/>
        </w:rPr>
        <w:t xml:space="preserve">Ulcerative </w:t>
      </w:r>
      <w:r w:rsidR="0043100B" w:rsidRPr="0086396D">
        <w:rPr>
          <w:rFonts w:ascii="Book Antiqua" w:hAnsi="Book Antiqua"/>
          <w:sz w:val="24"/>
          <w:szCs w:val="24"/>
        </w:rPr>
        <w:t xml:space="preserve">colitis </w:t>
      </w:r>
      <w:r w:rsidR="00F945DD" w:rsidRPr="0086396D">
        <w:rPr>
          <w:rFonts w:ascii="Book Antiqua" w:hAnsi="Book Antiqua"/>
          <w:sz w:val="24"/>
          <w:szCs w:val="24"/>
        </w:rPr>
        <w:t>(UC)</w:t>
      </w:r>
      <w:r w:rsidR="004730E4" w:rsidRPr="0086396D">
        <w:rPr>
          <w:rFonts w:ascii="Book Antiqua" w:hAnsi="Book Antiqua"/>
          <w:sz w:val="24"/>
          <w:szCs w:val="24"/>
        </w:rPr>
        <w:t>,</w:t>
      </w:r>
      <w:r w:rsidRPr="0086396D">
        <w:rPr>
          <w:rFonts w:ascii="Book Antiqua" w:hAnsi="Book Antiqua"/>
          <w:sz w:val="24"/>
          <w:szCs w:val="24"/>
        </w:rPr>
        <w:t xml:space="preserve"> </w:t>
      </w:r>
      <w:r w:rsidR="0043100B" w:rsidRPr="0086396D">
        <w:rPr>
          <w:rFonts w:ascii="Book Antiqua" w:hAnsi="Book Antiqua"/>
          <w:sz w:val="24"/>
          <w:szCs w:val="24"/>
        </w:rPr>
        <w:t>a subtype of</w:t>
      </w:r>
      <w:r w:rsidRPr="0086396D">
        <w:rPr>
          <w:rFonts w:ascii="Book Antiqua" w:hAnsi="Book Antiqua"/>
          <w:sz w:val="24"/>
          <w:szCs w:val="24"/>
        </w:rPr>
        <w:t xml:space="preserve"> the </w:t>
      </w:r>
      <w:r w:rsidR="0043100B" w:rsidRPr="0086396D">
        <w:rPr>
          <w:rFonts w:ascii="Book Antiqua" w:hAnsi="Book Antiqua"/>
          <w:sz w:val="24"/>
          <w:szCs w:val="24"/>
        </w:rPr>
        <w:t>inflammatory b</w:t>
      </w:r>
      <w:r w:rsidRPr="0086396D">
        <w:rPr>
          <w:rFonts w:ascii="Book Antiqua" w:hAnsi="Book Antiqua"/>
          <w:sz w:val="24"/>
          <w:szCs w:val="24"/>
        </w:rPr>
        <w:t xml:space="preserve">owel </w:t>
      </w:r>
      <w:r w:rsidR="0043100B" w:rsidRPr="0086396D">
        <w:rPr>
          <w:rFonts w:ascii="Book Antiqua" w:hAnsi="Book Antiqua"/>
          <w:sz w:val="24"/>
          <w:szCs w:val="24"/>
        </w:rPr>
        <w:t xml:space="preserve">diseases </w:t>
      </w:r>
      <w:r w:rsidR="00787D73" w:rsidRPr="0086396D">
        <w:rPr>
          <w:rFonts w:ascii="Book Antiqua" w:hAnsi="Book Antiqua"/>
          <w:sz w:val="24"/>
          <w:szCs w:val="24"/>
        </w:rPr>
        <w:t>(IBD)</w:t>
      </w:r>
      <w:r w:rsidRPr="0086396D">
        <w:rPr>
          <w:rFonts w:ascii="Book Antiqua" w:hAnsi="Book Antiqua"/>
          <w:sz w:val="24"/>
          <w:szCs w:val="24"/>
        </w:rPr>
        <w:t xml:space="preserve">, is a chronic </w:t>
      </w:r>
      <w:r w:rsidR="0043100B" w:rsidRPr="0086396D">
        <w:rPr>
          <w:rFonts w:ascii="Book Antiqua" w:hAnsi="Book Antiqua"/>
          <w:sz w:val="24"/>
          <w:szCs w:val="24"/>
        </w:rPr>
        <w:t>re</w:t>
      </w:r>
      <w:r w:rsidR="00690C8F" w:rsidRPr="0086396D">
        <w:rPr>
          <w:rFonts w:ascii="Book Antiqua" w:hAnsi="Book Antiqua"/>
          <w:sz w:val="24"/>
          <w:szCs w:val="24"/>
        </w:rPr>
        <w:t>lapse-remitting</w:t>
      </w:r>
      <w:r w:rsidR="0043100B" w:rsidRPr="0086396D">
        <w:rPr>
          <w:rFonts w:ascii="Book Antiqua" w:hAnsi="Book Antiqua"/>
          <w:sz w:val="24"/>
          <w:szCs w:val="24"/>
        </w:rPr>
        <w:t xml:space="preserve"> </w:t>
      </w:r>
      <w:r w:rsidRPr="0086396D">
        <w:rPr>
          <w:rFonts w:ascii="Book Antiqua" w:hAnsi="Book Antiqua"/>
          <w:sz w:val="24"/>
          <w:szCs w:val="24"/>
        </w:rPr>
        <w:t>inflammatory condition</w:t>
      </w:r>
      <w:r w:rsidR="003A2B48" w:rsidRPr="0086396D">
        <w:rPr>
          <w:rFonts w:ascii="Book Antiqua" w:hAnsi="Book Antiqua"/>
          <w:sz w:val="24"/>
          <w:szCs w:val="24"/>
        </w:rPr>
        <w:t xml:space="preserve"> </w:t>
      </w:r>
      <w:r w:rsidR="00D34A4C" w:rsidRPr="0086396D">
        <w:rPr>
          <w:rFonts w:ascii="Book Antiqua" w:hAnsi="Book Antiqua"/>
          <w:sz w:val="24"/>
          <w:szCs w:val="24"/>
        </w:rPr>
        <w:t xml:space="preserve">that affects the </w:t>
      </w:r>
      <w:r w:rsidR="007B7E8E" w:rsidRPr="0086396D">
        <w:rPr>
          <w:rFonts w:ascii="Book Antiqua" w:hAnsi="Book Antiqua"/>
          <w:sz w:val="24"/>
          <w:szCs w:val="24"/>
        </w:rPr>
        <w:t xml:space="preserve">colon </w:t>
      </w:r>
      <w:r w:rsidR="00B63C80" w:rsidRPr="0086396D">
        <w:rPr>
          <w:rFonts w:ascii="Book Antiqua" w:hAnsi="Book Antiqua"/>
          <w:sz w:val="24"/>
          <w:szCs w:val="24"/>
        </w:rPr>
        <w:t xml:space="preserve">in a diffuse, continuous, and superficial pattern. </w:t>
      </w:r>
      <w:r w:rsidR="00D34A4C" w:rsidRPr="0086396D">
        <w:rPr>
          <w:rFonts w:ascii="Book Antiqua" w:hAnsi="Book Antiqua"/>
          <w:sz w:val="24"/>
          <w:szCs w:val="24"/>
        </w:rPr>
        <w:t>It often presents in young adulthood and is more common in developed countries</w:t>
      </w:r>
      <w:r w:rsidR="00BE1DE7" w:rsidRPr="0086396D">
        <w:rPr>
          <w:rFonts w:ascii="Book Antiqua" w:hAnsi="Book Antiqua"/>
          <w:sz w:val="24"/>
          <w:szCs w:val="24"/>
        </w:rPr>
        <w:t>. UC a</w:t>
      </w:r>
      <w:r w:rsidR="003A2B48" w:rsidRPr="0086396D">
        <w:rPr>
          <w:rFonts w:ascii="Book Antiqua" w:hAnsi="Book Antiqua"/>
          <w:sz w:val="24"/>
          <w:szCs w:val="24"/>
        </w:rPr>
        <w:t>ffect</w:t>
      </w:r>
      <w:r w:rsidR="00BE1DE7" w:rsidRPr="0086396D">
        <w:rPr>
          <w:rFonts w:ascii="Book Antiqua" w:hAnsi="Book Antiqua"/>
          <w:sz w:val="24"/>
          <w:szCs w:val="24"/>
        </w:rPr>
        <w:t>s</w:t>
      </w:r>
      <w:r w:rsidR="003A2B48" w:rsidRPr="0086396D">
        <w:rPr>
          <w:rFonts w:ascii="Book Antiqua" w:hAnsi="Book Antiqua"/>
          <w:sz w:val="24"/>
          <w:szCs w:val="24"/>
        </w:rPr>
        <w:t xml:space="preserve"> both genders</w:t>
      </w:r>
      <w:r w:rsidR="00BE1DE7" w:rsidRPr="0086396D">
        <w:rPr>
          <w:rFonts w:ascii="Book Antiqua" w:hAnsi="Book Antiqua"/>
          <w:sz w:val="24"/>
          <w:szCs w:val="24"/>
        </w:rPr>
        <w:t xml:space="preserve"> equally</w:t>
      </w:r>
      <w:r w:rsidR="00B63C80" w:rsidRPr="0086396D">
        <w:rPr>
          <w:rFonts w:ascii="Book Antiqua" w:hAnsi="Book Antiqua"/>
          <w:sz w:val="24"/>
          <w:szCs w:val="24"/>
        </w:rPr>
        <w:t xml:space="preserve"> and its presenting symptoms are usually rectal bleeding, urgency, and tenesmus, with diarrhea</w:t>
      </w:r>
      <w:r w:rsidR="003A2B48" w:rsidRPr="0086396D">
        <w:rPr>
          <w:rFonts w:ascii="Book Antiqua" w:hAnsi="Book Antiqua"/>
          <w:sz w:val="24"/>
          <w:szCs w:val="24"/>
        </w:rPr>
        <w:t>.</w:t>
      </w:r>
      <w:r w:rsidR="00575CD5" w:rsidRPr="0086396D">
        <w:rPr>
          <w:rFonts w:ascii="Book Antiqua" w:hAnsi="Book Antiqua"/>
          <w:sz w:val="24"/>
          <w:szCs w:val="24"/>
        </w:rPr>
        <w:t xml:space="preserve"> </w:t>
      </w:r>
      <w:r w:rsidR="00B63C80" w:rsidRPr="0086396D">
        <w:rPr>
          <w:rFonts w:ascii="Book Antiqua" w:hAnsi="Book Antiqua"/>
          <w:sz w:val="24"/>
          <w:szCs w:val="24"/>
        </w:rPr>
        <w:t xml:space="preserve">UC prevalence </w:t>
      </w:r>
      <w:r w:rsidR="007B7E8E" w:rsidRPr="0086396D">
        <w:rPr>
          <w:rFonts w:ascii="Book Antiqua" w:hAnsi="Book Antiqua"/>
          <w:sz w:val="24"/>
          <w:szCs w:val="24"/>
        </w:rPr>
        <w:t xml:space="preserve">is </w:t>
      </w:r>
      <w:r w:rsidR="00B63C80" w:rsidRPr="0086396D">
        <w:rPr>
          <w:rFonts w:ascii="Book Antiqua" w:hAnsi="Book Antiqua"/>
          <w:sz w:val="24"/>
          <w:szCs w:val="24"/>
        </w:rPr>
        <w:t>estimated at 5-500 people per 100</w:t>
      </w:r>
      <w:r w:rsidR="00992F96">
        <w:rPr>
          <w:rFonts w:ascii="Book Antiqua" w:hAnsi="Book Antiqua"/>
          <w:sz w:val="24"/>
          <w:szCs w:val="24"/>
        </w:rPr>
        <w:t>000 worldwide</w:t>
      </w:r>
      <w:r w:rsidR="002B6AAF" w:rsidRPr="0086396D">
        <w:rPr>
          <w:rFonts w:ascii="Book Antiqua" w:hAnsi="Book Antiqua"/>
          <w:sz w:val="24"/>
          <w:szCs w:val="24"/>
          <w:vertAlign w:val="superscript"/>
        </w:rPr>
        <w:t>[</w:t>
      </w:r>
      <w:r w:rsidR="00B63C80" w:rsidRPr="0086396D">
        <w:rPr>
          <w:rFonts w:ascii="Book Antiqua" w:hAnsi="Book Antiqua"/>
          <w:sz w:val="24"/>
          <w:szCs w:val="24"/>
          <w:vertAlign w:val="superscript"/>
        </w:rPr>
        <w:t>1</w:t>
      </w:r>
      <w:r w:rsidR="002B6AAF" w:rsidRPr="0086396D">
        <w:rPr>
          <w:rFonts w:ascii="Book Antiqua" w:hAnsi="Book Antiqua"/>
          <w:sz w:val="24"/>
          <w:szCs w:val="24"/>
          <w:vertAlign w:val="superscript"/>
        </w:rPr>
        <w:t>]</w:t>
      </w:r>
      <w:r w:rsidR="00B63C80" w:rsidRPr="0086396D">
        <w:rPr>
          <w:rFonts w:ascii="Book Antiqua" w:hAnsi="Book Antiqua"/>
          <w:sz w:val="24"/>
          <w:szCs w:val="24"/>
        </w:rPr>
        <w:t xml:space="preserve">. </w:t>
      </w:r>
      <w:r w:rsidR="00F2223B" w:rsidRPr="0086396D">
        <w:rPr>
          <w:rFonts w:ascii="Book Antiqua" w:hAnsi="Book Antiqua"/>
          <w:sz w:val="24"/>
          <w:szCs w:val="24"/>
        </w:rPr>
        <w:t>In addition,</w:t>
      </w:r>
      <w:r w:rsidR="004E7E3C" w:rsidRPr="0086396D">
        <w:rPr>
          <w:rFonts w:ascii="Book Antiqua" w:hAnsi="Book Antiqua"/>
          <w:sz w:val="24"/>
          <w:szCs w:val="24"/>
        </w:rPr>
        <w:t xml:space="preserve"> the incidence </w:t>
      </w:r>
      <w:r w:rsidR="007A63DD" w:rsidRPr="0086396D">
        <w:rPr>
          <w:rFonts w:ascii="Book Antiqua" w:hAnsi="Book Antiqua"/>
          <w:sz w:val="24"/>
          <w:szCs w:val="24"/>
        </w:rPr>
        <w:t>of UC</w:t>
      </w:r>
      <w:r w:rsidR="004E7E3C" w:rsidRPr="0086396D">
        <w:rPr>
          <w:rFonts w:ascii="Book Antiqua" w:hAnsi="Book Antiqua"/>
          <w:sz w:val="24"/>
          <w:szCs w:val="24"/>
        </w:rPr>
        <w:t xml:space="preserve"> is increasing </w:t>
      </w:r>
      <w:r w:rsidR="00F2223B" w:rsidRPr="0086396D">
        <w:rPr>
          <w:rFonts w:ascii="Book Antiqua" w:hAnsi="Book Antiqua"/>
          <w:sz w:val="24"/>
          <w:szCs w:val="24"/>
        </w:rPr>
        <w:t>and its health-care burden is considerable</w:t>
      </w:r>
      <w:r w:rsidR="002B6AAF" w:rsidRPr="0086396D">
        <w:rPr>
          <w:rFonts w:ascii="Book Antiqua" w:hAnsi="Book Antiqua"/>
          <w:sz w:val="24"/>
          <w:szCs w:val="24"/>
          <w:vertAlign w:val="superscript"/>
        </w:rPr>
        <w:t>[</w:t>
      </w:r>
      <w:r w:rsidR="00F2223B" w:rsidRPr="0086396D">
        <w:rPr>
          <w:rFonts w:ascii="Book Antiqua" w:hAnsi="Book Antiqua"/>
          <w:sz w:val="24"/>
          <w:szCs w:val="24"/>
          <w:vertAlign w:val="superscript"/>
        </w:rPr>
        <w:t>2</w:t>
      </w:r>
      <w:r w:rsidR="002B6AAF" w:rsidRPr="0086396D">
        <w:rPr>
          <w:rFonts w:ascii="Book Antiqua" w:hAnsi="Book Antiqua"/>
          <w:sz w:val="24"/>
          <w:szCs w:val="24"/>
          <w:vertAlign w:val="superscript"/>
        </w:rPr>
        <w:t>]</w:t>
      </w:r>
      <w:r w:rsidR="004E7E3C" w:rsidRPr="0086396D">
        <w:rPr>
          <w:rFonts w:ascii="Book Antiqua" w:hAnsi="Book Antiqua"/>
          <w:sz w:val="24"/>
          <w:szCs w:val="24"/>
        </w:rPr>
        <w:t xml:space="preserve">. </w:t>
      </w:r>
      <w:r w:rsidR="005D27F3" w:rsidRPr="0086396D">
        <w:rPr>
          <w:rFonts w:ascii="Book Antiqua" w:hAnsi="Book Antiqua"/>
          <w:sz w:val="24"/>
          <w:szCs w:val="24"/>
        </w:rPr>
        <w:t>The incidence and prevalence of IBD</w:t>
      </w:r>
      <w:r w:rsidR="00F2223B" w:rsidRPr="0086396D">
        <w:rPr>
          <w:rFonts w:ascii="Book Antiqua" w:hAnsi="Book Antiqua"/>
          <w:sz w:val="24"/>
          <w:szCs w:val="24"/>
        </w:rPr>
        <w:t xml:space="preserve"> (including UC and Crohn’s disease (CD)</w:t>
      </w:r>
      <w:r w:rsidR="00B34A95" w:rsidRPr="0086396D">
        <w:rPr>
          <w:rFonts w:ascii="Book Antiqua" w:hAnsi="Book Antiqua"/>
          <w:sz w:val="24"/>
          <w:szCs w:val="24"/>
        </w:rPr>
        <w:t xml:space="preserve"> </w:t>
      </w:r>
      <w:r w:rsidR="005D27F3" w:rsidRPr="0086396D">
        <w:rPr>
          <w:rFonts w:ascii="Book Antiqua" w:hAnsi="Book Antiqua"/>
          <w:sz w:val="24"/>
          <w:szCs w:val="24"/>
        </w:rPr>
        <w:t xml:space="preserve">in </w:t>
      </w:r>
      <w:r w:rsidR="00E77D3D" w:rsidRPr="0086396D">
        <w:rPr>
          <w:rFonts w:ascii="Book Antiqua" w:hAnsi="Book Antiqua"/>
          <w:sz w:val="24"/>
          <w:szCs w:val="24"/>
        </w:rPr>
        <w:t>Canada are</w:t>
      </w:r>
      <w:r w:rsidR="00430676" w:rsidRPr="0086396D">
        <w:rPr>
          <w:rFonts w:ascii="Book Antiqua" w:hAnsi="Book Antiqua"/>
          <w:sz w:val="24"/>
          <w:szCs w:val="24"/>
        </w:rPr>
        <w:t xml:space="preserve"> amongst the highest </w:t>
      </w:r>
      <w:r w:rsidR="005D27F3" w:rsidRPr="0086396D">
        <w:rPr>
          <w:rFonts w:ascii="Book Antiqua" w:hAnsi="Book Antiqua"/>
          <w:sz w:val="24"/>
          <w:szCs w:val="24"/>
        </w:rPr>
        <w:t xml:space="preserve">in </w:t>
      </w:r>
      <w:r w:rsidR="00430676" w:rsidRPr="0086396D">
        <w:rPr>
          <w:rFonts w:ascii="Book Antiqua" w:hAnsi="Book Antiqua"/>
          <w:sz w:val="24"/>
          <w:szCs w:val="24"/>
        </w:rPr>
        <w:t>th</w:t>
      </w:r>
      <w:r w:rsidR="003B49DD" w:rsidRPr="0086396D">
        <w:rPr>
          <w:rFonts w:ascii="Book Antiqua" w:hAnsi="Book Antiqua"/>
          <w:sz w:val="24"/>
          <w:szCs w:val="24"/>
        </w:rPr>
        <w:t>e world</w:t>
      </w:r>
      <w:r w:rsidR="00992F96" w:rsidRPr="00992F96">
        <w:rPr>
          <w:rFonts w:ascii="Book Antiqua" w:hAnsi="Book Antiqua"/>
          <w:sz w:val="24"/>
          <w:szCs w:val="24"/>
          <w:vertAlign w:val="superscript"/>
        </w:rPr>
        <w:t>[</w:t>
      </w:r>
      <w:r w:rsidR="00F2223B" w:rsidRPr="0086396D">
        <w:rPr>
          <w:rFonts w:ascii="Book Antiqua" w:hAnsi="Book Antiqua"/>
          <w:sz w:val="24"/>
          <w:szCs w:val="24"/>
          <w:vertAlign w:val="superscript"/>
        </w:rPr>
        <w:t>3</w:t>
      </w:r>
      <w:r w:rsidR="002B6AAF" w:rsidRPr="0086396D">
        <w:rPr>
          <w:rFonts w:ascii="Book Antiqua" w:hAnsi="Book Antiqua"/>
          <w:sz w:val="24"/>
          <w:szCs w:val="24"/>
          <w:vertAlign w:val="superscript"/>
        </w:rPr>
        <w:t>]</w:t>
      </w:r>
      <w:r w:rsidR="003B49DD" w:rsidRPr="0086396D">
        <w:rPr>
          <w:rFonts w:ascii="Book Antiqua" w:hAnsi="Book Antiqua"/>
          <w:sz w:val="24"/>
          <w:szCs w:val="24"/>
        </w:rPr>
        <w:t>.</w:t>
      </w:r>
      <w:r w:rsidR="005D27F3" w:rsidRPr="0086396D">
        <w:rPr>
          <w:rFonts w:ascii="Book Antiqua" w:hAnsi="Book Antiqua"/>
          <w:sz w:val="24"/>
          <w:szCs w:val="24"/>
        </w:rPr>
        <w:t xml:space="preserve"> </w:t>
      </w:r>
      <w:r w:rsidR="00B56052" w:rsidRPr="0086396D">
        <w:rPr>
          <w:rFonts w:ascii="Book Antiqua" w:hAnsi="Book Antiqua"/>
          <w:sz w:val="24"/>
          <w:szCs w:val="24"/>
        </w:rPr>
        <w:t>The pathogenesis of IBD</w:t>
      </w:r>
      <w:r w:rsidR="00704F90" w:rsidRPr="0086396D">
        <w:rPr>
          <w:rFonts w:ascii="Book Antiqua" w:hAnsi="Book Antiqua"/>
          <w:sz w:val="24"/>
          <w:szCs w:val="24"/>
        </w:rPr>
        <w:t xml:space="preserve"> </w:t>
      </w:r>
      <w:r w:rsidR="00C527CF" w:rsidRPr="0086396D">
        <w:rPr>
          <w:rFonts w:ascii="Book Antiqua" w:hAnsi="Book Antiqua"/>
          <w:sz w:val="24"/>
          <w:szCs w:val="24"/>
        </w:rPr>
        <w:t xml:space="preserve">is largely unknown. </w:t>
      </w:r>
      <w:r w:rsidR="00000D19" w:rsidRPr="0086396D">
        <w:rPr>
          <w:rFonts w:ascii="Book Antiqua" w:hAnsi="Book Antiqua"/>
          <w:sz w:val="24"/>
          <w:szCs w:val="24"/>
        </w:rPr>
        <w:t xml:space="preserve">Current evidence </w:t>
      </w:r>
      <w:r w:rsidR="009F718B" w:rsidRPr="0086396D">
        <w:rPr>
          <w:rFonts w:ascii="Book Antiqua" w:hAnsi="Book Antiqua"/>
          <w:sz w:val="24"/>
          <w:szCs w:val="24"/>
        </w:rPr>
        <w:t xml:space="preserve">suggests that </w:t>
      </w:r>
      <w:r w:rsidR="005D27F3" w:rsidRPr="0086396D">
        <w:rPr>
          <w:rFonts w:ascii="Book Antiqua" w:hAnsi="Book Antiqua"/>
          <w:sz w:val="24"/>
          <w:szCs w:val="24"/>
        </w:rPr>
        <w:t>environmental factors and microbial dysbiosis</w:t>
      </w:r>
      <w:r w:rsidR="009F718B" w:rsidRPr="0086396D">
        <w:rPr>
          <w:rFonts w:ascii="Book Antiqua" w:hAnsi="Book Antiqua"/>
          <w:sz w:val="24"/>
          <w:szCs w:val="24"/>
        </w:rPr>
        <w:t xml:space="preserve"> may interact to </w:t>
      </w:r>
      <w:r w:rsidR="002C448B" w:rsidRPr="0086396D">
        <w:rPr>
          <w:rFonts w:ascii="Book Antiqua" w:hAnsi="Book Antiqua"/>
          <w:sz w:val="24"/>
          <w:szCs w:val="24"/>
        </w:rPr>
        <w:t>trigger a</w:t>
      </w:r>
      <w:r w:rsidR="00000D19" w:rsidRPr="0086396D">
        <w:rPr>
          <w:rFonts w:ascii="Book Antiqua" w:hAnsi="Book Antiqua"/>
          <w:sz w:val="24"/>
          <w:szCs w:val="24"/>
        </w:rPr>
        <w:t xml:space="preserve"> dysregulated </w:t>
      </w:r>
      <w:r w:rsidR="002C448B" w:rsidRPr="0086396D">
        <w:rPr>
          <w:rFonts w:ascii="Book Antiqua" w:hAnsi="Book Antiqua"/>
          <w:sz w:val="24"/>
          <w:szCs w:val="24"/>
        </w:rPr>
        <w:t xml:space="preserve">immune response </w:t>
      </w:r>
      <w:r w:rsidR="00000D19" w:rsidRPr="0086396D">
        <w:rPr>
          <w:rFonts w:ascii="Book Antiqua" w:hAnsi="Book Antiqua"/>
          <w:sz w:val="24"/>
          <w:szCs w:val="24"/>
        </w:rPr>
        <w:t xml:space="preserve">which </w:t>
      </w:r>
      <w:r w:rsidR="007B7E8E" w:rsidRPr="0086396D">
        <w:rPr>
          <w:rFonts w:ascii="Book Antiqua" w:hAnsi="Book Antiqua"/>
          <w:sz w:val="24"/>
          <w:szCs w:val="24"/>
        </w:rPr>
        <w:t xml:space="preserve">induces chronic </w:t>
      </w:r>
      <w:r w:rsidR="002C448B" w:rsidRPr="0086396D">
        <w:rPr>
          <w:rFonts w:ascii="Book Antiqua" w:hAnsi="Book Antiqua"/>
          <w:sz w:val="24"/>
          <w:szCs w:val="24"/>
        </w:rPr>
        <w:t>intestinal inflammation in genetic</w:t>
      </w:r>
      <w:r w:rsidR="005D27F3" w:rsidRPr="0086396D">
        <w:rPr>
          <w:rFonts w:ascii="Book Antiqua" w:hAnsi="Book Antiqua"/>
          <w:sz w:val="24"/>
          <w:szCs w:val="24"/>
        </w:rPr>
        <w:t>ally</w:t>
      </w:r>
      <w:r w:rsidR="002C448B" w:rsidRPr="0086396D">
        <w:rPr>
          <w:rFonts w:ascii="Book Antiqua" w:hAnsi="Book Antiqua"/>
          <w:sz w:val="24"/>
          <w:szCs w:val="24"/>
        </w:rPr>
        <w:t xml:space="preserve"> suscepti</w:t>
      </w:r>
      <w:r w:rsidR="004B0794" w:rsidRPr="0086396D">
        <w:rPr>
          <w:rFonts w:ascii="Book Antiqua" w:hAnsi="Book Antiqua"/>
          <w:sz w:val="24"/>
          <w:szCs w:val="24"/>
        </w:rPr>
        <w:t>ble host</w:t>
      </w:r>
      <w:r w:rsidR="005D27F3" w:rsidRPr="0086396D">
        <w:rPr>
          <w:rFonts w:ascii="Book Antiqua" w:hAnsi="Book Antiqua"/>
          <w:sz w:val="24"/>
          <w:szCs w:val="24"/>
        </w:rPr>
        <w:t>s</w:t>
      </w:r>
      <w:r w:rsidR="00992F96" w:rsidRPr="00992F96">
        <w:rPr>
          <w:rFonts w:ascii="Book Antiqua" w:hAnsi="Book Antiqua"/>
          <w:sz w:val="24"/>
          <w:szCs w:val="24"/>
          <w:vertAlign w:val="superscript"/>
        </w:rPr>
        <w:t>[</w:t>
      </w:r>
      <w:r w:rsidR="00F2223B" w:rsidRPr="0086396D">
        <w:rPr>
          <w:rFonts w:ascii="Book Antiqua" w:hAnsi="Book Antiqua"/>
          <w:sz w:val="24"/>
          <w:szCs w:val="24"/>
          <w:vertAlign w:val="superscript"/>
        </w:rPr>
        <w:t>4</w:t>
      </w:r>
      <w:r w:rsidR="002B6AAF" w:rsidRPr="0086396D">
        <w:rPr>
          <w:rFonts w:ascii="Book Antiqua" w:hAnsi="Book Antiqua"/>
          <w:sz w:val="24"/>
          <w:szCs w:val="24"/>
          <w:vertAlign w:val="superscript"/>
        </w:rPr>
        <w:t>]</w:t>
      </w:r>
      <w:r w:rsidR="004B0794" w:rsidRPr="0086396D">
        <w:rPr>
          <w:rFonts w:ascii="Book Antiqua" w:hAnsi="Book Antiqua"/>
          <w:sz w:val="24"/>
          <w:szCs w:val="24"/>
        </w:rPr>
        <w:t>.</w:t>
      </w:r>
    </w:p>
    <w:p w14:paraId="0C4C681C" w14:textId="67AC0444" w:rsidR="008D16F7" w:rsidRPr="0086396D" w:rsidRDefault="0076324B"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Patients with UC can experience multiple </w:t>
      </w:r>
      <w:r w:rsidR="00000D19" w:rsidRPr="0086396D">
        <w:rPr>
          <w:rFonts w:ascii="Book Antiqua" w:hAnsi="Book Antiqua"/>
          <w:sz w:val="24"/>
          <w:szCs w:val="24"/>
        </w:rPr>
        <w:t xml:space="preserve">disease </w:t>
      </w:r>
      <w:r w:rsidRPr="0086396D">
        <w:rPr>
          <w:rFonts w:ascii="Book Antiqua" w:hAnsi="Book Antiqua"/>
          <w:sz w:val="24"/>
          <w:szCs w:val="24"/>
        </w:rPr>
        <w:t>relapses in spite of receiving</w:t>
      </w:r>
      <w:r w:rsidR="00954076" w:rsidRPr="0086396D">
        <w:rPr>
          <w:rFonts w:ascii="Book Antiqua" w:hAnsi="Book Antiqua"/>
          <w:sz w:val="24"/>
          <w:szCs w:val="24"/>
        </w:rPr>
        <w:t xml:space="preserve"> adequate </w:t>
      </w:r>
      <w:r w:rsidR="007B7E8E" w:rsidRPr="0086396D">
        <w:rPr>
          <w:rFonts w:ascii="Book Antiqua" w:hAnsi="Book Antiqua"/>
          <w:sz w:val="24"/>
          <w:szCs w:val="24"/>
        </w:rPr>
        <w:t xml:space="preserve">standard </w:t>
      </w:r>
      <w:r w:rsidR="00954076" w:rsidRPr="0086396D">
        <w:rPr>
          <w:rFonts w:ascii="Book Antiqua" w:hAnsi="Book Antiqua"/>
          <w:sz w:val="24"/>
          <w:szCs w:val="24"/>
        </w:rPr>
        <w:t>treatment</w:t>
      </w:r>
      <w:r w:rsidR="006964D0" w:rsidRPr="0086396D">
        <w:rPr>
          <w:rFonts w:ascii="Book Antiqua" w:hAnsi="Book Antiqua"/>
          <w:sz w:val="24"/>
          <w:szCs w:val="24"/>
        </w:rPr>
        <w:t>.</w:t>
      </w:r>
      <w:r w:rsidR="00704F90" w:rsidRPr="0086396D">
        <w:rPr>
          <w:rFonts w:ascii="Book Antiqua" w:hAnsi="Book Antiqua"/>
          <w:sz w:val="24"/>
          <w:szCs w:val="24"/>
        </w:rPr>
        <w:t xml:space="preserve"> It has also been</w:t>
      </w:r>
      <w:r w:rsidR="006964D0" w:rsidRPr="0086396D">
        <w:rPr>
          <w:rFonts w:ascii="Book Antiqua" w:hAnsi="Book Antiqua"/>
          <w:sz w:val="24"/>
          <w:szCs w:val="24"/>
        </w:rPr>
        <w:t xml:space="preserve"> shown</w:t>
      </w:r>
      <w:r w:rsidR="00704F90" w:rsidRPr="0086396D">
        <w:rPr>
          <w:rFonts w:ascii="Book Antiqua" w:hAnsi="Book Antiqua"/>
          <w:sz w:val="24"/>
          <w:szCs w:val="24"/>
        </w:rPr>
        <w:t xml:space="preserve"> that poor </w:t>
      </w:r>
      <w:r w:rsidR="007B7E8E" w:rsidRPr="0086396D">
        <w:rPr>
          <w:rFonts w:ascii="Book Antiqua" w:hAnsi="Book Antiqua"/>
          <w:sz w:val="24"/>
          <w:szCs w:val="24"/>
        </w:rPr>
        <w:t>disease control</w:t>
      </w:r>
      <w:r w:rsidR="00704F90" w:rsidRPr="0086396D">
        <w:rPr>
          <w:rFonts w:ascii="Book Antiqua" w:hAnsi="Book Antiqua"/>
          <w:sz w:val="24"/>
          <w:szCs w:val="24"/>
        </w:rPr>
        <w:t xml:space="preserve"> and multiple relapse</w:t>
      </w:r>
      <w:r w:rsidR="007B7E8E" w:rsidRPr="0086396D">
        <w:rPr>
          <w:rFonts w:ascii="Book Antiqua" w:hAnsi="Book Antiqua"/>
          <w:sz w:val="24"/>
          <w:szCs w:val="24"/>
        </w:rPr>
        <w:t>s</w:t>
      </w:r>
      <w:r w:rsidR="00704F90" w:rsidRPr="0086396D">
        <w:rPr>
          <w:rFonts w:ascii="Book Antiqua" w:hAnsi="Book Antiqua"/>
          <w:sz w:val="24"/>
          <w:szCs w:val="24"/>
        </w:rPr>
        <w:t xml:space="preserve"> result </w:t>
      </w:r>
      <w:r w:rsidR="006964D0" w:rsidRPr="0086396D">
        <w:rPr>
          <w:rFonts w:ascii="Book Antiqua" w:hAnsi="Book Antiqua"/>
          <w:sz w:val="24"/>
          <w:szCs w:val="24"/>
        </w:rPr>
        <w:t>i</w:t>
      </w:r>
      <w:r w:rsidR="00704F90" w:rsidRPr="0086396D">
        <w:rPr>
          <w:rFonts w:ascii="Book Antiqua" w:hAnsi="Book Antiqua"/>
          <w:sz w:val="24"/>
          <w:szCs w:val="24"/>
        </w:rPr>
        <w:t>n deteriorated quality of life</w:t>
      </w:r>
      <w:r w:rsidR="00992F96" w:rsidRPr="00992F96">
        <w:rPr>
          <w:rFonts w:ascii="Book Antiqua" w:hAnsi="Book Antiqua"/>
          <w:sz w:val="24"/>
          <w:szCs w:val="24"/>
          <w:vertAlign w:val="superscript"/>
        </w:rPr>
        <w:t>[</w:t>
      </w:r>
      <w:r w:rsidR="0027116A" w:rsidRPr="0086396D">
        <w:rPr>
          <w:rFonts w:ascii="Book Antiqua" w:hAnsi="Book Antiqua"/>
          <w:sz w:val="24"/>
          <w:szCs w:val="24"/>
          <w:vertAlign w:val="superscript"/>
        </w:rPr>
        <w:t>5</w:t>
      </w:r>
      <w:r w:rsidR="002B6AAF" w:rsidRPr="0086396D">
        <w:rPr>
          <w:rFonts w:ascii="Book Antiqua" w:hAnsi="Book Antiqua"/>
          <w:sz w:val="24"/>
          <w:szCs w:val="24"/>
          <w:vertAlign w:val="superscript"/>
        </w:rPr>
        <w:t>]</w:t>
      </w:r>
      <w:r w:rsidR="00704F90" w:rsidRPr="0086396D">
        <w:rPr>
          <w:rFonts w:ascii="Book Antiqua" w:hAnsi="Book Antiqua"/>
          <w:sz w:val="24"/>
          <w:szCs w:val="24"/>
        </w:rPr>
        <w:t xml:space="preserve"> and </w:t>
      </w:r>
      <w:r w:rsidR="00534990" w:rsidRPr="0086396D">
        <w:rPr>
          <w:rFonts w:ascii="Book Antiqua" w:hAnsi="Book Antiqua"/>
          <w:sz w:val="24"/>
          <w:szCs w:val="24"/>
        </w:rPr>
        <w:t>an</w:t>
      </w:r>
      <w:r w:rsidR="00704F90" w:rsidRPr="0086396D">
        <w:rPr>
          <w:rFonts w:ascii="Book Antiqua" w:hAnsi="Book Antiqua"/>
          <w:sz w:val="24"/>
          <w:szCs w:val="24"/>
        </w:rPr>
        <w:t xml:space="preserve"> increased probability of </w:t>
      </w:r>
      <w:r w:rsidR="007B7E8E" w:rsidRPr="0086396D">
        <w:rPr>
          <w:rFonts w:ascii="Book Antiqua" w:hAnsi="Book Antiqua"/>
          <w:sz w:val="24"/>
          <w:szCs w:val="24"/>
        </w:rPr>
        <w:t xml:space="preserve">colitis-associated </w:t>
      </w:r>
      <w:r w:rsidR="00704F90" w:rsidRPr="0086396D">
        <w:rPr>
          <w:rFonts w:ascii="Book Antiqua" w:hAnsi="Book Antiqua"/>
          <w:sz w:val="24"/>
          <w:szCs w:val="24"/>
        </w:rPr>
        <w:t>colorectal cancer</w:t>
      </w:r>
      <w:r w:rsidR="00992F96" w:rsidRPr="00992F96">
        <w:rPr>
          <w:rFonts w:ascii="Book Antiqua" w:hAnsi="Book Antiqua"/>
          <w:sz w:val="24"/>
          <w:szCs w:val="24"/>
          <w:vertAlign w:val="superscript"/>
        </w:rPr>
        <w:t>[</w:t>
      </w:r>
      <w:r w:rsidR="0027116A" w:rsidRPr="0086396D">
        <w:rPr>
          <w:rFonts w:ascii="Book Antiqua" w:hAnsi="Book Antiqua"/>
          <w:sz w:val="24"/>
          <w:szCs w:val="24"/>
          <w:vertAlign w:val="superscript"/>
        </w:rPr>
        <w:t>6</w:t>
      </w:r>
      <w:r w:rsidR="002B6AAF" w:rsidRPr="0086396D">
        <w:rPr>
          <w:rFonts w:ascii="Book Antiqua" w:hAnsi="Book Antiqua"/>
          <w:sz w:val="24"/>
          <w:szCs w:val="24"/>
          <w:vertAlign w:val="superscript"/>
        </w:rPr>
        <w:t>]</w:t>
      </w:r>
      <w:r w:rsidR="00704F90" w:rsidRPr="0086396D">
        <w:rPr>
          <w:rFonts w:ascii="Book Antiqua" w:hAnsi="Book Antiqua"/>
          <w:sz w:val="24"/>
          <w:szCs w:val="24"/>
        </w:rPr>
        <w:t>.</w:t>
      </w:r>
      <w:r w:rsidR="00BA0C62" w:rsidRPr="00BA0C62">
        <w:rPr>
          <w:rFonts w:ascii="Book Antiqua" w:hAnsi="Book Antiqua"/>
          <w:i/>
          <w:sz w:val="24"/>
          <w:szCs w:val="24"/>
        </w:rPr>
        <w:t xml:space="preserve"> </w:t>
      </w:r>
      <w:r w:rsidR="000A5AF6" w:rsidRPr="0086396D">
        <w:rPr>
          <w:rFonts w:ascii="Book Antiqua" w:hAnsi="Book Antiqua"/>
          <w:sz w:val="24"/>
          <w:szCs w:val="24"/>
        </w:rPr>
        <w:t xml:space="preserve">Although determinants of UC relapse have not been fully </w:t>
      </w:r>
      <w:r w:rsidR="00000D19" w:rsidRPr="0086396D">
        <w:rPr>
          <w:rFonts w:ascii="Book Antiqua" w:hAnsi="Book Antiqua"/>
          <w:sz w:val="24"/>
          <w:szCs w:val="24"/>
        </w:rPr>
        <w:t>elucidated</w:t>
      </w:r>
      <w:r w:rsidR="000A5AF6" w:rsidRPr="0086396D">
        <w:rPr>
          <w:rFonts w:ascii="Book Antiqua" w:hAnsi="Book Antiqua"/>
          <w:sz w:val="24"/>
          <w:szCs w:val="24"/>
        </w:rPr>
        <w:t xml:space="preserve">, a </w:t>
      </w:r>
      <w:r w:rsidR="00D4688D" w:rsidRPr="0086396D">
        <w:rPr>
          <w:rFonts w:ascii="Book Antiqua" w:hAnsi="Book Antiqua"/>
          <w:sz w:val="24"/>
          <w:szCs w:val="24"/>
        </w:rPr>
        <w:t>variety</w:t>
      </w:r>
      <w:r w:rsidR="000A5AF6" w:rsidRPr="0086396D">
        <w:rPr>
          <w:rFonts w:ascii="Book Antiqua" w:hAnsi="Book Antiqua"/>
          <w:sz w:val="24"/>
          <w:szCs w:val="24"/>
        </w:rPr>
        <w:t xml:space="preserve"> of demographic</w:t>
      </w:r>
      <w:r w:rsidR="0039615C" w:rsidRPr="0086396D">
        <w:rPr>
          <w:rFonts w:ascii="Book Antiqua" w:hAnsi="Book Antiqua"/>
          <w:sz w:val="24"/>
          <w:szCs w:val="24"/>
        </w:rPr>
        <w:t xml:space="preserve">, </w:t>
      </w:r>
      <w:r w:rsidR="00D4688D" w:rsidRPr="0086396D">
        <w:rPr>
          <w:rFonts w:ascii="Book Antiqua" w:hAnsi="Book Antiqua"/>
          <w:sz w:val="24"/>
          <w:szCs w:val="24"/>
        </w:rPr>
        <w:t xml:space="preserve">clinical, endoscopic, </w:t>
      </w:r>
      <w:r w:rsidR="0039615C" w:rsidRPr="0086396D">
        <w:rPr>
          <w:rFonts w:ascii="Book Antiqua" w:hAnsi="Book Antiqua"/>
          <w:sz w:val="24"/>
          <w:szCs w:val="24"/>
        </w:rPr>
        <w:t>psychosocial</w:t>
      </w:r>
      <w:r w:rsidR="002740C7" w:rsidRPr="0086396D">
        <w:rPr>
          <w:rFonts w:ascii="Book Antiqua" w:hAnsi="Book Antiqua"/>
          <w:sz w:val="24"/>
          <w:szCs w:val="24"/>
        </w:rPr>
        <w:t xml:space="preserve">, serologic and fecal </w:t>
      </w:r>
      <w:r w:rsidR="00D4688D" w:rsidRPr="0086396D">
        <w:rPr>
          <w:rFonts w:ascii="Book Antiqua" w:hAnsi="Book Antiqua"/>
          <w:sz w:val="24"/>
          <w:szCs w:val="24"/>
        </w:rPr>
        <w:t>bio</w:t>
      </w:r>
      <w:r w:rsidR="002740C7" w:rsidRPr="0086396D">
        <w:rPr>
          <w:rFonts w:ascii="Book Antiqua" w:hAnsi="Book Antiqua"/>
          <w:sz w:val="24"/>
          <w:szCs w:val="24"/>
        </w:rPr>
        <w:t>markers</w:t>
      </w:r>
      <w:r w:rsidR="00D4688D" w:rsidRPr="0086396D">
        <w:rPr>
          <w:rFonts w:ascii="Book Antiqua" w:hAnsi="Book Antiqua"/>
          <w:sz w:val="24"/>
          <w:szCs w:val="24"/>
        </w:rPr>
        <w:t xml:space="preserve"> </w:t>
      </w:r>
      <w:r w:rsidR="008416B8" w:rsidRPr="0086396D">
        <w:rPr>
          <w:rFonts w:ascii="Book Antiqua" w:hAnsi="Book Antiqua"/>
          <w:sz w:val="24"/>
          <w:szCs w:val="24"/>
        </w:rPr>
        <w:t xml:space="preserve">have been investigated in several studies with </w:t>
      </w:r>
      <w:r w:rsidR="007A63DD" w:rsidRPr="0086396D">
        <w:rPr>
          <w:rFonts w:ascii="Book Antiqua" w:hAnsi="Book Antiqua"/>
          <w:sz w:val="24"/>
          <w:szCs w:val="24"/>
        </w:rPr>
        <w:t xml:space="preserve">inconsistent </w:t>
      </w:r>
      <w:r w:rsidR="008416B8" w:rsidRPr="0086396D">
        <w:rPr>
          <w:rFonts w:ascii="Book Antiqua" w:hAnsi="Book Antiqua"/>
          <w:sz w:val="24"/>
          <w:szCs w:val="24"/>
        </w:rPr>
        <w:t>findings</w:t>
      </w:r>
      <w:r w:rsidR="00992F96" w:rsidRPr="00992F96">
        <w:rPr>
          <w:rFonts w:ascii="Book Antiqua" w:hAnsi="Book Antiqua"/>
          <w:sz w:val="24"/>
          <w:szCs w:val="24"/>
          <w:vertAlign w:val="superscript"/>
        </w:rPr>
        <w:t>[</w:t>
      </w:r>
      <w:r w:rsidR="005A591A" w:rsidRPr="0086396D">
        <w:rPr>
          <w:rFonts w:ascii="Book Antiqua" w:hAnsi="Book Antiqua"/>
          <w:sz w:val="24"/>
          <w:szCs w:val="24"/>
          <w:vertAlign w:val="superscript"/>
        </w:rPr>
        <w:t>7-13</w:t>
      </w:r>
      <w:r w:rsidR="002B6AAF" w:rsidRPr="0086396D">
        <w:rPr>
          <w:rFonts w:ascii="Book Antiqua" w:hAnsi="Book Antiqua"/>
          <w:sz w:val="24"/>
          <w:szCs w:val="24"/>
          <w:vertAlign w:val="superscript"/>
        </w:rPr>
        <w:t>]</w:t>
      </w:r>
      <w:r w:rsidR="008416B8" w:rsidRPr="0086396D">
        <w:rPr>
          <w:rFonts w:ascii="Book Antiqua" w:hAnsi="Book Antiqua"/>
          <w:sz w:val="24"/>
          <w:szCs w:val="24"/>
        </w:rPr>
        <w:t>.</w:t>
      </w:r>
      <w:r w:rsidR="00BA0C62" w:rsidRPr="00BA0C62">
        <w:rPr>
          <w:rFonts w:ascii="Book Antiqua" w:hAnsi="Book Antiqua"/>
          <w:i/>
          <w:sz w:val="24"/>
          <w:szCs w:val="24"/>
        </w:rPr>
        <w:t xml:space="preserve"> </w:t>
      </w:r>
    </w:p>
    <w:p w14:paraId="3AAD9F7A" w14:textId="15F7A2A2" w:rsidR="00A824FA" w:rsidRPr="0086396D" w:rsidRDefault="008D16F7"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Metabolomics is the systemic identification and quantitation of all metabolites in a given organism or </w:t>
      </w:r>
      <w:r w:rsidR="005554F2" w:rsidRPr="0086396D">
        <w:rPr>
          <w:rFonts w:ascii="Book Antiqua" w:hAnsi="Book Antiqua"/>
          <w:sz w:val="24"/>
          <w:szCs w:val="24"/>
        </w:rPr>
        <w:t xml:space="preserve">set of </w:t>
      </w:r>
      <w:r w:rsidRPr="0086396D">
        <w:rPr>
          <w:rFonts w:ascii="Book Antiqua" w:hAnsi="Book Antiqua"/>
          <w:sz w:val="24"/>
          <w:szCs w:val="24"/>
        </w:rPr>
        <w:t>biological samples</w:t>
      </w:r>
      <w:r w:rsidR="00992F96" w:rsidRPr="00992F96">
        <w:rPr>
          <w:rFonts w:ascii="Book Antiqua" w:hAnsi="Book Antiqua"/>
          <w:sz w:val="24"/>
          <w:szCs w:val="24"/>
          <w:vertAlign w:val="superscript"/>
        </w:rPr>
        <w:t>[</w:t>
      </w:r>
      <w:r w:rsidRPr="0086396D">
        <w:rPr>
          <w:rFonts w:ascii="Book Antiqua" w:hAnsi="Book Antiqua"/>
          <w:sz w:val="24"/>
          <w:szCs w:val="24"/>
          <w:vertAlign w:val="superscript"/>
        </w:rPr>
        <w:t>14</w:t>
      </w:r>
      <w:r w:rsidR="002B6AAF" w:rsidRPr="0086396D">
        <w:rPr>
          <w:rFonts w:ascii="Book Antiqua" w:hAnsi="Book Antiqua"/>
          <w:sz w:val="24"/>
          <w:szCs w:val="24"/>
          <w:vertAlign w:val="superscript"/>
        </w:rPr>
        <w:t>]</w:t>
      </w:r>
      <w:r w:rsidRPr="0086396D">
        <w:rPr>
          <w:rFonts w:ascii="Book Antiqua" w:hAnsi="Book Antiqua"/>
          <w:sz w:val="24"/>
          <w:szCs w:val="24"/>
        </w:rPr>
        <w:t>. Similar to other "omic" approaches</w:t>
      </w:r>
      <w:r w:rsidR="00BA0C62" w:rsidRPr="00BA0C62">
        <w:rPr>
          <w:rFonts w:ascii="Book Antiqua" w:hAnsi="Book Antiqua"/>
          <w:i/>
          <w:sz w:val="24"/>
          <w:szCs w:val="24"/>
        </w:rPr>
        <w:t xml:space="preserve"> </w:t>
      </w:r>
      <w:r w:rsidRPr="0086396D">
        <w:rPr>
          <w:rFonts w:ascii="Book Antiqua" w:hAnsi="Book Antiqua"/>
          <w:sz w:val="24"/>
          <w:szCs w:val="24"/>
        </w:rPr>
        <w:t xml:space="preserve"> </w:t>
      </w:r>
      <w:r w:rsidR="005554F2" w:rsidRPr="0086396D">
        <w:rPr>
          <w:rFonts w:ascii="Book Antiqua" w:hAnsi="Book Antiqua"/>
          <w:sz w:val="24"/>
          <w:szCs w:val="24"/>
        </w:rPr>
        <w:t xml:space="preserve">that are used to study </w:t>
      </w:r>
      <w:r w:rsidRPr="0086396D">
        <w:rPr>
          <w:rFonts w:ascii="Book Antiqua" w:hAnsi="Book Antiqua"/>
          <w:sz w:val="24"/>
          <w:szCs w:val="24"/>
        </w:rPr>
        <w:t xml:space="preserve">the pathophysiology of different diseases, metabolomics has the potential to reveal the underlying multifactorial </w:t>
      </w:r>
      <w:r w:rsidR="00C84FFE" w:rsidRPr="0086396D">
        <w:rPr>
          <w:rFonts w:ascii="Book Antiqua" w:hAnsi="Book Antiqua"/>
          <w:sz w:val="24"/>
          <w:szCs w:val="24"/>
        </w:rPr>
        <w:t>mechanisms</w:t>
      </w:r>
      <w:r w:rsidR="007B7E8E" w:rsidRPr="0086396D">
        <w:rPr>
          <w:rFonts w:ascii="Book Antiqua" w:hAnsi="Book Antiqua"/>
          <w:sz w:val="24"/>
          <w:szCs w:val="24"/>
        </w:rPr>
        <w:t xml:space="preserve"> of</w:t>
      </w:r>
      <w:r w:rsidRPr="0086396D">
        <w:rPr>
          <w:rFonts w:ascii="Book Antiqua" w:hAnsi="Book Antiqua"/>
          <w:sz w:val="24"/>
          <w:szCs w:val="24"/>
        </w:rPr>
        <w:t xml:space="preserve"> </w:t>
      </w:r>
      <w:r w:rsidR="005554F2" w:rsidRPr="0086396D">
        <w:rPr>
          <w:rFonts w:ascii="Book Antiqua" w:hAnsi="Book Antiqua"/>
          <w:sz w:val="24"/>
          <w:szCs w:val="24"/>
        </w:rPr>
        <w:t xml:space="preserve">diseases, including </w:t>
      </w:r>
      <w:r w:rsidRPr="0086396D">
        <w:rPr>
          <w:rFonts w:ascii="Book Antiqua" w:hAnsi="Book Antiqua"/>
          <w:sz w:val="24"/>
          <w:szCs w:val="24"/>
        </w:rPr>
        <w:t>IBD</w:t>
      </w:r>
      <w:r w:rsidR="00992F96" w:rsidRPr="00992F96">
        <w:rPr>
          <w:rFonts w:ascii="Book Antiqua" w:hAnsi="Book Antiqua"/>
          <w:sz w:val="24"/>
          <w:szCs w:val="24"/>
          <w:vertAlign w:val="superscript"/>
        </w:rPr>
        <w:t>[</w:t>
      </w:r>
      <w:r w:rsidRPr="0086396D">
        <w:rPr>
          <w:rFonts w:ascii="Book Antiqua" w:hAnsi="Book Antiqua"/>
          <w:sz w:val="24"/>
          <w:szCs w:val="24"/>
          <w:vertAlign w:val="superscript"/>
        </w:rPr>
        <w:t>15</w:t>
      </w:r>
      <w:r w:rsidR="002B6AAF" w:rsidRPr="0086396D">
        <w:rPr>
          <w:rFonts w:ascii="Book Antiqua" w:hAnsi="Book Antiqua"/>
          <w:sz w:val="24"/>
          <w:szCs w:val="24"/>
          <w:vertAlign w:val="superscript"/>
        </w:rPr>
        <w:t>]</w:t>
      </w:r>
      <w:r w:rsidR="00BB0395" w:rsidRPr="0086396D">
        <w:rPr>
          <w:rFonts w:ascii="Book Antiqua" w:hAnsi="Book Antiqua"/>
          <w:sz w:val="24"/>
          <w:szCs w:val="24"/>
        </w:rPr>
        <w:t>,</w:t>
      </w:r>
      <w:r w:rsidR="00762032" w:rsidRPr="0086396D">
        <w:rPr>
          <w:rFonts w:ascii="Book Antiqua" w:hAnsi="Book Antiqua"/>
          <w:sz w:val="24"/>
          <w:szCs w:val="24"/>
        </w:rPr>
        <w:t xml:space="preserve"> especially if measured before </w:t>
      </w:r>
      <w:r w:rsidR="00BB0395" w:rsidRPr="0086396D">
        <w:rPr>
          <w:rFonts w:ascii="Book Antiqua" w:hAnsi="Book Antiqua"/>
          <w:sz w:val="24"/>
          <w:szCs w:val="24"/>
        </w:rPr>
        <w:t>disease relapse</w:t>
      </w:r>
      <w:r w:rsidR="004106F5" w:rsidRPr="0086396D">
        <w:rPr>
          <w:rFonts w:ascii="Book Antiqua" w:hAnsi="Book Antiqua"/>
          <w:sz w:val="24"/>
          <w:szCs w:val="24"/>
        </w:rPr>
        <w:t xml:space="preserve"> occurs.</w:t>
      </w:r>
      <w:r w:rsidR="00BA0C62" w:rsidRPr="00BA0C62">
        <w:rPr>
          <w:rFonts w:ascii="Book Antiqua" w:hAnsi="Book Antiqua"/>
          <w:i/>
          <w:sz w:val="24"/>
          <w:szCs w:val="24"/>
        </w:rPr>
        <w:t xml:space="preserve"> </w:t>
      </w:r>
      <w:r w:rsidR="0095573B" w:rsidRPr="0086396D">
        <w:rPr>
          <w:rFonts w:ascii="Book Antiqua" w:hAnsi="Book Antiqua"/>
          <w:sz w:val="24"/>
          <w:szCs w:val="24"/>
        </w:rPr>
        <w:t xml:space="preserve">Other investigators have </w:t>
      </w:r>
      <w:r w:rsidRPr="0086396D">
        <w:rPr>
          <w:rFonts w:ascii="Book Antiqua" w:hAnsi="Book Antiqua"/>
          <w:sz w:val="24"/>
          <w:szCs w:val="24"/>
        </w:rPr>
        <w:t>shown that urinary</w:t>
      </w:r>
      <w:r w:rsidR="003234F8" w:rsidRPr="0086396D">
        <w:rPr>
          <w:rFonts w:ascii="Book Antiqua" w:hAnsi="Book Antiqua"/>
          <w:sz w:val="24"/>
          <w:szCs w:val="24"/>
        </w:rPr>
        <w:t>,</w:t>
      </w:r>
      <w:r w:rsidRPr="0086396D">
        <w:rPr>
          <w:rFonts w:ascii="Book Antiqua" w:hAnsi="Book Antiqua"/>
          <w:sz w:val="24"/>
          <w:szCs w:val="24"/>
        </w:rPr>
        <w:t xml:space="preserve"> serum</w:t>
      </w:r>
      <w:r w:rsidR="003234F8" w:rsidRPr="0086396D">
        <w:rPr>
          <w:rFonts w:ascii="Book Antiqua" w:hAnsi="Book Antiqua"/>
          <w:sz w:val="24"/>
          <w:szCs w:val="24"/>
        </w:rPr>
        <w:t xml:space="preserve">, </w:t>
      </w:r>
      <w:r w:rsidR="00000D19" w:rsidRPr="0086396D">
        <w:rPr>
          <w:rFonts w:ascii="Book Antiqua" w:hAnsi="Book Antiqua"/>
          <w:sz w:val="24"/>
          <w:szCs w:val="24"/>
        </w:rPr>
        <w:t>and</w:t>
      </w:r>
      <w:r w:rsidR="003234F8" w:rsidRPr="0086396D">
        <w:rPr>
          <w:rFonts w:ascii="Book Antiqua" w:hAnsi="Book Antiqua"/>
          <w:sz w:val="24"/>
          <w:szCs w:val="24"/>
        </w:rPr>
        <w:t xml:space="preserve"> fecal</w:t>
      </w:r>
      <w:r w:rsidRPr="0086396D">
        <w:rPr>
          <w:rFonts w:ascii="Book Antiqua" w:hAnsi="Book Antiqua"/>
          <w:sz w:val="24"/>
          <w:szCs w:val="24"/>
        </w:rPr>
        <w:t xml:space="preserve"> m</w:t>
      </w:r>
      <w:r w:rsidR="003234F8" w:rsidRPr="0086396D">
        <w:rPr>
          <w:rFonts w:ascii="Book Antiqua" w:hAnsi="Book Antiqua"/>
          <w:sz w:val="24"/>
          <w:szCs w:val="24"/>
        </w:rPr>
        <w:t>etabolomic profil</w:t>
      </w:r>
      <w:r w:rsidR="00000D19" w:rsidRPr="0086396D">
        <w:rPr>
          <w:rFonts w:ascii="Book Antiqua" w:hAnsi="Book Antiqua"/>
          <w:sz w:val="24"/>
          <w:szCs w:val="24"/>
        </w:rPr>
        <w:t>es</w:t>
      </w:r>
      <w:r w:rsidRPr="0086396D">
        <w:rPr>
          <w:rFonts w:ascii="Book Antiqua" w:hAnsi="Book Antiqua"/>
          <w:sz w:val="24"/>
          <w:szCs w:val="24"/>
        </w:rPr>
        <w:t xml:space="preserve"> of IBD patients </w:t>
      </w:r>
      <w:r w:rsidR="007B7E8E" w:rsidRPr="0086396D">
        <w:rPr>
          <w:rFonts w:ascii="Book Antiqua" w:hAnsi="Book Antiqua"/>
          <w:sz w:val="24"/>
          <w:szCs w:val="24"/>
        </w:rPr>
        <w:t>differ</w:t>
      </w:r>
      <w:r w:rsidR="00F144AE" w:rsidRPr="0086396D">
        <w:rPr>
          <w:rFonts w:ascii="Book Antiqua" w:hAnsi="Book Antiqua"/>
          <w:sz w:val="24"/>
          <w:szCs w:val="24"/>
        </w:rPr>
        <w:t xml:space="preserve"> from healthy controls</w:t>
      </w:r>
      <w:r w:rsidR="00992F96" w:rsidRPr="00992F96">
        <w:rPr>
          <w:rFonts w:ascii="Book Antiqua" w:hAnsi="Book Antiqua"/>
          <w:sz w:val="24"/>
          <w:szCs w:val="24"/>
          <w:vertAlign w:val="superscript"/>
        </w:rPr>
        <w:t>[</w:t>
      </w:r>
      <w:r w:rsidR="00F144AE" w:rsidRPr="0086396D">
        <w:rPr>
          <w:rFonts w:ascii="Book Antiqua" w:hAnsi="Book Antiqua"/>
          <w:sz w:val="24"/>
          <w:szCs w:val="24"/>
          <w:vertAlign w:val="superscript"/>
        </w:rPr>
        <w:t>15,16</w:t>
      </w:r>
      <w:r w:rsidR="002B6AAF" w:rsidRPr="0086396D">
        <w:rPr>
          <w:rFonts w:ascii="Book Antiqua" w:hAnsi="Book Antiqua"/>
          <w:sz w:val="24"/>
          <w:szCs w:val="24"/>
          <w:vertAlign w:val="superscript"/>
        </w:rPr>
        <w:t>]</w:t>
      </w:r>
      <w:r w:rsidR="00C84FFE" w:rsidRPr="0086396D">
        <w:rPr>
          <w:rFonts w:ascii="Book Antiqua" w:hAnsi="Book Antiqua"/>
          <w:sz w:val="24"/>
          <w:szCs w:val="24"/>
        </w:rPr>
        <w:t xml:space="preserve">. In addition, it has been suggested that metabolomics has the potential to </w:t>
      </w:r>
      <w:r w:rsidR="00000D19" w:rsidRPr="0086396D">
        <w:rPr>
          <w:rFonts w:ascii="Book Antiqua" w:hAnsi="Book Antiqua"/>
          <w:sz w:val="24"/>
          <w:szCs w:val="24"/>
        </w:rPr>
        <w:t>identify</w:t>
      </w:r>
      <w:r w:rsidR="00C84FFE" w:rsidRPr="0086396D">
        <w:rPr>
          <w:rFonts w:ascii="Book Antiqua" w:hAnsi="Book Antiqua"/>
          <w:sz w:val="24"/>
          <w:szCs w:val="24"/>
        </w:rPr>
        <w:t xml:space="preserve"> novel biomarkers that </w:t>
      </w:r>
      <w:r w:rsidR="0095573B" w:rsidRPr="0086396D">
        <w:rPr>
          <w:rFonts w:ascii="Book Antiqua" w:hAnsi="Book Antiqua"/>
          <w:sz w:val="24"/>
          <w:szCs w:val="24"/>
        </w:rPr>
        <w:t xml:space="preserve">could be </w:t>
      </w:r>
      <w:r w:rsidR="00C84FFE" w:rsidRPr="0086396D">
        <w:rPr>
          <w:rFonts w:ascii="Book Antiqua" w:hAnsi="Book Antiqua"/>
          <w:sz w:val="24"/>
          <w:szCs w:val="24"/>
        </w:rPr>
        <w:t xml:space="preserve">useful for surveillance and early detection of </w:t>
      </w:r>
      <w:r w:rsidR="00AA2921" w:rsidRPr="0086396D">
        <w:rPr>
          <w:rFonts w:ascii="Book Antiqua" w:hAnsi="Book Antiqua"/>
          <w:sz w:val="24"/>
          <w:szCs w:val="24"/>
        </w:rPr>
        <w:t>IBD relapse</w:t>
      </w:r>
      <w:r w:rsidR="00992F96" w:rsidRPr="00992F96">
        <w:rPr>
          <w:rFonts w:ascii="Book Antiqua" w:hAnsi="Book Antiqua"/>
          <w:sz w:val="24"/>
          <w:szCs w:val="24"/>
          <w:vertAlign w:val="superscript"/>
        </w:rPr>
        <w:t>[</w:t>
      </w:r>
      <w:r w:rsidR="00C84FFE" w:rsidRPr="0086396D">
        <w:rPr>
          <w:rFonts w:ascii="Book Antiqua" w:hAnsi="Book Antiqua"/>
          <w:sz w:val="24"/>
          <w:szCs w:val="24"/>
          <w:vertAlign w:val="superscript"/>
        </w:rPr>
        <w:t>15</w:t>
      </w:r>
      <w:r w:rsidR="002B6AAF" w:rsidRPr="0086396D">
        <w:rPr>
          <w:rFonts w:ascii="Book Antiqua" w:hAnsi="Book Antiqua"/>
          <w:sz w:val="24"/>
          <w:szCs w:val="24"/>
          <w:vertAlign w:val="superscript"/>
        </w:rPr>
        <w:t>]</w:t>
      </w:r>
      <w:r w:rsidR="00C84FFE" w:rsidRPr="0086396D">
        <w:rPr>
          <w:rFonts w:ascii="Book Antiqua" w:hAnsi="Book Antiqua"/>
          <w:sz w:val="24"/>
          <w:szCs w:val="24"/>
        </w:rPr>
        <w:t xml:space="preserve">. </w:t>
      </w:r>
    </w:p>
    <w:p w14:paraId="6E050604" w14:textId="5E18CB58" w:rsidR="00D61D61" w:rsidRPr="0086396D" w:rsidRDefault="00D6298C"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lastRenderedPageBreak/>
        <w:t>U</w:t>
      </w:r>
      <w:r w:rsidR="00804784" w:rsidRPr="0086396D">
        <w:rPr>
          <w:rFonts w:ascii="Book Antiqua" w:hAnsi="Book Antiqua"/>
          <w:sz w:val="24"/>
          <w:szCs w:val="24"/>
        </w:rPr>
        <w:t>nderstanding predictors of UC relapse is of great importance for both patients and healthcare providers</w:t>
      </w:r>
      <w:r w:rsidRPr="0086396D">
        <w:rPr>
          <w:rFonts w:ascii="Book Antiqua" w:hAnsi="Book Antiqua"/>
          <w:sz w:val="24"/>
          <w:szCs w:val="24"/>
        </w:rPr>
        <w:t xml:space="preserve"> and</w:t>
      </w:r>
      <w:r w:rsidR="004106F5" w:rsidRPr="0086396D">
        <w:rPr>
          <w:rFonts w:ascii="Book Antiqua" w:hAnsi="Book Antiqua"/>
          <w:sz w:val="24"/>
          <w:szCs w:val="24"/>
        </w:rPr>
        <w:t xml:space="preserve"> </w:t>
      </w:r>
      <w:r w:rsidR="00BB0395" w:rsidRPr="0086396D">
        <w:rPr>
          <w:rFonts w:ascii="Book Antiqua" w:hAnsi="Book Antiqua"/>
          <w:sz w:val="24"/>
          <w:szCs w:val="24"/>
        </w:rPr>
        <w:t xml:space="preserve">only </w:t>
      </w:r>
      <w:r w:rsidR="00804784" w:rsidRPr="0086396D">
        <w:rPr>
          <w:rFonts w:ascii="Book Antiqua" w:hAnsi="Book Antiqua"/>
          <w:sz w:val="24"/>
          <w:szCs w:val="24"/>
        </w:rPr>
        <w:t>few prospective studie</w:t>
      </w:r>
      <w:r w:rsidRPr="0086396D">
        <w:rPr>
          <w:rFonts w:ascii="Book Antiqua" w:hAnsi="Book Antiqua"/>
          <w:sz w:val="24"/>
          <w:szCs w:val="24"/>
        </w:rPr>
        <w:t>s have been done in this regard. Therefore, the aim of this</w:t>
      </w:r>
      <w:r w:rsidR="00804784" w:rsidRPr="0086396D">
        <w:rPr>
          <w:rFonts w:ascii="Book Antiqua" w:hAnsi="Book Antiqua"/>
          <w:sz w:val="24"/>
          <w:szCs w:val="24"/>
        </w:rPr>
        <w:t xml:space="preserve"> study </w:t>
      </w:r>
      <w:r w:rsidRPr="0086396D">
        <w:rPr>
          <w:rFonts w:ascii="Book Antiqua" w:hAnsi="Book Antiqua"/>
          <w:sz w:val="24"/>
          <w:szCs w:val="24"/>
        </w:rPr>
        <w:t xml:space="preserve">was to </w:t>
      </w:r>
      <w:r w:rsidR="00000D19" w:rsidRPr="0086396D">
        <w:rPr>
          <w:rFonts w:ascii="Book Antiqua" w:hAnsi="Book Antiqua"/>
          <w:sz w:val="24"/>
          <w:szCs w:val="24"/>
        </w:rPr>
        <w:t>examine</w:t>
      </w:r>
      <w:r w:rsidR="00804784" w:rsidRPr="0086396D">
        <w:rPr>
          <w:rFonts w:ascii="Book Antiqua" w:hAnsi="Book Antiqua"/>
          <w:sz w:val="24"/>
          <w:szCs w:val="24"/>
        </w:rPr>
        <w:t xml:space="preserve"> the role</w:t>
      </w:r>
      <w:r w:rsidR="0095573B" w:rsidRPr="0086396D">
        <w:rPr>
          <w:rFonts w:ascii="Book Antiqua" w:hAnsi="Book Antiqua"/>
          <w:sz w:val="24"/>
          <w:szCs w:val="24"/>
        </w:rPr>
        <w:t>s</w:t>
      </w:r>
      <w:r w:rsidR="00804784" w:rsidRPr="0086396D">
        <w:rPr>
          <w:rFonts w:ascii="Book Antiqua" w:hAnsi="Book Antiqua"/>
          <w:sz w:val="24"/>
          <w:szCs w:val="24"/>
        </w:rPr>
        <w:t xml:space="preserve"> of multiple clinical, demographic, </w:t>
      </w:r>
      <w:r w:rsidR="00C84FFE" w:rsidRPr="0086396D">
        <w:rPr>
          <w:rFonts w:ascii="Book Antiqua" w:hAnsi="Book Antiqua"/>
          <w:sz w:val="24"/>
          <w:szCs w:val="24"/>
        </w:rPr>
        <w:t>dietary</w:t>
      </w:r>
      <w:r w:rsidR="00A87D71" w:rsidRPr="0086396D">
        <w:rPr>
          <w:rFonts w:ascii="Book Antiqua" w:hAnsi="Book Antiqua"/>
          <w:sz w:val="24"/>
          <w:szCs w:val="24"/>
        </w:rPr>
        <w:t xml:space="preserve"> and</w:t>
      </w:r>
      <w:r w:rsidR="00804784" w:rsidRPr="0086396D">
        <w:rPr>
          <w:rFonts w:ascii="Book Antiqua" w:hAnsi="Book Antiqua"/>
          <w:sz w:val="24"/>
          <w:szCs w:val="24"/>
        </w:rPr>
        <w:t xml:space="preserve"> metabolomic </w:t>
      </w:r>
      <w:r w:rsidR="00C84FFE" w:rsidRPr="0086396D">
        <w:rPr>
          <w:rFonts w:ascii="Book Antiqua" w:hAnsi="Book Antiqua"/>
          <w:sz w:val="24"/>
          <w:szCs w:val="24"/>
        </w:rPr>
        <w:t>factors</w:t>
      </w:r>
      <w:r w:rsidR="00804784" w:rsidRPr="0086396D">
        <w:rPr>
          <w:rFonts w:ascii="Book Antiqua" w:hAnsi="Book Antiqua"/>
          <w:sz w:val="24"/>
          <w:szCs w:val="24"/>
        </w:rPr>
        <w:t xml:space="preserve"> </w:t>
      </w:r>
      <w:r w:rsidR="00245FDC" w:rsidRPr="0086396D">
        <w:rPr>
          <w:rFonts w:ascii="Book Antiqua" w:hAnsi="Book Antiqua"/>
          <w:sz w:val="24"/>
          <w:szCs w:val="24"/>
        </w:rPr>
        <w:t>that</w:t>
      </w:r>
      <w:r w:rsidR="00000D19" w:rsidRPr="0086396D">
        <w:rPr>
          <w:rFonts w:ascii="Book Antiqua" w:hAnsi="Book Antiqua"/>
          <w:sz w:val="24"/>
          <w:szCs w:val="24"/>
        </w:rPr>
        <w:t xml:space="preserve"> may </w:t>
      </w:r>
      <w:r w:rsidR="0095573B" w:rsidRPr="0086396D">
        <w:rPr>
          <w:rFonts w:ascii="Book Antiqua" w:hAnsi="Book Antiqua"/>
          <w:sz w:val="24"/>
          <w:szCs w:val="24"/>
        </w:rPr>
        <w:t xml:space="preserve">predict </w:t>
      </w:r>
      <w:r w:rsidR="00C84FFE" w:rsidRPr="0086396D">
        <w:rPr>
          <w:rFonts w:ascii="Book Antiqua" w:hAnsi="Book Antiqua"/>
          <w:sz w:val="24"/>
          <w:szCs w:val="24"/>
        </w:rPr>
        <w:t xml:space="preserve">UC relapse. </w:t>
      </w:r>
    </w:p>
    <w:p w14:paraId="5B4C1BA4" w14:textId="77777777" w:rsidR="004D2D56" w:rsidRPr="007A0AFD" w:rsidRDefault="004D2D56" w:rsidP="005C7D8E">
      <w:pPr>
        <w:adjustRightInd w:val="0"/>
        <w:snapToGrid w:val="0"/>
        <w:spacing w:after="0" w:line="360" w:lineRule="auto"/>
        <w:rPr>
          <w:rFonts w:ascii="Book Antiqua" w:hAnsi="Book Antiqua"/>
          <w:sz w:val="24"/>
        </w:rPr>
      </w:pPr>
    </w:p>
    <w:p w14:paraId="41492645" w14:textId="11CD4436" w:rsidR="00D846B7" w:rsidRPr="0086396D" w:rsidRDefault="004D2D56" w:rsidP="005C7D8E">
      <w:pPr>
        <w:adjustRightInd w:val="0"/>
        <w:snapToGrid w:val="0"/>
        <w:spacing w:after="0" w:line="360" w:lineRule="auto"/>
        <w:jc w:val="both"/>
        <w:rPr>
          <w:rFonts w:ascii="Book Antiqua" w:hAnsi="Book Antiqua"/>
          <w:b/>
          <w:bCs/>
          <w:sz w:val="24"/>
          <w:szCs w:val="24"/>
        </w:rPr>
      </w:pPr>
      <w:r w:rsidRPr="007A0AFD">
        <w:rPr>
          <w:rFonts w:ascii="Book Antiqua" w:hAnsi="Book Antiqua"/>
          <w:b/>
          <w:sz w:val="24"/>
        </w:rPr>
        <w:t>MATERIALS AND METHODS</w:t>
      </w:r>
    </w:p>
    <w:p w14:paraId="4D040084" w14:textId="3600A656" w:rsidR="004D2D56" w:rsidRPr="004D2D56" w:rsidRDefault="004D2D56" w:rsidP="005C7D8E">
      <w:pPr>
        <w:adjustRightInd w:val="0"/>
        <w:snapToGrid w:val="0"/>
        <w:spacing w:after="0" w:line="360" w:lineRule="auto"/>
        <w:jc w:val="both"/>
        <w:rPr>
          <w:rFonts w:ascii="Book Antiqua" w:hAnsi="Book Antiqua"/>
          <w:b/>
          <w:i/>
          <w:sz w:val="24"/>
          <w:szCs w:val="24"/>
          <w:lang w:eastAsia="zh-CN"/>
        </w:rPr>
      </w:pPr>
      <w:r w:rsidRPr="004D2D56">
        <w:rPr>
          <w:rFonts w:ascii="Book Antiqua" w:hAnsi="Book Antiqua"/>
          <w:b/>
          <w:i/>
          <w:sz w:val="24"/>
          <w:szCs w:val="24"/>
        </w:rPr>
        <w:t>Patient cohort</w:t>
      </w:r>
    </w:p>
    <w:p w14:paraId="77795B8B" w14:textId="2D9496C7" w:rsidR="00B6671B" w:rsidRPr="0086396D" w:rsidRDefault="00D846B7" w:rsidP="005C7D8E">
      <w:pPr>
        <w:adjustRightInd w:val="0"/>
        <w:snapToGrid w:val="0"/>
        <w:spacing w:after="0" w:line="360" w:lineRule="auto"/>
        <w:jc w:val="both"/>
        <w:rPr>
          <w:rFonts w:ascii="Book Antiqua" w:hAnsi="Book Antiqua"/>
          <w:sz w:val="24"/>
          <w:szCs w:val="24"/>
        </w:rPr>
      </w:pPr>
      <w:r w:rsidRPr="0086396D">
        <w:rPr>
          <w:rFonts w:ascii="Book Antiqua" w:hAnsi="Book Antiqua"/>
          <w:sz w:val="24"/>
          <w:szCs w:val="24"/>
        </w:rPr>
        <w:t xml:space="preserve">This </w:t>
      </w:r>
      <w:r w:rsidR="00946303" w:rsidRPr="0086396D">
        <w:rPr>
          <w:rFonts w:ascii="Book Antiqua" w:hAnsi="Book Antiqua"/>
          <w:sz w:val="24"/>
          <w:szCs w:val="24"/>
        </w:rPr>
        <w:t xml:space="preserve">pilot </w:t>
      </w:r>
      <w:r w:rsidRPr="0086396D">
        <w:rPr>
          <w:rFonts w:ascii="Book Antiqua" w:hAnsi="Book Antiqua"/>
          <w:sz w:val="24"/>
          <w:szCs w:val="24"/>
        </w:rPr>
        <w:t xml:space="preserve">prospective cohort study was performed in Edmonton, Alberta, Canada. Using a </w:t>
      </w:r>
      <w:r w:rsidR="0039110F" w:rsidRPr="0086396D">
        <w:rPr>
          <w:rFonts w:ascii="Book Antiqua" w:hAnsi="Book Antiqua"/>
          <w:sz w:val="24"/>
          <w:szCs w:val="24"/>
        </w:rPr>
        <w:t>convenience non-probability</w:t>
      </w:r>
      <w:r w:rsidRPr="0086396D">
        <w:rPr>
          <w:rFonts w:ascii="Book Antiqua" w:hAnsi="Book Antiqua"/>
          <w:sz w:val="24"/>
          <w:szCs w:val="24"/>
        </w:rPr>
        <w:t xml:space="preserve"> sampling method, adult UC patients</w:t>
      </w:r>
      <w:r w:rsidR="00A240CB" w:rsidRPr="0086396D">
        <w:rPr>
          <w:rFonts w:ascii="Book Antiqua" w:hAnsi="Book Antiqua"/>
          <w:sz w:val="24"/>
          <w:szCs w:val="24"/>
        </w:rPr>
        <w:t xml:space="preserve"> who were able to read and write in English</w:t>
      </w:r>
      <w:r w:rsidRPr="0086396D">
        <w:rPr>
          <w:rFonts w:ascii="Book Antiqua" w:hAnsi="Book Antiqua"/>
          <w:sz w:val="24"/>
          <w:szCs w:val="24"/>
        </w:rPr>
        <w:t xml:space="preserve"> were recruited </w:t>
      </w:r>
      <w:r w:rsidR="00977CDC" w:rsidRPr="0086396D">
        <w:rPr>
          <w:rFonts w:ascii="Book Antiqua" w:hAnsi="Book Antiqua"/>
          <w:sz w:val="24"/>
          <w:szCs w:val="24"/>
        </w:rPr>
        <w:t xml:space="preserve">consecutively </w:t>
      </w:r>
      <w:r w:rsidRPr="0086396D">
        <w:rPr>
          <w:rFonts w:ascii="Book Antiqua" w:hAnsi="Book Antiqua"/>
          <w:sz w:val="24"/>
          <w:szCs w:val="24"/>
        </w:rPr>
        <w:t>from the IBD clinic</w:t>
      </w:r>
      <w:r w:rsidR="0095573B" w:rsidRPr="0086396D">
        <w:rPr>
          <w:rFonts w:ascii="Book Antiqua" w:hAnsi="Book Antiqua"/>
          <w:sz w:val="24"/>
          <w:szCs w:val="24"/>
        </w:rPr>
        <w:t xml:space="preserve"> at the</w:t>
      </w:r>
      <w:r w:rsidRPr="0086396D">
        <w:rPr>
          <w:rFonts w:ascii="Book Antiqua" w:hAnsi="Book Antiqua"/>
          <w:sz w:val="24"/>
          <w:szCs w:val="24"/>
        </w:rPr>
        <w:t xml:space="preserve"> University of Alberta. The diagnosis of UC was confirmed using a combination of </w:t>
      </w:r>
      <w:r w:rsidR="008C4A66" w:rsidRPr="0086396D">
        <w:rPr>
          <w:rFonts w:ascii="Book Antiqua" w:hAnsi="Book Antiqua"/>
          <w:sz w:val="24"/>
          <w:szCs w:val="24"/>
        </w:rPr>
        <w:t>clinical, endoscopic</w:t>
      </w:r>
      <w:r w:rsidRPr="0086396D">
        <w:rPr>
          <w:rFonts w:ascii="Book Antiqua" w:hAnsi="Book Antiqua"/>
          <w:sz w:val="24"/>
          <w:szCs w:val="24"/>
        </w:rPr>
        <w:t xml:space="preserve"> an</w:t>
      </w:r>
      <w:r w:rsidR="0039110F" w:rsidRPr="0086396D">
        <w:rPr>
          <w:rFonts w:ascii="Book Antiqua" w:hAnsi="Book Antiqua"/>
          <w:sz w:val="24"/>
          <w:szCs w:val="24"/>
        </w:rPr>
        <w:t xml:space="preserve">d histological </w:t>
      </w:r>
      <w:r w:rsidR="00245FDC" w:rsidRPr="0086396D">
        <w:rPr>
          <w:rFonts w:ascii="Book Antiqua" w:hAnsi="Book Antiqua"/>
          <w:sz w:val="24"/>
          <w:szCs w:val="24"/>
        </w:rPr>
        <w:t>criteria</w:t>
      </w:r>
      <w:r w:rsidR="0039110F" w:rsidRPr="0086396D">
        <w:rPr>
          <w:rFonts w:ascii="Book Antiqua" w:hAnsi="Book Antiqua"/>
          <w:sz w:val="24"/>
          <w:szCs w:val="24"/>
        </w:rPr>
        <w:t>.</w:t>
      </w:r>
      <w:r w:rsidR="00BA0C62" w:rsidRPr="00BA0C62">
        <w:rPr>
          <w:rFonts w:ascii="Book Antiqua" w:hAnsi="Book Antiqua"/>
          <w:i/>
          <w:sz w:val="24"/>
          <w:szCs w:val="24"/>
          <w:rtl/>
        </w:rPr>
        <w:t xml:space="preserve"> </w:t>
      </w:r>
      <w:r w:rsidR="0039110F" w:rsidRPr="0086396D">
        <w:rPr>
          <w:rFonts w:ascii="Book Antiqua" w:hAnsi="Book Antiqua"/>
          <w:sz w:val="24"/>
          <w:szCs w:val="24"/>
          <w:lang w:val="en-CA"/>
        </w:rPr>
        <w:t>All patients were in</w:t>
      </w:r>
      <w:r w:rsidR="00A240CB" w:rsidRPr="0086396D">
        <w:rPr>
          <w:rFonts w:ascii="Book Antiqua" w:hAnsi="Book Antiqua"/>
          <w:sz w:val="24"/>
          <w:szCs w:val="24"/>
          <w:lang w:val="en-CA"/>
        </w:rPr>
        <w:t>cluded if they were in</w:t>
      </w:r>
      <w:r w:rsidR="0039110F" w:rsidRPr="0086396D">
        <w:rPr>
          <w:rFonts w:ascii="Book Antiqua" w:hAnsi="Book Antiqua"/>
          <w:sz w:val="24"/>
          <w:szCs w:val="24"/>
          <w:lang w:val="en-CA"/>
        </w:rPr>
        <w:t xml:space="preserve"> clinical remission at the time of enrollment determined by a </w:t>
      </w:r>
      <w:r w:rsidR="00667D6D" w:rsidRPr="0086396D">
        <w:rPr>
          <w:rFonts w:ascii="Book Antiqua" w:hAnsi="Book Antiqua"/>
          <w:sz w:val="24"/>
          <w:szCs w:val="24"/>
          <w:lang w:val="en-CA"/>
        </w:rPr>
        <w:t xml:space="preserve">validated </w:t>
      </w:r>
      <w:r w:rsidR="0039110F" w:rsidRPr="0086396D">
        <w:rPr>
          <w:rFonts w:ascii="Book Antiqua" w:hAnsi="Book Antiqua"/>
          <w:sz w:val="24"/>
          <w:szCs w:val="24"/>
          <w:lang w:val="en-CA"/>
        </w:rPr>
        <w:t xml:space="preserve">partial Mayo score of less than </w:t>
      </w:r>
      <w:r w:rsidR="00F144AE" w:rsidRPr="0086396D">
        <w:rPr>
          <w:rFonts w:ascii="Book Antiqua" w:hAnsi="Book Antiqua"/>
          <w:sz w:val="24"/>
          <w:szCs w:val="24"/>
          <w:lang w:val="en-CA"/>
        </w:rPr>
        <w:t>3</w:t>
      </w:r>
      <w:r w:rsidR="00992F96" w:rsidRPr="00992F96">
        <w:rPr>
          <w:rFonts w:ascii="Book Antiqua" w:hAnsi="Book Antiqua"/>
          <w:sz w:val="24"/>
          <w:szCs w:val="24"/>
          <w:vertAlign w:val="superscript"/>
          <w:lang w:val="en-CA"/>
        </w:rPr>
        <w:t>[</w:t>
      </w:r>
      <w:r w:rsidR="00F144AE" w:rsidRPr="0086396D">
        <w:rPr>
          <w:rFonts w:ascii="Book Antiqua" w:hAnsi="Book Antiqua"/>
          <w:sz w:val="24"/>
          <w:szCs w:val="24"/>
          <w:vertAlign w:val="superscript"/>
          <w:lang w:val="en-CA"/>
        </w:rPr>
        <w:t>17</w:t>
      </w:r>
      <w:r w:rsidR="002B6AAF" w:rsidRPr="0086396D">
        <w:rPr>
          <w:rFonts w:ascii="Book Antiqua" w:hAnsi="Book Antiqua"/>
          <w:sz w:val="24"/>
          <w:szCs w:val="24"/>
          <w:vertAlign w:val="superscript"/>
          <w:lang w:val="en-CA"/>
        </w:rPr>
        <w:t>]</w:t>
      </w:r>
      <w:r w:rsidR="0039110F" w:rsidRPr="0086396D">
        <w:rPr>
          <w:rFonts w:ascii="Book Antiqua" w:hAnsi="Book Antiqua"/>
          <w:sz w:val="24"/>
          <w:szCs w:val="24"/>
          <w:lang w:val="en-CA"/>
        </w:rPr>
        <w:t xml:space="preserve">. </w:t>
      </w:r>
      <w:r w:rsidR="00B6671B" w:rsidRPr="0086396D">
        <w:rPr>
          <w:rFonts w:ascii="Book Antiqua" w:hAnsi="Book Antiqua"/>
          <w:sz w:val="24"/>
          <w:szCs w:val="24"/>
          <w:lang w:val="en-CA"/>
        </w:rPr>
        <w:t xml:space="preserve">Subjects were excluded if </w:t>
      </w:r>
      <w:r w:rsidR="00B6671B" w:rsidRPr="0086396D">
        <w:rPr>
          <w:rFonts w:ascii="Book Antiqua" w:hAnsi="Book Antiqua"/>
          <w:sz w:val="24"/>
          <w:szCs w:val="24"/>
        </w:rPr>
        <w:t xml:space="preserve">they had used oral corticosteroids in the </w:t>
      </w:r>
      <w:r w:rsidR="00BB0395" w:rsidRPr="0086396D">
        <w:rPr>
          <w:rFonts w:ascii="Book Antiqua" w:hAnsi="Book Antiqua"/>
          <w:sz w:val="24"/>
          <w:szCs w:val="24"/>
        </w:rPr>
        <w:t xml:space="preserve">previous </w:t>
      </w:r>
      <w:r w:rsidR="00B6671B" w:rsidRPr="0086396D">
        <w:rPr>
          <w:rFonts w:ascii="Book Antiqua" w:hAnsi="Book Antiqua"/>
          <w:sz w:val="24"/>
          <w:szCs w:val="24"/>
        </w:rPr>
        <w:t xml:space="preserve">four weeks, used corticosteroids within the </w:t>
      </w:r>
      <w:r w:rsidR="00904113" w:rsidRPr="0086396D">
        <w:rPr>
          <w:rFonts w:ascii="Book Antiqua" w:hAnsi="Book Antiqua"/>
          <w:sz w:val="24"/>
          <w:szCs w:val="24"/>
        </w:rPr>
        <w:t xml:space="preserve">previous </w:t>
      </w:r>
      <w:r w:rsidR="00B6671B" w:rsidRPr="0086396D">
        <w:rPr>
          <w:rFonts w:ascii="Book Antiqua" w:hAnsi="Book Antiqua"/>
          <w:sz w:val="24"/>
          <w:szCs w:val="24"/>
        </w:rPr>
        <w:t>two weeks before enrol</w:t>
      </w:r>
      <w:r w:rsidR="00DC0701" w:rsidRPr="0086396D">
        <w:rPr>
          <w:rFonts w:ascii="Book Antiqua" w:hAnsi="Book Antiqua"/>
          <w:sz w:val="24"/>
          <w:szCs w:val="24"/>
        </w:rPr>
        <w:t>l</w:t>
      </w:r>
      <w:r w:rsidR="00B6671B" w:rsidRPr="0086396D">
        <w:rPr>
          <w:rFonts w:ascii="Book Antiqua" w:hAnsi="Book Antiqua"/>
          <w:sz w:val="24"/>
          <w:szCs w:val="24"/>
        </w:rPr>
        <w:t>ment, used any biological agents</w:t>
      </w:r>
      <w:r w:rsidR="0095573B" w:rsidRPr="0086396D">
        <w:rPr>
          <w:rFonts w:ascii="Book Antiqua" w:hAnsi="Book Antiqua"/>
          <w:sz w:val="24"/>
          <w:szCs w:val="24"/>
        </w:rPr>
        <w:t xml:space="preserve"> for UC management </w:t>
      </w:r>
      <w:r w:rsidR="00B6671B" w:rsidRPr="0086396D">
        <w:rPr>
          <w:rFonts w:ascii="Book Antiqua" w:hAnsi="Book Antiqua"/>
          <w:sz w:val="24"/>
          <w:szCs w:val="24"/>
        </w:rPr>
        <w:t>within 3 months before the enrol</w:t>
      </w:r>
      <w:r w:rsidR="00653D1D" w:rsidRPr="0086396D">
        <w:rPr>
          <w:rFonts w:ascii="Book Antiqua" w:hAnsi="Book Antiqua"/>
          <w:sz w:val="24"/>
          <w:szCs w:val="24"/>
        </w:rPr>
        <w:t>l</w:t>
      </w:r>
      <w:r w:rsidR="00B6671B" w:rsidRPr="0086396D">
        <w:rPr>
          <w:rFonts w:ascii="Book Antiqua" w:hAnsi="Book Antiqua"/>
          <w:sz w:val="24"/>
          <w:szCs w:val="24"/>
        </w:rPr>
        <w:t>ment, or had a history of colectomy.</w:t>
      </w:r>
      <w:r w:rsidR="005D6C14" w:rsidRPr="0086396D">
        <w:rPr>
          <w:rFonts w:ascii="Book Antiqua" w:hAnsi="Book Antiqua"/>
          <w:sz w:val="24"/>
          <w:szCs w:val="24"/>
        </w:rPr>
        <w:t xml:space="preserve"> </w:t>
      </w:r>
      <w:r w:rsidR="001247FA" w:rsidRPr="0086396D">
        <w:rPr>
          <w:rFonts w:ascii="Book Antiqua" w:hAnsi="Book Antiqua"/>
          <w:sz w:val="24"/>
          <w:szCs w:val="24"/>
        </w:rPr>
        <w:t>Written informed consent was obtained from all participants and the study protocol was approved by the Health Research Ethics Board-Biomedical Panel, University of Alberta, Edmonton, Canada (Pro00032213).</w:t>
      </w:r>
    </w:p>
    <w:p w14:paraId="210A83B4" w14:textId="37CDBE4E" w:rsidR="00913A1A" w:rsidRPr="0086396D" w:rsidRDefault="00B2096E"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P</w:t>
      </w:r>
      <w:r w:rsidR="0095573B" w:rsidRPr="0086396D">
        <w:rPr>
          <w:rFonts w:ascii="Book Antiqua" w:hAnsi="Book Antiqua"/>
          <w:sz w:val="24"/>
          <w:szCs w:val="24"/>
        </w:rPr>
        <w:t xml:space="preserve">articipants were asked to come to the research clinic </w:t>
      </w:r>
      <w:r w:rsidRPr="0086396D">
        <w:rPr>
          <w:rFonts w:ascii="Book Antiqua" w:hAnsi="Book Antiqua"/>
          <w:sz w:val="24"/>
          <w:szCs w:val="24"/>
        </w:rPr>
        <w:t>for the first visit (Baseline)</w:t>
      </w:r>
      <w:r w:rsidR="00D334E9" w:rsidRPr="0086396D">
        <w:rPr>
          <w:rFonts w:ascii="Book Antiqua" w:hAnsi="Book Antiqua"/>
          <w:sz w:val="24"/>
          <w:szCs w:val="24"/>
        </w:rPr>
        <w:t>. At baseline visit</w:t>
      </w:r>
      <w:r w:rsidRPr="0086396D">
        <w:rPr>
          <w:rFonts w:ascii="Book Antiqua" w:hAnsi="Book Antiqua"/>
          <w:sz w:val="24"/>
          <w:szCs w:val="24"/>
        </w:rPr>
        <w:t xml:space="preserve"> </w:t>
      </w:r>
      <w:r w:rsidR="00710777" w:rsidRPr="0086396D">
        <w:rPr>
          <w:rFonts w:ascii="Book Antiqua" w:hAnsi="Book Antiqua"/>
          <w:sz w:val="24"/>
          <w:szCs w:val="24"/>
        </w:rPr>
        <w:t>participants’ demographic and clinical information</w:t>
      </w:r>
      <w:r w:rsidR="0016600E" w:rsidRPr="0086396D">
        <w:rPr>
          <w:rFonts w:ascii="Book Antiqua" w:hAnsi="Book Antiqua"/>
          <w:sz w:val="24"/>
          <w:szCs w:val="24"/>
        </w:rPr>
        <w:t xml:space="preserve"> was obtained</w:t>
      </w:r>
      <w:r w:rsidR="00710777" w:rsidRPr="0086396D">
        <w:rPr>
          <w:rFonts w:ascii="Book Antiqua" w:hAnsi="Book Antiqua"/>
          <w:sz w:val="24"/>
          <w:szCs w:val="24"/>
        </w:rPr>
        <w:t xml:space="preserve"> and participants completed a food frequency questionnaire</w:t>
      </w:r>
      <w:r w:rsidR="00A94B0C" w:rsidRPr="0086396D">
        <w:rPr>
          <w:rFonts w:ascii="Book Antiqua" w:hAnsi="Book Antiqua"/>
          <w:sz w:val="24"/>
          <w:szCs w:val="24"/>
        </w:rPr>
        <w:t xml:space="preserve"> (FFQ)</w:t>
      </w:r>
      <w:r w:rsidR="00710777" w:rsidRPr="0086396D">
        <w:rPr>
          <w:rFonts w:ascii="Book Antiqua" w:hAnsi="Book Antiqua"/>
          <w:sz w:val="24"/>
          <w:szCs w:val="24"/>
        </w:rPr>
        <w:t xml:space="preserve"> that </w:t>
      </w:r>
      <w:r w:rsidR="0016600E" w:rsidRPr="0086396D">
        <w:rPr>
          <w:rFonts w:ascii="Book Antiqua" w:hAnsi="Book Antiqua"/>
          <w:sz w:val="24"/>
          <w:szCs w:val="24"/>
        </w:rPr>
        <w:t xml:space="preserve">assessed </w:t>
      </w:r>
      <w:r w:rsidR="00710777" w:rsidRPr="0086396D">
        <w:rPr>
          <w:rFonts w:ascii="Book Antiqua" w:hAnsi="Book Antiqua"/>
          <w:sz w:val="24"/>
          <w:szCs w:val="24"/>
        </w:rPr>
        <w:t>their food intake in the past 12 months.</w:t>
      </w:r>
      <w:r w:rsidR="00BA0C62" w:rsidRPr="00BA0C62">
        <w:rPr>
          <w:rFonts w:ascii="Book Antiqua" w:hAnsi="Book Antiqua"/>
          <w:i/>
          <w:sz w:val="24"/>
          <w:szCs w:val="24"/>
        </w:rPr>
        <w:t xml:space="preserve"> </w:t>
      </w:r>
      <w:r w:rsidR="00710777" w:rsidRPr="0086396D">
        <w:rPr>
          <w:rFonts w:ascii="Book Antiqua" w:hAnsi="Book Antiqua"/>
          <w:sz w:val="24"/>
          <w:szCs w:val="24"/>
        </w:rPr>
        <w:t>Anthropometric assessments (</w:t>
      </w:r>
      <w:r w:rsidR="00A94B0C" w:rsidRPr="0086396D">
        <w:rPr>
          <w:rFonts w:ascii="Book Antiqua" w:hAnsi="Book Antiqua"/>
          <w:sz w:val="24"/>
          <w:szCs w:val="24"/>
        </w:rPr>
        <w:t xml:space="preserve">as </w:t>
      </w:r>
      <w:r w:rsidR="00710777" w:rsidRPr="0086396D">
        <w:rPr>
          <w:rFonts w:ascii="Book Antiqua" w:hAnsi="Book Antiqua"/>
          <w:sz w:val="24"/>
          <w:szCs w:val="24"/>
        </w:rPr>
        <w:t>described below), clinical information, and urine and blood samples were collected</w:t>
      </w:r>
      <w:r w:rsidR="00BE2CA8" w:rsidRPr="0086396D">
        <w:rPr>
          <w:rFonts w:ascii="Book Antiqua" w:hAnsi="Book Antiqua"/>
          <w:sz w:val="24"/>
          <w:szCs w:val="24"/>
        </w:rPr>
        <w:t xml:space="preserve"> for metabolomics analyses</w:t>
      </w:r>
      <w:r w:rsidR="00A94B0C" w:rsidRPr="0086396D">
        <w:rPr>
          <w:rFonts w:ascii="Book Antiqua" w:hAnsi="Book Antiqua"/>
          <w:sz w:val="24"/>
          <w:szCs w:val="24"/>
        </w:rPr>
        <w:t>, and stool was collected for fecal calprotectin (FCP)</w:t>
      </w:r>
      <w:r w:rsidR="009F5EFD" w:rsidRPr="0086396D">
        <w:rPr>
          <w:rFonts w:ascii="Book Antiqua" w:hAnsi="Book Antiqua"/>
          <w:sz w:val="24"/>
          <w:szCs w:val="24"/>
        </w:rPr>
        <w:t>.</w:t>
      </w:r>
      <w:r w:rsidR="0095573B" w:rsidRPr="0086396D">
        <w:rPr>
          <w:rFonts w:ascii="Book Antiqua" w:hAnsi="Book Antiqua"/>
          <w:sz w:val="24"/>
          <w:szCs w:val="24"/>
        </w:rPr>
        <w:t xml:space="preserve"> </w:t>
      </w:r>
      <w:r w:rsidR="00913A1A" w:rsidRPr="0086396D">
        <w:rPr>
          <w:rFonts w:ascii="Book Antiqua" w:hAnsi="Book Antiqua"/>
          <w:sz w:val="24"/>
          <w:szCs w:val="24"/>
        </w:rPr>
        <w:t xml:space="preserve">Twelve months after the baseline visit, patients were followed-up by a telephone interview and their clinical files were reviewed to determine if they </w:t>
      </w:r>
      <w:r w:rsidR="00710777" w:rsidRPr="0086396D">
        <w:rPr>
          <w:rFonts w:ascii="Book Antiqua" w:hAnsi="Book Antiqua"/>
          <w:sz w:val="24"/>
          <w:szCs w:val="24"/>
        </w:rPr>
        <w:t xml:space="preserve">had </w:t>
      </w:r>
      <w:r w:rsidR="00913A1A" w:rsidRPr="0086396D">
        <w:rPr>
          <w:rFonts w:ascii="Book Antiqua" w:hAnsi="Book Antiqua"/>
          <w:sz w:val="24"/>
          <w:szCs w:val="24"/>
        </w:rPr>
        <w:t xml:space="preserve">experienced a clinical </w:t>
      </w:r>
      <w:r w:rsidR="00BE2CA8" w:rsidRPr="0086396D">
        <w:rPr>
          <w:rFonts w:ascii="Book Antiqua" w:hAnsi="Book Antiqua"/>
          <w:sz w:val="24"/>
          <w:szCs w:val="24"/>
        </w:rPr>
        <w:t xml:space="preserve">UC </w:t>
      </w:r>
      <w:r w:rsidR="00913A1A" w:rsidRPr="0086396D">
        <w:rPr>
          <w:rFonts w:ascii="Book Antiqua" w:hAnsi="Book Antiqua"/>
          <w:sz w:val="24"/>
          <w:szCs w:val="24"/>
        </w:rPr>
        <w:t>relapse</w:t>
      </w:r>
      <w:r w:rsidR="006E26AF" w:rsidRPr="0086396D">
        <w:rPr>
          <w:rFonts w:ascii="Book Antiqua" w:hAnsi="Book Antiqua"/>
          <w:sz w:val="24"/>
          <w:szCs w:val="24"/>
        </w:rPr>
        <w:t xml:space="preserve"> (</w:t>
      </w:r>
      <w:r w:rsidR="006E26AF" w:rsidRPr="0086396D">
        <w:rPr>
          <w:rFonts w:ascii="Book Antiqua" w:hAnsi="Book Antiqua"/>
          <w:sz w:val="24"/>
          <w:szCs w:val="24"/>
          <w:lang w:val="en-CA"/>
        </w:rPr>
        <w:t>partial Mayo score of 3 or more)</w:t>
      </w:r>
      <w:r w:rsidR="00913A1A" w:rsidRPr="0086396D">
        <w:rPr>
          <w:rFonts w:ascii="Book Antiqua" w:hAnsi="Book Antiqua"/>
          <w:sz w:val="24"/>
          <w:szCs w:val="24"/>
        </w:rPr>
        <w:t xml:space="preserve"> </w:t>
      </w:r>
      <w:r w:rsidR="00710777" w:rsidRPr="0086396D">
        <w:rPr>
          <w:rFonts w:ascii="Book Antiqua" w:hAnsi="Book Antiqua"/>
          <w:sz w:val="24"/>
          <w:szCs w:val="24"/>
        </w:rPr>
        <w:t>during these 12 mo</w:t>
      </w:r>
      <w:r w:rsidR="00913A1A" w:rsidRPr="0086396D">
        <w:rPr>
          <w:rFonts w:ascii="Book Antiqua" w:hAnsi="Book Antiqua"/>
          <w:sz w:val="24"/>
          <w:szCs w:val="24"/>
        </w:rPr>
        <w:t xml:space="preserve">. Comparisons were made between patients who remained in </w:t>
      </w:r>
      <w:r w:rsidR="0016600E" w:rsidRPr="0086396D">
        <w:rPr>
          <w:rFonts w:ascii="Book Antiqua" w:hAnsi="Book Antiqua"/>
          <w:sz w:val="24"/>
          <w:szCs w:val="24"/>
        </w:rPr>
        <w:t xml:space="preserve">clinical </w:t>
      </w:r>
      <w:r w:rsidR="00913A1A" w:rsidRPr="0086396D">
        <w:rPr>
          <w:rFonts w:ascii="Book Antiqua" w:hAnsi="Book Antiqua"/>
          <w:sz w:val="24"/>
          <w:szCs w:val="24"/>
        </w:rPr>
        <w:t>remission versus those who experienced a clinical relapse.</w:t>
      </w:r>
    </w:p>
    <w:p w14:paraId="6B0A8934" w14:textId="77777777" w:rsidR="00A11E0B" w:rsidRPr="00A11E0B" w:rsidRDefault="00A11E0B" w:rsidP="005C7D8E">
      <w:pPr>
        <w:adjustRightInd w:val="0"/>
        <w:snapToGrid w:val="0"/>
        <w:spacing w:after="0" w:line="360" w:lineRule="auto"/>
        <w:jc w:val="both"/>
        <w:rPr>
          <w:rFonts w:ascii="Book Antiqua" w:hAnsi="Book Antiqua"/>
          <w:b/>
          <w:i/>
          <w:sz w:val="24"/>
          <w:szCs w:val="24"/>
          <w:lang w:eastAsia="zh-CN"/>
        </w:rPr>
      </w:pPr>
    </w:p>
    <w:p w14:paraId="108F8174" w14:textId="59C07CA4" w:rsidR="00A11E0B" w:rsidRDefault="00042AB3" w:rsidP="005C7D8E">
      <w:pPr>
        <w:adjustRightInd w:val="0"/>
        <w:snapToGrid w:val="0"/>
        <w:spacing w:after="0" w:line="360" w:lineRule="auto"/>
        <w:jc w:val="both"/>
        <w:rPr>
          <w:rFonts w:ascii="Book Antiqua" w:hAnsi="Book Antiqua"/>
          <w:sz w:val="24"/>
          <w:szCs w:val="24"/>
          <w:u w:val="single"/>
          <w:lang w:eastAsia="zh-CN"/>
        </w:rPr>
      </w:pPr>
      <w:r w:rsidRPr="00A11E0B">
        <w:rPr>
          <w:rFonts w:ascii="Book Antiqua" w:hAnsi="Book Antiqua"/>
          <w:b/>
          <w:i/>
          <w:sz w:val="24"/>
          <w:szCs w:val="24"/>
        </w:rPr>
        <w:t>Demograp</w:t>
      </w:r>
      <w:r w:rsidR="00A11E0B" w:rsidRPr="00A11E0B">
        <w:rPr>
          <w:rFonts w:ascii="Book Antiqua" w:hAnsi="Book Antiqua"/>
          <w:b/>
          <w:i/>
          <w:sz w:val="24"/>
          <w:szCs w:val="24"/>
        </w:rPr>
        <w:t>hic and clinical infor</w:t>
      </w:r>
      <w:r w:rsidRPr="00A11E0B">
        <w:rPr>
          <w:rFonts w:ascii="Book Antiqua" w:hAnsi="Book Antiqua"/>
          <w:b/>
          <w:i/>
          <w:sz w:val="24"/>
          <w:szCs w:val="24"/>
        </w:rPr>
        <w:t>mation</w:t>
      </w:r>
    </w:p>
    <w:p w14:paraId="08FA7071" w14:textId="48CC27BF" w:rsidR="00B6671B" w:rsidRDefault="00B6671B"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At baseline</w:t>
      </w:r>
      <w:r w:rsidR="00000D19" w:rsidRPr="0086396D">
        <w:rPr>
          <w:rFonts w:ascii="Book Antiqua" w:hAnsi="Book Antiqua"/>
          <w:sz w:val="24"/>
          <w:szCs w:val="24"/>
        </w:rPr>
        <w:t>,</w:t>
      </w:r>
      <w:r w:rsidRPr="0086396D">
        <w:rPr>
          <w:rFonts w:ascii="Book Antiqua" w:hAnsi="Book Antiqua"/>
          <w:sz w:val="24"/>
          <w:szCs w:val="24"/>
        </w:rPr>
        <w:t xml:space="preserve"> demographic </w:t>
      </w:r>
      <w:r w:rsidR="007A4F9B" w:rsidRPr="0086396D">
        <w:rPr>
          <w:rFonts w:ascii="Book Antiqua" w:hAnsi="Book Antiqua"/>
          <w:sz w:val="24"/>
          <w:szCs w:val="24"/>
        </w:rPr>
        <w:t xml:space="preserve">(age, gender), </w:t>
      </w:r>
      <w:r w:rsidRPr="0086396D">
        <w:rPr>
          <w:rFonts w:ascii="Book Antiqua" w:hAnsi="Book Antiqua"/>
          <w:sz w:val="24"/>
          <w:szCs w:val="24"/>
        </w:rPr>
        <w:t>and clinical information w</w:t>
      </w:r>
      <w:r w:rsidR="00000D19" w:rsidRPr="0086396D">
        <w:rPr>
          <w:rFonts w:ascii="Book Antiqua" w:hAnsi="Book Antiqua"/>
          <w:sz w:val="24"/>
          <w:szCs w:val="24"/>
        </w:rPr>
        <w:t>as</w:t>
      </w:r>
      <w:r w:rsidRPr="0086396D">
        <w:rPr>
          <w:rFonts w:ascii="Book Antiqua" w:hAnsi="Book Antiqua"/>
          <w:sz w:val="24"/>
          <w:szCs w:val="24"/>
        </w:rPr>
        <w:t xml:space="preserve"> collected. </w:t>
      </w:r>
      <w:r w:rsidR="00F945DD" w:rsidRPr="0086396D">
        <w:rPr>
          <w:rFonts w:ascii="Book Antiqua" w:hAnsi="Book Antiqua"/>
          <w:sz w:val="24"/>
          <w:szCs w:val="24"/>
          <w:lang w:val="en-CA"/>
        </w:rPr>
        <w:t>L</w:t>
      </w:r>
      <w:r w:rsidR="00F14CCC" w:rsidRPr="0086396D">
        <w:rPr>
          <w:rFonts w:ascii="Book Antiqua" w:hAnsi="Book Antiqua"/>
          <w:sz w:val="24"/>
          <w:szCs w:val="24"/>
        </w:rPr>
        <w:t>ong-term dietary intake</w:t>
      </w:r>
      <w:r w:rsidR="00854CAF" w:rsidRPr="0086396D">
        <w:rPr>
          <w:rFonts w:ascii="Book Antiqua" w:hAnsi="Book Antiqua"/>
          <w:sz w:val="24"/>
          <w:szCs w:val="24"/>
        </w:rPr>
        <w:t xml:space="preserve"> was assessed using the National Cancer Institute's self-administered Diet History Questionnaire </w:t>
      </w:r>
      <w:r w:rsidR="00F14CCC" w:rsidRPr="0086396D">
        <w:rPr>
          <w:rFonts w:ascii="Book Antiqua" w:hAnsi="Book Antiqua"/>
          <w:sz w:val="24"/>
          <w:szCs w:val="24"/>
        </w:rPr>
        <w:t xml:space="preserve">II </w:t>
      </w:r>
      <w:r w:rsidR="00914602" w:rsidRPr="0086396D">
        <w:rPr>
          <w:rFonts w:ascii="Book Antiqua" w:hAnsi="Book Antiqua"/>
          <w:sz w:val="24"/>
          <w:szCs w:val="24"/>
        </w:rPr>
        <w:t>(DHQ)</w:t>
      </w:r>
      <w:r w:rsidR="00992F96" w:rsidRPr="00992F96">
        <w:rPr>
          <w:rFonts w:ascii="Book Antiqua" w:hAnsi="Book Antiqua"/>
          <w:sz w:val="24"/>
          <w:szCs w:val="24"/>
          <w:vertAlign w:val="superscript"/>
        </w:rPr>
        <w:t>[</w:t>
      </w:r>
      <w:r w:rsidR="00F14CCC" w:rsidRPr="0086396D">
        <w:rPr>
          <w:rFonts w:ascii="Book Antiqua" w:hAnsi="Book Antiqua"/>
          <w:sz w:val="24"/>
          <w:szCs w:val="24"/>
          <w:vertAlign w:val="superscript"/>
        </w:rPr>
        <w:t>18</w:t>
      </w:r>
      <w:r w:rsidR="00A11E0B">
        <w:rPr>
          <w:rFonts w:ascii="Book Antiqua" w:hAnsi="Book Antiqua"/>
          <w:sz w:val="24"/>
          <w:szCs w:val="24"/>
          <w:vertAlign w:val="superscript"/>
        </w:rPr>
        <w:t>,</w:t>
      </w:r>
      <w:r w:rsidR="00FC3522" w:rsidRPr="0086396D">
        <w:rPr>
          <w:rFonts w:ascii="Book Antiqua" w:hAnsi="Book Antiqua"/>
          <w:sz w:val="24"/>
          <w:szCs w:val="24"/>
          <w:vertAlign w:val="superscript"/>
        </w:rPr>
        <w:t>19</w:t>
      </w:r>
      <w:r w:rsidR="002B6AAF" w:rsidRPr="0086396D">
        <w:rPr>
          <w:rFonts w:ascii="Book Antiqua" w:hAnsi="Book Antiqua"/>
          <w:sz w:val="24"/>
          <w:szCs w:val="24"/>
          <w:vertAlign w:val="superscript"/>
        </w:rPr>
        <w:t>]</w:t>
      </w:r>
      <w:r w:rsidR="00F14CCC" w:rsidRPr="0086396D">
        <w:rPr>
          <w:rFonts w:ascii="Book Antiqua" w:hAnsi="Book Antiqua"/>
          <w:sz w:val="24"/>
          <w:szCs w:val="24"/>
        </w:rPr>
        <w:t>. This validat</w:t>
      </w:r>
      <w:r w:rsidR="00FC3522" w:rsidRPr="0086396D">
        <w:rPr>
          <w:rFonts w:ascii="Book Antiqua" w:hAnsi="Book Antiqua"/>
          <w:sz w:val="24"/>
          <w:szCs w:val="24"/>
        </w:rPr>
        <w:t xml:space="preserve">ed </w:t>
      </w:r>
      <w:r w:rsidR="00BE2CA8" w:rsidRPr="0086396D">
        <w:rPr>
          <w:rFonts w:ascii="Book Antiqua" w:hAnsi="Book Antiqua"/>
          <w:sz w:val="24"/>
          <w:szCs w:val="24"/>
        </w:rPr>
        <w:t xml:space="preserve">semi-quantitative </w:t>
      </w:r>
      <w:r w:rsidR="008844F3" w:rsidRPr="0086396D">
        <w:rPr>
          <w:rFonts w:ascii="Book Antiqua" w:hAnsi="Book Antiqua"/>
          <w:sz w:val="24"/>
          <w:szCs w:val="24"/>
        </w:rPr>
        <w:t>FFQ</w:t>
      </w:r>
      <w:r w:rsidR="00FC3522" w:rsidRPr="0086396D">
        <w:rPr>
          <w:rFonts w:ascii="Book Antiqua" w:hAnsi="Book Antiqua"/>
          <w:sz w:val="24"/>
          <w:szCs w:val="24"/>
        </w:rPr>
        <w:t xml:space="preserve"> </w:t>
      </w:r>
      <w:r w:rsidR="00F945DD" w:rsidRPr="0086396D">
        <w:rPr>
          <w:rFonts w:ascii="Book Antiqua" w:hAnsi="Book Antiqua"/>
          <w:sz w:val="24"/>
          <w:szCs w:val="24"/>
        </w:rPr>
        <w:t>include</w:t>
      </w:r>
      <w:r w:rsidR="00A94B0C" w:rsidRPr="0086396D">
        <w:rPr>
          <w:rFonts w:ascii="Book Antiqua" w:hAnsi="Book Antiqua"/>
          <w:sz w:val="24"/>
          <w:szCs w:val="24"/>
        </w:rPr>
        <w:t>d</w:t>
      </w:r>
      <w:r w:rsidR="00F945DD" w:rsidRPr="0086396D">
        <w:rPr>
          <w:rFonts w:ascii="Book Antiqua" w:hAnsi="Book Antiqua"/>
          <w:sz w:val="24"/>
          <w:szCs w:val="24"/>
        </w:rPr>
        <w:t xml:space="preserve"> </w:t>
      </w:r>
      <w:r w:rsidR="00F14CCC" w:rsidRPr="0086396D">
        <w:rPr>
          <w:rFonts w:ascii="Book Antiqua" w:hAnsi="Book Antiqua"/>
          <w:sz w:val="24"/>
          <w:szCs w:val="24"/>
        </w:rPr>
        <w:t>ques</w:t>
      </w:r>
      <w:r w:rsidR="00F945DD" w:rsidRPr="0086396D">
        <w:rPr>
          <w:rFonts w:ascii="Book Antiqua" w:hAnsi="Book Antiqua"/>
          <w:sz w:val="24"/>
          <w:szCs w:val="24"/>
        </w:rPr>
        <w:t>tions about 134 food items and accounts for</w:t>
      </w:r>
      <w:r w:rsidR="00F14CCC" w:rsidRPr="0086396D">
        <w:rPr>
          <w:rFonts w:ascii="Book Antiqua" w:hAnsi="Book Antiqua"/>
          <w:sz w:val="24"/>
          <w:szCs w:val="24"/>
        </w:rPr>
        <w:t xml:space="preserve"> seasonal intake of a variety of foods, portion size and frequency of intake for each food item. </w:t>
      </w:r>
      <w:r w:rsidR="00BE2CA8" w:rsidRPr="0086396D">
        <w:rPr>
          <w:rFonts w:ascii="Book Antiqua" w:hAnsi="Book Antiqua"/>
          <w:sz w:val="24"/>
          <w:szCs w:val="24"/>
        </w:rPr>
        <w:t>Body</w:t>
      </w:r>
      <w:r w:rsidR="00FE3BBC" w:rsidRPr="0086396D">
        <w:rPr>
          <w:rFonts w:ascii="Book Antiqua" w:hAnsi="Book Antiqua"/>
          <w:sz w:val="24"/>
          <w:szCs w:val="24"/>
        </w:rPr>
        <w:t xml:space="preserve"> </w:t>
      </w:r>
      <w:r w:rsidR="00483A48" w:rsidRPr="0086396D">
        <w:rPr>
          <w:rFonts w:ascii="Book Antiqua" w:hAnsi="Book Antiqua"/>
          <w:sz w:val="24"/>
          <w:szCs w:val="24"/>
        </w:rPr>
        <w:t xml:space="preserve">weight was measured to the nearest </w:t>
      </w:r>
      <w:r w:rsidR="00BE2CA8" w:rsidRPr="0086396D">
        <w:rPr>
          <w:rFonts w:ascii="Book Antiqua" w:hAnsi="Book Antiqua"/>
          <w:sz w:val="24"/>
          <w:szCs w:val="24"/>
        </w:rPr>
        <w:t>0.01 k</w:t>
      </w:r>
      <w:r w:rsidR="00483A48" w:rsidRPr="0086396D">
        <w:rPr>
          <w:rFonts w:ascii="Book Antiqua" w:hAnsi="Book Antiqua"/>
          <w:sz w:val="24"/>
          <w:szCs w:val="24"/>
        </w:rPr>
        <w:t>g</w:t>
      </w:r>
      <w:r w:rsidR="00A913B6" w:rsidRPr="0086396D">
        <w:rPr>
          <w:rFonts w:ascii="Book Antiqua" w:hAnsi="Book Antiqua"/>
          <w:sz w:val="24"/>
          <w:szCs w:val="24"/>
        </w:rPr>
        <w:t xml:space="preserve"> (Health o Meter Professional 752KL medical scale)</w:t>
      </w:r>
      <w:r w:rsidR="00483A48" w:rsidRPr="0086396D">
        <w:rPr>
          <w:rFonts w:ascii="Book Antiqua" w:hAnsi="Book Antiqua"/>
          <w:sz w:val="24"/>
          <w:szCs w:val="24"/>
        </w:rPr>
        <w:t xml:space="preserve"> </w:t>
      </w:r>
      <w:r w:rsidR="00A913B6" w:rsidRPr="0086396D">
        <w:rPr>
          <w:rFonts w:ascii="Book Antiqua" w:hAnsi="Book Antiqua"/>
          <w:sz w:val="24"/>
          <w:szCs w:val="24"/>
        </w:rPr>
        <w:t>and h</w:t>
      </w:r>
      <w:r w:rsidR="00483A48" w:rsidRPr="0086396D">
        <w:rPr>
          <w:rFonts w:ascii="Book Antiqua" w:hAnsi="Book Antiqua"/>
          <w:sz w:val="24"/>
          <w:szCs w:val="24"/>
        </w:rPr>
        <w:t xml:space="preserve">eight was measured </w:t>
      </w:r>
      <w:r w:rsidR="00A913B6" w:rsidRPr="0086396D">
        <w:rPr>
          <w:rFonts w:ascii="Book Antiqua" w:hAnsi="Book Antiqua"/>
          <w:sz w:val="24"/>
          <w:szCs w:val="24"/>
        </w:rPr>
        <w:t xml:space="preserve">(HM200P Portstad portable stadiometer, Charder Electronic Co, Ltd) </w:t>
      </w:r>
      <w:r w:rsidR="00483A48" w:rsidRPr="0086396D">
        <w:rPr>
          <w:rFonts w:ascii="Book Antiqua" w:hAnsi="Book Antiqua"/>
          <w:sz w:val="24"/>
          <w:szCs w:val="24"/>
        </w:rPr>
        <w:t xml:space="preserve">without shoes. Body mass index (BMI) was calculated as weight in kilograms divided by height in meters squared. Waist circumference was measured at the narrowest </w:t>
      </w:r>
      <w:r w:rsidR="00D45692" w:rsidRPr="0086396D">
        <w:rPr>
          <w:rFonts w:ascii="Book Antiqua" w:hAnsi="Book Antiqua"/>
          <w:sz w:val="24"/>
          <w:szCs w:val="24"/>
        </w:rPr>
        <w:t>part of abdomen</w:t>
      </w:r>
      <w:r w:rsidR="00483A48" w:rsidRPr="0086396D">
        <w:rPr>
          <w:rFonts w:ascii="Book Antiqua" w:hAnsi="Book Antiqua"/>
          <w:sz w:val="24"/>
          <w:szCs w:val="24"/>
        </w:rPr>
        <w:t xml:space="preserve"> over light clothing usin</w:t>
      </w:r>
      <w:r w:rsidR="007B3215" w:rsidRPr="0086396D">
        <w:rPr>
          <w:rFonts w:ascii="Book Antiqua" w:hAnsi="Book Antiqua"/>
          <w:sz w:val="24"/>
          <w:szCs w:val="24"/>
        </w:rPr>
        <w:t>g a</w:t>
      </w:r>
      <w:r w:rsidR="00D45692" w:rsidRPr="0086396D">
        <w:rPr>
          <w:rFonts w:ascii="Book Antiqua" w:hAnsi="Book Antiqua"/>
          <w:sz w:val="24"/>
          <w:szCs w:val="24"/>
        </w:rPr>
        <w:t xml:space="preserve"> </w:t>
      </w:r>
      <w:r w:rsidR="0095573B" w:rsidRPr="0086396D">
        <w:rPr>
          <w:rFonts w:ascii="Book Antiqua" w:hAnsi="Book Antiqua"/>
          <w:sz w:val="24"/>
          <w:szCs w:val="24"/>
        </w:rPr>
        <w:t>non</w:t>
      </w:r>
      <w:r w:rsidR="00D45692" w:rsidRPr="0086396D">
        <w:rPr>
          <w:rFonts w:ascii="Book Antiqua" w:hAnsi="Book Antiqua"/>
          <w:sz w:val="24"/>
          <w:szCs w:val="24"/>
        </w:rPr>
        <w:t xml:space="preserve">-stretch </w:t>
      </w:r>
      <w:r w:rsidR="0095573B" w:rsidRPr="0086396D">
        <w:rPr>
          <w:rFonts w:ascii="Book Antiqua" w:hAnsi="Book Antiqua"/>
          <w:sz w:val="24"/>
          <w:szCs w:val="24"/>
        </w:rPr>
        <w:t xml:space="preserve">measuring </w:t>
      </w:r>
      <w:r w:rsidR="00D45692" w:rsidRPr="0086396D">
        <w:rPr>
          <w:rFonts w:ascii="Book Antiqua" w:hAnsi="Book Antiqua"/>
          <w:sz w:val="24"/>
          <w:szCs w:val="24"/>
        </w:rPr>
        <w:t xml:space="preserve">tape and </w:t>
      </w:r>
      <w:r w:rsidR="00483A48" w:rsidRPr="0086396D">
        <w:rPr>
          <w:rFonts w:ascii="Book Antiqua" w:hAnsi="Book Antiqua"/>
          <w:sz w:val="24"/>
          <w:szCs w:val="24"/>
        </w:rPr>
        <w:t>recorded to the nearest 0.1 cm.</w:t>
      </w:r>
      <w:r w:rsidR="00F80581" w:rsidRPr="0086396D">
        <w:rPr>
          <w:rFonts w:ascii="Book Antiqua" w:hAnsi="Book Antiqua"/>
          <w:sz w:val="24"/>
          <w:szCs w:val="24"/>
        </w:rPr>
        <w:t xml:space="preserve"> </w:t>
      </w:r>
      <w:r w:rsidR="003B5A65" w:rsidRPr="0086396D">
        <w:rPr>
          <w:rFonts w:ascii="Book Antiqua" w:hAnsi="Book Antiqua"/>
          <w:sz w:val="24"/>
          <w:szCs w:val="24"/>
        </w:rPr>
        <w:t>Waist to height ratio was calculated as the ratio of waist</w:t>
      </w:r>
      <w:r w:rsidR="002733C9" w:rsidRPr="0086396D">
        <w:rPr>
          <w:rFonts w:ascii="Book Antiqua" w:hAnsi="Book Antiqua"/>
          <w:sz w:val="24"/>
          <w:szCs w:val="24"/>
        </w:rPr>
        <w:t xml:space="preserve"> circumference</w:t>
      </w:r>
      <w:r w:rsidR="003B5A65" w:rsidRPr="0086396D">
        <w:rPr>
          <w:rFonts w:ascii="Book Antiqua" w:hAnsi="Book Antiqua"/>
          <w:sz w:val="24"/>
          <w:szCs w:val="24"/>
        </w:rPr>
        <w:t xml:space="preserve">/height. </w:t>
      </w:r>
      <w:r w:rsidR="00E61432" w:rsidRPr="0086396D">
        <w:rPr>
          <w:rFonts w:ascii="Book Antiqua" w:hAnsi="Book Antiqua"/>
          <w:sz w:val="24"/>
          <w:szCs w:val="24"/>
        </w:rPr>
        <w:t>Body composition (</w:t>
      </w:r>
      <w:r w:rsidR="00D17937" w:rsidRPr="00D17937">
        <w:rPr>
          <w:rFonts w:ascii="Book Antiqua" w:hAnsi="Book Antiqua"/>
          <w:i/>
          <w:sz w:val="24"/>
          <w:szCs w:val="24"/>
        </w:rPr>
        <w:t>i.e.,</w:t>
      </w:r>
      <w:r w:rsidR="00E61432" w:rsidRPr="0086396D">
        <w:rPr>
          <w:rFonts w:ascii="Book Antiqua" w:hAnsi="Book Antiqua"/>
          <w:sz w:val="24"/>
          <w:szCs w:val="24"/>
        </w:rPr>
        <w:t xml:space="preserve"> total fat mass and body fat percentage) was determined by air displacement plethysmography (BodPod) (COSMED Concord, CA, U</w:t>
      </w:r>
      <w:r w:rsidR="00A11E0B">
        <w:rPr>
          <w:rFonts w:ascii="Book Antiqua" w:hAnsi="Book Antiqua" w:hint="eastAsia"/>
          <w:sz w:val="24"/>
          <w:szCs w:val="24"/>
          <w:lang w:eastAsia="zh-CN"/>
        </w:rPr>
        <w:t>nited States</w:t>
      </w:r>
      <w:r w:rsidR="00E61432" w:rsidRPr="0086396D">
        <w:rPr>
          <w:rFonts w:ascii="Book Antiqua" w:hAnsi="Book Antiqua"/>
          <w:sz w:val="24"/>
          <w:szCs w:val="24"/>
        </w:rPr>
        <w:t>).</w:t>
      </w:r>
    </w:p>
    <w:p w14:paraId="276EF2FB" w14:textId="77777777" w:rsidR="00A11E0B" w:rsidRPr="0086396D" w:rsidRDefault="00A11E0B" w:rsidP="005C7D8E">
      <w:pPr>
        <w:adjustRightInd w:val="0"/>
        <w:snapToGrid w:val="0"/>
        <w:spacing w:after="0" w:line="360" w:lineRule="auto"/>
        <w:jc w:val="both"/>
        <w:rPr>
          <w:rFonts w:ascii="Book Antiqua" w:hAnsi="Book Antiqua"/>
          <w:sz w:val="24"/>
          <w:szCs w:val="24"/>
          <w:lang w:eastAsia="zh-CN"/>
        </w:rPr>
      </w:pPr>
    </w:p>
    <w:p w14:paraId="63EA7658" w14:textId="655CF9D3" w:rsidR="00A11E0B" w:rsidRPr="00A11E0B" w:rsidRDefault="00042AB3" w:rsidP="005C7D8E">
      <w:pPr>
        <w:adjustRightInd w:val="0"/>
        <w:snapToGrid w:val="0"/>
        <w:spacing w:after="0" w:line="360" w:lineRule="auto"/>
        <w:jc w:val="both"/>
        <w:rPr>
          <w:rFonts w:ascii="Book Antiqua" w:hAnsi="Book Antiqua"/>
          <w:b/>
          <w:i/>
          <w:sz w:val="24"/>
          <w:szCs w:val="24"/>
          <w:lang w:eastAsia="zh-CN"/>
        </w:rPr>
      </w:pPr>
      <w:r w:rsidRPr="00A11E0B">
        <w:rPr>
          <w:rFonts w:ascii="Book Antiqua" w:hAnsi="Book Antiqua"/>
          <w:b/>
          <w:i/>
          <w:sz w:val="24"/>
          <w:szCs w:val="24"/>
        </w:rPr>
        <w:t>Sample</w:t>
      </w:r>
      <w:r w:rsidR="00A11E0B" w:rsidRPr="00A11E0B">
        <w:rPr>
          <w:rFonts w:ascii="Book Antiqua" w:hAnsi="Book Antiqua"/>
          <w:b/>
          <w:i/>
          <w:sz w:val="24"/>
          <w:szCs w:val="24"/>
        </w:rPr>
        <w:t xml:space="preserve"> collection and analysis</w:t>
      </w:r>
    </w:p>
    <w:p w14:paraId="495F4944" w14:textId="34CB06E7" w:rsidR="00584E84" w:rsidRDefault="00773287" w:rsidP="005C7D8E">
      <w:pPr>
        <w:adjustRightInd w:val="0"/>
        <w:snapToGrid w:val="0"/>
        <w:spacing w:after="0" w:line="360" w:lineRule="auto"/>
        <w:jc w:val="both"/>
        <w:rPr>
          <w:rFonts w:ascii="Book Antiqua" w:hAnsi="Book Antiqua"/>
          <w:sz w:val="24"/>
          <w:szCs w:val="24"/>
          <w:lang w:val="en-CA" w:eastAsia="zh-CN"/>
        </w:rPr>
      </w:pPr>
      <w:r w:rsidRPr="0086396D">
        <w:rPr>
          <w:rFonts w:ascii="Book Antiqua" w:hAnsi="Book Antiqua"/>
          <w:sz w:val="24"/>
          <w:szCs w:val="24"/>
        </w:rPr>
        <w:t xml:space="preserve">Subjects were provided appropriate </w:t>
      </w:r>
      <w:r w:rsidR="00F945DD" w:rsidRPr="0086396D">
        <w:rPr>
          <w:rFonts w:ascii="Book Antiqua" w:hAnsi="Book Antiqua"/>
          <w:sz w:val="24"/>
          <w:szCs w:val="24"/>
        </w:rPr>
        <w:t>materials</w:t>
      </w:r>
      <w:r w:rsidRPr="0086396D">
        <w:rPr>
          <w:rFonts w:ascii="Book Antiqua" w:hAnsi="Book Antiqua"/>
          <w:sz w:val="24"/>
          <w:szCs w:val="24"/>
        </w:rPr>
        <w:t xml:space="preserve"> </w:t>
      </w:r>
      <w:r w:rsidR="00AC7929" w:rsidRPr="0086396D">
        <w:rPr>
          <w:rFonts w:ascii="Book Antiqua" w:hAnsi="Book Antiqua"/>
          <w:sz w:val="24"/>
          <w:szCs w:val="24"/>
        </w:rPr>
        <w:t xml:space="preserve">and instructions </w:t>
      </w:r>
      <w:r w:rsidRPr="0086396D">
        <w:rPr>
          <w:rFonts w:ascii="Book Antiqua" w:hAnsi="Book Antiqua"/>
          <w:sz w:val="24"/>
          <w:szCs w:val="24"/>
        </w:rPr>
        <w:t xml:space="preserve">to collect morning </w:t>
      </w:r>
      <w:r w:rsidR="00AC7929" w:rsidRPr="0086396D">
        <w:rPr>
          <w:rFonts w:ascii="Book Antiqua" w:hAnsi="Book Antiqua"/>
          <w:sz w:val="24"/>
          <w:szCs w:val="24"/>
        </w:rPr>
        <w:t xml:space="preserve">urine and stool </w:t>
      </w:r>
      <w:r w:rsidR="0041609F" w:rsidRPr="0086396D">
        <w:rPr>
          <w:rFonts w:ascii="Book Antiqua" w:hAnsi="Book Antiqua"/>
          <w:sz w:val="24"/>
          <w:szCs w:val="24"/>
        </w:rPr>
        <w:t>samples</w:t>
      </w:r>
      <w:r w:rsidRPr="0086396D">
        <w:rPr>
          <w:rFonts w:ascii="Book Antiqua" w:hAnsi="Book Antiqua"/>
          <w:sz w:val="24"/>
          <w:szCs w:val="24"/>
        </w:rPr>
        <w:t>. In addition, fasting blood sample</w:t>
      </w:r>
      <w:r w:rsidR="00F945DD" w:rsidRPr="0086396D">
        <w:rPr>
          <w:rFonts w:ascii="Book Antiqua" w:hAnsi="Book Antiqua"/>
          <w:sz w:val="24"/>
          <w:szCs w:val="24"/>
        </w:rPr>
        <w:t>s were</w:t>
      </w:r>
      <w:r w:rsidRPr="0086396D">
        <w:rPr>
          <w:rFonts w:ascii="Book Antiqua" w:hAnsi="Book Antiqua"/>
          <w:sz w:val="24"/>
          <w:szCs w:val="24"/>
        </w:rPr>
        <w:t xml:space="preserve"> collected from each participant at baseline. </w:t>
      </w:r>
      <w:r w:rsidR="00584E84" w:rsidRPr="0086396D">
        <w:rPr>
          <w:rFonts w:ascii="Book Antiqua" w:hAnsi="Book Antiqua"/>
          <w:sz w:val="24"/>
          <w:szCs w:val="24"/>
        </w:rPr>
        <w:t>Urine and serum samples were assayed using a combined direct infusion (DI-)/liquid chromatography (LC-) tandem mass spectrometry (MS/MS) (AbsolutIDQ p180 kit, Biocrates Life Sciences AG, Innsbruck, Austria) and nuclear magnetic resolution (NMR) spectroscopy</w:t>
      </w:r>
      <w:r w:rsidR="00653D1D" w:rsidRPr="0086396D">
        <w:rPr>
          <w:rFonts w:ascii="Book Antiqua" w:hAnsi="Book Antiqua"/>
          <w:sz w:val="24"/>
          <w:szCs w:val="24"/>
        </w:rPr>
        <w:t>,</w:t>
      </w:r>
      <w:r w:rsidR="00584E84" w:rsidRPr="0086396D">
        <w:rPr>
          <w:rFonts w:ascii="Book Antiqua" w:hAnsi="Book Antiqua"/>
          <w:sz w:val="24"/>
          <w:szCs w:val="24"/>
        </w:rPr>
        <w:t xml:space="preserve"> using the previously described protocol</w:t>
      </w:r>
      <w:r w:rsidR="00992F96" w:rsidRPr="00992F96">
        <w:rPr>
          <w:rFonts w:ascii="Book Antiqua" w:hAnsi="Book Antiqua"/>
          <w:sz w:val="24"/>
          <w:szCs w:val="24"/>
          <w:vertAlign w:val="superscript"/>
        </w:rPr>
        <w:t>[</w:t>
      </w:r>
      <w:r w:rsidR="00584E84" w:rsidRPr="0086396D">
        <w:rPr>
          <w:rFonts w:ascii="Book Antiqua" w:hAnsi="Book Antiqua"/>
          <w:sz w:val="24"/>
          <w:szCs w:val="24"/>
          <w:vertAlign w:val="superscript"/>
        </w:rPr>
        <w:t>20</w:t>
      </w:r>
      <w:r w:rsidR="002B6AAF" w:rsidRPr="0086396D">
        <w:rPr>
          <w:rFonts w:ascii="Book Antiqua" w:hAnsi="Book Antiqua"/>
          <w:sz w:val="24"/>
          <w:szCs w:val="24"/>
          <w:vertAlign w:val="superscript"/>
        </w:rPr>
        <w:t>]</w:t>
      </w:r>
      <w:r w:rsidR="00584E84" w:rsidRPr="0086396D">
        <w:rPr>
          <w:rFonts w:ascii="Book Antiqua" w:hAnsi="Book Antiqua"/>
          <w:sz w:val="24"/>
          <w:szCs w:val="24"/>
        </w:rPr>
        <w:t xml:space="preserve"> in order to identify and quantify metabolites. All metabolomic assays were performed at the Metabolomics Innovation Centre (Edmonton, Canada). </w:t>
      </w:r>
      <w:r w:rsidR="008C4A66" w:rsidRPr="0086396D">
        <w:rPr>
          <w:rFonts w:ascii="Book Antiqua" w:hAnsi="Book Antiqua"/>
          <w:sz w:val="24"/>
          <w:szCs w:val="24"/>
          <w:lang w:val="en-CA"/>
        </w:rPr>
        <w:t>Fecal calprotectin (FCP)</w:t>
      </w:r>
      <w:r w:rsidR="00584E84" w:rsidRPr="0086396D">
        <w:rPr>
          <w:rFonts w:ascii="Book Antiqua" w:hAnsi="Book Antiqua"/>
          <w:sz w:val="24"/>
          <w:szCs w:val="24"/>
          <w:lang w:val="en-CA"/>
        </w:rPr>
        <w:t xml:space="preserve"> was measured </w:t>
      </w:r>
      <w:r w:rsidR="00653D1D" w:rsidRPr="0086396D">
        <w:rPr>
          <w:rFonts w:ascii="Book Antiqua" w:hAnsi="Book Antiqua"/>
          <w:sz w:val="24"/>
          <w:szCs w:val="24"/>
          <w:lang w:val="en-CA"/>
        </w:rPr>
        <w:t xml:space="preserve">in stool samples </w:t>
      </w:r>
      <w:r w:rsidR="00584E84" w:rsidRPr="0086396D">
        <w:rPr>
          <w:rFonts w:ascii="Book Antiqua" w:hAnsi="Book Antiqua"/>
          <w:sz w:val="24"/>
          <w:szCs w:val="24"/>
          <w:lang w:val="en-CA"/>
        </w:rPr>
        <w:t xml:space="preserve">using an enzyme-linked immunosorbent assay with monoclonal antibodies specific to calprotectin (Bühlmann Laboratories AG, Basel, </w:t>
      </w:r>
      <w:r w:rsidR="00584E84" w:rsidRPr="0086396D">
        <w:rPr>
          <w:rFonts w:ascii="Book Antiqua" w:hAnsi="Book Antiqua"/>
          <w:sz w:val="24"/>
          <w:szCs w:val="24"/>
          <w:lang w:val="en-CA"/>
        </w:rPr>
        <w:lastRenderedPageBreak/>
        <w:t>Switzerland). FC</w:t>
      </w:r>
      <w:r w:rsidR="00306CA1" w:rsidRPr="0086396D">
        <w:rPr>
          <w:rFonts w:ascii="Book Antiqua" w:hAnsi="Book Antiqua"/>
          <w:sz w:val="24"/>
          <w:szCs w:val="24"/>
          <w:lang w:val="en-CA"/>
        </w:rPr>
        <w:t>P</w:t>
      </w:r>
      <w:r w:rsidR="00584E84" w:rsidRPr="0086396D">
        <w:rPr>
          <w:rFonts w:ascii="Book Antiqua" w:hAnsi="Book Antiqua"/>
          <w:sz w:val="24"/>
          <w:szCs w:val="24"/>
          <w:lang w:val="en-CA"/>
        </w:rPr>
        <w:t xml:space="preserve"> level</w:t>
      </w:r>
      <w:r w:rsidR="00653D1D" w:rsidRPr="0086396D">
        <w:rPr>
          <w:rFonts w:ascii="Book Antiqua" w:hAnsi="Book Antiqua"/>
          <w:sz w:val="24"/>
          <w:szCs w:val="24"/>
          <w:lang w:val="en-CA"/>
        </w:rPr>
        <w:t>s</w:t>
      </w:r>
      <w:r w:rsidR="00584E84" w:rsidRPr="0086396D">
        <w:rPr>
          <w:rFonts w:ascii="Book Antiqua" w:hAnsi="Book Antiqua"/>
          <w:sz w:val="24"/>
          <w:szCs w:val="24"/>
          <w:lang w:val="en-CA"/>
        </w:rPr>
        <w:t xml:space="preserve"> above 150 </w:t>
      </w:r>
      <w:r w:rsidR="00584E84" w:rsidRPr="0086396D">
        <w:rPr>
          <w:rFonts w:ascii="Book Antiqua" w:hAnsi="Book Antiqua"/>
          <w:sz w:val="24"/>
          <w:szCs w:val="24"/>
        </w:rPr>
        <w:t>μg/g</w:t>
      </w:r>
      <w:r w:rsidR="0016600E" w:rsidRPr="0086396D">
        <w:rPr>
          <w:rFonts w:ascii="Book Antiqua" w:hAnsi="Book Antiqua"/>
          <w:sz w:val="24"/>
          <w:szCs w:val="24"/>
        </w:rPr>
        <w:t xml:space="preserve"> stool</w:t>
      </w:r>
      <w:r w:rsidR="00584E84" w:rsidRPr="0086396D">
        <w:rPr>
          <w:rFonts w:ascii="Book Antiqua" w:hAnsi="Book Antiqua"/>
          <w:sz w:val="24"/>
          <w:szCs w:val="24"/>
          <w:lang w:val="en-CA"/>
        </w:rPr>
        <w:t xml:space="preserve"> w</w:t>
      </w:r>
      <w:r w:rsidR="00653D1D" w:rsidRPr="0086396D">
        <w:rPr>
          <w:rFonts w:ascii="Book Antiqua" w:hAnsi="Book Antiqua"/>
          <w:sz w:val="24"/>
          <w:szCs w:val="24"/>
          <w:lang w:val="en-CA"/>
        </w:rPr>
        <w:t>ere</w:t>
      </w:r>
      <w:r w:rsidR="00584E84" w:rsidRPr="0086396D">
        <w:rPr>
          <w:rFonts w:ascii="Book Antiqua" w:hAnsi="Book Antiqua"/>
          <w:sz w:val="24"/>
          <w:szCs w:val="24"/>
          <w:lang w:val="en-CA"/>
        </w:rPr>
        <w:t xml:space="preserve"> used to define “high FC</w:t>
      </w:r>
      <w:r w:rsidR="00306CA1" w:rsidRPr="0086396D">
        <w:rPr>
          <w:rFonts w:ascii="Book Antiqua" w:hAnsi="Book Antiqua"/>
          <w:sz w:val="24"/>
          <w:szCs w:val="24"/>
          <w:lang w:val="en-CA"/>
        </w:rPr>
        <w:t>P</w:t>
      </w:r>
      <w:r w:rsidR="00584E84" w:rsidRPr="0086396D">
        <w:rPr>
          <w:rFonts w:ascii="Book Antiqua" w:hAnsi="Book Antiqua"/>
          <w:sz w:val="24"/>
          <w:szCs w:val="24"/>
          <w:lang w:val="en-CA"/>
        </w:rPr>
        <w:t xml:space="preserve">” </w:t>
      </w:r>
      <w:r w:rsidR="003C0A12" w:rsidRPr="0086396D">
        <w:rPr>
          <w:rFonts w:ascii="Book Antiqua" w:hAnsi="Book Antiqua"/>
          <w:sz w:val="24"/>
          <w:szCs w:val="24"/>
          <w:lang w:val="en-CA"/>
        </w:rPr>
        <w:t>due to its association with increased risk of UC relapse</w:t>
      </w:r>
      <w:r w:rsidR="00992F96" w:rsidRPr="00992F96">
        <w:rPr>
          <w:rFonts w:ascii="Book Antiqua" w:hAnsi="Book Antiqua"/>
          <w:sz w:val="24"/>
          <w:szCs w:val="24"/>
          <w:vertAlign w:val="superscript"/>
          <w:lang w:val="en-CA"/>
        </w:rPr>
        <w:t>[</w:t>
      </w:r>
      <w:r w:rsidR="00584E84" w:rsidRPr="0086396D">
        <w:rPr>
          <w:rFonts w:ascii="Book Antiqua" w:hAnsi="Book Antiqua"/>
          <w:sz w:val="24"/>
          <w:szCs w:val="24"/>
          <w:vertAlign w:val="superscript"/>
          <w:lang w:val="en-CA"/>
        </w:rPr>
        <w:t>21</w:t>
      </w:r>
      <w:r w:rsidR="002B6AAF" w:rsidRPr="0086396D">
        <w:rPr>
          <w:rFonts w:ascii="Book Antiqua" w:hAnsi="Book Antiqua"/>
          <w:sz w:val="24"/>
          <w:szCs w:val="24"/>
          <w:vertAlign w:val="superscript"/>
          <w:lang w:val="en-CA"/>
        </w:rPr>
        <w:t>]</w:t>
      </w:r>
      <w:r w:rsidR="00584E84" w:rsidRPr="0086396D">
        <w:rPr>
          <w:rFonts w:ascii="Book Antiqua" w:hAnsi="Book Antiqua"/>
          <w:sz w:val="24"/>
          <w:szCs w:val="24"/>
          <w:lang w:val="en-CA"/>
        </w:rPr>
        <w:t xml:space="preserve">. </w:t>
      </w:r>
    </w:p>
    <w:p w14:paraId="460B255D" w14:textId="77777777" w:rsidR="00A11E0B" w:rsidRPr="0086396D" w:rsidRDefault="00A11E0B" w:rsidP="005C7D8E">
      <w:pPr>
        <w:adjustRightInd w:val="0"/>
        <w:snapToGrid w:val="0"/>
        <w:spacing w:after="0" w:line="360" w:lineRule="auto"/>
        <w:jc w:val="both"/>
        <w:rPr>
          <w:rFonts w:ascii="Book Antiqua" w:hAnsi="Book Antiqua"/>
          <w:sz w:val="24"/>
          <w:szCs w:val="24"/>
          <w:lang w:eastAsia="zh-CN"/>
        </w:rPr>
      </w:pPr>
    </w:p>
    <w:p w14:paraId="192A5B90" w14:textId="7849E60B" w:rsidR="00A11E0B" w:rsidRPr="00A11E0B" w:rsidRDefault="00042AB3" w:rsidP="005C7D8E">
      <w:pPr>
        <w:adjustRightInd w:val="0"/>
        <w:snapToGrid w:val="0"/>
        <w:spacing w:after="0" w:line="360" w:lineRule="auto"/>
        <w:jc w:val="both"/>
        <w:rPr>
          <w:rFonts w:ascii="Book Antiqua" w:hAnsi="Book Antiqua"/>
          <w:b/>
          <w:i/>
          <w:sz w:val="24"/>
          <w:szCs w:val="24"/>
          <w:lang w:eastAsia="zh-CN"/>
        </w:rPr>
      </w:pPr>
      <w:r w:rsidRPr="00A11E0B">
        <w:rPr>
          <w:rFonts w:ascii="Book Antiqua" w:hAnsi="Book Antiqua"/>
          <w:b/>
          <w:i/>
          <w:sz w:val="24"/>
          <w:szCs w:val="24"/>
        </w:rPr>
        <w:t xml:space="preserve">Metabolomic </w:t>
      </w:r>
      <w:r w:rsidR="00A11E0B" w:rsidRPr="00A11E0B">
        <w:rPr>
          <w:rFonts w:ascii="Book Antiqua" w:hAnsi="Book Antiqua"/>
          <w:b/>
          <w:i/>
          <w:sz w:val="24"/>
          <w:szCs w:val="24"/>
        </w:rPr>
        <w:t>a</w:t>
      </w:r>
      <w:r w:rsidRPr="00A11E0B">
        <w:rPr>
          <w:rFonts w:ascii="Book Antiqua" w:hAnsi="Book Antiqua"/>
          <w:b/>
          <w:i/>
          <w:sz w:val="24"/>
          <w:szCs w:val="24"/>
        </w:rPr>
        <w:t>nalysis</w:t>
      </w:r>
    </w:p>
    <w:p w14:paraId="2B6A83F3" w14:textId="1B0CB86D" w:rsidR="00042AB3" w:rsidRDefault="00042AB3"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For the metabolomic analysis, concentrations of urinary metabolites (μmol/L) were normalized </w:t>
      </w:r>
      <w:r w:rsidR="00010DFF" w:rsidRPr="0086396D">
        <w:rPr>
          <w:rFonts w:ascii="Book Antiqua" w:hAnsi="Book Antiqua"/>
          <w:sz w:val="24"/>
          <w:szCs w:val="24"/>
        </w:rPr>
        <w:t>by</w:t>
      </w:r>
      <w:r w:rsidRPr="0086396D">
        <w:rPr>
          <w:rFonts w:ascii="Book Antiqua" w:hAnsi="Book Antiqua"/>
          <w:sz w:val="24"/>
          <w:szCs w:val="24"/>
        </w:rPr>
        <w:t xml:space="preserve"> creatin</w:t>
      </w:r>
      <w:r w:rsidR="00010DFF" w:rsidRPr="0086396D">
        <w:rPr>
          <w:rFonts w:ascii="Book Antiqua" w:hAnsi="Book Antiqua"/>
          <w:sz w:val="24"/>
          <w:szCs w:val="24"/>
        </w:rPr>
        <w:t>in</w:t>
      </w:r>
      <w:r w:rsidRPr="0086396D">
        <w:rPr>
          <w:rFonts w:ascii="Book Antiqua" w:hAnsi="Book Antiqua"/>
          <w:sz w:val="24"/>
          <w:szCs w:val="24"/>
        </w:rPr>
        <w:t xml:space="preserve">e (mmol/L) and reported as </w:t>
      </w:r>
      <w:r w:rsidR="00AC7929" w:rsidRPr="0086396D">
        <w:rPr>
          <w:rFonts w:ascii="Book Antiqua" w:hAnsi="Book Antiqua"/>
          <w:sz w:val="24"/>
          <w:szCs w:val="24"/>
        </w:rPr>
        <w:t xml:space="preserve">a </w:t>
      </w:r>
      <w:r w:rsidRPr="0086396D">
        <w:rPr>
          <w:rFonts w:ascii="Book Antiqua" w:hAnsi="Book Antiqua"/>
          <w:sz w:val="24"/>
          <w:szCs w:val="24"/>
        </w:rPr>
        <w:t xml:space="preserve">ratio (μmol/mmol). </w:t>
      </w:r>
      <w:r w:rsidR="0041609F" w:rsidRPr="0086396D">
        <w:rPr>
          <w:rFonts w:ascii="Book Antiqua" w:hAnsi="Book Antiqua"/>
          <w:sz w:val="24"/>
          <w:szCs w:val="24"/>
        </w:rPr>
        <w:t>Concentrations</w:t>
      </w:r>
      <w:r w:rsidRPr="0086396D">
        <w:rPr>
          <w:rFonts w:ascii="Book Antiqua" w:hAnsi="Book Antiqua"/>
          <w:sz w:val="24"/>
          <w:szCs w:val="24"/>
        </w:rPr>
        <w:t xml:space="preserve"> of identified metabolites were normalized using logarithmic transformation and pareto scaling. Metabolites with a p-value less than 0.1 </w:t>
      </w:r>
      <w:r w:rsidR="00AC7929" w:rsidRPr="0086396D">
        <w:rPr>
          <w:rFonts w:ascii="Book Antiqua" w:hAnsi="Book Antiqua"/>
          <w:sz w:val="24"/>
          <w:szCs w:val="24"/>
        </w:rPr>
        <w:t xml:space="preserve">in the </w:t>
      </w:r>
      <w:r w:rsidRPr="0086396D">
        <w:rPr>
          <w:rFonts w:ascii="Book Antiqua" w:hAnsi="Book Antiqua"/>
          <w:sz w:val="24"/>
          <w:szCs w:val="24"/>
        </w:rPr>
        <w:t>u univariate analys</w:t>
      </w:r>
      <w:r w:rsidR="00AC7929" w:rsidRPr="0086396D">
        <w:rPr>
          <w:rFonts w:ascii="Book Antiqua" w:hAnsi="Book Antiqua"/>
          <w:sz w:val="24"/>
          <w:szCs w:val="24"/>
        </w:rPr>
        <w:t>es</w:t>
      </w:r>
      <w:r w:rsidRPr="0086396D">
        <w:rPr>
          <w:rFonts w:ascii="Book Antiqua" w:hAnsi="Book Antiqua"/>
          <w:sz w:val="24"/>
          <w:szCs w:val="24"/>
        </w:rPr>
        <w:t>) were selected for generating the logistic regression model. Multivariate statistical analysis was performed using partial least squares discriminant analysis (PLS-DA). A 10-fold cross-validation technique was used to ensure that the logistic regression models were robust. Permutation analysis using random resampling (</w:t>
      </w:r>
      <w:r w:rsidR="00D17937" w:rsidRPr="00D17937">
        <w:rPr>
          <w:rFonts w:ascii="Book Antiqua" w:hAnsi="Book Antiqua"/>
          <w:i/>
          <w:sz w:val="24"/>
          <w:szCs w:val="24"/>
        </w:rPr>
        <w:t xml:space="preserve">n = </w:t>
      </w:r>
      <w:r w:rsidRPr="0086396D">
        <w:rPr>
          <w:rFonts w:ascii="Book Antiqua" w:hAnsi="Book Antiqua"/>
          <w:sz w:val="24"/>
          <w:szCs w:val="24"/>
        </w:rPr>
        <w:t xml:space="preserve">2000) of the two groups </w:t>
      </w:r>
      <w:r w:rsidRPr="0086396D">
        <w:rPr>
          <w:rFonts w:ascii="Book Antiqua" w:hAnsi="Book Antiqua"/>
          <w:sz w:val="24"/>
          <w:szCs w:val="24"/>
          <w:lang w:val="en-CA"/>
        </w:rPr>
        <w:t>of</w:t>
      </w:r>
      <w:r w:rsidRPr="0086396D">
        <w:rPr>
          <w:rFonts w:ascii="Book Antiqua" w:hAnsi="Book Antiqua"/>
          <w:sz w:val="24"/>
          <w:szCs w:val="24"/>
        </w:rPr>
        <w:t xml:space="preserve"> </w:t>
      </w:r>
      <w:r w:rsidRPr="0086396D">
        <w:rPr>
          <w:rFonts w:ascii="Book Antiqua" w:hAnsi="Book Antiqua"/>
          <w:sz w:val="24"/>
          <w:szCs w:val="24"/>
          <w:lang w:val="en-CA"/>
        </w:rPr>
        <w:t>patients</w:t>
      </w:r>
      <w:r w:rsidRPr="0086396D">
        <w:rPr>
          <w:rFonts w:ascii="Book Antiqua" w:hAnsi="Book Antiqua"/>
          <w:sz w:val="24"/>
          <w:szCs w:val="24"/>
        </w:rPr>
        <w:t xml:space="preserve"> (</w:t>
      </w:r>
      <w:r w:rsidR="00D17937" w:rsidRPr="00D17937">
        <w:rPr>
          <w:rFonts w:ascii="Book Antiqua" w:hAnsi="Book Antiqua"/>
          <w:i/>
          <w:sz w:val="24"/>
          <w:szCs w:val="24"/>
          <w:lang w:val="en-CA"/>
        </w:rPr>
        <w:t>i.e.,</w:t>
      </w:r>
      <w:r w:rsidRPr="0086396D">
        <w:rPr>
          <w:rFonts w:ascii="Book Antiqua" w:hAnsi="Book Antiqua"/>
          <w:sz w:val="24"/>
          <w:szCs w:val="24"/>
        </w:rPr>
        <w:t xml:space="preserve"> clinical </w:t>
      </w:r>
      <w:r w:rsidRPr="0086396D">
        <w:rPr>
          <w:rFonts w:ascii="Book Antiqua" w:hAnsi="Book Antiqua"/>
          <w:sz w:val="24"/>
          <w:szCs w:val="24"/>
          <w:lang w:val="en-CA"/>
        </w:rPr>
        <w:t>relapse</w:t>
      </w:r>
      <w:r w:rsidRPr="0086396D">
        <w:rPr>
          <w:rFonts w:ascii="Book Antiqua" w:hAnsi="Book Antiqua"/>
          <w:sz w:val="24"/>
          <w:szCs w:val="24"/>
        </w:rPr>
        <w:t xml:space="preserve"> </w:t>
      </w:r>
      <w:r w:rsidRPr="0086396D">
        <w:rPr>
          <w:rFonts w:ascii="Book Antiqua" w:hAnsi="Book Antiqua"/>
          <w:sz w:val="24"/>
          <w:szCs w:val="24"/>
          <w:lang w:val="en-CA"/>
        </w:rPr>
        <w:t>versus</w:t>
      </w:r>
      <w:r w:rsidRPr="0086396D">
        <w:rPr>
          <w:rFonts w:ascii="Book Antiqua" w:hAnsi="Book Antiqua"/>
          <w:sz w:val="24"/>
          <w:szCs w:val="24"/>
        </w:rPr>
        <w:t xml:space="preserve"> </w:t>
      </w:r>
      <w:r w:rsidRPr="0086396D">
        <w:rPr>
          <w:rFonts w:ascii="Book Antiqua" w:hAnsi="Book Antiqua"/>
          <w:sz w:val="24"/>
          <w:szCs w:val="24"/>
          <w:lang w:val="en-CA"/>
        </w:rPr>
        <w:t>remission</w:t>
      </w:r>
      <w:r w:rsidRPr="0086396D">
        <w:rPr>
          <w:rFonts w:ascii="Book Antiqua" w:hAnsi="Book Antiqua"/>
          <w:sz w:val="24"/>
          <w:szCs w:val="24"/>
        </w:rPr>
        <w:t>) was conducted to determine the probability that the observed separation was a result of chance or not</w:t>
      </w:r>
      <w:r w:rsidR="0016600E" w:rsidRPr="0086396D">
        <w:rPr>
          <w:rFonts w:ascii="Book Antiqua" w:hAnsi="Book Antiqua"/>
          <w:sz w:val="24"/>
          <w:szCs w:val="24"/>
        </w:rPr>
        <w:t>,</w:t>
      </w:r>
      <w:r w:rsidRPr="0086396D">
        <w:rPr>
          <w:rFonts w:ascii="Book Antiqua" w:hAnsi="Book Antiqua"/>
          <w:sz w:val="24"/>
          <w:szCs w:val="24"/>
        </w:rPr>
        <w:t xml:space="preserve"> and a p-value that represents the probability of a random finding was generated. To identify the major metabolites that were responsible for the discrimination between patients with clinical relapse and patients in clinical remission variable importance in projection (VIP) values</w:t>
      </w:r>
      <w:r w:rsidR="00F945DD" w:rsidRPr="0086396D">
        <w:rPr>
          <w:rFonts w:ascii="Book Antiqua" w:hAnsi="Book Antiqua"/>
          <w:sz w:val="24"/>
          <w:szCs w:val="24"/>
        </w:rPr>
        <w:t xml:space="preserve"> were used</w:t>
      </w:r>
      <w:r w:rsidRPr="0086396D">
        <w:rPr>
          <w:rFonts w:ascii="Book Antiqua" w:hAnsi="Book Antiqua"/>
          <w:sz w:val="24"/>
          <w:szCs w:val="24"/>
        </w:rPr>
        <w:t>. The VIP value indicates the contribution of each feature to the regression model. MetaboAnalyst 3.0</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22</w:t>
      </w:r>
      <w:r w:rsidR="002B6AAF" w:rsidRPr="0086396D">
        <w:rPr>
          <w:rFonts w:ascii="Book Antiqua" w:hAnsi="Book Antiqua"/>
          <w:sz w:val="24"/>
          <w:szCs w:val="24"/>
          <w:vertAlign w:val="superscript"/>
        </w:rPr>
        <w:t>]</w:t>
      </w:r>
      <w:r w:rsidRPr="0086396D">
        <w:rPr>
          <w:rFonts w:ascii="Book Antiqua" w:hAnsi="Book Antiqua"/>
          <w:sz w:val="24"/>
          <w:szCs w:val="24"/>
        </w:rPr>
        <w:t xml:space="preserve"> </w:t>
      </w:r>
      <w:r w:rsidR="00A913B6" w:rsidRPr="0086396D">
        <w:rPr>
          <w:rFonts w:ascii="Book Antiqua" w:hAnsi="Book Antiqua"/>
          <w:sz w:val="24"/>
          <w:szCs w:val="24"/>
        </w:rPr>
        <w:t xml:space="preserve">was used </w:t>
      </w:r>
      <w:r w:rsidRPr="0086396D">
        <w:rPr>
          <w:rFonts w:ascii="Book Antiqua" w:hAnsi="Book Antiqua"/>
          <w:sz w:val="24"/>
          <w:szCs w:val="24"/>
        </w:rPr>
        <w:t xml:space="preserve">for </w:t>
      </w:r>
      <w:r w:rsidR="00A913B6" w:rsidRPr="0086396D">
        <w:rPr>
          <w:rFonts w:ascii="Book Antiqua" w:hAnsi="Book Antiqua"/>
          <w:sz w:val="24"/>
          <w:szCs w:val="24"/>
        </w:rPr>
        <w:t xml:space="preserve">the </w:t>
      </w:r>
      <w:r w:rsidRPr="0086396D">
        <w:rPr>
          <w:rFonts w:ascii="Book Antiqua" w:hAnsi="Book Antiqua"/>
          <w:sz w:val="24"/>
          <w:szCs w:val="24"/>
        </w:rPr>
        <w:t>metabolomic statistical analysis.</w:t>
      </w:r>
      <w:r w:rsidR="0052634C" w:rsidRPr="0086396D">
        <w:rPr>
          <w:rFonts w:ascii="Book Antiqua" w:hAnsi="Book Antiqua"/>
          <w:sz w:val="24"/>
          <w:szCs w:val="24"/>
        </w:rPr>
        <w:t xml:space="preserve"> </w:t>
      </w:r>
    </w:p>
    <w:p w14:paraId="28187493" w14:textId="77777777" w:rsidR="00D17937" w:rsidRPr="0086396D" w:rsidRDefault="00D17937" w:rsidP="005C7D8E">
      <w:pPr>
        <w:adjustRightInd w:val="0"/>
        <w:snapToGrid w:val="0"/>
        <w:spacing w:after="0" w:line="360" w:lineRule="auto"/>
        <w:jc w:val="both"/>
        <w:rPr>
          <w:rFonts w:ascii="Book Antiqua" w:hAnsi="Book Antiqua"/>
          <w:sz w:val="24"/>
          <w:szCs w:val="24"/>
          <w:lang w:eastAsia="zh-CN"/>
        </w:rPr>
      </w:pPr>
    </w:p>
    <w:p w14:paraId="3F6E6F61" w14:textId="77777777" w:rsidR="00D17937" w:rsidRPr="00D17937" w:rsidRDefault="00F257D5" w:rsidP="005C7D8E">
      <w:pPr>
        <w:adjustRightInd w:val="0"/>
        <w:snapToGrid w:val="0"/>
        <w:spacing w:after="0" w:line="360" w:lineRule="auto"/>
        <w:jc w:val="both"/>
        <w:rPr>
          <w:rFonts w:ascii="Book Antiqua" w:hAnsi="Book Antiqua"/>
          <w:b/>
          <w:bCs/>
          <w:i/>
          <w:sz w:val="24"/>
          <w:szCs w:val="24"/>
          <w:lang w:val="en-CA" w:eastAsia="zh-CN"/>
        </w:rPr>
      </w:pPr>
      <w:r w:rsidRPr="00D17937">
        <w:rPr>
          <w:rFonts w:ascii="Book Antiqua" w:hAnsi="Book Antiqua"/>
          <w:b/>
          <w:bCs/>
          <w:i/>
          <w:sz w:val="24"/>
          <w:szCs w:val="24"/>
          <w:lang w:val="en-CA"/>
        </w:rPr>
        <w:t>Statistical analysis</w:t>
      </w:r>
    </w:p>
    <w:p w14:paraId="43F469C5" w14:textId="713B6FE6" w:rsidR="00F257D5" w:rsidRDefault="00F257D5"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Categorical and numerical variables are presented as percentage and median (interquartile range (IQR), respectively. Fisher's exact test and Mann-Whitney </w:t>
      </w:r>
      <w:r w:rsidRPr="00D17937">
        <w:rPr>
          <w:rFonts w:ascii="Book Antiqua" w:hAnsi="Book Antiqua"/>
          <w:i/>
          <w:sz w:val="24"/>
          <w:szCs w:val="24"/>
        </w:rPr>
        <w:t>U</w:t>
      </w:r>
      <w:r w:rsidRPr="0086396D">
        <w:rPr>
          <w:rFonts w:ascii="Book Antiqua" w:hAnsi="Book Antiqua"/>
          <w:sz w:val="24"/>
          <w:szCs w:val="24"/>
        </w:rPr>
        <w:t xml:space="preserve"> test were used to compare categorical and numerical variables between two groups of UC patients (</w:t>
      </w:r>
      <w:r w:rsidR="00D17937" w:rsidRPr="00D17937">
        <w:rPr>
          <w:rFonts w:ascii="Book Antiqua" w:hAnsi="Book Antiqua"/>
          <w:i/>
          <w:sz w:val="24"/>
          <w:szCs w:val="24"/>
        </w:rPr>
        <w:t>i.e.,</w:t>
      </w:r>
      <w:r w:rsidRPr="0086396D">
        <w:rPr>
          <w:rFonts w:ascii="Book Antiqua" w:hAnsi="Book Antiqua"/>
          <w:sz w:val="24"/>
          <w:szCs w:val="24"/>
        </w:rPr>
        <w:t xml:space="preserve"> </w:t>
      </w:r>
      <w:r w:rsidR="00EA3B31" w:rsidRPr="0086396D">
        <w:rPr>
          <w:rFonts w:ascii="Book Antiqua" w:hAnsi="Book Antiqua"/>
          <w:sz w:val="24"/>
          <w:szCs w:val="24"/>
        </w:rPr>
        <w:t xml:space="preserve">clinical </w:t>
      </w:r>
      <w:r w:rsidRPr="0086396D">
        <w:rPr>
          <w:rFonts w:ascii="Book Antiqua" w:hAnsi="Book Antiqua"/>
          <w:sz w:val="24"/>
          <w:szCs w:val="24"/>
        </w:rPr>
        <w:t xml:space="preserve">relapse </w:t>
      </w:r>
      <w:r w:rsidR="004730E4" w:rsidRPr="0086396D">
        <w:rPr>
          <w:rFonts w:ascii="Book Antiqua" w:hAnsi="Book Antiqua"/>
          <w:sz w:val="24"/>
          <w:szCs w:val="24"/>
        </w:rPr>
        <w:t xml:space="preserve">versus </w:t>
      </w:r>
      <w:r w:rsidRPr="0086396D">
        <w:rPr>
          <w:rFonts w:ascii="Book Antiqua" w:hAnsi="Book Antiqua"/>
          <w:sz w:val="24"/>
          <w:szCs w:val="24"/>
        </w:rPr>
        <w:t xml:space="preserve">remission), respectively. </w:t>
      </w:r>
      <w:r w:rsidR="00201C53" w:rsidRPr="0086396D">
        <w:rPr>
          <w:rFonts w:ascii="Book Antiqua" w:hAnsi="Book Antiqua"/>
          <w:sz w:val="24"/>
          <w:szCs w:val="24"/>
        </w:rPr>
        <w:t>To test the relationship between overweight/obesity and disease relapse</w:t>
      </w:r>
      <w:r w:rsidR="00542E9D" w:rsidRPr="0086396D">
        <w:rPr>
          <w:rFonts w:ascii="Book Antiqua" w:hAnsi="Book Antiqua"/>
          <w:sz w:val="24"/>
          <w:szCs w:val="24"/>
        </w:rPr>
        <w:t>,</w:t>
      </w:r>
      <w:r w:rsidR="00201C53" w:rsidRPr="0086396D">
        <w:rPr>
          <w:rFonts w:ascii="Book Antiqua" w:hAnsi="Book Antiqua"/>
          <w:sz w:val="24"/>
          <w:szCs w:val="24"/>
        </w:rPr>
        <w:t xml:space="preserve"> we used binary logistic regression analysis after adjusting for age and gender. </w:t>
      </w:r>
      <w:r w:rsidR="0061368E" w:rsidRPr="0086396D">
        <w:rPr>
          <w:rFonts w:ascii="Book Antiqua" w:hAnsi="Book Antiqua"/>
          <w:sz w:val="24"/>
          <w:szCs w:val="24"/>
        </w:rPr>
        <w:t>A receiver operating characteristic (ROC) curve was constructed in order to calculate the accuracy of FC</w:t>
      </w:r>
      <w:r w:rsidR="00306CA1" w:rsidRPr="0086396D">
        <w:rPr>
          <w:rFonts w:ascii="Book Antiqua" w:hAnsi="Book Antiqua"/>
          <w:sz w:val="24"/>
          <w:szCs w:val="24"/>
        </w:rPr>
        <w:t>P</w:t>
      </w:r>
      <w:r w:rsidR="0061368E" w:rsidRPr="0086396D">
        <w:rPr>
          <w:rFonts w:ascii="Book Antiqua" w:hAnsi="Book Antiqua"/>
          <w:sz w:val="24"/>
          <w:szCs w:val="24"/>
        </w:rPr>
        <w:t xml:space="preserve"> in predicting UC </w:t>
      </w:r>
      <w:r w:rsidR="0061368E" w:rsidRPr="0086396D">
        <w:rPr>
          <w:rFonts w:ascii="Book Antiqua" w:hAnsi="Book Antiqua"/>
          <w:sz w:val="24"/>
          <w:szCs w:val="24"/>
        </w:rPr>
        <w:lastRenderedPageBreak/>
        <w:t xml:space="preserve">patients who developed a </w:t>
      </w:r>
      <w:r w:rsidR="00653D1D" w:rsidRPr="0086396D">
        <w:rPr>
          <w:rFonts w:ascii="Book Antiqua" w:hAnsi="Book Antiqua"/>
          <w:sz w:val="24"/>
          <w:szCs w:val="24"/>
        </w:rPr>
        <w:t xml:space="preserve">clinical </w:t>
      </w:r>
      <w:r w:rsidR="0061368E" w:rsidRPr="0086396D">
        <w:rPr>
          <w:rFonts w:ascii="Book Antiqua" w:hAnsi="Book Antiqua"/>
          <w:sz w:val="24"/>
          <w:szCs w:val="24"/>
        </w:rPr>
        <w:t xml:space="preserve">relapse </w:t>
      </w:r>
      <w:r w:rsidR="00146AF3" w:rsidRPr="0086396D">
        <w:rPr>
          <w:rFonts w:ascii="Book Antiqua" w:hAnsi="Book Antiqua"/>
          <w:sz w:val="24"/>
          <w:szCs w:val="24"/>
        </w:rPr>
        <w:t>(partial Mayo score</w:t>
      </w:r>
      <w:r w:rsidR="00D17937">
        <w:rPr>
          <w:rFonts w:ascii="Book Antiqua" w:hAnsi="Book Antiqua" w:hint="eastAsia"/>
          <w:sz w:val="24"/>
          <w:szCs w:val="24"/>
          <w:lang w:eastAsia="zh-CN"/>
        </w:rPr>
        <w:t xml:space="preserve"> </w:t>
      </w:r>
      <w:r w:rsidR="00146AF3" w:rsidRPr="0086396D">
        <w:rPr>
          <w:rFonts w:ascii="Book Antiqua" w:hAnsi="Book Antiqua"/>
          <w:sz w:val="24"/>
          <w:szCs w:val="24"/>
        </w:rPr>
        <w:t>&gt;</w:t>
      </w:r>
      <w:r w:rsidR="00D17937">
        <w:rPr>
          <w:rFonts w:ascii="Book Antiqua" w:hAnsi="Book Antiqua" w:hint="eastAsia"/>
          <w:sz w:val="24"/>
          <w:szCs w:val="24"/>
          <w:lang w:eastAsia="zh-CN"/>
        </w:rPr>
        <w:t xml:space="preserve"> </w:t>
      </w:r>
      <w:r w:rsidR="00146AF3" w:rsidRPr="0086396D">
        <w:rPr>
          <w:rFonts w:ascii="Book Antiqua" w:hAnsi="Book Antiqua"/>
          <w:sz w:val="24"/>
          <w:szCs w:val="24"/>
        </w:rPr>
        <w:t>2</w:t>
      </w:r>
      <w:r w:rsidR="00992F96" w:rsidRPr="00992F96">
        <w:rPr>
          <w:rFonts w:ascii="Book Antiqua" w:hAnsi="Book Antiqua"/>
          <w:sz w:val="24"/>
          <w:szCs w:val="24"/>
          <w:vertAlign w:val="superscript"/>
        </w:rPr>
        <w:t>[</w:t>
      </w:r>
      <w:r w:rsidR="00146AF3" w:rsidRPr="0086396D">
        <w:rPr>
          <w:rFonts w:ascii="Book Antiqua" w:hAnsi="Book Antiqua"/>
          <w:sz w:val="24"/>
          <w:szCs w:val="24"/>
          <w:vertAlign w:val="superscript"/>
        </w:rPr>
        <w:t>17</w:t>
      </w:r>
      <w:r w:rsidR="002B6AAF" w:rsidRPr="0086396D">
        <w:rPr>
          <w:rFonts w:ascii="Book Antiqua" w:hAnsi="Book Antiqua"/>
          <w:sz w:val="24"/>
          <w:szCs w:val="24"/>
          <w:vertAlign w:val="superscript"/>
        </w:rPr>
        <w:t>]</w:t>
      </w:r>
      <w:r w:rsidR="00146AF3" w:rsidRPr="0086396D">
        <w:rPr>
          <w:rFonts w:ascii="Book Antiqua" w:hAnsi="Book Antiqua"/>
          <w:sz w:val="24"/>
          <w:szCs w:val="24"/>
        </w:rPr>
        <w:t xml:space="preserve">) </w:t>
      </w:r>
      <w:r w:rsidR="00653D1D" w:rsidRPr="0086396D">
        <w:rPr>
          <w:rFonts w:ascii="Book Antiqua" w:hAnsi="Book Antiqua"/>
          <w:sz w:val="24"/>
          <w:szCs w:val="24"/>
        </w:rPr>
        <w:t xml:space="preserve">versus </w:t>
      </w:r>
      <w:r w:rsidR="0061368E" w:rsidRPr="0086396D">
        <w:rPr>
          <w:rFonts w:ascii="Book Antiqua" w:hAnsi="Book Antiqua"/>
          <w:sz w:val="24"/>
          <w:szCs w:val="24"/>
        </w:rPr>
        <w:t xml:space="preserve">those who remained in clinical remission during the </w:t>
      </w:r>
      <w:r w:rsidR="00904113" w:rsidRPr="0086396D">
        <w:rPr>
          <w:rFonts w:ascii="Book Antiqua" w:hAnsi="Book Antiqua"/>
          <w:sz w:val="24"/>
          <w:szCs w:val="24"/>
        </w:rPr>
        <w:t>12-month</w:t>
      </w:r>
      <w:r w:rsidR="00FE3BBC" w:rsidRPr="0086396D">
        <w:rPr>
          <w:rFonts w:ascii="Book Antiqua" w:hAnsi="Book Antiqua"/>
          <w:sz w:val="24"/>
          <w:szCs w:val="24"/>
        </w:rPr>
        <w:t xml:space="preserve"> </w:t>
      </w:r>
      <w:r w:rsidR="0061368E" w:rsidRPr="0086396D">
        <w:rPr>
          <w:rFonts w:ascii="Book Antiqua" w:hAnsi="Book Antiqua"/>
          <w:sz w:val="24"/>
          <w:szCs w:val="24"/>
        </w:rPr>
        <w:t xml:space="preserve">follow-up. </w:t>
      </w:r>
      <w:r w:rsidRPr="0086396D">
        <w:rPr>
          <w:rFonts w:ascii="Book Antiqua" w:hAnsi="Book Antiqua"/>
          <w:sz w:val="24"/>
          <w:szCs w:val="24"/>
        </w:rPr>
        <w:t>Statistical Package for the Social Sciences, version 16.0 (</w:t>
      </w:r>
      <w:r w:rsidR="00A57198" w:rsidRPr="0086396D">
        <w:rPr>
          <w:rFonts w:ascii="Book Antiqua" w:hAnsi="Book Antiqua"/>
          <w:sz w:val="24"/>
          <w:szCs w:val="24"/>
        </w:rPr>
        <w:t>SPSS Inc, Chicago, IL, U</w:t>
      </w:r>
      <w:r w:rsidR="00D17937">
        <w:rPr>
          <w:rFonts w:ascii="Book Antiqua" w:hAnsi="Book Antiqua" w:hint="eastAsia"/>
          <w:sz w:val="24"/>
          <w:szCs w:val="24"/>
          <w:lang w:eastAsia="zh-CN"/>
        </w:rPr>
        <w:t>nited States</w:t>
      </w:r>
      <w:r w:rsidR="00A57198" w:rsidRPr="0086396D">
        <w:rPr>
          <w:rFonts w:ascii="Book Antiqua" w:hAnsi="Book Antiqua"/>
          <w:sz w:val="24"/>
          <w:szCs w:val="24"/>
        </w:rPr>
        <w:t xml:space="preserve">) </w:t>
      </w:r>
      <w:r w:rsidRPr="0086396D">
        <w:rPr>
          <w:rFonts w:ascii="Book Antiqua" w:hAnsi="Book Antiqua"/>
          <w:sz w:val="24"/>
          <w:szCs w:val="24"/>
        </w:rPr>
        <w:t>was used for statistical analysis. A</w:t>
      </w:r>
      <w:r w:rsidR="00A57198" w:rsidRPr="0086396D">
        <w:rPr>
          <w:rFonts w:ascii="Book Antiqua" w:hAnsi="Book Antiqua"/>
          <w:sz w:val="24"/>
          <w:szCs w:val="24"/>
        </w:rPr>
        <w:t xml:space="preserve"> two-tailed </w:t>
      </w:r>
      <w:r w:rsidR="00A57198" w:rsidRPr="00D17937">
        <w:rPr>
          <w:rFonts w:ascii="Book Antiqua" w:hAnsi="Book Antiqua"/>
          <w:i/>
          <w:sz w:val="24"/>
          <w:szCs w:val="24"/>
        </w:rPr>
        <w:t>P</w:t>
      </w:r>
      <w:r w:rsidR="00A57198" w:rsidRPr="0086396D">
        <w:rPr>
          <w:rFonts w:ascii="Book Antiqua" w:hAnsi="Book Antiqua"/>
          <w:sz w:val="24"/>
          <w:szCs w:val="24"/>
        </w:rPr>
        <w:t xml:space="preserve"> value of less than 0.05 was considered to be statistically significant. </w:t>
      </w:r>
    </w:p>
    <w:p w14:paraId="1040C42B" w14:textId="77777777" w:rsidR="00D17937" w:rsidRPr="0086396D" w:rsidRDefault="00D17937" w:rsidP="005C7D8E">
      <w:pPr>
        <w:adjustRightInd w:val="0"/>
        <w:snapToGrid w:val="0"/>
        <w:spacing w:after="0" w:line="360" w:lineRule="auto"/>
        <w:jc w:val="both"/>
        <w:rPr>
          <w:rFonts w:ascii="Book Antiqua" w:hAnsi="Book Antiqua"/>
          <w:sz w:val="24"/>
          <w:szCs w:val="24"/>
          <w:lang w:eastAsia="zh-CN"/>
        </w:rPr>
      </w:pPr>
    </w:p>
    <w:p w14:paraId="03C91B20" w14:textId="16F172B0" w:rsidR="00AE696C" w:rsidRPr="00D17937" w:rsidRDefault="00D17937" w:rsidP="005C7D8E">
      <w:pPr>
        <w:adjustRightInd w:val="0"/>
        <w:snapToGrid w:val="0"/>
        <w:spacing w:after="0" w:line="360" w:lineRule="auto"/>
        <w:jc w:val="both"/>
        <w:rPr>
          <w:rFonts w:ascii="Book Antiqua" w:hAnsi="Book Antiqua"/>
          <w:b/>
          <w:bCs/>
          <w:caps/>
          <w:sz w:val="24"/>
          <w:szCs w:val="24"/>
          <w:lang w:eastAsia="zh-CN"/>
        </w:rPr>
      </w:pPr>
      <w:r w:rsidRPr="00D17937">
        <w:rPr>
          <w:rFonts w:ascii="Book Antiqua" w:hAnsi="Book Antiqua"/>
          <w:b/>
          <w:bCs/>
          <w:caps/>
          <w:sz w:val="24"/>
          <w:szCs w:val="24"/>
        </w:rPr>
        <w:t>Results</w:t>
      </w:r>
    </w:p>
    <w:p w14:paraId="1C102CD0" w14:textId="4E83FC3E" w:rsidR="00D17937" w:rsidRPr="00D17937" w:rsidRDefault="00042AB3" w:rsidP="005C7D8E">
      <w:pPr>
        <w:adjustRightInd w:val="0"/>
        <w:snapToGrid w:val="0"/>
        <w:spacing w:after="0" w:line="360" w:lineRule="auto"/>
        <w:jc w:val="both"/>
        <w:rPr>
          <w:rFonts w:ascii="Book Antiqua" w:hAnsi="Book Antiqua"/>
          <w:b/>
          <w:i/>
          <w:sz w:val="24"/>
          <w:szCs w:val="24"/>
          <w:lang w:eastAsia="zh-CN"/>
        </w:rPr>
      </w:pPr>
      <w:r w:rsidRPr="00D17937">
        <w:rPr>
          <w:rFonts w:ascii="Book Antiqua" w:hAnsi="Book Antiqua"/>
          <w:b/>
          <w:i/>
          <w:sz w:val="24"/>
          <w:szCs w:val="24"/>
        </w:rPr>
        <w:t>Su</w:t>
      </w:r>
      <w:r w:rsidR="00D17937" w:rsidRPr="00D17937">
        <w:rPr>
          <w:rFonts w:ascii="Book Antiqua" w:hAnsi="Book Antiqua"/>
          <w:b/>
          <w:i/>
          <w:sz w:val="24"/>
          <w:szCs w:val="24"/>
        </w:rPr>
        <w:t>bject demographics</w:t>
      </w:r>
    </w:p>
    <w:p w14:paraId="5AEB606C" w14:textId="5B234A28" w:rsidR="00AE696C" w:rsidRDefault="00AE696C"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Twenty UC patients in clinical remission were recruited</w:t>
      </w:r>
      <w:r w:rsidR="002E734C" w:rsidRPr="0086396D">
        <w:rPr>
          <w:rFonts w:ascii="Book Antiqua" w:hAnsi="Book Antiqua"/>
          <w:sz w:val="24"/>
          <w:szCs w:val="24"/>
        </w:rPr>
        <w:t xml:space="preserve"> with a </w:t>
      </w:r>
      <w:r w:rsidRPr="0086396D">
        <w:rPr>
          <w:rFonts w:ascii="Book Antiqua" w:hAnsi="Book Antiqua"/>
          <w:sz w:val="24"/>
          <w:szCs w:val="24"/>
        </w:rPr>
        <w:t xml:space="preserve">mean age </w:t>
      </w:r>
      <w:r w:rsidR="00A92D18" w:rsidRPr="0086396D">
        <w:rPr>
          <w:rFonts w:ascii="Book Antiqua" w:hAnsi="Book Antiqua"/>
          <w:sz w:val="24"/>
          <w:szCs w:val="24"/>
        </w:rPr>
        <w:t>of</w:t>
      </w:r>
      <w:r w:rsidR="002E734C" w:rsidRPr="0086396D">
        <w:rPr>
          <w:rFonts w:ascii="Book Antiqua" w:hAnsi="Book Antiqua"/>
          <w:sz w:val="24"/>
          <w:szCs w:val="24"/>
        </w:rPr>
        <w:t xml:space="preserve"> </w:t>
      </w:r>
      <w:r w:rsidRPr="0086396D">
        <w:rPr>
          <w:rFonts w:ascii="Book Antiqua" w:hAnsi="Book Antiqua"/>
          <w:sz w:val="24"/>
          <w:szCs w:val="24"/>
        </w:rPr>
        <w:t>42.7±14.8 years</w:t>
      </w:r>
      <w:r w:rsidR="002E734C" w:rsidRPr="0086396D">
        <w:rPr>
          <w:rFonts w:ascii="Book Antiqua" w:hAnsi="Book Antiqua"/>
          <w:sz w:val="24"/>
          <w:szCs w:val="24"/>
        </w:rPr>
        <w:t>;</w:t>
      </w:r>
      <w:r w:rsidRPr="0086396D">
        <w:rPr>
          <w:rFonts w:ascii="Book Antiqua" w:hAnsi="Book Antiqua"/>
          <w:sz w:val="24"/>
          <w:szCs w:val="24"/>
        </w:rPr>
        <w:t xml:space="preserve"> 11 (55%) were females. Two (10%</w:t>
      </w:r>
      <w:r w:rsidR="006E26AF" w:rsidRPr="0086396D">
        <w:rPr>
          <w:rFonts w:ascii="Book Antiqua" w:hAnsi="Book Antiqua"/>
          <w:sz w:val="24"/>
          <w:szCs w:val="24"/>
        </w:rPr>
        <w:t>) patients were current smokers</w:t>
      </w:r>
      <w:r w:rsidR="005816D9" w:rsidRPr="0086396D">
        <w:rPr>
          <w:rFonts w:ascii="Book Antiqua" w:hAnsi="Book Antiqua"/>
          <w:sz w:val="24"/>
          <w:szCs w:val="24"/>
        </w:rPr>
        <w:t xml:space="preserve">. </w:t>
      </w:r>
      <w:r w:rsidRPr="0086396D">
        <w:rPr>
          <w:rFonts w:ascii="Book Antiqua" w:hAnsi="Book Antiqua"/>
          <w:sz w:val="24"/>
          <w:szCs w:val="24"/>
        </w:rPr>
        <w:t>Eleven patients (55%) were diagnosed to have pancolitis</w:t>
      </w:r>
      <w:r w:rsidR="00B94829" w:rsidRPr="0086396D">
        <w:rPr>
          <w:rFonts w:ascii="Book Antiqua" w:hAnsi="Book Antiqua"/>
          <w:sz w:val="24"/>
          <w:szCs w:val="24"/>
        </w:rPr>
        <w:t xml:space="preserve"> and 13 (65%) subjects were on either oral or rectal 5-aminosalicylic acid (5-ASA)</w:t>
      </w:r>
      <w:r w:rsidR="00F945DD" w:rsidRPr="0086396D">
        <w:rPr>
          <w:rFonts w:ascii="Book Antiqua" w:hAnsi="Book Antiqua"/>
          <w:sz w:val="24"/>
          <w:szCs w:val="24"/>
        </w:rPr>
        <w:t xml:space="preserve"> medications.</w:t>
      </w:r>
      <w:r w:rsidR="004730E4" w:rsidRPr="0086396D">
        <w:rPr>
          <w:rFonts w:ascii="Book Antiqua" w:hAnsi="Book Antiqua"/>
          <w:sz w:val="24"/>
          <w:szCs w:val="24"/>
        </w:rPr>
        <w:t xml:space="preserve"> Twenty three percent of patients w</w:t>
      </w:r>
      <w:r w:rsidR="00C52834">
        <w:rPr>
          <w:rFonts w:ascii="Book Antiqua" w:hAnsi="Book Antiqua"/>
          <w:sz w:val="24"/>
          <w:szCs w:val="24"/>
        </w:rPr>
        <w:t>ere on no UC-related medication</w:t>
      </w:r>
      <w:r w:rsidR="004730E4" w:rsidRPr="0086396D">
        <w:rPr>
          <w:rFonts w:ascii="Book Antiqua" w:hAnsi="Book Antiqua"/>
          <w:sz w:val="24"/>
          <w:szCs w:val="24"/>
        </w:rPr>
        <w:t xml:space="preserve"> (Table 1)</w:t>
      </w:r>
      <w:r w:rsidR="00C52834">
        <w:rPr>
          <w:rFonts w:ascii="Book Antiqua" w:hAnsi="Book Antiqua" w:hint="eastAsia"/>
          <w:sz w:val="24"/>
          <w:szCs w:val="24"/>
          <w:lang w:eastAsia="zh-CN"/>
        </w:rPr>
        <w:t>.</w:t>
      </w:r>
    </w:p>
    <w:p w14:paraId="73E0B4E6" w14:textId="77777777" w:rsidR="00C52834" w:rsidRPr="00C52834" w:rsidRDefault="00C52834" w:rsidP="005C7D8E">
      <w:pPr>
        <w:adjustRightInd w:val="0"/>
        <w:snapToGrid w:val="0"/>
        <w:spacing w:after="0" w:line="360" w:lineRule="auto"/>
        <w:jc w:val="both"/>
        <w:rPr>
          <w:rFonts w:ascii="Book Antiqua" w:hAnsi="Book Antiqua"/>
          <w:b/>
          <w:i/>
          <w:sz w:val="24"/>
          <w:szCs w:val="24"/>
          <w:lang w:eastAsia="zh-CN"/>
        </w:rPr>
      </w:pPr>
    </w:p>
    <w:p w14:paraId="30ABD285" w14:textId="77777777" w:rsidR="00C52834" w:rsidRDefault="003C0A12" w:rsidP="005C7D8E">
      <w:pPr>
        <w:adjustRightInd w:val="0"/>
        <w:snapToGrid w:val="0"/>
        <w:spacing w:after="0" w:line="360" w:lineRule="auto"/>
        <w:jc w:val="both"/>
        <w:rPr>
          <w:rFonts w:ascii="Book Antiqua" w:hAnsi="Book Antiqua"/>
          <w:sz w:val="24"/>
          <w:szCs w:val="24"/>
          <w:u w:val="single"/>
          <w:lang w:eastAsia="zh-CN"/>
        </w:rPr>
      </w:pPr>
      <w:r w:rsidRPr="00C52834">
        <w:rPr>
          <w:rFonts w:ascii="Book Antiqua" w:hAnsi="Book Antiqua"/>
          <w:b/>
          <w:i/>
          <w:sz w:val="24"/>
          <w:szCs w:val="24"/>
        </w:rPr>
        <w:t>UC relapse</w:t>
      </w:r>
      <w:r w:rsidR="00A014C1" w:rsidRPr="00C52834">
        <w:rPr>
          <w:rFonts w:ascii="Book Antiqua" w:hAnsi="Book Antiqua"/>
          <w:b/>
          <w:i/>
          <w:sz w:val="24"/>
          <w:szCs w:val="24"/>
        </w:rPr>
        <w:t xml:space="preserve"> and demographic, clinical, and anthropometric parameters</w:t>
      </w:r>
    </w:p>
    <w:p w14:paraId="63B874FF" w14:textId="0B9D9407" w:rsidR="00B94829" w:rsidRDefault="00D80571"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Patients </w:t>
      </w:r>
      <w:r w:rsidR="00AB46FF" w:rsidRPr="0086396D">
        <w:rPr>
          <w:rFonts w:ascii="Book Antiqua" w:hAnsi="Book Antiqua"/>
          <w:sz w:val="24"/>
          <w:szCs w:val="24"/>
        </w:rPr>
        <w:t>were followed</w:t>
      </w:r>
      <w:r w:rsidRPr="0086396D">
        <w:rPr>
          <w:rFonts w:ascii="Book Antiqua" w:hAnsi="Book Antiqua"/>
          <w:sz w:val="24"/>
          <w:szCs w:val="24"/>
        </w:rPr>
        <w:t xml:space="preserve"> for 12.1 ±</w:t>
      </w:r>
      <w:r w:rsidR="00C52834">
        <w:rPr>
          <w:rFonts w:ascii="Book Antiqua" w:hAnsi="Book Antiqua" w:hint="eastAsia"/>
          <w:sz w:val="24"/>
          <w:szCs w:val="24"/>
          <w:lang w:eastAsia="zh-CN"/>
        </w:rPr>
        <w:t xml:space="preserve"> </w:t>
      </w:r>
      <w:r w:rsidRPr="0086396D">
        <w:rPr>
          <w:rFonts w:ascii="Book Antiqua" w:hAnsi="Book Antiqua"/>
          <w:sz w:val="24"/>
          <w:szCs w:val="24"/>
        </w:rPr>
        <w:t>1.9 mo</w:t>
      </w:r>
      <w:r w:rsidR="002E734C" w:rsidRPr="0086396D">
        <w:rPr>
          <w:rFonts w:ascii="Book Antiqua" w:hAnsi="Book Antiqua"/>
          <w:sz w:val="24"/>
          <w:szCs w:val="24"/>
        </w:rPr>
        <w:t xml:space="preserve"> and during this time </w:t>
      </w:r>
      <w:r w:rsidRPr="0086396D">
        <w:rPr>
          <w:rFonts w:ascii="Book Antiqua" w:hAnsi="Book Antiqua"/>
          <w:sz w:val="24"/>
          <w:szCs w:val="24"/>
        </w:rPr>
        <w:t xml:space="preserve">7 (35%) patients experienced a </w:t>
      </w:r>
      <w:r w:rsidR="007343D5" w:rsidRPr="0086396D">
        <w:rPr>
          <w:rFonts w:ascii="Book Antiqua" w:hAnsi="Book Antiqua"/>
          <w:sz w:val="24"/>
          <w:szCs w:val="24"/>
        </w:rPr>
        <w:t xml:space="preserve">clinical </w:t>
      </w:r>
      <w:r w:rsidRPr="0086396D">
        <w:rPr>
          <w:rFonts w:ascii="Book Antiqua" w:hAnsi="Book Antiqua"/>
          <w:sz w:val="24"/>
          <w:szCs w:val="24"/>
        </w:rPr>
        <w:t xml:space="preserve">relapse. The comparison between different demographic, anthropometric, and clinical characteristics of patients </w:t>
      </w:r>
      <w:r w:rsidR="00375518" w:rsidRPr="0086396D">
        <w:rPr>
          <w:rFonts w:ascii="Book Antiqua" w:hAnsi="Book Antiqua"/>
          <w:sz w:val="24"/>
          <w:szCs w:val="24"/>
        </w:rPr>
        <w:t xml:space="preserve">(at the time of recruitment) </w:t>
      </w:r>
      <w:r w:rsidRPr="0086396D">
        <w:rPr>
          <w:rFonts w:ascii="Book Antiqua" w:hAnsi="Book Antiqua"/>
          <w:sz w:val="24"/>
          <w:szCs w:val="24"/>
        </w:rPr>
        <w:t xml:space="preserve">with </w:t>
      </w:r>
      <w:r w:rsidR="007343D5" w:rsidRPr="0086396D">
        <w:rPr>
          <w:rFonts w:ascii="Book Antiqua" w:hAnsi="Book Antiqua"/>
          <w:sz w:val="24"/>
          <w:szCs w:val="24"/>
        </w:rPr>
        <w:t xml:space="preserve">clinical </w:t>
      </w:r>
      <w:r w:rsidRPr="0086396D">
        <w:rPr>
          <w:rFonts w:ascii="Book Antiqua" w:hAnsi="Book Antiqua"/>
          <w:sz w:val="24"/>
          <w:szCs w:val="24"/>
        </w:rPr>
        <w:t>relapse and those who were still in clinical remission at the time of follow-up is presented in Table 1. There was no</w:t>
      </w:r>
      <w:r w:rsidR="005B3D2E" w:rsidRPr="0086396D">
        <w:rPr>
          <w:rFonts w:ascii="Book Antiqua" w:hAnsi="Book Antiqua"/>
          <w:sz w:val="24"/>
          <w:szCs w:val="24"/>
        </w:rPr>
        <w:t xml:space="preserve"> significant</w:t>
      </w:r>
      <w:r w:rsidRPr="0086396D">
        <w:rPr>
          <w:rFonts w:ascii="Book Antiqua" w:hAnsi="Book Antiqua"/>
          <w:sz w:val="24"/>
          <w:szCs w:val="24"/>
        </w:rPr>
        <w:t xml:space="preserve"> difference between these two groups of pa</w:t>
      </w:r>
      <w:r w:rsidR="00F42B35" w:rsidRPr="0086396D">
        <w:rPr>
          <w:rFonts w:ascii="Book Antiqua" w:hAnsi="Book Antiqua"/>
          <w:sz w:val="24"/>
          <w:szCs w:val="24"/>
        </w:rPr>
        <w:t>tients in terms of age, gender,</w:t>
      </w:r>
      <w:r w:rsidRPr="0086396D">
        <w:rPr>
          <w:rFonts w:ascii="Book Antiqua" w:hAnsi="Book Antiqua"/>
          <w:sz w:val="24"/>
          <w:szCs w:val="24"/>
        </w:rPr>
        <w:t xml:space="preserve"> and UC</w:t>
      </w:r>
      <w:r w:rsidR="008762AE" w:rsidRPr="0086396D">
        <w:rPr>
          <w:rFonts w:ascii="Book Antiqua" w:hAnsi="Book Antiqua"/>
          <w:sz w:val="24"/>
          <w:szCs w:val="24"/>
        </w:rPr>
        <w:t>-</w:t>
      </w:r>
      <w:r w:rsidRPr="0086396D">
        <w:rPr>
          <w:rFonts w:ascii="Book Antiqua" w:hAnsi="Book Antiqua"/>
          <w:sz w:val="24"/>
          <w:szCs w:val="24"/>
        </w:rPr>
        <w:t>related factors</w:t>
      </w:r>
      <w:r w:rsidR="003621F5" w:rsidRPr="0086396D">
        <w:rPr>
          <w:rFonts w:ascii="Book Antiqua" w:hAnsi="Book Antiqua"/>
          <w:sz w:val="24"/>
          <w:szCs w:val="24"/>
        </w:rPr>
        <w:t xml:space="preserve"> (age at diagnosis, months since last relapse, UC subtype, and UC medication)</w:t>
      </w:r>
      <w:r w:rsidR="00375518" w:rsidRPr="0086396D">
        <w:rPr>
          <w:rFonts w:ascii="Book Antiqua" w:hAnsi="Book Antiqua"/>
          <w:sz w:val="24"/>
          <w:szCs w:val="24"/>
        </w:rPr>
        <w:t xml:space="preserve"> at baseline</w:t>
      </w:r>
      <w:r w:rsidRPr="0086396D">
        <w:rPr>
          <w:rFonts w:ascii="Book Antiqua" w:hAnsi="Book Antiqua"/>
          <w:sz w:val="24"/>
          <w:szCs w:val="24"/>
        </w:rPr>
        <w:t xml:space="preserve">. However, UC patients </w:t>
      </w:r>
      <w:r w:rsidR="0016600E" w:rsidRPr="0086396D">
        <w:rPr>
          <w:rFonts w:ascii="Book Antiqua" w:hAnsi="Book Antiqua"/>
          <w:sz w:val="24"/>
          <w:szCs w:val="24"/>
        </w:rPr>
        <w:t xml:space="preserve">who developed a </w:t>
      </w:r>
      <w:r w:rsidR="00EA3B31" w:rsidRPr="0086396D">
        <w:rPr>
          <w:rFonts w:ascii="Book Antiqua" w:hAnsi="Book Antiqua"/>
          <w:sz w:val="24"/>
          <w:szCs w:val="24"/>
        </w:rPr>
        <w:t xml:space="preserve">clinical </w:t>
      </w:r>
      <w:r w:rsidRPr="0086396D">
        <w:rPr>
          <w:rFonts w:ascii="Book Antiqua" w:hAnsi="Book Antiqua"/>
          <w:sz w:val="24"/>
          <w:szCs w:val="24"/>
        </w:rPr>
        <w:t>relapse</w:t>
      </w:r>
      <w:r w:rsidR="0016600E" w:rsidRPr="0086396D">
        <w:rPr>
          <w:rFonts w:ascii="Book Antiqua" w:hAnsi="Book Antiqua"/>
          <w:sz w:val="24"/>
          <w:szCs w:val="24"/>
        </w:rPr>
        <w:t xml:space="preserve"> within 12 months</w:t>
      </w:r>
      <w:r w:rsidRPr="0086396D">
        <w:rPr>
          <w:rFonts w:ascii="Book Antiqua" w:hAnsi="Book Antiqua"/>
          <w:sz w:val="24"/>
          <w:szCs w:val="24"/>
        </w:rPr>
        <w:t xml:space="preserve"> had significantly lower BMI, waist circumference, </w:t>
      </w:r>
      <w:r w:rsidR="00DF13C9" w:rsidRPr="0086396D">
        <w:rPr>
          <w:rFonts w:ascii="Book Antiqua" w:hAnsi="Book Antiqua"/>
          <w:sz w:val="24"/>
          <w:szCs w:val="24"/>
        </w:rPr>
        <w:t xml:space="preserve">waist to height ratio, </w:t>
      </w:r>
      <w:r w:rsidRPr="0086396D">
        <w:rPr>
          <w:rFonts w:ascii="Book Antiqua" w:hAnsi="Book Antiqua"/>
          <w:sz w:val="24"/>
          <w:szCs w:val="24"/>
        </w:rPr>
        <w:t xml:space="preserve">and fat mass </w:t>
      </w:r>
      <w:r w:rsidR="002E734C" w:rsidRPr="0086396D">
        <w:rPr>
          <w:rFonts w:ascii="Book Antiqua" w:hAnsi="Book Antiqua"/>
          <w:sz w:val="24"/>
          <w:szCs w:val="24"/>
        </w:rPr>
        <w:t>compared</w:t>
      </w:r>
      <w:r w:rsidRPr="0086396D">
        <w:rPr>
          <w:rFonts w:ascii="Book Antiqua" w:hAnsi="Book Antiqua"/>
          <w:sz w:val="24"/>
          <w:szCs w:val="24"/>
        </w:rPr>
        <w:t xml:space="preserve"> to patients with no </w:t>
      </w:r>
      <w:r w:rsidR="00EA3B31" w:rsidRPr="0086396D">
        <w:rPr>
          <w:rFonts w:ascii="Book Antiqua" w:hAnsi="Book Antiqua"/>
          <w:sz w:val="24"/>
          <w:szCs w:val="24"/>
        </w:rPr>
        <w:t xml:space="preserve">clinical </w:t>
      </w:r>
      <w:r w:rsidRPr="0086396D">
        <w:rPr>
          <w:rFonts w:ascii="Book Antiqua" w:hAnsi="Book Antiqua"/>
          <w:sz w:val="24"/>
          <w:szCs w:val="24"/>
        </w:rPr>
        <w:t xml:space="preserve">relapse. </w:t>
      </w:r>
      <w:r w:rsidR="00A52711" w:rsidRPr="0086396D">
        <w:rPr>
          <w:rFonts w:ascii="Book Antiqua" w:hAnsi="Book Antiqua"/>
          <w:sz w:val="24"/>
          <w:szCs w:val="24"/>
        </w:rPr>
        <w:t>Six</w:t>
      </w:r>
      <w:r w:rsidR="00EC06DF" w:rsidRPr="0086396D">
        <w:rPr>
          <w:rFonts w:ascii="Book Antiqua" w:hAnsi="Book Antiqua"/>
          <w:sz w:val="24"/>
          <w:szCs w:val="24"/>
        </w:rPr>
        <w:t xml:space="preserve"> out of </w:t>
      </w:r>
      <w:r w:rsidR="00062E57" w:rsidRPr="0086396D">
        <w:rPr>
          <w:rFonts w:ascii="Book Antiqua" w:hAnsi="Book Antiqua"/>
          <w:sz w:val="24"/>
          <w:szCs w:val="24"/>
        </w:rPr>
        <w:t>9</w:t>
      </w:r>
      <w:r w:rsidR="00A420A1" w:rsidRPr="0086396D">
        <w:rPr>
          <w:rFonts w:ascii="Book Antiqua" w:hAnsi="Book Antiqua"/>
          <w:sz w:val="24"/>
          <w:szCs w:val="24"/>
        </w:rPr>
        <w:t xml:space="preserve">(66.7%) patients with normal </w:t>
      </w:r>
      <w:r w:rsidR="00A92D18" w:rsidRPr="0086396D">
        <w:rPr>
          <w:rFonts w:ascii="Book Antiqua" w:hAnsi="Book Antiqua"/>
          <w:sz w:val="24"/>
          <w:szCs w:val="24"/>
        </w:rPr>
        <w:t>BMI (18.5 – 24.9 kg/m</w:t>
      </w:r>
      <w:r w:rsidR="00A92D18" w:rsidRPr="0086396D">
        <w:rPr>
          <w:rFonts w:ascii="Book Antiqua" w:hAnsi="Book Antiqua"/>
          <w:sz w:val="24"/>
          <w:szCs w:val="24"/>
          <w:vertAlign w:val="superscript"/>
        </w:rPr>
        <w:t>2</w:t>
      </w:r>
      <w:r w:rsidR="00A92D18" w:rsidRPr="0086396D">
        <w:rPr>
          <w:rFonts w:ascii="Book Antiqua" w:hAnsi="Book Antiqua"/>
          <w:sz w:val="24"/>
          <w:szCs w:val="24"/>
        </w:rPr>
        <w:t>)</w:t>
      </w:r>
      <w:r w:rsidR="002E734C" w:rsidRPr="0086396D">
        <w:rPr>
          <w:rFonts w:ascii="Book Antiqua" w:hAnsi="Book Antiqua"/>
          <w:sz w:val="24"/>
          <w:szCs w:val="24"/>
        </w:rPr>
        <w:t xml:space="preserve"> had </w:t>
      </w:r>
      <w:r w:rsidR="00A420A1" w:rsidRPr="0086396D">
        <w:rPr>
          <w:rFonts w:ascii="Book Antiqua" w:hAnsi="Book Antiqua"/>
          <w:sz w:val="24"/>
          <w:szCs w:val="24"/>
        </w:rPr>
        <w:t>a</w:t>
      </w:r>
      <w:r w:rsidR="00EA3B31" w:rsidRPr="0086396D">
        <w:rPr>
          <w:rFonts w:ascii="Book Antiqua" w:hAnsi="Book Antiqua"/>
          <w:sz w:val="24"/>
          <w:szCs w:val="24"/>
        </w:rPr>
        <w:t xml:space="preserve"> clinical</w:t>
      </w:r>
      <w:r w:rsidR="008B77DD" w:rsidRPr="0086396D">
        <w:rPr>
          <w:rFonts w:ascii="Book Antiqua" w:hAnsi="Book Antiqua"/>
          <w:sz w:val="24"/>
          <w:szCs w:val="24"/>
        </w:rPr>
        <w:t xml:space="preserve"> relapse</w:t>
      </w:r>
      <w:r w:rsidR="00A52711" w:rsidRPr="0086396D">
        <w:rPr>
          <w:rFonts w:ascii="Book Antiqua" w:hAnsi="Book Antiqua"/>
          <w:sz w:val="24"/>
          <w:szCs w:val="24"/>
        </w:rPr>
        <w:t xml:space="preserve">, whereas </w:t>
      </w:r>
      <w:r w:rsidR="00062E57" w:rsidRPr="0086396D">
        <w:rPr>
          <w:rFonts w:ascii="Book Antiqua" w:hAnsi="Book Antiqua"/>
          <w:sz w:val="24"/>
          <w:szCs w:val="24"/>
        </w:rPr>
        <w:t>1 out of 11</w:t>
      </w:r>
      <w:r w:rsidR="00D81683" w:rsidRPr="0086396D">
        <w:rPr>
          <w:rFonts w:ascii="Book Antiqua" w:hAnsi="Book Antiqua"/>
          <w:sz w:val="24"/>
          <w:szCs w:val="24"/>
        </w:rPr>
        <w:t xml:space="preserve">(9.1%) </w:t>
      </w:r>
      <w:r w:rsidR="00062E57" w:rsidRPr="0086396D">
        <w:rPr>
          <w:rFonts w:ascii="Book Antiqua" w:hAnsi="Book Antiqua"/>
          <w:sz w:val="24"/>
          <w:szCs w:val="24"/>
        </w:rPr>
        <w:t>patients</w:t>
      </w:r>
      <w:r w:rsidR="00D81683" w:rsidRPr="0086396D">
        <w:rPr>
          <w:rFonts w:ascii="Book Antiqua" w:hAnsi="Book Antiqua"/>
          <w:sz w:val="24"/>
          <w:szCs w:val="24"/>
        </w:rPr>
        <w:t xml:space="preserve"> </w:t>
      </w:r>
      <w:r w:rsidR="00062E57" w:rsidRPr="0086396D">
        <w:rPr>
          <w:rFonts w:ascii="Book Antiqua" w:hAnsi="Book Antiqua"/>
          <w:sz w:val="24"/>
          <w:szCs w:val="24"/>
        </w:rPr>
        <w:t>with</w:t>
      </w:r>
      <w:r w:rsidR="00D81683" w:rsidRPr="0086396D">
        <w:rPr>
          <w:rFonts w:ascii="Book Antiqua" w:hAnsi="Book Antiqua"/>
          <w:sz w:val="24"/>
          <w:szCs w:val="24"/>
        </w:rPr>
        <w:t xml:space="preserve"> o</w:t>
      </w:r>
      <w:r w:rsidR="00062E57" w:rsidRPr="0086396D">
        <w:rPr>
          <w:rFonts w:ascii="Book Antiqua" w:hAnsi="Book Antiqua"/>
          <w:sz w:val="24"/>
          <w:szCs w:val="24"/>
        </w:rPr>
        <w:t>verweight/obesity</w:t>
      </w:r>
      <w:r w:rsidR="00646F12" w:rsidRPr="0086396D">
        <w:rPr>
          <w:rFonts w:ascii="Book Antiqua" w:hAnsi="Book Antiqua"/>
          <w:sz w:val="24"/>
          <w:szCs w:val="24"/>
        </w:rPr>
        <w:t xml:space="preserve"> (BMI</w:t>
      </w:r>
      <w:r w:rsidR="00C52834">
        <w:rPr>
          <w:rFonts w:ascii="Book Antiqua" w:hAnsi="Book Antiqua" w:hint="eastAsia"/>
          <w:sz w:val="24"/>
          <w:szCs w:val="24"/>
          <w:lang w:eastAsia="zh-CN"/>
        </w:rPr>
        <w:t xml:space="preserve"> </w:t>
      </w:r>
      <w:r w:rsidR="00646F12" w:rsidRPr="0086396D">
        <w:rPr>
          <w:rFonts w:ascii="Book Antiqua" w:hAnsi="Book Antiqua"/>
          <w:sz w:val="24"/>
          <w:szCs w:val="24"/>
        </w:rPr>
        <w:t>&gt;</w:t>
      </w:r>
      <w:r w:rsidR="00C52834">
        <w:rPr>
          <w:rFonts w:ascii="Book Antiqua" w:hAnsi="Book Antiqua" w:hint="eastAsia"/>
          <w:sz w:val="24"/>
          <w:szCs w:val="24"/>
          <w:lang w:eastAsia="zh-CN"/>
        </w:rPr>
        <w:t xml:space="preserve"> </w:t>
      </w:r>
      <w:r w:rsidR="00646F12" w:rsidRPr="0086396D">
        <w:rPr>
          <w:rFonts w:ascii="Book Antiqua" w:hAnsi="Book Antiqua"/>
          <w:sz w:val="24"/>
          <w:szCs w:val="24"/>
        </w:rPr>
        <w:t xml:space="preserve">25 </w:t>
      </w:r>
      <w:r w:rsidR="00C52834" w:rsidRPr="0086396D">
        <w:rPr>
          <w:rFonts w:ascii="Book Antiqua" w:hAnsi="Book Antiqua"/>
          <w:sz w:val="24"/>
          <w:szCs w:val="24"/>
        </w:rPr>
        <w:t>kg</w:t>
      </w:r>
      <w:r w:rsidR="00646F12" w:rsidRPr="0086396D">
        <w:rPr>
          <w:rFonts w:ascii="Book Antiqua" w:hAnsi="Book Antiqua"/>
          <w:sz w:val="24"/>
          <w:szCs w:val="24"/>
        </w:rPr>
        <w:t>/m</w:t>
      </w:r>
      <w:r w:rsidR="00646F12" w:rsidRPr="0086396D">
        <w:rPr>
          <w:rFonts w:ascii="Book Antiqua" w:hAnsi="Book Antiqua"/>
          <w:sz w:val="24"/>
          <w:szCs w:val="24"/>
          <w:vertAlign w:val="superscript"/>
        </w:rPr>
        <w:t>2</w:t>
      </w:r>
      <w:r w:rsidR="00646F12" w:rsidRPr="0086396D">
        <w:rPr>
          <w:rFonts w:ascii="Book Antiqua" w:hAnsi="Book Antiqua"/>
          <w:sz w:val="24"/>
          <w:szCs w:val="24"/>
        </w:rPr>
        <w:t xml:space="preserve">) </w:t>
      </w:r>
      <w:r w:rsidR="00D81683" w:rsidRPr="0086396D">
        <w:rPr>
          <w:rFonts w:ascii="Book Antiqua" w:hAnsi="Book Antiqua"/>
          <w:sz w:val="24"/>
          <w:szCs w:val="24"/>
        </w:rPr>
        <w:t>at baseline relapsed during the follow-up (RR</w:t>
      </w:r>
      <w:r w:rsidR="00C52834">
        <w:rPr>
          <w:rFonts w:ascii="Book Antiqua" w:hAnsi="Book Antiqua" w:hint="eastAsia"/>
          <w:sz w:val="24"/>
          <w:szCs w:val="24"/>
          <w:lang w:eastAsia="zh-CN"/>
        </w:rPr>
        <w:t xml:space="preserve"> = </w:t>
      </w:r>
      <w:r w:rsidR="00A420A1" w:rsidRPr="0086396D">
        <w:rPr>
          <w:rFonts w:ascii="Book Antiqua" w:hAnsi="Book Antiqua"/>
          <w:sz w:val="24"/>
          <w:szCs w:val="24"/>
        </w:rPr>
        <w:t>7.3, 95%</w:t>
      </w:r>
      <w:r w:rsidR="00C52834">
        <w:rPr>
          <w:rFonts w:ascii="Book Antiqua" w:hAnsi="Book Antiqua"/>
          <w:sz w:val="24"/>
          <w:szCs w:val="24"/>
        </w:rPr>
        <w:t>CI</w:t>
      </w:r>
      <w:r w:rsidR="00910C35" w:rsidRPr="0086396D">
        <w:rPr>
          <w:rFonts w:ascii="Book Antiqua" w:hAnsi="Book Antiqua"/>
          <w:sz w:val="24"/>
          <w:szCs w:val="24"/>
        </w:rPr>
        <w:t xml:space="preserve">: 1.1-50.3, </w:t>
      </w:r>
      <w:r w:rsidR="00BA0C62" w:rsidRPr="00BA0C62">
        <w:rPr>
          <w:rFonts w:ascii="Book Antiqua" w:hAnsi="Book Antiqua"/>
          <w:i/>
          <w:sz w:val="24"/>
          <w:szCs w:val="24"/>
        </w:rPr>
        <w:t xml:space="preserve">P = </w:t>
      </w:r>
      <w:r w:rsidR="00910C35" w:rsidRPr="0086396D">
        <w:rPr>
          <w:rFonts w:ascii="Book Antiqua" w:hAnsi="Book Antiqua"/>
          <w:sz w:val="24"/>
          <w:szCs w:val="24"/>
        </w:rPr>
        <w:t>0.02) and this was still statis</w:t>
      </w:r>
      <w:r w:rsidR="00201C53" w:rsidRPr="0086396D">
        <w:rPr>
          <w:rFonts w:ascii="Book Antiqua" w:hAnsi="Book Antiqua"/>
          <w:sz w:val="24"/>
          <w:szCs w:val="24"/>
        </w:rPr>
        <w:t>tically significant (</w:t>
      </w:r>
      <w:r w:rsidR="00BA0C62" w:rsidRPr="00BA0C62">
        <w:rPr>
          <w:rFonts w:ascii="Book Antiqua" w:hAnsi="Book Antiqua"/>
          <w:i/>
          <w:sz w:val="24"/>
          <w:szCs w:val="24"/>
        </w:rPr>
        <w:t xml:space="preserve">P = </w:t>
      </w:r>
      <w:r w:rsidR="00201C53" w:rsidRPr="0086396D">
        <w:rPr>
          <w:rFonts w:ascii="Book Antiqua" w:hAnsi="Book Antiqua"/>
          <w:sz w:val="24"/>
          <w:szCs w:val="24"/>
        </w:rPr>
        <w:t xml:space="preserve">0.03) after adjusting for age and gender. </w:t>
      </w:r>
    </w:p>
    <w:p w14:paraId="3744831F" w14:textId="77777777" w:rsidR="00C52834" w:rsidRPr="0086396D" w:rsidRDefault="00C52834" w:rsidP="005C7D8E">
      <w:pPr>
        <w:adjustRightInd w:val="0"/>
        <w:snapToGrid w:val="0"/>
        <w:spacing w:after="0" w:line="360" w:lineRule="auto"/>
        <w:jc w:val="both"/>
        <w:rPr>
          <w:rFonts w:ascii="Book Antiqua" w:hAnsi="Book Antiqua"/>
          <w:sz w:val="24"/>
          <w:szCs w:val="24"/>
          <w:lang w:eastAsia="zh-CN"/>
        </w:rPr>
      </w:pPr>
    </w:p>
    <w:p w14:paraId="3D85EF1D" w14:textId="77777777" w:rsidR="00C52834" w:rsidRPr="00C52834" w:rsidRDefault="00042AB3" w:rsidP="005C7D8E">
      <w:pPr>
        <w:adjustRightInd w:val="0"/>
        <w:snapToGrid w:val="0"/>
        <w:spacing w:after="0" w:line="360" w:lineRule="auto"/>
        <w:jc w:val="both"/>
        <w:rPr>
          <w:rFonts w:ascii="Book Antiqua" w:hAnsi="Book Antiqua"/>
          <w:b/>
          <w:i/>
          <w:sz w:val="24"/>
          <w:szCs w:val="24"/>
          <w:lang w:val="en-CA" w:eastAsia="zh-CN"/>
        </w:rPr>
      </w:pPr>
      <w:r w:rsidRPr="00C52834">
        <w:rPr>
          <w:rFonts w:ascii="Book Antiqua" w:hAnsi="Book Antiqua"/>
          <w:b/>
          <w:i/>
          <w:sz w:val="24"/>
          <w:szCs w:val="24"/>
          <w:lang w:val="en-CA"/>
        </w:rPr>
        <w:lastRenderedPageBreak/>
        <w:t>Effect of dietary intake</w:t>
      </w:r>
    </w:p>
    <w:p w14:paraId="001CC539" w14:textId="2F6DC430" w:rsidR="00DC1397" w:rsidRDefault="0029263D"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lang w:val="en-CA"/>
        </w:rPr>
        <w:t xml:space="preserve">There was no statistically significant difference between intake of different macro-, micronutrients as well as food groups at baseline in patients with </w:t>
      </w:r>
      <w:r w:rsidR="00EA3B31" w:rsidRPr="0086396D">
        <w:rPr>
          <w:rFonts w:ascii="Book Antiqua" w:hAnsi="Book Antiqua"/>
          <w:sz w:val="24"/>
          <w:szCs w:val="24"/>
          <w:lang w:val="en-CA"/>
        </w:rPr>
        <w:t xml:space="preserve">clinical </w:t>
      </w:r>
      <w:r w:rsidRPr="0086396D">
        <w:rPr>
          <w:rFonts w:ascii="Book Antiqua" w:hAnsi="Book Antiqua"/>
          <w:sz w:val="24"/>
          <w:szCs w:val="24"/>
          <w:lang w:val="en-CA"/>
        </w:rPr>
        <w:t xml:space="preserve">relapse </w:t>
      </w:r>
      <w:r w:rsidR="007343D5" w:rsidRPr="0086396D">
        <w:rPr>
          <w:rFonts w:ascii="Book Antiqua" w:hAnsi="Book Antiqua"/>
          <w:sz w:val="24"/>
          <w:szCs w:val="24"/>
          <w:lang w:val="en-CA"/>
        </w:rPr>
        <w:t xml:space="preserve">versus </w:t>
      </w:r>
      <w:r w:rsidRPr="0086396D">
        <w:rPr>
          <w:rFonts w:ascii="Book Antiqua" w:hAnsi="Book Antiqua"/>
          <w:sz w:val="24"/>
          <w:szCs w:val="24"/>
          <w:lang w:val="en-CA"/>
        </w:rPr>
        <w:t>remission</w:t>
      </w:r>
      <w:r w:rsidR="00A52711" w:rsidRPr="0086396D">
        <w:rPr>
          <w:rFonts w:ascii="Book Antiqua" w:hAnsi="Book Antiqua"/>
          <w:sz w:val="24"/>
          <w:szCs w:val="24"/>
          <w:lang w:val="en-CA"/>
        </w:rPr>
        <w:t xml:space="preserve"> </w:t>
      </w:r>
      <w:r w:rsidR="0016600E" w:rsidRPr="0086396D">
        <w:rPr>
          <w:rFonts w:ascii="Book Antiqua" w:hAnsi="Book Antiqua"/>
          <w:sz w:val="24"/>
          <w:szCs w:val="24"/>
          <w:lang w:val="en-CA"/>
        </w:rPr>
        <w:t xml:space="preserve">within </w:t>
      </w:r>
      <w:r w:rsidR="00A52711" w:rsidRPr="0086396D">
        <w:rPr>
          <w:rFonts w:ascii="Book Antiqua" w:hAnsi="Book Antiqua"/>
          <w:sz w:val="24"/>
          <w:szCs w:val="24"/>
          <w:lang w:val="en-CA"/>
        </w:rPr>
        <w:t>12 mo</w:t>
      </w:r>
      <w:r w:rsidR="00904113" w:rsidRPr="0086396D">
        <w:rPr>
          <w:rFonts w:ascii="Book Antiqua" w:hAnsi="Book Antiqua"/>
          <w:sz w:val="24"/>
          <w:szCs w:val="24"/>
          <w:lang w:val="en-CA"/>
        </w:rPr>
        <w:t xml:space="preserve"> of</w:t>
      </w:r>
      <w:r w:rsidR="00A52711" w:rsidRPr="0086396D">
        <w:rPr>
          <w:rFonts w:ascii="Book Antiqua" w:hAnsi="Book Antiqua"/>
          <w:sz w:val="24"/>
          <w:szCs w:val="24"/>
          <w:lang w:val="en-CA"/>
        </w:rPr>
        <w:t xml:space="preserve"> follow-up</w:t>
      </w:r>
      <w:r w:rsidR="00815F84" w:rsidRPr="0086396D">
        <w:rPr>
          <w:rFonts w:ascii="Book Antiqua" w:hAnsi="Book Antiqua"/>
          <w:sz w:val="24"/>
          <w:szCs w:val="24"/>
          <w:lang w:val="en-CA"/>
        </w:rPr>
        <w:t>,</w:t>
      </w:r>
      <w:r w:rsidRPr="0086396D">
        <w:rPr>
          <w:rFonts w:ascii="Book Antiqua" w:hAnsi="Book Antiqua"/>
          <w:sz w:val="24"/>
          <w:szCs w:val="24"/>
          <w:lang w:val="en-CA"/>
        </w:rPr>
        <w:t xml:space="preserve"> except for poultry </w:t>
      </w:r>
      <w:r w:rsidR="00946303" w:rsidRPr="0086396D">
        <w:rPr>
          <w:rFonts w:ascii="Book Antiqua" w:hAnsi="Book Antiqua"/>
          <w:sz w:val="24"/>
          <w:szCs w:val="24"/>
          <w:lang w:val="en-CA"/>
        </w:rPr>
        <w:t>and maltose intake which were</w:t>
      </w:r>
      <w:r w:rsidR="00500855" w:rsidRPr="0086396D">
        <w:rPr>
          <w:rFonts w:ascii="Book Antiqua" w:hAnsi="Book Antiqua"/>
          <w:sz w:val="24"/>
          <w:szCs w:val="24"/>
          <w:lang w:val="en-CA"/>
        </w:rPr>
        <w:t xml:space="preserve"> significantly</w:t>
      </w:r>
      <w:r w:rsidRPr="0086396D">
        <w:rPr>
          <w:rFonts w:ascii="Book Antiqua" w:hAnsi="Book Antiqua"/>
          <w:sz w:val="24"/>
          <w:szCs w:val="24"/>
          <w:lang w:val="en-CA"/>
        </w:rPr>
        <w:t xml:space="preserve"> higher in patients who </w:t>
      </w:r>
      <w:r w:rsidR="00EA4178" w:rsidRPr="0086396D">
        <w:rPr>
          <w:rFonts w:ascii="Book Antiqua" w:hAnsi="Book Antiqua"/>
          <w:sz w:val="24"/>
          <w:szCs w:val="24"/>
          <w:lang w:val="en-CA"/>
        </w:rPr>
        <w:t xml:space="preserve">remained </w:t>
      </w:r>
      <w:r w:rsidRPr="0086396D">
        <w:rPr>
          <w:rFonts w:ascii="Book Antiqua" w:hAnsi="Book Antiqua"/>
          <w:sz w:val="24"/>
          <w:szCs w:val="24"/>
          <w:lang w:val="en-CA"/>
        </w:rPr>
        <w:t>in remission (</w:t>
      </w:r>
      <w:r w:rsidR="00946303" w:rsidRPr="0086396D">
        <w:rPr>
          <w:rFonts w:ascii="Book Antiqua" w:hAnsi="Book Antiqua"/>
          <w:sz w:val="24"/>
          <w:szCs w:val="24"/>
          <w:lang w:val="en-CA"/>
        </w:rPr>
        <w:t>Table 2</w:t>
      </w:r>
      <w:r w:rsidR="00D43825" w:rsidRPr="0086396D">
        <w:rPr>
          <w:rFonts w:ascii="Book Antiqua" w:hAnsi="Book Antiqua"/>
          <w:sz w:val="24"/>
          <w:szCs w:val="24"/>
          <w:lang w:val="en-CA"/>
        </w:rPr>
        <w:t>).</w:t>
      </w:r>
      <w:r w:rsidR="00252861" w:rsidRPr="0086396D">
        <w:rPr>
          <w:rFonts w:ascii="Book Antiqua" w:hAnsi="Book Antiqua"/>
          <w:sz w:val="24"/>
          <w:szCs w:val="24"/>
          <w:lang w:val="en-CA"/>
        </w:rPr>
        <w:t xml:space="preserve"> </w:t>
      </w:r>
      <w:r w:rsidR="005816D9" w:rsidRPr="0086396D">
        <w:rPr>
          <w:rFonts w:ascii="Book Antiqua" w:hAnsi="Book Antiqua"/>
          <w:sz w:val="24"/>
          <w:szCs w:val="24"/>
          <w:lang w:val="en-CA"/>
        </w:rPr>
        <w:t xml:space="preserve">There was a </w:t>
      </w:r>
      <w:r w:rsidR="005816D9" w:rsidRPr="0086396D">
        <w:rPr>
          <w:rFonts w:ascii="Book Antiqua" w:hAnsi="Book Antiqua"/>
          <w:sz w:val="24"/>
          <w:szCs w:val="24"/>
        </w:rPr>
        <w:t>positive correlation between maltose intake and total grain (</w:t>
      </w:r>
      <w:r w:rsidR="00C52834" w:rsidRPr="00C52834">
        <w:rPr>
          <w:rFonts w:ascii="Book Antiqua" w:hAnsi="Book Antiqua"/>
          <w:i/>
          <w:sz w:val="24"/>
          <w:szCs w:val="24"/>
        </w:rPr>
        <w:t xml:space="preserve">r = </w:t>
      </w:r>
      <w:r w:rsidR="005816D9" w:rsidRPr="0086396D">
        <w:rPr>
          <w:rFonts w:ascii="Book Antiqua" w:hAnsi="Book Antiqua"/>
          <w:sz w:val="24"/>
          <w:szCs w:val="24"/>
        </w:rPr>
        <w:t xml:space="preserve">0.50, </w:t>
      </w:r>
      <w:r w:rsidR="00BA0C62" w:rsidRPr="00BA0C62">
        <w:rPr>
          <w:rFonts w:ascii="Book Antiqua" w:hAnsi="Book Antiqua"/>
          <w:i/>
          <w:sz w:val="24"/>
          <w:szCs w:val="24"/>
        </w:rPr>
        <w:t xml:space="preserve">P = </w:t>
      </w:r>
      <w:r w:rsidR="005816D9" w:rsidRPr="0086396D">
        <w:rPr>
          <w:rFonts w:ascii="Book Antiqua" w:hAnsi="Book Antiqua"/>
          <w:sz w:val="24"/>
          <w:szCs w:val="24"/>
        </w:rPr>
        <w:t>0.03) and whole grain intake (</w:t>
      </w:r>
      <w:r w:rsidR="00C52834" w:rsidRPr="00C52834">
        <w:rPr>
          <w:rFonts w:ascii="Book Antiqua" w:hAnsi="Book Antiqua"/>
          <w:i/>
          <w:sz w:val="24"/>
          <w:szCs w:val="24"/>
        </w:rPr>
        <w:t xml:space="preserve">r = </w:t>
      </w:r>
      <w:r w:rsidR="005816D9" w:rsidRPr="0086396D">
        <w:rPr>
          <w:rFonts w:ascii="Book Antiqua" w:hAnsi="Book Antiqua"/>
          <w:sz w:val="24"/>
          <w:szCs w:val="24"/>
        </w:rPr>
        <w:t xml:space="preserve">0.47, </w:t>
      </w:r>
      <w:r w:rsidR="00BA0C62" w:rsidRPr="00BA0C62">
        <w:rPr>
          <w:rFonts w:ascii="Book Antiqua" w:hAnsi="Book Antiqua"/>
          <w:i/>
          <w:sz w:val="24"/>
          <w:szCs w:val="24"/>
        </w:rPr>
        <w:t xml:space="preserve">P = </w:t>
      </w:r>
      <w:r w:rsidR="005816D9" w:rsidRPr="0086396D">
        <w:rPr>
          <w:rFonts w:ascii="Book Antiqua" w:hAnsi="Book Antiqua"/>
          <w:sz w:val="24"/>
          <w:szCs w:val="24"/>
        </w:rPr>
        <w:t xml:space="preserve">0.04) suggesting that the main source of maltose in our patients </w:t>
      </w:r>
      <w:r w:rsidR="0016600E" w:rsidRPr="0086396D">
        <w:rPr>
          <w:rFonts w:ascii="Book Antiqua" w:hAnsi="Book Antiqua"/>
          <w:sz w:val="24"/>
          <w:szCs w:val="24"/>
        </w:rPr>
        <w:t xml:space="preserve">was </w:t>
      </w:r>
      <w:r w:rsidR="00542E9D" w:rsidRPr="0086396D">
        <w:rPr>
          <w:rFonts w:ascii="Book Antiqua" w:hAnsi="Book Antiqua"/>
          <w:sz w:val="24"/>
          <w:szCs w:val="24"/>
        </w:rPr>
        <w:t xml:space="preserve">grain or grain products. </w:t>
      </w:r>
    </w:p>
    <w:p w14:paraId="7BF80159" w14:textId="77777777" w:rsidR="00C52834" w:rsidRPr="0086396D" w:rsidRDefault="00C52834" w:rsidP="005C7D8E">
      <w:pPr>
        <w:adjustRightInd w:val="0"/>
        <w:snapToGrid w:val="0"/>
        <w:spacing w:after="0" w:line="360" w:lineRule="auto"/>
        <w:jc w:val="both"/>
        <w:rPr>
          <w:rFonts w:ascii="Book Antiqua" w:hAnsi="Book Antiqua"/>
          <w:sz w:val="24"/>
          <w:szCs w:val="24"/>
          <w:lang w:eastAsia="zh-CN"/>
        </w:rPr>
      </w:pPr>
    </w:p>
    <w:p w14:paraId="33EA5404" w14:textId="61D1D386" w:rsidR="00C52834" w:rsidRPr="00C52834" w:rsidRDefault="00A014C1" w:rsidP="005C7D8E">
      <w:pPr>
        <w:adjustRightInd w:val="0"/>
        <w:snapToGrid w:val="0"/>
        <w:spacing w:after="0" w:line="360" w:lineRule="auto"/>
        <w:jc w:val="both"/>
        <w:rPr>
          <w:rFonts w:ascii="Book Antiqua" w:hAnsi="Book Antiqua"/>
          <w:b/>
          <w:i/>
          <w:sz w:val="24"/>
          <w:szCs w:val="24"/>
          <w:lang w:eastAsia="zh-CN"/>
        </w:rPr>
      </w:pPr>
      <w:r w:rsidRPr="00C52834">
        <w:rPr>
          <w:rFonts w:ascii="Book Antiqua" w:hAnsi="Book Antiqua"/>
          <w:b/>
          <w:i/>
          <w:sz w:val="24"/>
          <w:szCs w:val="24"/>
        </w:rPr>
        <w:t>Fecal c</w:t>
      </w:r>
      <w:r w:rsidR="00042AB3" w:rsidRPr="00C52834">
        <w:rPr>
          <w:rFonts w:ascii="Book Antiqua" w:hAnsi="Book Antiqua"/>
          <w:b/>
          <w:i/>
          <w:sz w:val="24"/>
          <w:szCs w:val="24"/>
        </w:rPr>
        <w:t>alprotectin</w:t>
      </w:r>
    </w:p>
    <w:p w14:paraId="3B9854BB" w14:textId="7C5509DA" w:rsidR="0029263D" w:rsidRDefault="00DC1397"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The median (IQR) </w:t>
      </w:r>
      <w:r w:rsidRPr="0086396D">
        <w:rPr>
          <w:rFonts w:ascii="Book Antiqua" w:hAnsi="Book Antiqua"/>
          <w:sz w:val="24"/>
          <w:szCs w:val="24"/>
          <w:lang w:val="en-CA"/>
        </w:rPr>
        <w:t xml:space="preserve">level of </w:t>
      </w:r>
      <w:r w:rsidR="00C52834" w:rsidRPr="00C52834">
        <w:rPr>
          <w:rFonts w:ascii="Book Antiqua" w:hAnsi="Book Antiqua"/>
          <w:sz w:val="24"/>
          <w:szCs w:val="24"/>
        </w:rPr>
        <w:t>fecal calprotectin (FCP)</w:t>
      </w:r>
      <w:r w:rsidRPr="0086396D">
        <w:rPr>
          <w:rFonts w:ascii="Book Antiqua" w:hAnsi="Book Antiqua"/>
          <w:sz w:val="24"/>
          <w:szCs w:val="24"/>
        </w:rPr>
        <w:t>at baseline in UC patients with</w:t>
      </w:r>
      <w:r w:rsidR="00EA3B31" w:rsidRPr="0086396D">
        <w:rPr>
          <w:rFonts w:ascii="Book Antiqua" w:hAnsi="Book Antiqua"/>
          <w:sz w:val="24"/>
          <w:szCs w:val="24"/>
        </w:rPr>
        <w:t xml:space="preserve"> clinical</w:t>
      </w:r>
      <w:r w:rsidRPr="0086396D">
        <w:rPr>
          <w:rFonts w:ascii="Book Antiqua" w:hAnsi="Book Antiqua"/>
          <w:sz w:val="24"/>
          <w:szCs w:val="24"/>
        </w:rPr>
        <w:t xml:space="preserve"> relapse and </w:t>
      </w:r>
      <w:r w:rsidR="00EA3B31" w:rsidRPr="0086396D">
        <w:rPr>
          <w:rFonts w:ascii="Book Antiqua" w:hAnsi="Book Antiqua"/>
          <w:sz w:val="24"/>
          <w:szCs w:val="24"/>
        </w:rPr>
        <w:t>remission</w:t>
      </w:r>
      <w:r w:rsidRPr="0086396D">
        <w:rPr>
          <w:rFonts w:ascii="Book Antiqua" w:hAnsi="Book Antiqua"/>
          <w:sz w:val="24"/>
          <w:szCs w:val="24"/>
        </w:rPr>
        <w:t xml:space="preserve"> </w:t>
      </w:r>
      <w:r w:rsidR="004C59E8">
        <w:rPr>
          <w:rFonts w:ascii="Book Antiqua" w:hAnsi="Book Antiqua"/>
          <w:sz w:val="24"/>
          <w:szCs w:val="24"/>
        </w:rPr>
        <w:t>at 12 mo</w:t>
      </w:r>
      <w:r w:rsidR="00A52711" w:rsidRPr="0086396D">
        <w:rPr>
          <w:rFonts w:ascii="Book Antiqua" w:hAnsi="Book Antiqua"/>
          <w:sz w:val="24"/>
          <w:szCs w:val="24"/>
        </w:rPr>
        <w:t xml:space="preserve"> </w:t>
      </w:r>
      <w:r w:rsidR="00904113" w:rsidRPr="0086396D">
        <w:rPr>
          <w:rFonts w:ascii="Book Antiqua" w:hAnsi="Book Antiqua"/>
          <w:sz w:val="24"/>
          <w:szCs w:val="24"/>
        </w:rPr>
        <w:t xml:space="preserve">of </w:t>
      </w:r>
      <w:r w:rsidR="00A52711" w:rsidRPr="0086396D">
        <w:rPr>
          <w:rFonts w:ascii="Book Antiqua" w:hAnsi="Book Antiqua"/>
          <w:sz w:val="24"/>
          <w:szCs w:val="24"/>
        </w:rPr>
        <w:t xml:space="preserve">follow-up </w:t>
      </w:r>
      <w:r w:rsidRPr="0086396D">
        <w:rPr>
          <w:rFonts w:ascii="Book Antiqua" w:hAnsi="Book Antiqua"/>
          <w:sz w:val="24"/>
          <w:szCs w:val="24"/>
        </w:rPr>
        <w:t>was 195.9 (41.2-347.9) and 23.3 (12.9-84.5) μg/g, respectively (</w:t>
      </w:r>
      <w:r w:rsidR="00BA0C62" w:rsidRPr="00BA0C62">
        <w:rPr>
          <w:rFonts w:ascii="Book Antiqua" w:hAnsi="Book Antiqua"/>
          <w:i/>
          <w:sz w:val="24"/>
          <w:szCs w:val="24"/>
        </w:rPr>
        <w:t xml:space="preserve">P = </w:t>
      </w:r>
      <w:r w:rsidRPr="0086396D">
        <w:rPr>
          <w:rFonts w:ascii="Book Antiqua" w:hAnsi="Book Antiqua"/>
          <w:sz w:val="24"/>
          <w:szCs w:val="24"/>
        </w:rPr>
        <w:t>0.05). Five (71.4%) patients with high FC</w:t>
      </w:r>
      <w:r w:rsidR="00306CA1" w:rsidRPr="0086396D">
        <w:rPr>
          <w:rFonts w:ascii="Book Antiqua" w:hAnsi="Book Antiqua"/>
          <w:sz w:val="24"/>
          <w:szCs w:val="24"/>
        </w:rPr>
        <w:t>P</w:t>
      </w:r>
      <w:r w:rsidRPr="0086396D">
        <w:rPr>
          <w:rFonts w:ascii="Book Antiqua" w:hAnsi="Book Antiqua"/>
          <w:sz w:val="24"/>
          <w:szCs w:val="24"/>
        </w:rPr>
        <w:t xml:space="preserve"> </w:t>
      </w:r>
      <w:r w:rsidR="00815F84" w:rsidRPr="0086396D">
        <w:rPr>
          <w:rFonts w:ascii="Book Antiqua" w:hAnsi="Book Antiqua"/>
          <w:sz w:val="24"/>
          <w:szCs w:val="24"/>
        </w:rPr>
        <w:t xml:space="preserve">versus </w:t>
      </w:r>
      <w:r w:rsidRPr="0086396D">
        <w:rPr>
          <w:rFonts w:ascii="Book Antiqua" w:hAnsi="Book Antiqua"/>
          <w:sz w:val="24"/>
          <w:szCs w:val="24"/>
        </w:rPr>
        <w:t>2 (15.4%) patients with normal FC</w:t>
      </w:r>
      <w:r w:rsidR="00306CA1" w:rsidRPr="0086396D">
        <w:rPr>
          <w:rFonts w:ascii="Book Antiqua" w:hAnsi="Book Antiqua"/>
          <w:sz w:val="24"/>
          <w:szCs w:val="24"/>
        </w:rPr>
        <w:t>P</w:t>
      </w:r>
      <w:r w:rsidRPr="0086396D">
        <w:rPr>
          <w:rFonts w:ascii="Book Antiqua" w:hAnsi="Book Antiqua"/>
          <w:sz w:val="24"/>
          <w:szCs w:val="24"/>
        </w:rPr>
        <w:t xml:space="preserve"> at baseline relapsed during the follow-up (RR</w:t>
      </w:r>
      <w:r w:rsidR="004C59E8">
        <w:rPr>
          <w:rFonts w:ascii="Book Antiqua" w:hAnsi="Book Antiqua" w:hint="eastAsia"/>
          <w:sz w:val="24"/>
          <w:szCs w:val="24"/>
          <w:lang w:eastAsia="zh-CN"/>
        </w:rPr>
        <w:t xml:space="preserve"> = </w:t>
      </w:r>
      <w:r w:rsidR="004C59E8">
        <w:rPr>
          <w:rFonts w:ascii="Book Antiqua" w:hAnsi="Book Antiqua"/>
          <w:sz w:val="24"/>
          <w:szCs w:val="24"/>
        </w:rPr>
        <w:t>4.6, 95%</w:t>
      </w:r>
      <w:r w:rsidRPr="0086396D">
        <w:rPr>
          <w:rFonts w:ascii="Book Antiqua" w:hAnsi="Book Antiqua"/>
          <w:sz w:val="24"/>
          <w:szCs w:val="24"/>
        </w:rPr>
        <w:t xml:space="preserve">CI: 1.2-18.1, </w:t>
      </w:r>
      <w:r w:rsidR="00BA0C62" w:rsidRPr="00BA0C62">
        <w:rPr>
          <w:rFonts w:ascii="Book Antiqua" w:hAnsi="Book Antiqua"/>
          <w:i/>
          <w:sz w:val="24"/>
          <w:szCs w:val="24"/>
        </w:rPr>
        <w:t xml:space="preserve">P = </w:t>
      </w:r>
      <w:r w:rsidRPr="0086396D">
        <w:rPr>
          <w:rFonts w:ascii="Book Antiqua" w:hAnsi="Book Antiqua"/>
          <w:sz w:val="24"/>
          <w:szCs w:val="24"/>
        </w:rPr>
        <w:t>0.02). ROC curves for FC</w:t>
      </w:r>
      <w:r w:rsidR="00306CA1" w:rsidRPr="0086396D">
        <w:rPr>
          <w:rFonts w:ascii="Book Antiqua" w:hAnsi="Book Antiqua"/>
          <w:sz w:val="24"/>
          <w:szCs w:val="24"/>
        </w:rPr>
        <w:t>P</w:t>
      </w:r>
      <w:r w:rsidRPr="0086396D">
        <w:rPr>
          <w:rFonts w:ascii="Book Antiqua" w:hAnsi="Book Antiqua"/>
          <w:sz w:val="24"/>
          <w:szCs w:val="24"/>
        </w:rPr>
        <w:t xml:space="preserve"> as a predictor of</w:t>
      </w:r>
      <w:r w:rsidR="00EA3B31" w:rsidRPr="0086396D">
        <w:rPr>
          <w:rFonts w:ascii="Book Antiqua" w:hAnsi="Book Antiqua"/>
          <w:sz w:val="24"/>
          <w:szCs w:val="24"/>
        </w:rPr>
        <w:t xml:space="preserve"> clinical</w:t>
      </w:r>
      <w:r w:rsidRPr="0086396D">
        <w:rPr>
          <w:rFonts w:ascii="Book Antiqua" w:hAnsi="Book Antiqua"/>
          <w:sz w:val="24"/>
          <w:szCs w:val="24"/>
        </w:rPr>
        <w:t xml:space="preserve"> relapse in UC is presented in Figure 1. An FC</w:t>
      </w:r>
      <w:r w:rsidR="00306CA1" w:rsidRPr="0086396D">
        <w:rPr>
          <w:rFonts w:ascii="Book Antiqua" w:hAnsi="Book Antiqua"/>
          <w:sz w:val="24"/>
          <w:szCs w:val="24"/>
        </w:rPr>
        <w:t>P</w:t>
      </w:r>
      <w:r w:rsidRPr="0086396D">
        <w:rPr>
          <w:rFonts w:ascii="Book Antiqua" w:hAnsi="Book Antiqua"/>
          <w:sz w:val="24"/>
          <w:szCs w:val="24"/>
        </w:rPr>
        <w:t xml:space="preserve"> concentration of 124 μg/g resulted in a sensitivity of 71.4%, a specificity of 84.6%, a positive predictive value (PPV) of 71.4, </w:t>
      </w:r>
      <w:r w:rsidR="00815F84" w:rsidRPr="0086396D">
        <w:rPr>
          <w:rFonts w:ascii="Book Antiqua" w:hAnsi="Book Antiqua"/>
          <w:sz w:val="24"/>
          <w:szCs w:val="24"/>
        </w:rPr>
        <w:t xml:space="preserve">and </w:t>
      </w:r>
      <w:r w:rsidRPr="0086396D">
        <w:rPr>
          <w:rFonts w:ascii="Book Antiqua" w:hAnsi="Book Antiqua"/>
          <w:sz w:val="24"/>
          <w:szCs w:val="24"/>
        </w:rPr>
        <w:t xml:space="preserve">a negative predictive value (NPV) of 84.6% in predicting UC </w:t>
      </w:r>
      <w:r w:rsidR="00EA3B31" w:rsidRPr="0086396D">
        <w:rPr>
          <w:rFonts w:ascii="Book Antiqua" w:hAnsi="Book Antiqua"/>
          <w:sz w:val="24"/>
          <w:szCs w:val="24"/>
        </w:rPr>
        <w:t xml:space="preserve">clinical </w:t>
      </w:r>
      <w:r w:rsidRPr="0086396D">
        <w:rPr>
          <w:rFonts w:ascii="Book Antiqua" w:hAnsi="Book Antiqua"/>
          <w:sz w:val="24"/>
          <w:szCs w:val="24"/>
        </w:rPr>
        <w:t>relapse.</w:t>
      </w:r>
    </w:p>
    <w:p w14:paraId="6567F2A5" w14:textId="77777777" w:rsidR="004C59E8" w:rsidRPr="0086396D" w:rsidRDefault="004C59E8" w:rsidP="005C7D8E">
      <w:pPr>
        <w:adjustRightInd w:val="0"/>
        <w:snapToGrid w:val="0"/>
        <w:spacing w:after="0" w:line="360" w:lineRule="auto"/>
        <w:jc w:val="both"/>
        <w:rPr>
          <w:rFonts w:ascii="Book Antiqua" w:hAnsi="Book Antiqua"/>
          <w:sz w:val="24"/>
          <w:szCs w:val="24"/>
          <w:lang w:eastAsia="zh-CN"/>
        </w:rPr>
      </w:pPr>
    </w:p>
    <w:p w14:paraId="7AB87BF9" w14:textId="77777777" w:rsidR="004C59E8" w:rsidRPr="004C59E8" w:rsidRDefault="00A014C1" w:rsidP="005C7D8E">
      <w:pPr>
        <w:adjustRightInd w:val="0"/>
        <w:snapToGrid w:val="0"/>
        <w:spacing w:after="0" w:line="360" w:lineRule="auto"/>
        <w:jc w:val="both"/>
        <w:rPr>
          <w:rFonts w:ascii="Book Antiqua" w:hAnsi="Book Antiqua"/>
          <w:b/>
          <w:i/>
          <w:sz w:val="24"/>
          <w:szCs w:val="24"/>
          <w:lang w:val="en-CA" w:eastAsia="zh-CN"/>
        </w:rPr>
      </w:pPr>
      <w:r w:rsidRPr="004C59E8">
        <w:rPr>
          <w:rFonts w:ascii="Book Antiqua" w:hAnsi="Book Antiqua"/>
          <w:b/>
          <w:i/>
          <w:sz w:val="24"/>
          <w:szCs w:val="24"/>
          <w:lang w:val="en-CA"/>
        </w:rPr>
        <w:t>Metabolomic a</w:t>
      </w:r>
      <w:r w:rsidR="00042AB3" w:rsidRPr="004C59E8">
        <w:rPr>
          <w:rFonts w:ascii="Book Antiqua" w:hAnsi="Book Antiqua"/>
          <w:b/>
          <w:i/>
          <w:sz w:val="24"/>
          <w:szCs w:val="24"/>
          <w:lang w:val="en-CA"/>
        </w:rPr>
        <w:t>nalysis</w:t>
      </w:r>
    </w:p>
    <w:p w14:paraId="46DB8D27" w14:textId="1279001D" w:rsidR="00252861" w:rsidRPr="0086396D" w:rsidRDefault="00A87118" w:rsidP="005C7D8E">
      <w:pPr>
        <w:adjustRightInd w:val="0"/>
        <w:snapToGrid w:val="0"/>
        <w:spacing w:after="0" w:line="360" w:lineRule="auto"/>
        <w:jc w:val="both"/>
        <w:rPr>
          <w:rFonts w:ascii="Book Antiqua" w:hAnsi="Book Antiqua"/>
          <w:sz w:val="24"/>
          <w:szCs w:val="24"/>
          <w:lang w:val="en-CA"/>
        </w:rPr>
      </w:pPr>
      <w:r w:rsidRPr="0086396D">
        <w:rPr>
          <w:rFonts w:ascii="Book Antiqua" w:hAnsi="Book Antiqua"/>
          <w:sz w:val="24"/>
          <w:szCs w:val="24"/>
          <w:lang w:val="en-CA"/>
        </w:rPr>
        <w:t xml:space="preserve">Using the </w:t>
      </w:r>
      <w:r w:rsidR="007B6E29" w:rsidRPr="0086396D">
        <w:rPr>
          <w:rFonts w:ascii="Book Antiqua" w:hAnsi="Book Antiqua"/>
          <w:sz w:val="24"/>
          <w:szCs w:val="24"/>
          <w:lang w:val="en-CA"/>
        </w:rPr>
        <w:t xml:space="preserve">described </w:t>
      </w:r>
      <w:r w:rsidRPr="0086396D">
        <w:rPr>
          <w:rFonts w:ascii="Book Antiqua" w:hAnsi="Book Antiqua"/>
          <w:sz w:val="24"/>
          <w:szCs w:val="24"/>
          <w:lang w:val="en-CA"/>
        </w:rPr>
        <w:t xml:space="preserve">metabolomic assays, we </w:t>
      </w:r>
      <w:r w:rsidR="00EA4178" w:rsidRPr="0086396D">
        <w:rPr>
          <w:rFonts w:ascii="Book Antiqua" w:hAnsi="Book Antiqua"/>
          <w:sz w:val="24"/>
          <w:szCs w:val="24"/>
          <w:lang w:val="en-CA"/>
        </w:rPr>
        <w:t>identified and quantified</w:t>
      </w:r>
      <w:r w:rsidRPr="0086396D">
        <w:rPr>
          <w:rFonts w:ascii="Book Antiqua" w:hAnsi="Book Antiqua"/>
          <w:sz w:val="24"/>
          <w:szCs w:val="24"/>
          <w:lang w:val="en-CA"/>
        </w:rPr>
        <w:t xml:space="preserve"> 216</w:t>
      </w:r>
      <w:r w:rsidR="001E7403" w:rsidRPr="0086396D">
        <w:rPr>
          <w:rFonts w:ascii="Book Antiqua" w:hAnsi="Book Antiqua"/>
          <w:sz w:val="24"/>
          <w:szCs w:val="24"/>
          <w:lang w:val="en-CA"/>
        </w:rPr>
        <w:t xml:space="preserve"> and 247 metabolites</w:t>
      </w:r>
      <w:r w:rsidRPr="0086396D">
        <w:rPr>
          <w:rFonts w:ascii="Book Antiqua" w:hAnsi="Book Antiqua"/>
          <w:sz w:val="24"/>
          <w:szCs w:val="24"/>
          <w:lang w:val="en-CA"/>
        </w:rPr>
        <w:t xml:space="preserve"> in serum and urine samples, respectively. </w:t>
      </w:r>
      <w:r w:rsidR="006E1BAA" w:rsidRPr="0086396D">
        <w:rPr>
          <w:rFonts w:ascii="Book Antiqua" w:hAnsi="Book Antiqua"/>
          <w:sz w:val="24"/>
          <w:szCs w:val="24"/>
          <w:lang w:val="en-CA"/>
        </w:rPr>
        <w:t xml:space="preserve">After conducting univariate analysis, 16 candidate metabolites were </w:t>
      </w:r>
      <w:r w:rsidR="00A92D18" w:rsidRPr="0086396D">
        <w:rPr>
          <w:rFonts w:ascii="Book Antiqua" w:hAnsi="Book Antiqua"/>
          <w:sz w:val="24"/>
          <w:szCs w:val="24"/>
          <w:lang w:val="en-CA"/>
        </w:rPr>
        <w:t>candidate</w:t>
      </w:r>
      <w:r w:rsidR="006E1BAA" w:rsidRPr="0086396D">
        <w:rPr>
          <w:rFonts w:ascii="Book Antiqua" w:hAnsi="Book Antiqua"/>
          <w:sz w:val="24"/>
          <w:szCs w:val="24"/>
          <w:lang w:val="en-CA"/>
        </w:rPr>
        <w:t xml:space="preserve"> for further statistical analysis</w:t>
      </w:r>
      <w:r w:rsidR="00A92D18" w:rsidRPr="0086396D">
        <w:rPr>
          <w:rFonts w:ascii="Book Antiqua" w:hAnsi="Book Antiqua"/>
          <w:sz w:val="24"/>
          <w:szCs w:val="24"/>
          <w:lang w:val="en-CA"/>
        </w:rPr>
        <w:t xml:space="preserve"> based on the </w:t>
      </w:r>
      <w:r w:rsidR="00A92D18" w:rsidRPr="004C59E8">
        <w:rPr>
          <w:rFonts w:ascii="Book Antiqua" w:hAnsi="Book Antiqua"/>
          <w:i/>
          <w:sz w:val="24"/>
          <w:szCs w:val="24"/>
          <w:lang w:val="en-CA"/>
        </w:rPr>
        <w:t>P</w:t>
      </w:r>
      <w:r w:rsidR="00A92D18" w:rsidRPr="0086396D">
        <w:rPr>
          <w:rFonts w:ascii="Book Antiqua" w:hAnsi="Book Antiqua"/>
          <w:sz w:val="24"/>
          <w:szCs w:val="24"/>
          <w:lang w:val="en-CA"/>
        </w:rPr>
        <w:t>-value of &lt; 0.1</w:t>
      </w:r>
      <w:r w:rsidR="006E1BAA" w:rsidRPr="0086396D">
        <w:rPr>
          <w:rFonts w:ascii="Book Antiqua" w:hAnsi="Book Antiqua"/>
          <w:sz w:val="24"/>
          <w:szCs w:val="24"/>
          <w:lang w:val="en-CA"/>
        </w:rPr>
        <w:t xml:space="preserve">. </w:t>
      </w:r>
      <w:r w:rsidR="00A014C1" w:rsidRPr="0086396D">
        <w:rPr>
          <w:rFonts w:ascii="Book Antiqua" w:hAnsi="Book Antiqua"/>
          <w:sz w:val="24"/>
          <w:szCs w:val="24"/>
          <w:lang w:val="en-CA"/>
        </w:rPr>
        <w:t>As</w:t>
      </w:r>
      <w:r w:rsidR="006E1BAA" w:rsidRPr="0086396D">
        <w:rPr>
          <w:rFonts w:ascii="Book Antiqua" w:hAnsi="Book Antiqua"/>
          <w:sz w:val="24"/>
          <w:szCs w:val="24"/>
          <w:lang w:val="en-CA"/>
        </w:rPr>
        <w:t xml:space="preserve"> presented in Figure 2,</w:t>
      </w:r>
      <w:r w:rsidR="003F675F" w:rsidRPr="0086396D">
        <w:rPr>
          <w:rFonts w:ascii="Book Antiqua" w:hAnsi="Book Antiqua"/>
          <w:sz w:val="24"/>
          <w:szCs w:val="24"/>
          <w:lang w:val="en-CA"/>
        </w:rPr>
        <w:t xml:space="preserve"> </w:t>
      </w:r>
      <w:r w:rsidR="006E1BAA" w:rsidRPr="0086396D">
        <w:rPr>
          <w:rFonts w:ascii="Book Antiqua" w:hAnsi="Book Antiqua"/>
          <w:sz w:val="24"/>
          <w:szCs w:val="24"/>
          <w:lang w:val="en-CA"/>
        </w:rPr>
        <w:t xml:space="preserve">UC patients who experienced </w:t>
      </w:r>
      <w:r w:rsidR="00EA3B31" w:rsidRPr="0086396D">
        <w:rPr>
          <w:rFonts w:ascii="Book Antiqua" w:hAnsi="Book Antiqua"/>
          <w:sz w:val="24"/>
          <w:szCs w:val="24"/>
          <w:lang w:val="en-CA"/>
        </w:rPr>
        <w:t xml:space="preserve">clinical </w:t>
      </w:r>
      <w:r w:rsidR="006E1BAA" w:rsidRPr="0086396D">
        <w:rPr>
          <w:rFonts w:ascii="Book Antiqua" w:hAnsi="Book Antiqua"/>
          <w:sz w:val="24"/>
          <w:szCs w:val="24"/>
          <w:lang w:val="en-CA"/>
        </w:rPr>
        <w:t xml:space="preserve">relapse or stayed in clinical remission during follow-up </w:t>
      </w:r>
      <w:r w:rsidR="003F675F" w:rsidRPr="0086396D">
        <w:rPr>
          <w:rFonts w:ascii="Book Antiqua" w:hAnsi="Book Antiqua"/>
          <w:sz w:val="24"/>
          <w:szCs w:val="24"/>
          <w:lang w:val="en-CA"/>
        </w:rPr>
        <w:t xml:space="preserve">could be discriminated </w:t>
      </w:r>
      <w:r w:rsidR="00DD08F1" w:rsidRPr="0086396D">
        <w:rPr>
          <w:rFonts w:ascii="Book Antiqua" w:hAnsi="Book Antiqua"/>
          <w:sz w:val="24"/>
          <w:szCs w:val="24"/>
          <w:lang w:val="en-CA"/>
        </w:rPr>
        <w:t xml:space="preserve">in different clusters </w:t>
      </w:r>
      <w:r w:rsidR="003F675F" w:rsidRPr="0086396D">
        <w:rPr>
          <w:rFonts w:ascii="Book Antiqua" w:hAnsi="Book Antiqua"/>
          <w:sz w:val="24"/>
          <w:szCs w:val="24"/>
          <w:lang w:val="en-CA"/>
        </w:rPr>
        <w:t>from</w:t>
      </w:r>
      <w:r w:rsidR="006E1BAA" w:rsidRPr="0086396D">
        <w:rPr>
          <w:rFonts w:ascii="Book Antiqua" w:hAnsi="Book Antiqua"/>
          <w:sz w:val="24"/>
          <w:szCs w:val="24"/>
          <w:lang w:val="en-CA"/>
        </w:rPr>
        <w:t xml:space="preserve"> each other</w:t>
      </w:r>
      <w:r w:rsidR="003F675F" w:rsidRPr="0086396D">
        <w:rPr>
          <w:rFonts w:ascii="Book Antiqua" w:hAnsi="Book Antiqua"/>
          <w:sz w:val="24"/>
          <w:szCs w:val="24"/>
          <w:lang w:val="en-CA"/>
        </w:rPr>
        <w:t xml:space="preserve"> by their metabolomic profile at baseline</w:t>
      </w:r>
      <w:r w:rsidR="006E1BAA" w:rsidRPr="0086396D">
        <w:rPr>
          <w:rFonts w:ascii="Book Antiqua" w:hAnsi="Book Antiqua"/>
          <w:sz w:val="24"/>
          <w:szCs w:val="24"/>
          <w:lang w:val="en-CA"/>
        </w:rPr>
        <w:t xml:space="preserve">. Using the permutation </w:t>
      </w:r>
      <w:r w:rsidR="003F675F" w:rsidRPr="0086396D">
        <w:rPr>
          <w:rFonts w:ascii="Book Antiqua" w:hAnsi="Book Antiqua"/>
          <w:sz w:val="24"/>
          <w:szCs w:val="24"/>
          <w:lang w:val="en-CA"/>
        </w:rPr>
        <w:t xml:space="preserve">testing, </w:t>
      </w:r>
      <w:r w:rsidR="006E1BAA" w:rsidRPr="0086396D">
        <w:rPr>
          <w:rFonts w:ascii="Book Antiqua" w:hAnsi="Book Antiqua"/>
          <w:sz w:val="24"/>
          <w:szCs w:val="24"/>
          <w:lang w:val="en-CA"/>
        </w:rPr>
        <w:t xml:space="preserve">we showed that this separation </w:t>
      </w:r>
      <w:r w:rsidR="003F675F" w:rsidRPr="0086396D">
        <w:rPr>
          <w:rFonts w:ascii="Book Antiqua" w:hAnsi="Book Antiqua"/>
          <w:sz w:val="24"/>
          <w:szCs w:val="24"/>
          <w:lang w:val="en-CA"/>
        </w:rPr>
        <w:t>was statistically significant (</w:t>
      </w:r>
      <w:r w:rsidR="00BA0C62" w:rsidRPr="00BA0C62">
        <w:rPr>
          <w:rFonts w:ascii="Book Antiqua" w:hAnsi="Book Antiqua"/>
          <w:i/>
          <w:sz w:val="24"/>
          <w:szCs w:val="24"/>
          <w:lang w:val="en-CA"/>
        </w:rPr>
        <w:t xml:space="preserve">P = </w:t>
      </w:r>
      <w:r w:rsidR="003F675F" w:rsidRPr="0086396D">
        <w:rPr>
          <w:rFonts w:ascii="Book Antiqua" w:hAnsi="Book Antiqua"/>
          <w:sz w:val="24"/>
          <w:szCs w:val="24"/>
          <w:lang w:val="en-CA"/>
        </w:rPr>
        <w:t xml:space="preserve">0.04). The </w:t>
      </w:r>
      <w:r w:rsidR="003F675F" w:rsidRPr="004C59E8">
        <w:rPr>
          <w:rFonts w:ascii="Book Antiqua" w:hAnsi="Book Antiqua"/>
          <w:i/>
          <w:sz w:val="24"/>
          <w:szCs w:val="24"/>
          <w:lang w:val="en-CA"/>
        </w:rPr>
        <w:t>R</w:t>
      </w:r>
      <w:r w:rsidR="003F675F" w:rsidRPr="0086396D">
        <w:rPr>
          <w:rFonts w:ascii="Book Antiqua" w:hAnsi="Book Antiqua"/>
          <w:sz w:val="24"/>
          <w:szCs w:val="24"/>
          <w:vertAlign w:val="superscript"/>
          <w:lang w:val="en-CA"/>
        </w:rPr>
        <w:t>2</w:t>
      </w:r>
      <w:r w:rsidR="003F675F" w:rsidRPr="0086396D">
        <w:rPr>
          <w:rFonts w:ascii="Book Antiqua" w:hAnsi="Book Antiqua"/>
          <w:sz w:val="24"/>
          <w:szCs w:val="24"/>
          <w:lang w:val="en-CA"/>
        </w:rPr>
        <w:t xml:space="preserve"> and </w:t>
      </w:r>
      <w:r w:rsidR="003F675F" w:rsidRPr="004C59E8">
        <w:rPr>
          <w:rFonts w:ascii="Book Antiqua" w:hAnsi="Book Antiqua"/>
          <w:i/>
          <w:sz w:val="24"/>
          <w:szCs w:val="24"/>
          <w:lang w:val="en-CA"/>
        </w:rPr>
        <w:t>Q</w:t>
      </w:r>
      <w:r w:rsidR="003F675F" w:rsidRPr="0086396D">
        <w:rPr>
          <w:rFonts w:ascii="Book Antiqua" w:hAnsi="Book Antiqua"/>
          <w:sz w:val="24"/>
          <w:szCs w:val="24"/>
          <w:vertAlign w:val="superscript"/>
          <w:lang w:val="en-CA"/>
        </w:rPr>
        <w:t>2</w:t>
      </w:r>
      <w:r w:rsidR="003F675F" w:rsidRPr="0086396D">
        <w:rPr>
          <w:rFonts w:ascii="Book Antiqua" w:hAnsi="Book Antiqua"/>
          <w:sz w:val="24"/>
          <w:szCs w:val="24"/>
          <w:lang w:val="en-CA"/>
        </w:rPr>
        <w:t xml:space="preserve"> of the model was 0.</w:t>
      </w:r>
      <w:r w:rsidR="00F961D2" w:rsidRPr="0086396D">
        <w:rPr>
          <w:rFonts w:ascii="Book Antiqua" w:hAnsi="Book Antiqua"/>
          <w:sz w:val="24"/>
          <w:szCs w:val="24"/>
          <w:lang w:val="en-CA"/>
        </w:rPr>
        <w:t>84</w:t>
      </w:r>
      <w:r w:rsidR="003F675F" w:rsidRPr="0086396D">
        <w:rPr>
          <w:rFonts w:ascii="Book Antiqua" w:hAnsi="Book Antiqua"/>
          <w:sz w:val="24"/>
          <w:szCs w:val="24"/>
          <w:lang w:val="en-CA"/>
        </w:rPr>
        <w:t xml:space="preserve"> and 0.</w:t>
      </w:r>
      <w:r w:rsidR="00F961D2" w:rsidRPr="0086396D">
        <w:rPr>
          <w:rFonts w:ascii="Book Antiqua" w:hAnsi="Book Antiqua"/>
          <w:sz w:val="24"/>
          <w:szCs w:val="24"/>
          <w:lang w:val="en-CA"/>
        </w:rPr>
        <w:t>59</w:t>
      </w:r>
      <w:r w:rsidR="003F675F" w:rsidRPr="0086396D">
        <w:rPr>
          <w:rFonts w:ascii="Book Antiqua" w:hAnsi="Book Antiqua"/>
          <w:sz w:val="24"/>
          <w:szCs w:val="24"/>
          <w:lang w:val="en-CA"/>
        </w:rPr>
        <w:t xml:space="preserve">, respectively. VIP values of </w:t>
      </w:r>
      <w:r w:rsidR="0057765A" w:rsidRPr="0086396D">
        <w:rPr>
          <w:rFonts w:ascii="Book Antiqua" w:hAnsi="Book Antiqua"/>
          <w:sz w:val="24"/>
          <w:szCs w:val="24"/>
          <w:lang w:val="en-CA"/>
        </w:rPr>
        <w:t>six</w:t>
      </w:r>
      <w:r w:rsidR="00F961D2" w:rsidRPr="0086396D">
        <w:rPr>
          <w:rFonts w:ascii="Book Antiqua" w:hAnsi="Book Antiqua"/>
          <w:sz w:val="24"/>
          <w:szCs w:val="24"/>
          <w:lang w:val="en-CA"/>
        </w:rPr>
        <w:t xml:space="preserve"> metabolites were above 1</w:t>
      </w:r>
      <w:r w:rsidR="0073368E" w:rsidRPr="0086396D">
        <w:rPr>
          <w:rFonts w:ascii="Book Antiqua" w:hAnsi="Book Antiqua"/>
          <w:sz w:val="24"/>
          <w:szCs w:val="24"/>
          <w:lang w:val="en-CA"/>
        </w:rPr>
        <w:t>.0</w:t>
      </w:r>
      <w:r w:rsidR="00F961D2" w:rsidRPr="0086396D">
        <w:rPr>
          <w:rFonts w:ascii="Book Antiqua" w:hAnsi="Book Antiqua"/>
          <w:sz w:val="24"/>
          <w:szCs w:val="24"/>
          <w:lang w:val="en-CA"/>
        </w:rPr>
        <w:t xml:space="preserve">, showing </w:t>
      </w:r>
      <w:r w:rsidR="003F675F" w:rsidRPr="0086396D">
        <w:rPr>
          <w:rFonts w:ascii="Book Antiqua" w:hAnsi="Book Antiqua"/>
          <w:sz w:val="24"/>
          <w:szCs w:val="24"/>
          <w:lang w:val="en-CA"/>
        </w:rPr>
        <w:t xml:space="preserve">their </w:t>
      </w:r>
      <w:r w:rsidR="00F961D2" w:rsidRPr="0086396D">
        <w:rPr>
          <w:rFonts w:ascii="Book Antiqua" w:hAnsi="Book Antiqua"/>
          <w:sz w:val="24"/>
          <w:szCs w:val="24"/>
          <w:lang w:val="en-CA"/>
        </w:rPr>
        <w:t xml:space="preserve">important </w:t>
      </w:r>
      <w:r w:rsidR="003F675F" w:rsidRPr="0086396D">
        <w:rPr>
          <w:rFonts w:ascii="Book Antiqua" w:hAnsi="Book Antiqua"/>
          <w:sz w:val="24"/>
          <w:szCs w:val="24"/>
          <w:lang w:val="en-CA"/>
        </w:rPr>
        <w:t xml:space="preserve">role in the discrimination between </w:t>
      </w:r>
      <w:r w:rsidR="003F675F" w:rsidRPr="0086396D">
        <w:rPr>
          <w:rFonts w:ascii="Book Antiqua" w:hAnsi="Book Antiqua"/>
          <w:sz w:val="24"/>
          <w:szCs w:val="24"/>
          <w:lang w:val="en-CA"/>
        </w:rPr>
        <w:lastRenderedPageBreak/>
        <w:t xml:space="preserve">metabolomic profiles of </w:t>
      </w:r>
      <w:r w:rsidR="00F961D2" w:rsidRPr="0086396D">
        <w:rPr>
          <w:rFonts w:ascii="Book Antiqua" w:hAnsi="Book Antiqua"/>
          <w:sz w:val="24"/>
          <w:szCs w:val="24"/>
          <w:lang w:val="en-CA"/>
        </w:rPr>
        <w:t>the two UC groups</w:t>
      </w:r>
      <w:r w:rsidR="003F675F" w:rsidRPr="0086396D">
        <w:rPr>
          <w:rFonts w:ascii="Book Antiqua" w:hAnsi="Book Antiqua"/>
          <w:sz w:val="24"/>
          <w:szCs w:val="24"/>
          <w:lang w:val="en-CA"/>
        </w:rPr>
        <w:t xml:space="preserve">. The </w:t>
      </w:r>
      <w:r w:rsidR="00F961D2" w:rsidRPr="0086396D">
        <w:rPr>
          <w:rFonts w:ascii="Book Antiqua" w:hAnsi="Book Antiqua"/>
          <w:sz w:val="24"/>
          <w:szCs w:val="24"/>
          <w:lang w:val="en-CA"/>
        </w:rPr>
        <w:t>median (IQR) levels and VIP scores</w:t>
      </w:r>
      <w:r w:rsidR="003F675F" w:rsidRPr="0086396D">
        <w:rPr>
          <w:rFonts w:ascii="Book Antiqua" w:hAnsi="Book Antiqua"/>
          <w:sz w:val="24"/>
          <w:szCs w:val="24"/>
          <w:lang w:val="en-CA"/>
        </w:rPr>
        <w:t xml:space="preserve"> of these metabolites are presented </w:t>
      </w:r>
      <w:r w:rsidR="00F961D2" w:rsidRPr="0086396D">
        <w:rPr>
          <w:rFonts w:ascii="Book Antiqua" w:hAnsi="Book Antiqua"/>
          <w:sz w:val="24"/>
          <w:szCs w:val="24"/>
          <w:lang w:val="en-CA"/>
        </w:rPr>
        <w:t>in Table 3</w:t>
      </w:r>
      <w:r w:rsidR="0000188A" w:rsidRPr="0086396D">
        <w:rPr>
          <w:rFonts w:ascii="Book Antiqua" w:hAnsi="Book Antiqua"/>
          <w:sz w:val="24"/>
          <w:szCs w:val="24"/>
          <w:lang w:val="en-CA"/>
        </w:rPr>
        <w:t xml:space="preserve">. In comparison to UC patients who were still in remission during follow-up, those </w:t>
      </w:r>
      <w:r w:rsidR="007343D5" w:rsidRPr="0086396D">
        <w:rPr>
          <w:rFonts w:ascii="Book Antiqua" w:hAnsi="Book Antiqua"/>
          <w:sz w:val="24"/>
          <w:szCs w:val="24"/>
          <w:lang w:val="en-CA"/>
        </w:rPr>
        <w:t xml:space="preserve">study patients </w:t>
      </w:r>
      <w:r w:rsidR="0000188A" w:rsidRPr="0086396D">
        <w:rPr>
          <w:rFonts w:ascii="Book Antiqua" w:hAnsi="Book Antiqua"/>
          <w:sz w:val="24"/>
          <w:szCs w:val="24"/>
          <w:lang w:val="en-CA"/>
        </w:rPr>
        <w:t>with</w:t>
      </w:r>
      <w:r w:rsidR="00EA3B31" w:rsidRPr="0086396D">
        <w:rPr>
          <w:rFonts w:ascii="Book Antiqua" w:hAnsi="Book Antiqua"/>
          <w:sz w:val="24"/>
          <w:szCs w:val="24"/>
          <w:lang w:val="en-CA"/>
        </w:rPr>
        <w:t xml:space="preserve"> clinical</w:t>
      </w:r>
      <w:r w:rsidR="0000188A" w:rsidRPr="0086396D">
        <w:rPr>
          <w:rFonts w:ascii="Book Antiqua" w:hAnsi="Book Antiqua"/>
          <w:sz w:val="24"/>
          <w:szCs w:val="24"/>
          <w:lang w:val="en-CA"/>
        </w:rPr>
        <w:t xml:space="preserve"> relapse had </w:t>
      </w:r>
      <w:r w:rsidR="00A52711" w:rsidRPr="0086396D">
        <w:rPr>
          <w:rFonts w:ascii="Book Antiqua" w:hAnsi="Book Antiqua"/>
          <w:sz w:val="24"/>
          <w:szCs w:val="24"/>
          <w:lang w:val="en-CA"/>
        </w:rPr>
        <w:t xml:space="preserve">significantly </w:t>
      </w:r>
      <w:r w:rsidR="0000188A" w:rsidRPr="0086396D">
        <w:rPr>
          <w:rFonts w:ascii="Book Antiqua" w:hAnsi="Book Antiqua"/>
          <w:sz w:val="24"/>
          <w:szCs w:val="24"/>
          <w:lang w:val="en-CA"/>
        </w:rPr>
        <w:t>higher levels of trans-aconitate (urine), 3-hydroxybutyrate (serum), acetoacetate (serum), acetone (serum), and lower levels of acetamide (urine) and cystine (urine).</w:t>
      </w:r>
      <w:r w:rsidR="00BA0C62" w:rsidRPr="00BA0C62">
        <w:rPr>
          <w:rFonts w:ascii="Book Antiqua" w:hAnsi="Book Antiqua"/>
          <w:i/>
          <w:sz w:val="24"/>
          <w:szCs w:val="24"/>
          <w:lang w:val="en-CA"/>
        </w:rPr>
        <w:t xml:space="preserve"> </w:t>
      </w:r>
    </w:p>
    <w:p w14:paraId="4AC36FFD" w14:textId="46AC1F37" w:rsidR="001F7F47" w:rsidRPr="0086396D" w:rsidRDefault="001F7F47" w:rsidP="005C7D8E">
      <w:pPr>
        <w:adjustRightInd w:val="0"/>
        <w:snapToGrid w:val="0"/>
        <w:spacing w:after="0" w:line="360" w:lineRule="auto"/>
        <w:jc w:val="both"/>
        <w:rPr>
          <w:rFonts w:ascii="Book Antiqua" w:hAnsi="Book Antiqua"/>
          <w:sz w:val="24"/>
          <w:szCs w:val="24"/>
          <w:lang w:val="en-CA"/>
        </w:rPr>
      </w:pPr>
    </w:p>
    <w:p w14:paraId="543666CF" w14:textId="4706075E" w:rsidR="001F7F47" w:rsidRPr="004C59E8" w:rsidRDefault="001F7F47" w:rsidP="005C7D8E">
      <w:pPr>
        <w:adjustRightInd w:val="0"/>
        <w:snapToGrid w:val="0"/>
        <w:spacing w:after="0" w:line="360" w:lineRule="auto"/>
        <w:jc w:val="both"/>
        <w:rPr>
          <w:rFonts w:ascii="Book Antiqua" w:hAnsi="Book Antiqua"/>
          <w:b/>
          <w:bCs/>
          <w:caps/>
          <w:sz w:val="24"/>
          <w:szCs w:val="24"/>
          <w:lang w:val="en-CA" w:eastAsia="zh-CN"/>
        </w:rPr>
      </w:pPr>
      <w:r w:rsidRPr="004C59E8">
        <w:rPr>
          <w:rFonts w:ascii="Book Antiqua" w:hAnsi="Book Antiqua"/>
          <w:b/>
          <w:bCs/>
          <w:caps/>
          <w:sz w:val="24"/>
          <w:szCs w:val="24"/>
          <w:lang w:val="en-CA"/>
        </w:rPr>
        <w:t>Discussion</w:t>
      </w:r>
    </w:p>
    <w:p w14:paraId="1A181682" w14:textId="4D5568C8" w:rsidR="001F7F47" w:rsidRPr="0086396D" w:rsidRDefault="001F7F47" w:rsidP="005C7D8E">
      <w:pPr>
        <w:adjustRightInd w:val="0"/>
        <w:snapToGrid w:val="0"/>
        <w:spacing w:after="0" w:line="360" w:lineRule="auto"/>
        <w:jc w:val="both"/>
        <w:rPr>
          <w:rFonts w:ascii="Book Antiqua" w:hAnsi="Book Antiqua"/>
          <w:sz w:val="24"/>
          <w:szCs w:val="24"/>
          <w:lang w:val="en-CA"/>
        </w:rPr>
      </w:pPr>
      <w:r w:rsidRPr="0086396D">
        <w:rPr>
          <w:rFonts w:ascii="Book Antiqua" w:hAnsi="Book Antiqua"/>
          <w:sz w:val="24"/>
          <w:szCs w:val="24"/>
          <w:lang w:val="en-CA"/>
        </w:rPr>
        <w:t xml:space="preserve">In </w:t>
      </w:r>
      <w:r w:rsidR="00755E14" w:rsidRPr="0086396D">
        <w:rPr>
          <w:rFonts w:ascii="Book Antiqua" w:hAnsi="Book Antiqua"/>
          <w:sz w:val="24"/>
          <w:szCs w:val="24"/>
          <w:lang w:val="en-CA"/>
        </w:rPr>
        <w:t>this small</w:t>
      </w:r>
      <w:r w:rsidRPr="0086396D">
        <w:rPr>
          <w:rFonts w:ascii="Book Antiqua" w:hAnsi="Book Antiqua"/>
          <w:sz w:val="24"/>
          <w:szCs w:val="24"/>
          <w:lang w:val="en-CA"/>
        </w:rPr>
        <w:t xml:space="preserve"> </w:t>
      </w:r>
      <w:r w:rsidR="00755E14" w:rsidRPr="0086396D">
        <w:rPr>
          <w:rFonts w:ascii="Book Antiqua" w:hAnsi="Book Antiqua"/>
          <w:sz w:val="24"/>
          <w:szCs w:val="24"/>
          <w:lang w:val="en-CA"/>
        </w:rPr>
        <w:t xml:space="preserve">pilot </w:t>
      </w:r>
      <w:r w:rsidRPr="0086396D">
        <w:rPr>
          <w:rFonts w:ascii="Book Antiqua" w:hAnsi="Book Antiqua"/>
          <w:sz w:val="24"/>
          <w:szCs w:val="24"/>
          <w:lang w:val="en-CA"/>
        </w:rPr>
        <w:t>s</w:t>
      </w:r>
      <w:r w:rsidR="00DF4F61" w:rsidRPr="0086396D">
        <w:rPr>
          <w:rFonts w:ascii="Book Antiqua" w:hAnsi="Book Antiqua"/>
          <w:sz w:val="24"/>
          <w:szCs w:val="24"/>
          <w:lang w:val="en-CA"/>
        </w:rPr>
        <w:t xml:space="preserve">tudy, we identified potential predictors of clinical relapse in UC patients. We found that </w:t>
      </w:r>
      <w:r w:rsidR="00EA4178" w:rsidRPr="0086396D">
        <w:rPr>
          <w:rFonts w:ascii="Book Antiqua" w:hAnsi="Book Antiqua"/>
          <w:sz w:val="24"/>
          <w:szCs w:val="24"/>
          <w:lang w:val="en-CA"/>
        </w:rPr>
        <w:t xml:space="preserve">a history of </w:t>
      </w:r>
      <w:r w:rsidR="00F42B35" w:rsidRPr="0086396D">
        <w:rPr>
          <w:rFonts w:ascii="Book Antiqua" w:hAnsi="Book Antiqua"/>
          <w:sz w:val="24"/>
          <w:szCs w:val="24"/>
          <w:lang w:val="en-CA"/>
        </w:rPr>
        <w:t>higher</w:t>
      </w:r>
      <w:r w:rsidR="009F5EFD" w:rsidRPr="0086396D">
        <w:rPr>
          <w:rFonts w:ascii="Book Antiqua" w:hAnsi="Book Antiqua"/>
          <w:sz w:val="24"/>
          <w:szCs w:val="24"/>
          <w:lang w:val="en-CA"/>
        </w:rPr>
        <w:t xml:space="preserve"> </w:t>
      </w:r>
      <w:r w:rsidR="00DF4F61" w:rsidRPr="0086396D">
        <w:rPr>
          <w:rFonts w:ascii="Book Antiqua" w:hAnsi="Book Antiqua"/>
          <w:sz w:val="24"/>
          <w:szCs w:val="24"/>
          <w:lang w:val="en-CA"/>
        </w:rPr>
        <w:t>dietary poultry</w:t>
      </w:r>
      <w:r w:rsidR="00946303" w:rsidRPr="0086396D">
        <w:rPr>
          <w:rFonts w:ascii="Book Antiqua" w:hAnsi="Book Antiqua"/>
          <w:sz w:val="24"/>
          <w:szCs w:val="24"/>
          <w:lang w:val="en-CA"/>
        </w:rPr>
        <w:t xml:space="preserve"> and maltose</w:t>
      </w:r>
      <w:r w:rsidR="00F42B35" w:rsidRPr="0086396D">
        <w:rPr>
          <w:rFonts w:ascii="Book Antiqua" w:hAnsi="Book Antiqua"/>
          <w:sz w:val="24"/>
          <w:szCs w:val="24"/>
          <w:lang w:val="en-CA"/>
        </w:rPr>
        <w:t xml:space="preserve"> intake, and high</w:t>
      </w:r>
      <w:r w:rsidR="00DF4F61" w:rsidRPr="0086396D">
        <w:rPr>
          <w:rFonts w:ascii="Book Antiqua" w:hAnsi="Book Antiqua"/>
          <w:sz w:val="24"/>
          <w:szCs w:val="24"/>
          <w:lang w:val="en-CA"/>
        </w:rPr>
        <w:t xml:space="preserve"> </w:t>
      </w:r>
      <w:r w:rsidR="0000527D" w:rsidRPr="0086396D">
        <w:rPr>
          <w:rFonts w:ascii="Book Antiqua" w:hAnsi="Book Antiqua"/>
          <w:sz w:val="24"/>
          <w:szCs w:val="24"/>
          <w:lang w:val="en-CA"/>
        </w:rPr>
        <w:t xml:space="preserve">BMI, body fat mass, </w:t>
      </w:r>
      <w:r w:rsidR="009F5EFD" w:rsidRPr="0086396D">
        <w:rPr>
          <w:rFonts w:ascii="Book Antiqua" w:hAnsi="Book Antiqua"/>
          <w:sz w:val="24"/>
          <w:szCs w:val="24"/>
          <w:lang w:val="en-CA"/>
        </w:rPr>
        <w:t xml:space="preserve">and </w:t>
      </w:r>
      <w:r w:rsidR="0000527D" w:rsidRPr="0086396D">
        <w:rPr>
          <w:rFonts w:ascii="Book Antiqua" w:hAnsi="Book Antiqua"/>
          <w:sz w:val="24"/>
          <w:szCs w:val="24"/>
          <w:lang w:val="en-CA"/>
        </w:rPr>
        <w:t>waist circumference</w:t>
      </w:r>
      <w:r w:rsidR="00DF4F61" w:rsidRPr="0086396D">
        <w:rPr>
          <w:rFonts w:ascii="Book Antiqua" w:hAnsi="Book Antiqua"/>
          <w:sz w:val="24"/>
          <w:szCs w:val="24"/>
          <w:lang w:val="en-CA"/>
        </w:rPr>
        <w:t xml:space="preserve"> at baseline were </w:t>
      </w:r>
      <w:r w:rsidR="006277E3" w:rsidRPr="0086396D">
        <w:rPr>
          <w:rFonts w:ascii="Book Antiqua" w:hAnsi="Book Antiqua"/>
          <w:sz w:val="24"/>
          <w:szCs w:val="24"/>
          <w:lang w:val="en-CA"/>
        </w:rPr>
        <w:t xml:space="preserve">associated with </w:t>
      </w:r>
      <w:r w:rsidR="00DF4F61" w:rsidRPr="0086396D">
        <w:rPr>
          <w:rFonts w:ascii="Book Antiqua" w:hAnsi="Book Antiqua"/>
          <w:sz w:val="24"/>
          <w:szCs w:val="24"/>
          <w:lang w:val="en-CA"/>
        </w:rPr>
        <w:t xml:space="preserve">UC </w:t>
      </w:r>
      <w:r w:rsidR="00EA3B31" w:rsidRPr="0086396D">
        <w:rPr>
          <w:rFonts w:ascii="Book Antiqua" w:hAnsi="Book Antiqua"/>
          <w:sz w:val="24"/>
          <w:szCs w:val="24"/>
          <w:lang w:val="en-CA"/>
        </w:rPr>
        <w:t xml:space="preserve">clinical </w:t>
      </w:r>
      <w:r w:rsidR="006277E3" w:rsidRPr="0086396D">
        <w:rPr>
          <w:rFonts w:ascii="Book Antiqua" w:hAnsi="Book Antiqua"/>
          <w:sz w:val="24"/>
          <w:szCs w:val="24"/>
          <w:lang w:val="en-CA"/>
        </w:rPr>
        <w:t>remission</w:t>
      </w:r>
      <w:r w:rsidR="00DF4F61" w:rsidRPr="0086396D">
        <w:rPr>
          <w:rFonts w:ascii="Book Antiqua" w:hAnsi="Book Antiqua"/>
          <w:sz w:val="24"/>
          <w:szCs w:val="24"/>
          <w:lang w:val="en-CA"/>
        </w:rPr>
        <w:t xml:space="preserve"> during a 12-mo follow-up. </w:t>
      </w:r>
      <w:r w:rsidR="007B6E29" w:rsidRPr="0086396D">
        <w:rPr>
          <w:rFonts w:ascii="Book Antiqua" w:hAnsi="Book Antiqua"/>
          <w:sz w:val="24"/>
          <w:szCs w:val="24"/>
          <w:lang w:val="en-CA"/>
        </w:rPr>
        <w:t>Of significant interest</w:t>
      </w:r>
      <w:r w:rsidR="00DF4F61" w:rsidRPr="0086396D">
        <w:rPr>
          <w:rFonts w:ascii="Book Antiqua" w:hAnsi="Book Antiqua"/>
          <w:sz w:val="24"/>
          <w:szCs w:val="24"/>
          <w:lang w:val="en-CA"/>
        </w:rPr>
        <w:t xml:space="preserve">, we found that the baseline serum and urinary metabolomic profile of patients who relapsed during follow-up was </w:t>
      </w:r>
      <w:r w:rsidR="00E421D9" w:rsidRPr="0086396D">
        <w:rPr>
          <w:rFonts w:ascii="Book Antiqua" w:hAnsi="Book Antiqua"/>
          <w:sz w:val="24"/>
          <w:szCs w:val="24"/>
          <w:lang w:val="en-CA"/>
        </w:rPr>
        <w:t xml:space="preserve">significantly </w:t>
      </w:r>
      <w:r w:rsidR="00DF4F61" w:rsidRPr="0086396D">
        <w:rPr>
          <w:rFonts w:ascii="Book Antiqua" w:hAnsi="Book Antiqua"/>
          <w:sz w:val="24"/>
          <w:szCs w:val="24"/>
          <w:lang w:val="en-CA"/>
        </w:rPr>
        <w:t xml:space="preserve">different from those patients who did not develop </w:t>
      </w:r>
      <w:r w:rsidR="009F741B" w:rsidRPr="0086396D">
        <w:rPr>
          <w:rFonts w:ascii="Book Antiqua" w:hAnsi="Book Antiqua"/>
          <w:sz w:val="24"/>
          <w:szCs w:val="24"/>
          <w:lang w:val="en-CA"/>
        </w:rPr>
        <w:t>a</w:t>
      </w:r>
      <w:r w:rsidR="00EA3B31" w:rsidRPr="0086396D">
        <w:rPr>
          <w:rFonts w:ascii="Book Antiqua" w:hAnsi="Book Antiqua"/>
          <w:sz w:val="24"/>
          <w:szCs w:val="24"/>
          <w:lang w:val="en-CA"/>
        </w:rPr>
        <w:t xml:space="preserve"> </w:t>
      </w:r>
      <w:r w:rsidR="00DF4F61" w:rsidRPr="0086396D">
        <w:rPr>
          <w:rFonts w:ascii="Book Antiqua" w:hAnsi="Book Antiqua"/>
          <w:sz w:val="24"/>
          <w:szCs w:val="24"/>
          <w:lang w:val="en-CA"/>
        </w:rPr>
        <w:t xml:space="preserve">relapse. </w:t>
      </w:r>
    </w:p>
    <w:p w14:paraId="4B7EC7FC" w14:textId="3A026FFC" w:rsidR="00D20212" w:rsidRPr="0086396D" w:rsidRDefault="00D20212" w:rsidP="005C7D8E">
      <w:pPr>
        <w:adjustRightInd w:val="0"/>
        <w:snapToGrid w:val="0"/>
        <w:spacing w:after="0" w:line="360" w:lineRule="auto"/>
        <w:ind w:firstLineChars="100" w:firstLine="240"/>
        <w:jc w:val="both"/>
        <w:rPr>
          <w:rFonts w:ascii="Book Antiqua" w:hAnsi="Book Antiqua"/>
          <w:sz w:val="24"/>
          <w:szCs w:val="24"/>
          <w:lang w:val="en-CA"/>
        </w:rPr>
      </w:pPr>
      <w:r w:rsidRPr="0086396D">
        <w:rPr>
          <w:rFonts w:ascii="Book Antiqua" w:hAnsi="Book Antiqua"/>
          <w:sz w:val="24"/>
          <w:szCs w:val="24"/>
          <w:lang w:val="en-CA"/>
        </w:rPr>
        <w:t>The clinical course of UC includes periods of remission and relapse. Although mucosal healing</w:t>
      </w:r>
      <w:r w:rsidR="00795DBA" w:rsidRPr="0086396D">
        <w:rPr>
          <w:rFonts w:ascii="Book Antiqua" w:hAnsi="Book Antiqua"/>
          <w:sz w:val="24"/>
          <w:szCs w:val="24"/>
          <w:lang w:val="en-CA"/>
        </w:rPr>
        <w:t xml:space="preserve"> (macroscopic or</w:t>
      </w:r>
      <w:r w:rsidRPr="0086396D">
        <w:rPr>
          <w:rFonts w:ascii="Book Antiqua" w:hAnsi="Book Antiqua"/>
          <w:sz w:val="24"/>
          <w:szCs w:val="24"/>
          <w:lang w:val="en-CA"/>
        </w:rPr>
        <w:t xml:space="preserve"> </w:t>
      </w:r>
      <w:r w:rsidR="00795DBA" w:rsidRPr="0086396D">
        <w:rPr>
          <w:rFonts w:ascii="Book Antiqua" w:hAnsi="Book Antiqua"/>
          <w:sz w:val="24"/>
          <w:szCs w:val="24"/>
          <w:lang w:val="en-CA"/>
        </w:rPr>
        <w:t xml:space="preserve">microscopic) </w:t>
      </w:r>
      <w:r w:rsidRPr="0086396D">
        <w:rPr>
          <w:rFonts w:ascii="Book Antiqua" w:hAnsi="Book Antiqua"/>
          <w:sz w:val="24"/>
          <w:szCs w:val="24"/>
          <w:lang w:val="en-CA"/>
        </w:rPr>
        <w:t>as determined by endosco</w:t>
      </w:r>
      <w:r w:rsidR="005B3D2E" w:rsidRPr="0086396D">
        <w:rPr>
          <w:rFonts w:ascii="Book Antiqua" w:hAnsi="Book Antiqua"/>
          <w:sz w:val="24"/>
          <w:szCs w:val="24"/>
          <w:lang w:val="en-CA"/>
        </w:rPr>
        <w:t xml:space="preserve">pic </w:t>
      </w:r>
      <w:r w:rsidR="00E421D9" w:rsidRPr="0086396D">
        <w:rPr>
          <w:rFonts w:ascii="Book Antiqua" w:hAnsi="Book Antiqua"/>
          <w:sz w:val="24"/>
          <w:szCs w:val="24"/>
          <w:lang w:val="en-CA"/>
        </w:rPr>
        <w:t xml:space="preserve">and histologic </w:t>
      </w:r>
      <w:r w:rsidR="005B3D2E" w:rsidRPr="0086396D">
        <w:rPr>
          <w:rFonts w:ascii="Book Antiqua" w:hAnsi="Book Antiqua"/>
          <w:sz w:val="24"/>
          <w:szCs w:val="24"/>
          <w:lang w:val="en-CA"/>
        </w:rPr>
        <w:t>evaluation is shown to be a</w:t>
      </w:r>
      <w:r w:rsidRPr="0086396D">
        <w:rPr>
          <w:rFonts w:ascii="Book Antiqua" w:hAnsi="Book Antiqua"/>
          <w:sz w:val="24"/>
          <w:szCs w:val="24"/>
          <w:lang w:val="en-CA"/>
        </w:rPr>
        <w:t xml:space="preserve"> strong predictor of long-term remission</w:t>
      </w:r>
      <w:r w:rsidR="00992F96" w:rsidRPr="00992F96">
        <w:rPr>
          <w:rFonts w:ascii="Book Antiqua" w:hAnsi="Book Antiqua"/>
          <w:sz w:val="24"/>
          <w:szCs w:val="24"/>
          <w:vertAlign w:val="superscript"/>
          <w:lang w:val="en-CA"/>
        </w:rPr>
        <w:t>[</w:t>
      </w:r>
      <w:r w:rsidR="000C64F2" w:rsidRPr="0086396D">
        <w:rPr>
          <w:rFonts w:ascii="Book Antiqua" w:hAnsi="Book Antiqua"/>
          <w:sz w:val="24"/>
          <w:szCs w:val="24"/>
          <w:vertAlign w:val="superscript"/>
          <w:lang w:val="en-CA"/>
        </w:rPr>
        <w:t>11</w:t>
      </w:r>
      <w:r w:rsidR="002B6AAF" w:rsidRPr="0086396D">
        <w:rPr>
          <w:rFonts w:ascii="Book Antiqua" w:hAnsi="Book Antiqua"/>
          <w:sz w:val="24"/>
          <w:szCs w:val="24"/>
          <w:vertAlign w:val="superscript"/>
          <w:lang w:val="en-CA"/>
        </w:rPr>
        <w:t>]</w:t>
      </w:r>
      <w:r w:rsidR="000C64F2" w:rsidRPr="0086396D">
        <w:rPr>
          <w:rFonts w:ascii="Book Antiqua" w:hAnsi="Book Antiqua"/>
          <w:sz w:val="24"/>
          <w:szCs w:val="24"/>
          <w:lang w:val="en-CA"/>
        </w:rPr>
        <w:t>,</w:t>
      </w:r>
      <w:r w:rsidRPr="0086396D">
        <w:rPr>
          <w:rFonts w:ascii="Book Antiqua" w:hAnsi="Book Antiqua"/>
          <w:sz w:val="24"/>
          <w:szCs w:val="24"/>
          <w:lang w:val="en-CA"/>
        </w:rPr>
        <w:t xml:space="preserve"> due to the invasive nature of colonoscopy and its burden on healthcare system there has been </w:t>
      </w:r>
      <w:r w:rsidR="00390A9F" w:rsidRPr="0086396D">
        <w:rPr>
          <w:rFonts w:ascii="Book Antiqua" w:hAnsi="Book Antiqua"/>
          <w:sz w:val="24"/>
          <w:szCs w:val="24"/>
          <w:lang w:val="en-CA"/>
        </w:rPr>
        <w:t>consi</w:t>
      </w:r>
      <w:r w:rsidR="00A92D18" w:rsidRPr="0086396D">
        <w:rPr>
          <w:rFonts w:ascii="Book Antiqua" w:hAnsi="Book Antiqua"/>
          <w:sz w:val="24"/>
          <w:szCs w:val="24"/>
          <w:lang w:val="en-CA"/>
        </w:rPr>
        <w:t>derable interest in identifying</w:t>
      </w:r>
      <w:r w:rsidRPr="0086396D">
        <w:rPr>
          <w:rFonts w:ascii="Book Antiqua" w:hAnsi="Book Antiqua"/>
          <w:sz w:val="24"/>
          <w:szCs w:val="24"/>
          <w:lang w:val="en-CA"/>
        </w:rPr>
        <w:t xml:space="preserve"> </w:t>
      </w:r>
      <w:r w:rsidR="00EB7231" w:rsidRPr="0086396D">
        <w:rPr>
          <w:rFonts w:ascii="Book Antiqua" w:hAnsi="Book Antiqua"/>
          <w:sz w:val="24"/>
          <w:szCs w:val="24"/>
          <w:lang w:val="en-CA"/>
        </w:rPr>
        <w:t xml:space="preserve">non-invasive </w:t>
      </w:r>
      <w:r w:rsidRPr="0086396D">
        <w:rPr>
          <w:rFonts w:ascii="Book Antiqua" w:hAnsi="Book Antiqua"/>
          <w:sz w:val="24"/>
          <w:szCs w:val="24"/>
          <w:lang w:val="en-CA"/>
        </w:rPr>
        <w:t xml:space="preserve">predictors of disease relapse in UC. However, </w:t>
      </w:r>
      <w:r w:rsidR="00AB2DDA" w:rsidRPr="0086396D">
        <w:rPr>
          <w:rFonts w:ascii="Book Antiqua" w:hAnsi="Book Antiqua"/>
          <w:sz w:val="24"/>
          <w:szCs w:val="24"/>
          <w:lang w:val="en-CA"/>
        </w:rPr>
        <w:t>so far</w:t>
      </w:r>
      <w:r w:rsidR="00390A9F" w:rsidRPr="0086396D">
        <w:rPr>
          <w:rFonts w:ascii="Book Antiqua" w:hAnsi="Book Antiqua"/>
          <w:sz w:val="24"/>
          <w:szCs w:val="24"/>
          <w:lang w:val="en-CA"/>
        </w:rPr>
        <w:t>,</w:t>
      </w:r>
      <w:r w:rsidR="00AB2DDA" w:rsidRPr="0086396D">
        <w:rPr>
          <w:rFonts w:ascii="Book Antiqua" w:hAnsi="Book Antiqua"/>
          <w:sz w:val="24"/>
          <w:szCs w:val="24"/>
          <w:lang w:val="en-CA"/>
        </w:rPr>
        <w:t xml:space="preserve"> only a limited </w:t>
      </w:r>
      <w:r w:rsidRPr="0086396D">
        <w:rPr>
          <w:rFonts w:ascii="Book Antiqua" w:hAnsi="Book Antiqua"/>
          <w:sz w:val="24"/>
          <w:szCs w:val="24"/>
          <w:lang w:val="en-CA"/>
        </w:rPr>
        <w:t>number of clinical,</w:t>
      </w:r>
      <w:r w:rsidR="00AB2DDA" w:rsidRPr="0086396D">
        <w:rPr>
          <w:rFonts w:ascii="Book Antiqua" w:hAnsi="Book Antiqua"/>
          <w:sz w:val="24"/>
          <w:szCs w:val="24"/>
          <w:lang w:val="en-CA"/>
        </w:rPr>
        <w:t xml:space="preserve"> lifestyle-related factors</w:t>
      </w:r>
      <w:r w:rsidRPr="0086396D">
        <w:rPr>
          <w:rFonts w:ascii="Book Antiqua" w:hAnsi="Book Antiqua"/>
          <w:sz w:val="24"/>
          <w:szCs w:val="24"/>
          <w:lang w:val="en-CA"/>
        </w:rPr>
        <w:t xml:space="preserve"> or </w:t>
      </w:r>
      <w:r w:rsidR="00AB2DDA" w:rsidRPr="0086396D">
        <w:rPr>
          <w:rFonts w:ascii="Book Antiqua" w:hAnsi="Book Antiqua"/>
          <w:sz w:val="24"/>
          <w:szCs w:val="24"/>
          <w:lang w:val="en-CA"/>
        </w:rPr>
        <w:t>biomarkers</w:t>
      </w:r>
      <w:r w:rsidRPr="0086396D">
        <w:rPr>
          <w:rFonts w:ascii="Book Antiqua" w:hAnsi="Book Antiqua"/>
          <w:sz w:val="24"/>
          <w:szCs w:val="24"/>
          <w:lang w:val="en-CA"/>
        </w:rPr>
        <w:t xml:space="preserve"> have been identified in relation to UC relapse</w:t>
      </w:r>
      <w:r w:rsidR="00992F96" w:rsidRPr="00992F96">
        <w:rPr>
          <w:rFonts w:ascii="Book Antiqua" w:hAnsi="Book Antiqua"/>
          <w:sz w:val="24"/>
          <w:szCs w:val="24"/>
          <w:vertAlign w:val="superscript"/>
          <w:lang w:val="en-CA"/>
        </w:rPr>
        <w:t>[</w:t>
      </w:r>
      <w:r w:rsidR="0052634C" w:rsidRPr="0086396D">
        <w:rPr>
          <w:rFonts w:ascii="Book Antiqua" w:hAnsi="Book Antiqua"/>
          <w:sz w:val="24"/>
          <w:szCs w:val="24"/>
          <w:vertAlign w:val="superscript"/>
          <w:lang w:val="en-CA"/>
        </w:rPr>
        <w:t>7-13</w:t>
      </w:r>
      <w:r w:rsidR="002B6AAF" w:rsidRPr="0086396D">
        <w:rPr>
          <w:rFonts w:ascii="Book Antiqua" w:hAnsi="Book Antiqua"/>
          <w:sz w:val="24"/>
          <w:szCs w:val="24"/>
          <w:vertAlign w:val="superscript"/>
          <w:lang w:val="en-CA"/>
        </w:rPr>
        <w:t>]</w:t>
      </w:r>
      <w:r w:rsidRPr="0086396D">
        <w:rPr>
          <w:rFonts w:ascii="Book Antiqua" w:hAnsi="Book Antiqua"/>
          <w:sz w:val="24"/>
          <w:szCs w:val="24"/>
          <w:lang w:val="en-CA"/>
        </w:rPr>
        <w:t xml:space="preserve">. </w:t>
      </w:r>
    </w:p>
    <w:p w14:paraId="7EAE890A" w14:textId="30AB6317" w:rsidR="003D2D0E" w:rsidRPr="0086396D" w:rsidRDefault="003D2D0E"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Interestingl</w:t>
      </w:r>
      <w:r w:rsidR="007B6E29" w:rsidRPr="0086396D">
        <w:rPr>
          <w:rFonts w:ascii="Book Antiqua" w:hAnsi="Book Antiqua"/>
          <w:sz w:val="24"/>
          <w:szCs w:val="24"/>
        </w:rPr>
        <w:t>y</w:t>
      </w:r>
      <w:r w:rsidR="00047D90" w:rsidRPr="0086396D">
        <w:rPr>
          <w:rFonts w:ascii="Book Antiqua" w:hAnsi="Book Antiqua"/>
          <w:sz w:val="24"/>
          <w:szCs w:val="24"/>
        </w:rPr>
        <w:t>,</w:t>
      </w:r>
      <w:r w:rsidR="007B6E29" w:rsidRPr="0086396D">
        <w:rPr>
          <w:rFonts w:ascii="Book Antiqua" w:hAnsi="Book Antiqua"/>
          <w:sz w:val="24"/>
          <w:szCs w:val="24"/>
        </w:rPr>
        <w:t xml:space="preserve"> we found that</w:t>
      </w:r>
      <w:r w:rsidRPr="0086396D">
        <w:rPr>
          <w:rFonts w:ascii="Book Antiqua" w:hAnsi="Book Antiqua"/>
          <w:sz w:val="24"/>
          <w:szCs w:val="24"/>
        </w:rPr>
        <w:t xml:space="preserve"> </w:t>
      </w:r>
      <w:r w:rsidR="00E421D9" w:rsidRPr="0086396D">
        <w:rPr>
          <w:rFonts w:ascii="Book Antiqua" w:hAnsi="Book Antiqua"/>
          <w:sz w:val="24"/>
          <w:szCs w:val="24"/>
        </w:rPr>
        <w:t xml:space="preserve">baseline serum and urine </w:t>
      </w:r>
      <w:r w:rsidRPr="0086396D">
        <w:rPr>
          <w:rFonts w:ascii="Book Antiqua" w:hAnsi="Book Antiqua"/>
          <w:sz w:val="24"/>
          <w:szCs w:val="24"/>
        </w:rPr>
        <w:t>metabolomic profiles of UC patients who develop</w:t>
      </w:r>
      <w:r w:rsidR="009F741B" w:rsidRPr="0086396D">
        <w:rPr>
          <w:rFonts w:ascii="Book Antiqua" w:hAnsi="Book Antiqua"/>
          <w:sz w:val="24"/>
          <w:szCs w:val="24"/>
        </w:rPr>
        <w:t xml:space="preserve">ed </w:t>
      </w:r>
      <w:r w:rsidRPr="0086396D">
        <w:rPr>
          <w:rFonts w:ascii="Book Antiqua" w:hAnsi="Book Antiqua"/>
          <w:sz w:val="24"/>
          <w:szCs w:val="24"/>
        </w:rPr>
        <w:t xml:space="preserve">UC relapse </w:t>
      </w:r>
      <w:r w:rsidR="007B6E29" w:rsidRPr="0086396D">
        <w:rPr>
          <w:rFonts w:ascii="Book Antiqua" w:hAnsi="Book Antiqua"/>
          <w:sz w:val="24"/>
          <w:szCs w:val="24"/>
        </w:rPr>
        <w:t xml:space="preserve">versus </w:t>
      </w:r>
      <w:r w:rsidRPr="0086396D">
        <w:rPr>
          <w:rFonts w:ascii="Book Antiqua" w:hAnsi="Book Antiqua"/>
          <w:sz w:val="24"/>
          <w:szCs w:val="24"/>
        </w:rPr>
        <w:t xml:space="preserve">those who did not, were </w:t>
      </w:r>
      <w:r w:rsidR="007B6E29" w:rsidRPr="0086396D">
        <w:rPr>
          <w:rFonts w:ascii="Book Antiqua" w:hAnsi="Book Antiqua"/>
          <w:sz w:val="24"/>
          <w:szCs w:val="24"/>
        </w:rPr>
        <w:t xml:space="preserve">significantly </w:t>
      </w:r>
      <w:r w:rsidRPr="0086396D">
        <w:rPr>
          <w:rFonts w:ascii="Book Antiqua" w:hAnsi="Book Antiqua"/>
          <w:sz w:val="24"/>
          <w:szCs w:val="24"/>
        </w:rPr>
        <w:t xml:space="preserve">different from each other. Metabolomics which is the science of studying metabolites in the different biological samples, has recently been </w:t>
      </w:r>
      <w:r w:rsidR="00390A9F" w:rsidRPr="0086396D">
        <w:rPr>
          <w:rFonts w:ascii="Book Antiqua" w:hAnsi="Book Antiqua"/>
          <w:sz w:val="24"/>
          <w:szCs w:val="24"/>
        </w:rPr>
        <w:t xml:space="preserve">used </w:t>
      </w:r>
      <w:r w:rsidRPr="0086396D">
        <w:rPr>
          <w:rFonts w:ascii="Book Antiqua" w:hAnsi="Book Antiqua"/>
          <w:sz w:val="24"/>
          <w:szCs w:val="24"/>
        </w:rPr>
        <w:t>in IBD-related research. However, the focus of most previous studies was to identify “biomarkers” in urine, serum, or stool</w:t>
      </w:r>
      <w:r w:rsidR="00992F96" w:rsidRPr="00992F96">
        <w:rPr>
          <w:rFonts w:ascii="Book Antiqua" w:hAnsi="Book Antiqua"/>
          <w:sz w:val="24"/>
          <w:szCs w:val="24"/>
          <w:vertAlign w:val="superscript"/>
        </w:rPr>
        <w:t>[</w:t>
      </w:r>
      <w:r w:rsidR="00A0361E" w:rsidRPr="0086396D">
        <w:rPr>
          <w:rFonts w:ascii="Book Antiqua" w:hAnsi="Book Antiqua"/>
          <w:sz w:val="24"/>
          <w:szCs w:val="24"/>
          <w:vertAlign w:val="superscript"/>
        </w:rPr>
        <w:t>15, 16</w:t>
      </w:r>
      <w:r w:rsidR="002B6AAF" w:rsidRPr="0086396D">
        <w:rPr>
          <w:rFonts w:ascii="Book Antiqua" w:hAnsi="Book Antiqua"/>
          <w:sz w:val="24"/>
          <w:szCs w:val="24"/>
          <w:vertAlign w:val="superscript"/>
        </w:rPr>
        <w:t>]</w:t>
      </w:r>
      <w:r w:rsidRPr="0086396D">
        <w:rPr>
          <w:rFonts w:ascii="Book Antiqua" w:hAnsi="Book Antiqua"/>
          <w:sz w:val="24"/>
          <w:szCs w:val="24"/>
        </w:rPr>
        <w:t xml:space="preserve"> samples of IBD patients that could discriminate them from non-IBD cohorts. To date, only one study has used a metabolomic approach to find metabolites in relation to risk of </w:t>
      </w:r>
      <w:r w:rsidR="00E421D9" w:rsidRPr="0086396D">
        <w:rPr>
          <w:rFonts w:ascii="Book Antiqua" w:hAnsi="Book Antiqua"/>
          <w:sz w:val="24"/>
          <w:szCs w:val="24"/>
        </w:rPr>
        <w:t xml:space="preserve">clinical </w:t>
      </w:r>
      <w:r w:rsidRPr="0086396D">
        <w:rPr>
          <w:rFonts w:ascii="Book Antiqua" w:hAnsi="Book Antiqua"/>
          <w:sz w:val="24"/>
          <w:szCs w:val="24"/>
        </w:rPr>
        <w:t xml:space="preserve">relapse in UC patients. In a prospective cohort study, </w:t>
      </w:r>
      <w:r w:rsidRPr="0086396D">
        <w:rPr>
          <w:rFonts w:ascii="Book Antiqua" w:hAnsi="Book Antiqua"/>
          <w:sz w:val="24"/>
          <w:szCs w:val="24"/>
        </w:rPr>
        <w:lastRenderedPageBreak/>
        <w:t>Hisamatsu</w:t>
      </w:r>
      <w:r w:rsidR="004C59E8">
        <w:rPr>
          <w:rFonts w:ascii="Book Antiqua" w:hAnsi="Book Antiqua"/>
          <w:sz w:val="24"/>
          <w:szCs w:val="24"/>
        </w:rPr>
        <w:t xml:space="preserve">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23</w:t>
      </w:r>
      <w:r w:rsidR="002B6AAF" w:rsidRPr="0086396D">
        <w:rPr>
          <w:rFonts w:ascii="Book Antiqua" w:hAnsi="Book Antiqua"/>
          <w:sz w:val="24"/>
          <w:szCs w:val="24"/>
          <w:vertAlign w:val="superscript"/>
        </w:rPr>
        <w:t>]</w:t>
      </w:r>
      <w:r w:rsidR="00CB6B57" w:rsidRPr="0086396D">
        <w:rPr>
          <w:rFonts w:ascii="Book Antiqua" w:hAnsi="Book Antiqua"/>
          <w:sz w:val="24"/>
          <w:szCs w:val="24"/>
        </w:rPr>
        <w:t xml:space="preserve"> measured plasma levels of nineteen amino acids and</w:t>
      </w:r>
      <w:r w:rsidRPr="0086396D">
        <w:rPr>
          <w:rFonts w:ascii="Book Antiqua" w:hAnsi="Book Antiqua"/>
          <w:sz w:val="24"/>
          <w:szCs w:val="24"/>
        </w:rPr>
        <w:t xml:space="preserve"> found that decreased histidine level in </w:t>
      </w:r>
      <w:r w:rsidR="00A014C1" w:rsidRPr="0086396D">
        <w:rPr>
          <w:rFonts w:ascii="Book Antiqua" w:hAnsi="Book Antiqua"/>
          <w:sz w:val="24"/>
          <w:szCs w:val="24"/>
        </w:rPr>
        <w:t xml:space="preserve">plasma free amino acids </w:t>
      </w:r>
      <w:r w:rsidRPr="0086396D">
        <w:rPr>
          <w:rFonts w:ascii="Book Antiqua" w:hAnsi="Book Antiqua"/>
          <w:sz w:val="24"/>
          <w:szCs w:val="24"/>
        </w:rPr>
        <w:t>was associated with increased risk of relapse</w:t>
      </w:r>
      <w:r w:rsidR="00CB6B57" w:rsidRPr="0086396D">
        <w:rPr>
          <w:rFonts w:ascii="Book Antiqua" w:hAnsi="Book Antiqua"/>
          <w:sz w:val="24"/>
          <w:szCs w:val="24"/>
        </w:rPr>
        <w:t xml:space="preserve"> in UC patients during a one-year follow-up</w:t>
      </w:r>
      <w:r w:rsidRPr="0086396D">
        <w:rPr>
          <w:rFonts w:ascii="Book Antiqua" w:hAnsi="Book Antiqua"/>
          <w:sz w:val="24"/>
          <w:szCs w:val="24"/>
        </w:rPr>
        <w:t>.</w:t>
      </w:r>
      <w:r w:rsidR="007435DC" w:rsidRPr="0086396D">
        <w:rPr>
          <w:rFonts w:ascii="Book Antiqua" w:hAnsi="Book Antiqua"/>
          <w:sz w:val="24"/>
          <w:szCs w:val="24"/>
        </w:rPr>
        <w:t xml:space="preserve"> </w:t>
      </w:r>
      <w:r w:rsidRPr="0086396D">
        <w:rPr>
          <w:rFonts w:ascii="Book Antiqua" w:hAnsi="Book Antiqua"/>
          <w:sz w:val="24"/>
          <w:szCs w:val="24"/>
        </w:rPr>
        <w:t>To the best of our knowledge, our study is the first one that used NMR and DI- LC- MS/MS</w:t>
      </w:r>
      <w:r w:rsidR="009974DC" w:rsidRPr="0086396D">
        <w:rPr>
          <w:rFonts w:ascii="Book Antiqua" w:hAnsi="Book Antiqua"/>
          <w:sz w:val="24"/>
          <w:szCs w:val="24"/>
        </w:rPr>
        <w:t xml:space="preserve"> </w:t>
      </w:r>
      <w:r w:rsidRPr="0086396D">
        <w:rPr>
          <w:rFonts w:ascii="Book Antiqua" w:hAnsi="Book Antiqua"/>
          <w:sz w:val="24"/>
          <w:szCs w:val="24"/>
        </w:rPr>
        <w:t xml:space="preserve">methods to identify metabolites in urine and serum samples that had the potential to predict UC relapse. </w:t>
      </w:r>
      <w:r w:rsidR="00CB6B57" w:rsidRPr="0086396D">
        <w:rPr>
          <w:rFonts w:ascii="Book Antiqua" w:hAnsi="Book Antiqua"/>
          <w:sz w:val="24"/>
          <w:szCs w:val="24"/>
        </w:rPr>
        <w:t xml:space="preserve">Although </w:t>
      </w:r>
      <w:r w:rsidR="007435DC" w:rsidRPr="0086396D">
        <w:rPr>
          <w:rFonts w:ascii="Book Antiqua" w:hAnsi="Book Antiqua"/>
          <w:sz w:val="24"/>
          <w:szCs w:val="24"/>
        </w:rPr>
        <w:t>we could identify and quanti</w:t>
      </w:r>
      <w:r w:rsidR="009974DC" w:rsidRPr="0086396D">
        <w:rPr>
          <w:rFonts w:ascii="Book Antiqua" w:hAnsi="Book Antiqua"/>
          <w:sz w:val="24"/>
          <w:szCs w:val="24"/>
        </w:rPr>
        <w:t xml:space="preserve">fy </w:t>
      </w:r>
      <w:r w:rsidR="009F741B" w:rsidRPr="0086396D">
        <w:rPr>
          <w:rFonts w:ascii="Book Antiqua" w:hAnsi="Book Antiqua"/>
          <w:sz w:val="24"/>
          <w:szCs w:val="24"/>
        </w:rPr>
        <w:t xml:space="preserve">specific </w:t>
      </w:r>
      <w:r w:rsidR="009974DC" w:rsidRPr="0086396D">
        <w:rPr>
          <w:rFonts w:ascii="Book Antiqua" w:hAnsi="Book Antiqua"/>
          <w:sz w:val="24"/>
          <w:szCs w:val="24"/>
        </w:rPr>
        <w:t>serum and urine amino acids</w:t>
      </w:r>
      <w:r w:rsidR="00CB6B57" w:rsidRPr="0086396D">
        <w:rPr>
          <w:rFonts w:ascii="Book Antiqua" w:hAnsi="Book Antiqua"/>
          <w:sz w:val="24"/>
          <w:szCs w:val="24"/>
        </w:rPr>
        <w:t xml:space="preserve"> using NMR</w:t>
      </w:r>
      <w:r w:rsidR="009974DC" w:rsidRPr="0086396D">
        <w:rPr>
          <w:rFonts w:ascii="Book Antiqua" w:hAnsi="Book Antiqua"/>
          <w:sz w:val="24"/>
          <w:szCs w:val="24"/>
        </w:rPr>
        <w:t xml:space="preserve">, </w:t>
      </w:r>
      <w:r w:rsidR="007435DC" w:rsidRPr="0086396D">
        <w:rPr>
          <w:rFonts w:ascii="Book Antiqua" w:hAnsi="Book Antiqua"/>
          <w:sz w:val="24"/>
          <w:szCs w:val="24"/>
        </w:rPr>
        <w:t>we did not find any statistically significant difference in serum histidine l</w:t>
      </w:r>
      <w:r w:rsidR="009974DC" w:rsidRPr="0086396D">
        <w:rPr>
          <w:rFonts w:ascii="Book Antiqua" w:hAnsi="Book Antiqua"/>
          <w:sz w:val="24"/>
          <w:szCs w:val="24"/>
        </w:rPr>
        <w:t xml:space="preserve">evels between the two UC groups which might be </w:t>
      </w:r>
      <w:r w:rsidR="00E421D9" w:rsidRPr="0086396D">
        <w:rPr>
          <w:rFonts w:ascii="Book Antiqua" w:hAnsi="Book Antiqua"/>
          <w:sz w:val="24"/>
          <w:szCs w:val="24"/>
        </w:rPr>
        <w:t xml:space="preserve">due </w:t>
      </w:r>
      <w:r w:rsidR="009974DC" w:rsidRPr="0086396D">
        <w:rPr>
          <w:rFonts w:ascii="Book Antiqua" w:hAnsi="Book Antiqua"/>
          <w:sz w:val="24"/>
          <w:szCs w:val="24"/>
        </w:rPr>
        <w:t xml:space="preserve">to sampling from a different population of </w:t>
      </w:r>
      <w:r w:rsidR="00E421D9" w:rsidRPr="0086396D">
        <w:rPr>
          <w:rFonts w:ascii="Book Antiqua" w:hAnsi="Book Antiqua"/>
          <w:sz w:val="24"/>
          <w:szCs w:val="24"/>
        </w:rPr>
        <w:t xml:space="preserve">UC </w:t>
      </w:r>
      <w:r w:rsidR="009974DC" w:rsidRPr="0086396D">
        <w:rPr>
          <w:rFonts w:ascii="Book Antiqua" w:hAnsi="Book Antiqua"/>
          <w:sz w:val="24"/>
          <w:szCs w:val="24"/>
        </w:rPr>
        <w:t xml:space="preserve">patients or </w:t>
      </w:r>
      <w:r w:rsidR="009F741B" w:rsidRPr="0086396D">
        <w:rPr>
          <w:rFonts w:ascii="Book Antiqua" w:hAnsi="Book Antiqua"/>
          <w:sz w:val="24"/>
          <w:szCs w:val="24"/>
        </w:rPr>
        <w:t xml:space="preserve">the result of </w:t>
      </w:r>
      <w:r w:rsidR="009974DC" w:rsidRPr="0086396D">
        <w:rPr>
          <w:rFonts w:ascii="Book Antiqua" w:hAnsi="Book Antiqua"/>
          <w:sz w:val="24"/>
          <w:szCs w:val="24"/>
        </w:rPr>
        <w:t>small sample size.</w:t>
      </w:r>
    </w:p>
    <w:p w14:paraId="2F77BF75" w14:textId="57B51AF6" w:rsidR="00C41216" w:rsidRPr="0086396D" w:rsidRDefault="003D2D0E"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In the present study, higher levels of trans-aconitate (urine), 3-hydroxybutyrate (serum), acetoacetate (serum), and acetone (serum) were </w:t>
      </w:r>
      <w:r w:rsidR="00E421D9" w:rsidRPr="0086396D">
        <w:rPr>
          <w:rFonts w:ascii="Book Antiqua" w:hAnsi="Book Antiqua"/>
          <w:sz w:val="24"/>
          <w:szCs w:val="24"/>
        </w:rPr>
        <w:t>found in the patients who rela</w:t>
      </w:r>
      <w:r w:rsidR="00C94D03" w:rsidRPr="0086396D">
        <w:rPr>
          <w:rFonts w:ascii="Book Antiqua" w:hAnsi="Book Antiqua"/>
          <w:sz w:val="24"/>
          <w:szCs w:val="24"/>
        </w:rPr>
        <w:t xml:space="preserve">psed within </w:t>
      </w:r>
      <w:r w:rsidR="00E421D9" w:rsidRPr="0086396D">
        <w:rPr>
          <w:rFonts w:ascii="Book Antiqua" w:hAnsi="Book Antiqua"/>
          <w:sz w:val="24"/>
          <w:szCs w:val="24"/>
        </w:rPr>
        <w:t>12 mo</w:t>
      </w:r>
      <w:r w:rsidRPr="0086396D">
        <w:rPr>
          <w:rFonts w:ascii="Book Antiqua" w:hAnsi="Book Antiqua"/>
          <w:sz w:val="24"/>
          <w:szCs w:val="24"/>
        </w:rPr>
        <w:t>. In a previous study by Stephens</w:t>
      </w:r>
      <w:r w:rsidR="004C59E8">
        <w:rPr>
          <w:rFonts w:ascii="Book Antiqua" w:hAnsi="Book Antiqua"/>
          <w:sz w:val="24"/>
          <w:szCs w:val="24"/>
        </w:rPr>
        <w:t xml:space="preserve">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24</w:t>
      </w:r>
      <w:r w:rsidR="002B6AAF" w:rsidRPr="0086396D">
        <w:rPr>
          <w:rFonts w:ascii="Book Antiqua" w:hAnsi="Book Antiqua"/>
          <w:sz w:val="24"/>
          <w:szCs w:val="24"/>
          <w:vertAlign w:val="superscript"/>
        </w:rPr>
        <w:t>]</w:t>
      </w:r>
      <w:r w:rsidRPr="0086396D">
        <w:rPr>
          <w:rFonts w:ascii="Book Antiqua" w:hAnsi="Book Antiqua"/>
          <w:sz w:val="24"/>
          <w:szCs w:val="24"/>
        </w:rPr>
        <w:t>, it was reported that urinary trans-aconitate</w:t>
      </w:r>
      <w:r w:rsidR="00E421D9" w:rsidRPr="0086396D">
        <w:rPr>
          <w:rFonts w:ascii="Book Antiqua" w:hAnsi="Book Antiqua"/>
          <w:sz w:val="24"/>
          <w:szCs w:val="24"/>
        </w:rPr>
        <w:t>,</w:t>
      </w:r>
      <w:r w:rsidRPr="0086396D">
        <w:rPr>
          <w:rFonts w:ascii="Book Antiqua" w:hAnsi="Book Antiqua"/>
          <w:sz w:val="24"/>
          <w:szCs w:val="24"/>
        </w:rPr>
        <w:t xml:space="preserve"> which is a tricarboxylic acid, was decreased in IBD patients in comparison to </w:t>
      </w:r>
      <w:r w:rsidR="0000527D" w:rsidRPr="0086396D">
        <w:rPr>
          <w:rFonts w:ascii="Book Antiqua" w:hAnsi="Book Antiqua"/>
          <w:sz w:val="24"/>
          <w:szCs w:val="24"/>
        </w:rPr>
        <w:t>non</w:t>
      </w:r>
      <w:r w:rsidR="007435DC" w:rsidRPr="0086396D">
        <w:rPr>
          <w:rFonts w:ascii="Book Antiqua" w:hAnsi="Book Antiqua"/>
          <w:sz w:val="24"/>
          <w:szCs w:val="24"/>
        </w:rPr>
        <w:t xml:space="preserve">-IBD </w:t>
      </w:r>
      <w:r w:rsidRPr="0086396D">
        <w:rPr>
          <w:rFonts w:ascii="Book Antiqua" w:hAnsi="Book Antiqua"/>
          <w:sz w:val="24"/>
          <w:szCs w:val="24"/>
        </w:rPr>
        <w:t>controls. Previously, 3-hydroxybutyrate (ketone body) was shown to be h</w:t>
      </w:r>
      <w:r w:rsidR="007152DA" w:rsidRPr="0086396D">
        <w:rPr>
          <w:rFonts w:ascii="Book Antiqua" w:hAnsi="Book Antiqua"/>
          <w:sz w:val="24"/>
          <w:szCs w:val="24"/>
        </w:rPr>
        <w:t>igher in serum samples of UC</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25</w:t>
      </w:r>
      <w:r w:rsidR="002B6AAF" w:rsidRPr="0086396D">
        <w:rPr>
          <w:rFonts w:ascii="Book Antiqua" w:hAnsi="Book Antiqua"/>
          <w:sz w:val="24"/>
          <w:szCs w:val="24"/>
          <w:vertAlign w:val="superscript"/>
        </w:rPr>
        <w:t>]</w:t>
      </w:r>
      <w:r w:rsidR="007152DA" w:rsidRPr="0086396D">
        <w:rPr>
          <w:rFonts w:ascii="Book Antiqua" w:hAnsi="Book Antiqua"/>
          <w:sz w:val="24"/>
          <w:szCs w:val="24"/>
        </w:rPr>
        <w:t xml:space="preserve"> or IBD</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26</w:t>
      </w:r>
      <w:r w:rsidR="002B6AAF" w:rsidRPr="0086396D">
        <w:rPr>
          <w:rFonts w:ascii="Book Antiqua" w:hAnsi="Book Antiqua"/>
          <w:sz w:val="24"/>
          <w:szCs w:val="24"/>
          <w:vertAlign w:val="superscript"/>
        </w:rPr>
        <w:t>]</w:t>
      </w:r>
      <w:r w:rsidRPr="0086396D">
        <w:rPr>
          <w:rFonts w:ascii="Book Antiqua" w:hAnsi="Book Antiqua"/>
          <w:sz w:val="24"/>
          <w:szCs w:val="24"/>
        </w:rPr>
        <w:t xml:space="preserve"> patients than </w:t>
      </w:r>
      <w:r w:rsidR="009F741B" w:rsidRPr="0086396D">
        <w:rPr>
          <w:rFonts w:ascii="Book Antiqua" w:hAnsi="Book Antiqua"/>
          <w:sz w:val="24"/>
          <w:szCs w:val="24"/>
        </w:rPr>
        <w:t xml:space="preserve">in </w:t>
      </w:r>
      <w:r w:rsidRPr="0086396D">
        <w:rPr>
          <w:rFonts w:ascii="Book Antiqua" w:hAnsi="Book Antiqua"/>
          <w:sz w:val="24"/>
          <w:szCs w:val="24"/>
        </w:rPr>
        <w:t xml:space="preserve">controls. </w:t>
      </w:r>
      <w:r w:rsidR="009B6BD5" w:rsidRPr="0086396D">
        <w:rPr>
          <w:rFonts w:ascii="Book Antiqua" w:hAnsi="Book Antiqua"/>
          <w:sz w:val="24"/>
          <w:szCs w:val="24"/>
        </w:rPr>
        <w:t>E</w:t>
      </w:r>
      <w:r w:rsidRPr="0086396D">
        <w:rPr>
          <w:rFonts w:ascii="Book Antiqua" w:hAnsi="Book Antiqua"/>
          <w:sz w:val="24"/>
          <w:szCs w:val="24"/>
        </w:rPr>
        <w:t>levated serum level</w:t>
      </w:r>
      <w:r w:rsidR="00390A9F" w:rsidRPr="0086396D">
        <w:rPr>
          <w:rFonts w:ascii="Book Antiqua" w:hAnsi="Book Antiqua"/>
          <w:sz w:val="24"/>
          <w:szCs w:val="24"/>
        </w:rPr>
        <w:t>s</w:t>
      </w:r>
      <w:r w:rsidRPr="0086396D">
        <w:rPr>
          <w:rFonts w:ascii="Book Antiqua" w:hAnsi="Book Antiqua"/>
          <w:sz w:val="24"/>
          <w:szCs w:val="24"/>
        </w:rPr>
        <w:t xml:space="preserve"> of acetoacetate (ketone body) </w:t>
      </w:r>
      <w:r w:rsidR="0061563B" w:rsidRPr="0086396D">
        <w:rPr>
          <w:rFonts w:ascii="Book Antiqua" w:hAnsi="Book Antiqua"/>
          <w:sz w:val="24"/>
          <w:szCs w:val="24"/>
        </w:rPr>
        <w:t xml:space="preserve">were also </w:t>
      </w:r>
      <w:r w:rsidRPr="0086396D">
        <w:rPr>
          <w:rFonts w:ascii="Book Antiqua" w:hAnsi="Book Antiqua"/>
          <w:sz w:val="24"/>
          <w:szCs w:val="24"/>
        </w:rPr>
        <w:t>reported in IBD patien</w:t>
      </w:r>
      <w:r w:rsidR="007152DA" w:rsidRPr="0086396D">
        <w:rPr>
          <w:rFonts w:ascii="Book Antiqua" w:hAnsi="Book Antiqua"/>
          <w:sz w:val="24"/>
          <w:szCs w:val="24"/>
        </w:rPr>
        <w:t>ts in comparison to controls</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26</w:t>
      </w:r>
      <w:r w:rsidR="002B6AAF" w:rsidRPr="0086396D">
        <w:rPr>
          <w:rFonts w:ascii="Book Antiqua" w:hAnsi="Book Antiqua"/>
          <w:sz w:val="24"/>
          <w:szCs w:val="24"/>
          <w:vertAlign w:val="superscript"/>
        </w:rPr>
        <w:t>]</w:t>
      </w:r>
      <w:r w:rsidRPr="0086396D">
        <w:rPr>
          <w:rFonts w:ascii="Book Antiqua" w:hAnsi="Book Antiqua"/>
          <w:sz w:val="24"/>
          <w:szCs w:val="24"/>
        </w:rPr>
        <w:t xml:space="preserve">. The large increase in concentration of ketone bodies (acetoacetate, acetone and 3-hydroxybutyrate) was previously </w:t>
      </w:r>
      <w:r w:rsidR="00440D9D" w:rsidRPr="0086396D">
        <w:rPr>
          <w:rFonts w:ascii="Book Antiqua" w:hAnsi="Book Antiqua"/>
          <w:sz w:val="24"/>
          <w:szCs w:val="24"/>
        </w:rPr>
        <w:t xml:space="preserve">reported </w:t>
      </w:r>
      <w:r w:rsidRPr="0086396D">
        <w:rPr>
          <w:rFonts w:ascii="Book Antiqua" w:hAnsi="Book Antiqua"/>
          <w:sz w:val="24"/>
          <w:szCs w:val="24"/>
        </w:rPr>
        <w:t xml:space="preserve">in DSS-induced colitis mice which </w:t>
      </w:r>
      <w:r w:rsidR="006277E3" w:rsidRPr="0086396D">
        <w:rPr>
          <w:rFonts w:ascii="Book Antiqua" w:hAnsi="Book Antiqua"/>
          <w:sz w:val="24"/>
          <w:szCs w:val="24"/>
        </w:rPr>
        <w:t xml:space="preserve">may </w:t>
      </w:r>
      <w:r w:rsidRPr="0086396D">
        <w:rPr>
          <w:rFonts w:ascii="Book Antiqua" w:hAnsi="Book Antiqua"/>
          <w:sz w:val="24"/>
          <w:szCs w:val="24"/>
        </w:rPr>
        <w:t>reflect the high</w:t>
      </w:r>
      <w:r w:rsidR="009F741B" w:rsidRPr="0086396D">
        <w:rPr>
          <w:rFonts w:ascii="Book Antiqua" w:hAnsi="Book Antiqua"/>
          <w:sz w:val="24"/>
          <w:szCs w:val="24"/>
        </w:rPr>
        <w:t>er</w:t>
      </w:r>
      <w:r w:rsidRPr="0086396D">
        <w:rPr>
          <w:rFonts w:ascii="Book Antiqua" w:hAnsi="Book Antiqua"/>
          <w:sz w:val="24"/>
          <w:szCs w:val="24"/>
        </w:rPr>
        <w:t xml:space="preserve"> demand of the body for energy</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27</w:t>
      </w:r>
      <w:r w:rsidR="002B6AAF" w:rsidRPr="0086396D">
        <w:rPr>
          <w:rFonts w:ascii="Book Antiqua" w:hAnsi="Book Antiqua"/>
          <w:sz w:val="24"/>
          <w:szCs w:val="24"/>
          <w:vertAlign w:val="superscript"/>
        </w:rPr>
        <w:t>]</w:t>
      </w:r>
      <w:r w:rsidRPr="0086396D">
        <w:rPr>
          <w:rFonts w:ascii="Book Antiqua" w:hAnsi="Book Antiqua"/>
          <w:sz w:val="24"/>
          <w:szCs w:val="24"/>
        </w:rPr>
        <w:t xml:space="preserve"> and changes in cellular energy metabolism that occur in IBD patients</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26</w:t>
      </w:r>
      <w:r w:rsidR="002B6AAF" w:rsidRPr="0086396D">
        <w:rPr>
          <w:rFonts w:ascii="Book Antiqua" w:hAnsi="Book Antiqua"/>
          <w:sz w:val="24"/>
          <w:szCs w:val="24"/>
          <w:vertAlign w:val="superscript"/>
        </w:rPr>
        <w:t>]</w:t>
      </w:r>
      <w:r w:rsidR="0061563B" w:rsidRPr="0086396D">
        <w:rPr>
          <w:rFonts w:ascii="Book Antiqua" w:hAnsi="Book Antiqua"/>
          <w:sz w:val="24"/>
          <w:szCs w:val="24"/>
        </w:rPr>
        <w:t>,</w:t>
      </w:r>
      <w:r w:rsidR="00CA7CA6" w:rsidRPr="0086396D">
        <w:rPr>
          <w:rFonts w:ascii="Book Antiqua" w:hAnsi="Book Antiqua"/>
          <w:sz w:val="24"/>
          <w:szCs w:val="24"/>
        </w:rPr>
        <w:t xml:space="preserve"> </w:t>
      </w:r>
      <w:r w:rsidR="009F741B" w:rsidRPr="0086396D">
        <w:rPr>
          <w:rFonts w:ascii="Book Antiqua" w:hAnsi="Book Antiqua"/>
          <w:sz w:val="24"/>
          <w:szCs w:val="24"/>
        </w:rPr>
        <w:t>in our population even before</w:t>
      </w:r>
      <w:r w:rsidR="00CA7CA6" w:rsidRPr="0086396D">
        <w:rPr>
          <w:rFonts w:ascii="Book Antiqua" w:hAnsi="Book Antiqua"/>
          <w:sz w:val="24"/>
          <w:szCs w:val="24"/>
        </w:rPr>
        <w:t xml:space="preserve"> disease relapse. </w:t>
      </w:r>
      <w:r w:rsidR="00DA1572" w:rsidRPr="0086396D">
        <w:rPr>
          <w:rFonts w:ascii="Book Antiqua" w:hAnsi="Book Antiqua"/>
          <w:sz w:val="24"/>
          <w:szCs w:val="24"/>
        </w:rPr>
        <w:t xml:space="preserve">In addition, we noticed a negative correlation between </w:t>
      </w:r>
      <w:r w:rsidR="00E728D8" w:rsidRPr="0086396D">
        <w:rPr>
          <w:rFonts w:ascii="Book Antiqua" w:hAnsi="Book Antiqua"/>
          <w:sz w:val="24"/>
          <w:szCs w:val="24"/>
        </w:rPr>
        <w:t xml:space="preserve">some of these ketone bodies with BMI which highlights the role of energy-related metabolic alterations </w:t>
      </w:r>
      <w:r w:rsidR="009F741B" w:rsidRPr="0086396D">
        <w:rPr>
          <w:rFonts w:ascii="Book Antiqua" w:hAnsi="Book Antiqua"/>
          <w:sz w:val="24"/>
          <w:szCs w:val="24"/>
        </w:rPr>
        <w:t xml:space="preserve">before </w:t>
      </w:r>
      <w:r w:rsidR="00E728D8" w:rsidRPr="0086396D">
        <w:rPr>
          <w:rFonts w:ascii="Book Antiqua" w:hAnsi="Book Antiqua"/>
          <w:sz w:val="24"/>
          <w:szCs w:val="24"/>
        </w:rPr>
        <w:t>UC relapse (data not shown).</w:t>
      </w:r>
      <w:r w:rsidR="00CA7CA6" w:rsidRPr="0086396D">
        <w:rPr>
          <w:rFonts w:ascii="Book Antiqua" w:hAnsi="Book Antiqua"/>
          <w:sz w:val="24"/>
          <w:szCs w:val="24"/>
        </w:rPr>
        <w:t xml:space="preserve"> </w:t>
      </w:r>
    </w:p>
    <w:p w14:paraId="08CC443D" w14:textId="568912B7" w:rsidR="003D2D0E" w:rsidRPr="0086396D" w:rsidRDefault="003D2D0E"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In our study, we also found that </w:t>
      </w:r>
      <w:r w:rsidR="00EA6881" w:rsidRPr="0086396D">
        <w:rPr>
          <w:rFonts w:ascii="Book Antiqua" w:hAnsi="Book Antiqua"/>
          <w:sz w:val="24"/>
          <w:szCs w:val="24"/>
        </w:rPr>
        <w:t xml:space="preserve">relatively </w:t>
      </w:r>
      <w:r w:rsidRPr="0086396D">
        <w:rPr>
          <w:rFonts w:ascii="Book Antiqua" w:hAnsi="Book Antiqua"/>
          <w:sz w:val="24"/>
          <w:szCs w:val="24"/>
        </w:rPr>
        <w:t xml:space="preserve">lower levels of cystine and acetamide </w:t>
      </w:r>
      <w:r w:rsidR="00617384" w:rsidRPr="0086396D">
        <w:rPr>
          <w:rFonts w:ascii="Book Antiqua" w:hAnsi="Book Antiqua"/>
          <w:sz w:val="24"/>
          <w:szCs w:val="24"/>
        </w:rPr>
        <w:t>in urine</w:t>
      </w:r>
      <w:r w:rsidRPr="0086396D">
        <w:rPr>
          <w:rFonts w:ascii="Book Antiqua" w:hAnsi="Book Antiqua"/>
          <w:sz w:val="24"/>
          <w:szCs w:val="24"/>
        </w:rPr>
        <w:t xml:space="preserve"> were associated with increased risk of relapse. Cystine is an oxidized dimeric form of cysteine (a semi-essential proteinogenic amino acid). Cystine and cysteine are limiting substrates in the biosynthesis of tripeptide glutathione (GSH)</w:t>
      </w:r>
      <w:r w:rsidR="00C41216" w:rsidRPr="0086396D">
        <w:rPr>
          <w:rFonts w:ascii="Book Antiqua" w:hAnsi="Book Antiqua"/>
          <w:sz w:val="24"/>
          <w:szCs w:val="24"/>
        </w:rPr>
        <w:t>,</w:t>
      </w:r>
      <w:r w:rsidRPr="0086396D">
        <w:rPr>
          <w:rFonts w:ascii="Book Antiqua" w:hAnsi="Book Antiqua"/>
          <w:sz w:val="24"/>
          <w:szCs w:val="24"/>
        </w:rPr>
        <w:t xml:space="preserve"> which is known to be the most important intracellular antioxidant. It was shown that low plasma cysteine and cystine levels were associated with decreased mucosal synthesis of GSH, </w:t>
      </w:r>
      <w:r w:rsidRPr="0086396D">
        <w:rPr>
          <w:rFonts w:ascii="Book Antiqua" w:hAnsi="Book Antiqua"/>
          <w:sz w:val="24"/>
          <w:szCs w:val="24"/>
        </w:rPr>
        <w:lastRenderedPageBreak/>
        <w:t>increased oxidative damage, and</w:t>
      </w:r>
      <w:r w:rsidR="00E064DC" w:rsidRPr="0086396D">
        <w:rPr>
          <w:rFonts w:ascii="Book Antiqua" w:hAnsi="Book Antiqua"/>
          <w:sz w:val="24"/>
          <w:szCs w:val="24"/>
        </w:rPr>
        <w:t xml:space="preserve"> presence of</w:t>
      </w:r>
      <w:r w:rsidRPr="0086396D">
        <w:rPr>
          <w:rFonts w:ascii="Book Antiqua" w:hAnsi="Book Antiqua"/>
          <w:sz w:val="24"/>
          <w:szCs w:val="24"/>
        </w:rPr>
        <w:t xml:space="preserve"> inflammation in UC and CD</w:t>
      </w:r>
      <w:r w:rsidR="007152DA" w:rsidRPr="0086396D">
        <w:rPr>
          <w:rFonts w:ascii="Book Antiqua" w:hAnsi="Book Antiqua"/>
          <w:sz w:val="24"/>
          <w:szCs w:val="24"/>
        </w:rPr>
        <w:t xml:space="preserve"> patients</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28</w:t>
      </w:r>
      <w:r w:rsidR="002B6AAF" w:rsidRPr="0086396D">
        <w:rPr>
          <w:rFonts w:ascii="Book Antiqua" w:hAnsi="Book Antiqua"/>
          <w:sz w:val="24"/>
          <w:szCs w:val="24"/>
          <w:vertAlign w:val="superscript"/>
        </w:rPr>
        <w:t>]</w:t>
      </w:r>
      <w:r w:rsidRPr="0086396D">
        <w:rPr>
          <w:rFonts w:ascii="Book Antiqua" w:hAnsi="Book Antiqua"/>
          <w:sz w:val="24"/>
          <w:szCs w:val="24"/>
        </w:rPr>
        <w:t xml:space="preserve">. </w:t>
      </w:r>
      <w:r w:rsidR="00617384" w:rsidRPr="0086396D">
        <w:rPr>
          <w:rFonts w:ascii="Book Antiqua" w:hAnsi="Book Antiqua"/>
          <w:sz w:val="24"/>
          <w:szCs w:val="24"/>
        </w:rPr>
        <w:t>In the present study, decreased cystine level</w:t>
      </w:r>
      <w:r w:rsidR="00EA6881" w:rsidRPr="0086396D">
        <w:rPr>
          <w:rFonts w:ascii="Book Antiqua" w:hAnsi="Book Antiqua"/>
          <w:sz w:val="24"/>
          <w:szCs w:val="24"/>
        </w:rPr>
        <w:t xml:space="preserve">s </w:t>
      </w:r>
      <w:r w:rsidR="000136B2" w:rsidRPr="0086396D">
        <w:rPr>
          <w:rFonts w:ascii="Book Antiqua" w:hAnsi="Book Antiqua"/>
          <w:sz w:val="24"/>
          <w:szCs w:val="24"/>
        </w:rPr>
        <w:t>were associated with</w:t>
      </w:r>
      <w:r w:rsidR="00617384" w:rsidRPr="0086396D">
        <w:rPr>
          <w:rFonts w:ascii="Book Antiqua" w:hAnsi="Book Antiqua"/>
          <w:sz w:val="24"/>
          <w:szCs w:val="24"/>
        </w:rPr>
        <w:t xml:space="preserve"> disease relapse </w:t>
      </w:r>
      <w:r w:rsidR="000136B2" w:rsidRPr="0086396D">
        <w:rPr>
          <w:rFonts w:ascii="Book Antiqua" w:hAnsi="Book Antiqua"/>
          <w:sz w:val="24"/>
          <w:szCs w:val="24"/>
        </w:rPr>
        <w:t xml:space="preserve">possibly </w:t>
      </w:r>
      <w:r w:rsidR="00617384" w:rsidRPr="0086396D">
        <w:rPr>
          <w:rFonts w:ascii="Book Antiqua" w:hAnsi="Book Antiqua"/>
          <w:sz w:val="24"/>
          <w:szCs w:val="24"/>
        </w:rPr>
        <w:t>through reduction in GSH synthesis and increased oxidative damage.</w:t>
      </w:r>
      <w:r w:rsidR="00BA0C62" w:rsidRPr="00BA0C62">
        <w:rPr>
          <w:rFonts w:ascii="Book Antiqua" w:hAnsi="Book Antiqua"/>
          <w:i/>
          <w:sz w:val="24"/>
          <w:szCs w:val="24"/>
        </w:rPr>
        <w:t xml:space="preserve"> </w:t>
      </w:r>
      <w:r w:rsidRPr="0086396D">
        <w:rPr>
          <w:rFonts w:ascii="Book Antiqua" w:hAnsi="Book Antiqua"/>
          <w:sz w:val="24"/>
          <w:szCs w:val="24"/>
        </w:rPr>
        <w:t>Acetamide is the amide of acetic acid</w:t>
      </w:r>
      <w:r w:rsidR="00C41216" w:rsidRPr="0086396D">
        <w:rPr>
          <w:rFonts w:ascii="Book Antiqua" w:hAnsi="Book Antiqua"/>
          <w:sz w:val="24"/>
          <w:szCs w:val="24"/>
        </w:rPr>
        <w:t xml:space="preserve">. </w:t>
      </w:r>
      <w:r w:rsidR="00E74E95" w:rsidRPr="0086396D">
        <w:rPr>
          <w:rFonts w:ascii="Book Antiqua" w:hAnsi="Book Antiqua"/>
          <w:sz w:val="24"/>
          <w:szCs w:val="24"/>
        </w:rPr>
        <w:t>It has</w:t>
      </w:r>
      <w:r w:rsidR="00C41216" w:rsidRPr="0086396D">
        <w:rPr>
          <w:rFonts w:ascii="Book Antiqua" w:hAnsi="Book Antiqua"/>
          <w:sz w:val="24"/>
          <w:szCs w:val="24"/>
        </w:rPr>
        <w:t xml:space="preserve"> been shown that acetamide has antimicrobial, anti-inflammatory, and antibiotic functions</w:t>
      </w:r>
      <w:r w:rsidR="00992F96" w:rsidRPr="00992F96">
        <w:rPr>
          <w:rFonts w:ascii="Book Antiqua" w:hAnsi="Book Antiqua"/>
          <w:sz w:val="24"/>
          <w:szCs w:val="24"/>
          <w:vertAlign w:val="superscript"/>
        </w:rPr>
        <w:t>[</w:t>
      </w:r>
      <w:r w:rsidR="007152DA" w:rsidRPr="0086396D">
        <w:rPr>
          <w:rFonts w:ascii="Book Antiqua" w:hAnsi="Book Antiqua"/>
          <w:sz w:val="24"/>
          <w:szCs w:val="24"/>
          <w:vertAlign w:val="superscript"/>
        </w:rPr>
        <w:t>29</w:t>
      </w:r>
      <w:r w:rsidR="004C59E8">
        <w:rPr>
          <w:rFonts w:ascii="Book Antiqua" w:hAnsi="Book Antiqua"/>
          <w:sz w:val="24"/>
          <w:szCs w:val="24"/>
          <w:vertAlign w:val="superscript"/>
        </w:rPr>
        <w:t>,</w:t>
      </w:r>
      <w:r w:rsidR="00C41216" w:rsidRPr="0086396D">
        <w:rPr>
          <w:rFonts w:ascii="Book Antiqua" w:hAnsi="Book Antiqua"/>
          <w:sz w:val="24"/>
          <w:szCs w:val="24"/>
          <w:vertAlign w:val="superscript"/>
        </w:rPr>
        <w:t>3</w:t>
      </w:r>
      <w:r w:rsidR="007152DA" w:rsidRPr="0086396D">
        <w:rPr>
          <w:rFonts w:ascii="Book Antiqua" w:hAnsi="Book Antiqua"/>
          <w:sz w:val="24"/>
          <w:szCs w:val="24"/>
          <w:vertAlign w:val="superscript"/>
        </w:rPr>
        <w:t>0</w:t>
      </w:r>
      <w:r w:rsidR="002B6AAF" w:rsidRPr="0086396D">
        <w:rPr>
          <w:rFonts w:ascii="Book Antiqua" w:hAnsi="Book Antiqua"/>
          <w:sz w:val="24"/>
          <w:szCs w:val="24"/>
          <w:vertAlign w:val="superscript"/>
        </w:rPr>
        <w:t>]</w:t>
      </w:r>
      <w:r w:rsidR="00C41216" w:rsidRPr="0086396D">
        <w:rPr>
          <w:rFonts w:ascii="Book Antiqua" w:hAnsi="Book Antiqua"/>
          <w:sz w:val="24"/>
          <w:szCs w:val="24"/>
        </w:rPr>
        <w:t>.</w:t>
      </w:r>
      <w:r w:rsidR="00617384" w:rsidRPr="0086396D">
        <w:rPr>
          <w:rFonts w:ascii="Book Antiqua" w:hAnsi="Book Antiqua"/>
          <w:sz w:val="24"/>
          <w:szCs w:val="24"/>
        </w:rPr>
        <w:t xml:space="preserve"> </w:t>
      </w:r>
      <w:r w:rsidR="00C41216" w:rsidRPr="0086396D">
        <w:rPr>
          <w:rFonts w:ascii="Book Antiqua" w:hAnsi="Book Antiqua"/>
          <w:sz w:val="24"/>
          <w:szCs w:val="24"/>
        </w:rPr>
        <w:t xml:space="preserve">Acetamide </w:t>
      </w:r>
      <w:r w:rsidRPr="0086396D">
        <w:rPr>
          <w:rFonts w:ascii="Book Antiqua" w:hAnsi="Book Antiqua"/>
          <w:sz w:val="24"/>
          <w:szCs w:val="24"/>
        </w:rPr>
        <w:t xml:space="preserve">has dietary sources. A significant increase in urinary acetamide level was reported in rats that were fed </w:t>
      </w:r>
      <w:r w:rsidR="00C41216" w:rsidRPr="0086396D">
        <w:rPr>
          <w:rFonts w:ascii="Book Antiqua" w:hAnsi="Book Antiqua"/>
          <w:sz w:val="24"/>
          <w:szCs w:val="24"/>
        </w:rPr>
        <w:t xml:space="preserve">a </w:t>
      </w:r>
      <w:r w:rsidRPr="0086396D">
        <w:rPr>
          <w:rFonts w:ascii="Book Antiqua" w:hAnsi="Book Antiqua"/>
          <w:sz w:val="24"/>
          <w:szCs w:val="24"/>
        </w:rPr>
        <w:t xml:space="preserve">diet enriched with sweet potato </w:t>
      </w:r>
      <w:r w:rsidR="00500855" w:rsidRPr="0086396D">
        <w:rPr>
          <w:rFonts w:ascii="Book Antiqua" w:hAnsi="Book Antiqua"/>
          <w:sz w:val="24"/>
          <w:szCs w:val="24"/>
        </w:rPr>
        <w:t>residue as</w:t>
      </w:r>
      <w:r w:rsidRPr="0086396D">
        <w:rPr>
          <w:rFonts w:ascii="Book Antiqua" w:hAnsi="Book Antiqua"/>
          <w:sz w:val="24"/>
          <w:szCs w:val="24"/>
        </w:rPr>
        <w:t xml:space="preserve"> diet</w:t>
      </w:r>
      <w:r w:rsidR="00024382" w:rsidRPr="0086396D">
        <w:rPr>
          <w:rFonts w:ascii="Book Antiqua" w:hAnsi="Book Antiqua"/>
          <w:sz w:val="24"/>
          <w:szCs w:val="24"/>
        </w:rPr>
        <w:t>ary fibre</w:t>
      </w:r>
      <w:r w:rsidR="00992F96" w:rsidRPr="00992F96">
        <w:rPr>
          <w:rFonts w:ascii="Book Antiqua" w:hAnsi="Book Antiqua"/>
          <w:sz w:val="24"/>
          <w:szCs w:val="24"/>
          <w:vertAlign w:val="superscript"/>
        </w:rPr>
        <w:t>[</w:t>
      </w:r>
      <w:r w:rsidR="00024382" w:rsidRPr="0086396D">
        <w:rPr>
          <w:rFonts w:ascii="Book Antiqua" w:hAnsi="Book Antiqua"/>
          <w:sz w:val="24"/>
          <w:szCs w:val="24"/>
          <w:vertAlign w:val="superscript"/>
        </w:rPr>
        <w:t>3</w:t>
      </w:r>
      <w:r w:rsidR="007152DA" w:rsidRPr="0086396D">
        <w:rPr>
          <w:rFonts w:ascii="Book Antiqua" w:hAnsi="Book Antiqua"/>
          <w:sz w:val="24"/>
          <w:szCs w:val="24"/>
          <w:vertAlign w:val="superscript"/>
        </w:rPr>
        <w:t>1</w:t>
      </w:r>
      <w:r w:rsidR="002B6AAF" w:rsidRPr="0086396D">
        <w:rPr>
          <w:rFonts w:ascii="Book Antiqua" w:hAnsi="Book Antiqua"/>
          <w:sz w:val="24"/>
          <w:szCs w:val="24"/>
          <w:vertAlign w:val="superscript"/>
        </w:rPr>
        <w:t>]</w:t>
      </w:r>
      <w:r w:rsidRPr="0086396D">
        <w:rPr>
          <w:rFonts w:ascii="Book Antiqua" w:hAnsi="Book Antiqua"/>
          <w:sz w:val="24"/>
          <w:szCs w:val="24"/>
        </w:rPr>
        <w:t>. In another study, rats on</w:t>
      </w:r>
      <w:r w:rsidR="00EA6881" w:rsidRPr="0086396D">
        <w:rPr>
          <w:rFonts w:ascii="Book Antiqua" w:hAnsi="Book Antiqua"/>
          <w:sz w:val="24"/>
          <w:szCs w:val="24"/>
        </w:rPr>
        <w:t xml:space="preserve"> a</w:t>
      </w:r>
      <w:r w:rsidRPr="0086396D">
        <w:rPr>
          <w:rFonts w:ascii="Book Antiqua" w:hAnsi="Book Antiqua"/>
          <w:sz w:val="24"/>
          <w:szCs w:val="24"/>
        </w:rPr>
        <w:t xml:space="preserve"> wheat bran fibre diet had significantly higher urinary acet</w:t>
      </w:r>
      <w:r w:rsidR="00024382" w:rsidRPr="0086396D">
        <w:rPr>
          <w:rFonts w:ascii="Book Antiqua" w:hAnsi="Book Antiqua"/>
          <w:sz w:val="24"/>
          <w:szCs w:val="24"/>
        </w:rPr>
        <w:t>amide than the control group</w:t>
      </w:r>
      <w:r w:rsidR="00992F96" w:rsidRPr="00992F96">
        <w:rPr>
          <w:rFonts w:ascii="Book Antiqua" w:hAnsi="Book Antiqua"/>
          <w:sz w:val="24"/>
          <w:szCs w:val="24"/>
          <w:vertAlign w:val="superscript"/>
        </w:rPr>
        <w:t>[</w:t>
      </w:r>
      <w:r w:rsidR="00024382" w:rsidRPr="0086396D">
        <w:rPr>
          <w:rFonts w:ascii="Book Antiqua" w:hAnsi="Book Antiqua"/>
          <w:sz w:val="24"/>
          <w:szCs w:val="24"/>
          <w:vertAlign w:val="superscript"/>
        </w:rPr>
        <w:t>3</w:t>
      </w:r>
      <w:r w:rsidR="007152DA" w:rsidRPr="0086396D">
        <w:rPr>
          <w:rFonts w:ascii="Book Antiqua" w:hAnsi="Book Antiqua"/>
          <w:sz w:val="24"/>
          <w:szCs w:val="24"/>
          <w:vertAlign w:val="superscript"/>
        </w:rPr>
        <w:t>2</w:t>
      </w:r>
      <w:r w:rsidR="002B6AAF" w:rsidRPr="0086396D">
        <w:rPr>
          <w:rFonts w:ascii="Book Antiqua" w:hAnsi="Book Antiqua"/>
          <w:sz w:val="24"/>
          <w:szCs w:val="24"/>
          <w:vertAlign w:val="superscript"/>
        </w:rPr>
        <w:t>]</w:t>
      </w:r>
      <w:r w:rsidRPr="0086396D">
        <w:rPr>
          <w:rFonts w:ascii="Book Antiqua" w:hAnsi="Book Antiqua"/>
          <w:sz w:val="24"/>
          <w:szCs w:val="24"/>
        </w:rPr>
        <w:t>.</w:t>
      </w:r>
      <w:r w:rsidR="00821A38" w:rsidRPr="0086396D">
        <w:rPr>
          <w:rFonts w:ascii="Book Antiqua" w:hAnsi="Book Antiqua"/>
          <w:sz w:val="24"/>
          <w:szCs w:val="24"/>
        </w:rPr>
        <w:t xml:space="preserve"> Interestingly, in the present study </w:t>
      </w:r>
      <w:r w:rsidR="00390A9F" w:rsidRPr="0086396D">
        <w:rPr>
          <w:rFonts w:ascii="Book Antiqua" w:hAnsi="Book Antiqua"/>
          <w:sz w:val="24"/>
          <w:szCs w:val="24"/>
        </w:rPr>
        <w:t xml:space="preserve">a history of high </w:t>
      </w:r>
      <w:r w:rsidR="00821A38" w:rsidRPr="0086396D">
        <w:rPr>
          <w:rFonts w:ascii="Book Antiqua" w:hAnsi="Book Antiqua"/>
          <w:sz w:val="24"/>
          <w:szCs w:val="24"/>
        </w:rPr>
        <w:t xml:space="preserve">dietary intake </w:t>
      </w:r>
      <w:r w:rsidR="00E728D8" w:rsidRPr="0086396D">
        <w:rPr>
          <w:rFonts w:ascii="Book Antiqua" w:hAnsi="Book Antiqua"/>
          <w:sz w:val="24"/>
          <w:szCs w:val="24"/>
        </w:rPr>
        <w:t xml:space="preserve">of </w:t>
      </w:r>
      <w:r w:rsidR="00821A38" w:rsidRPr="0086396D">
        <w:rPr>
          <w:rFonts w:ascii="Book Antiqua" w:hAnsi="Book Antiqua"/>
          <w:sz w:val="24"/>
          <w:szCs w:val="24"/>
        </w:rPr>
        <w:t>non-whole grain products</w:t>
      </w:r>
      <w:r w:rsidR="00AB7060" w:rsidRPr="0086396D">
        <w:rPr>
          <w:rFonts w:ascii="Book Antiqua" w:hAnsi="Book Antiqua"/>
          <w:sz w:val="24"/>
          <w:szCs w:val="24"/>
        </w:rPr>
        <w:t>,</w:t>
      </w:r>
      <w:r w:rsidR="00821A38" w:rsidRPr="0086396D">
        <w:rPr>
          <w:rFonts w:ascii="Book Antiqua" w:hAnsi="Book Antiqua"/>
          <w:sz w:val="24"/>
          <w:szCs w:val="24"/>
        </w:rPr>
        <w:t xml:space="preserve"> </w:t>
      </w:r>
      <w:r w:rsidR="00AB7060" w:rsidRPr="0086396D">
        <w:rPr>
          <w:rFonts w:ascii="Book Antiqua" w:hAnsi="Book Antiqua"/>
          <w:sz w:val="24"/>
          <w:szCs w:val="24"/>
        </w:rPr>
        <w:t xml:space="preserve">and thus less fibre, </w:t>
      </w:r>
      <w:r w:rsidR="00390A9F" w:rsidRPr="0086396D">
        <w:rPr>
          <w:rFonts w:ascii="Book Antiqua" w:hAnsi="Book Antiqua"/>
          <w:sz w:val="24"/>
          <w:szCs w:val="24"/>
        </w:rPr>
        <w:t xml:space="preserve">was </w:t>
      </w:r>
      <w:r w:rsidR="00821A38" w:rsidRPr="0086396D">
        <w:rPr>
          <w:rFonts w:ascii="Book Antiqua" w:hAnsi="Book Antiqua"/>
          <w:sz w:val="24"/>
          <w:szCs w:val="24"/>
        </w:rPr>
        <w:t>inversely correlated with urinary ac</w:t>
      </w:r>
      <w:r w:rsidR="0032089C" w:rsidRPr="0086396D">
        <w:rPr>
          <w:rFonts w:ascii="Book Antiqua" w:hAnsi="Book Antiqua"/>
          <w:sz w:val="24"/>
          <w:szCs w:val="24"/>
        </w:rPr>
        <w:t>etamide levels (data not shown</w:t>
      </w:r>
      <w:r w:rsidR="00821A38" w:rsidRPr="0086396D">
        <w:rPr>
          <w:rFonts w:ascii="Book Antiqua" w:hAnsi="Book Antiqua"/>
          <w:sz w:val="24"/>
          <w:szCs w:val="24"/>
        </w:rPr>
        <w:t xml:space="preserve">). </w:t>
      </w:r>
      <w:r w:rsidR="00EA6881" w:rsidRPr="0086396D">
        <w:rPr>
          <w:rFonts w:ascii="Book Antiqua" w:hAnsi="Book Antiqua"/>
          <w:sz w:val="24"/>
          <w:szCs w:val="24"/>
        </w:rPr>
        <w:t>These findings</w:t>
      </w:r>
      <w:r w:rsidR="00500855" w:rsidRPr="0086396D">
        <w:rPr>
          <w:rFonts w:ascii="Book Antiqua" w:hAnsi="Book Antiqua"/>
          <w:sz w:val="24"/>
          <w:szCs w:val="24"/>
        </w:rPr>
        <w:t xml:space="preserve"> </w:t>
      </w:r>
      <w:r w:rsidR="00390A9F" w:rsidRPr="0086396D">
        <w:rPr>
          <w:rFonts w:ascii="Book Antiqua" w:hAnsi="Book Antiqua"/>
          <w:sz w:val="24"/>
          <w:szCs w:val="24"/>
        </w:rPr>
        <w:t xml:space="preserve">suggest a role for </w:t>
      </w:r>
      <w:r w:rsidR="00EA6881" w:rsidRPr="0086396D">
        <w:rPr>
          <w:rFonts w:ascii="Book Antiqua" w:hAnsi="Book Antiqua"/>
          <w:sz w:val="24"/>
          <w:szCs w:val="24"/>
        </w:rPr>
        <w:t xml:space="preserve">specific </w:t>
      </w:r>
      <w:r w:rsidR="00390A9F" w:rsidRPr="0086396D">
        <w:rPr>
          <w:rFonts w:ascii="Book Antiqua" w:hAnsi="Book Antiqua"/>
          <w:sz w:val="24"/>
          <w:szCs w:val="24"/>
        </w:rPr>
        <w:t>diet</w:t>
      </w:r>
      <w:r w:rsidR="00EA6881" w:rsidRPr="0086396D">
        <w:rPr>
          <w:rFonts w:ascii="Book Antiqua" w:hAnsi="Book Antiqua"/>
          <w:sz w:val="24"/>
          <w:szCs w:val="24"/>
        </w:rPr>
        <w:t>ary components</w:t>
      </w:r>
      <w:r w:rsidR="00390A9F" w:rsidRPr="0086396D">
        <w:rPr>
          <w:rFonts w:ascii="Book Antiqua" w:hAnsi="Book Antiqua"/>
          <w:sz w:val="24"/>
          <w:szCs w:val="24"/>
        </w:rPr>
        <w:t xml:space="preserve"> in the </w:t>
      </w:r>
      <w:r w:rsidR="00821A38" w:rsidRPr="0086396D">
        <w:rPr>
          <w:rFonts w:ascii="Book Antiqua" w:hAnsi="Book Antiqua"/>
          <w:sz w:val="24"/>
          <w:szCs w:val="24"/>
        </w:rPr>
        <w:t>pathophysiology of UC relapse</w:t>
      </w:r>
      <w:r w:rsidR="00390A9F" w:rsidRPr="0086396D">
        <w:rPr>
          <w:rFonts w:ascii="Book Antiqua" w:hAnsi="Book Antiqua"/>
          <w:sz w:val="24"/>
          <w:szCs w:val="24"/>
        </w:rPr>
        <w:t xml:space="preserve"> an</w:t>
      </w:r>
      <w:r w:rsidR="0052634C" w:rsidRPr="0086396D">
        <w:rPr>
          <w:rFonts w:ascii="Book Antiqua" w:hAnsi="Book Antiqua"/>
          <w:sz w:val="24"/>
          <w:szCs w:val="24"/>
        </w:rPr>
        <w:t>d should be examined</w:t>
      </w:r>
      <w:r w:rsidR="00821A38" w:rsidRPr="0086396D">
        <w:rPr>
          <w:rFonts w:ascii="Book Antiqua" w:hAnsi="Book Antiqua"/>
          <w:sz w:val="24"/>
          <w:szCs w:val="24"/>
        </w:rPr>
        <w:t xml:space="preserve"> </w:t>
      </w:r>
      <w:r w:rsidR="0052634C" w:rsidRPr="0086396D">
        <w:rPr>
          <w:rFonts w:ascii="Book Antiqua" w:hAnsi="Book Antiqua"/>
          <w:sz w:val="24"/>
          <w:szCs w:val="24"/>
        </w:rPr>
        <w:t xml:space="preserve">in </w:t>
      </w:r>
      <w:r w:rsidR="00821A38" w:rsidRPr="0086396D">
        <w:rPr>
          <w:rFonts w:ascii="Book Antiqua" w:hAnsi="Book Antiqua"/>
          <w:sz w:val="24"/>
          <w:szCs w:val="24"/>
        </w:rPr>
        <w:t xml:space="preserve">future perspective </w:t>
      </w:r>
      <w:r w:rsidR="00EA6881" w:rsidRPr="0086396D">
        <w:rPr>
          <w:rFonts w:ascii="Book Antiqua" w:hAnsi="Book Antiqua"/>
          <w:sz w:val="24"/>
          <w:szCs w:val="24"/>
        </w:rPr>
        <w:t xml:space="preserve">larger </w:t>
      </w:r>
      <w:r w:rsidR="00821A38" w:rsidRPr="0086396D">
        <w:rPr>
          <w:rFonts w:ascii="Book Antiqua" w:hAnsi="Book Antiqua"/>
          <w:sz w:val="24"/>
          <w:szCs w:val="24"/>
        </w:rPr>
        <w:t>cohort studies and clinical trials.</w:t>
      </w:r>
      <w:r w:rsidRPr="0086396D">
        <w:rPr>
          <w:rFonts w:ascii="Book Antiqua" w:hAnsi="Book Antiqua"/>
          <w:sz w:val="24"/>
          <w:szCs w:val="24"/>
        </w:rPr>
        <w:t xml:space="preserve"> </w:t>
      </w:r>
    </w:p>
    <w:p w14:paraId="6D216FA4" w14:textId="1AEDB125" w:rsidR="006B2AF4" w:rsidRPr="0086396D" w:rsidRDefault="000325D4"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In the present study, we </w:t>
      </w:r>
      <w:r w:rsidR="00EC428F" w:rsidRPr="0086396D">
        <w:rPr>
          <w:rFonts w:ascii="Book Antiqua" w:hAnsi="Book Antiqua"/>
          <w:sz w:val="24"/>
          <w:szCs w:val="24"/>
        </w:rPr>
        <w:t>indicated</w:t>
      </w:r>
      <w:r w:rsidRPr="0086396D">
        <w:rPr>
          <w:rFonts w:ascii="Book Antiqua" w:hAnsi="Book Antiqua"/>
          <w:sz w:val="24"/>
          <w:szCs w:val="24"/>
        </w:rPr>
        <w:t xml:space="preserve"> that FCP at baseline </w:t>
      </w:r>
      <w:r w:rsidR="006B2AF4" w:rsidRPr="0086396D">
        <w:rPr>
          <w:rFonts w:ascii="Book Antiqua" w:hAnsi="Book Antiqua"/>
          <w:sz w:val="24"/>
          <w:szCs w:val="24"/>
        </w:rPr>
        <w:t>could predict UC clinical relapse. We found that UC patients who had elevated FC</w:t>
      </w:r>
      <w:r w:rsidR="00306CA1" w:rsidRPr="0086396D">
        <w:rPr>
          <w:rFonts w:ascii="Book Antiqua" w:hAnsi="Book Antiqua"/>
          <w:sz w:val="24"/>
          <w:szCs w:val="24"/>
        </w:rPr>
        <w:t>P</w:t>
      </w:r>
      <w:r w:rsidR="006B2AF4" w:rsidRPr="0086396D">
        <w:rPr>
          <w:rFonts w:ascii="Book Antiqua" w:hAnsi="Book Antiqua"/>
          <w:sz w:val="24"/>
          <w:szCs w:val="24"/>
        </w:rPr>
        <w:t xml:space="preserve"> levels at baseline had 4.6 times higher risk of developing clinical relapse during follow-up than patients with low FC. This finding is in agreement with </w:t>
      </w:r>
      <w:r w:rsidR="00A834E4" w:rsidRPr="0086396D">
        <w:rPr>
          <w:rFonts w:ascii="Book Antiqua" w:hAnsi="Book Antiqua"/>
          <w:sz w:val="24"/>
          <w:szCs w:val="24"/>
        </w:rPr>
        <w:t xml:space="preserve">several </w:t>
      </w:r>
      <w:r w:rsidR="006B2AF4" w:rsidRPr="0086396D">
        <w:rPr>
          <w:rFonts w:ascii="Book Antiqua" w:hAnsi="Book Antiqua"/>
          <w:sz w:val="24"/>
          <w:szCs w:val="24"/>
        </w:rPr>
        <w:t>previous studies</w:t>
      </w:r>
      <w:r w:rsidR="00992F96" w:rsidRPr="00992F96">
        <w:rPr>
          <w:rFonts w:ascii="Book Antiqua" w:hAnsi="Book Antiqua"/>
          <w:sz w:val="24"/>
          <w:szCs w:val="24"/>
          <w:vertAlign w:val="superscript"/>
        </w:rPr>
        <w:t>[</w:t>
      </w:r>
      <w:r w:rsidR="004C59E8">
        <w:rPr>
          <w:rFonts w:ascii="Book Antiqua" w:hAnsi="Book Antiqua"/>
          <w:sz w:val="24"/>
          <w:szCs w:val="24"/>
          <w:vertAlign w:val="superscript"/>
        </w:rPr>
        <w:t>9,17,21,</w:t>
      </w:r>
      <w:r w:rsidR="007152DA" w:rsidRPr="0086396D">
        <w:rPr>
          <w:rFonts w:ascii="Book Antiqua" w:hAnsi="Book Antiqua"/>
          <w:sz w:val="24"/>
          <w:szCs w:val="24"/>
          <w:vertAlign w:val="superscript"/>
        </w:rPr>
        <w:t>33</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w:t>
      </w:r>
    </w:p>
    <w:p w14:paraId="547EAEBA" w14:textId="5CC68595" w:rsidR="006B2AF4" w:rsidRPr="0086396D" w:rsidRDefault="00B37FA4"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O</w:t>
      </w:r>
      <w:r w:rsidR="009B6BD5" w:rsidRPr="0086396D">
        <w:rPr>
          <w:rFonts w:ascii="Book Antiqua" w:hAnsi="Book Antiqua"/>
          <w:sz w:val="24"/>
          <w:szCs w:val="24"/>
        </w:rPr>
        <w:t>ur small pilot study</w:t>
      </w:r>
      <w:r w:rsidRPr="0086396D">
        <w:rPr>
          <w:rFonts w:ascii="Book Antiqua" w:hAnsi="Book Antiqua"/>
          <w:sz w:val="24"/>
          <w:szCs w:val="24"/>
        </w:rPr>
        <w:t xml:space="preserve"> indicated </w:t>
      </w:r>
      <w:r w:rsidR="006B2AF4" w:rsidRPr="0086396D">
        <w:rPr>
          <w:rFonts w:ascii="Book Antiqua" w:hAnsi="Book Antiqua"/>
          <w:sz w:val="24"/>
          <w:szCs w:val="24"/>
        </w:rPr>
        <w:t xml:space="preserve">that overweight/obesity </w:t>
      </w:r>
      <w:r w:rsidR="00390A9F" w:rsidRPr="0086396D">
        <w:rPr>
          <w:rFonts w:ascii="Book Antiqua" w:hAnsi="Book Antiqua"/>
          <w:sz w:val="24"/>
          <w:szCs w:val="24"/>
        </w:rPr>
        <w:t xml:space="preserve">at baseline </w:t>
      </w:r>
      <w:r w:rsidR="006B2AF4" w:rsidRPr="0086396D">
        <w:rPr>
          <w:rFonts w:ascii="Book Antiqua" w:hAnsi="Book Antiqua"/>
          <w:sz w:val="24"/>
          <w:szCs w:val="24"/>
        </w:rPr>
        <w:t xml:space="preserve">was protective for development of clinical relapse. In addition, waist circumference, waist to height ratio, and fat mass was </w:t>
      </w:r>
      <w:r w:rsidR="00A834E4" w:rsidRPr="0086396D">
        <w:rPr>
          <w:rFonts w:ascii="Book Antiqua" w:hAnsi="Book Antiqua"/>
          <w:sz w:val="24"/>
          <w:szCs w:val="24"/>
        </w:rPr>
        <w:t xml:space="preserve">also </w:t>
      </w:r>
      <w:r w:rsidR="006B2AF4" w:rsidRPr="0086396D">
        <w:rPr>
          <w:rFonts w:ascii="Book Antiqua" w:hAnsi="Book Antiqua"/>
          <w:sz w:val="24"/>
          <w:szCs w:val="24"/>
        </w:rPr>
        <w:t xml:space="preserve">higher in patients who stayed in remission 12 mo after the initiation of the study. The relationship between </w:t>
      </w:r>
      <w:r w:rsidR="00985867" w:rsidRPr="0086396D">
        <w:rPr>
          <w:rFonts w:ascii="Book Antiqua" w:hAnsi="Book Antiqua"/>
          <w:sz w:val="24"/>
          <w:szCs w:val="24"/>
        </w:rPr>
        <w:t xml:space="preserve">body weight </w:t>
      </w:r>
      <w:r w:rsidR="006B2AF4" w:rsidRPr="0086396D">
        <w:rPr>
          <w:rFonts w:ascii="Book Antiqua" w:hAnsi="Book Antiqua"/>
          <w:sz w:val="24"/>
          <w:szCs w:val="24"/>
        </w:rPr>
        <w:t xml:space="preserve">and IBD is controversial. Although obesity is </w:t>
      </w:r>
      <w:r w:rsidR="00786E3F" w:rsidRPr="0086396D">
        <w:rPr>
          <w:rFonts w:ascii="Book Antiqua" w:hAnsi="Book Antiqua"/>
          <w:sz w:val="24"/>
          <w:szCs w:val="24"/>
        </w:rPr>
        <w:t xml:space="preserve">associated with </w:t>
      </w:r>
      <w:r w:rsidR="00EA6881" w:rsidRPr="0086396D">
        <w:rPr>
          <w:rFonts w:ascii="Book Antiqua" w:hAnsi="Book Antiqua"/>
          <w:sz w:val="24"/>
          <w:szCs w:val="24"/>
        </w:rPr>
        <w:t xml:space="preserve">a </w:t>
      </w:r>
      <w:r w:rsidR="00A834E4" w:rsidRPr="0086396D">
        <w:rPr>
          <w:rFonts w:ascii="Book Antiqua" w:hAnsi="Book Antiqua"/>
          <w:sz w:val="24"/>
          <w:szCs w:val="24"/>
        </w:rPr>
        <w:t>pro-inflammatory state</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34</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and </w:t>
      </w:r>
      <w:r w:rsidR="00A834E4" w:rsidRPr="0086396D">
        <w:rPr>
          <w:rFonts w:ascii="Book Antiqua" w:hAnsi="Book Antiqua"/>
          <w:sz w:val="24"/>
          <w:szCs w:val="24"/>
        </w:rPr>
        <w:t xml:space="preserve">increased </w:t>
      </w:r>
      <w:r w:rsidR="008B5695" w:rsidRPr="0086396D">
        <w:rPr>
          <w:rFonts w:ascii="Book Antiqua" w:hAnsi="Book Antiqua"/>
          <w:sz w:val="24"/>
          <w:szCs w:val="24"/>
        </w:rPr>
        <w:t>intestinal permeability</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35</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increased BMI was not related to incidence of </w:t>
      </w:r>
      <w:r w:rsidR="0032089C" w:rsidRPr="0086396D">
        <w:rPr>
          <w:rFonts w:ascii="Book Antiqua" w:hAnsi="Book Antiqua"/>
          <w:sz w:val="24"/>
          <w:szCs w:val="24"/>
        </w:rPr>
        <w:t>UC in EPIC study</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36</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In contrast, in a large prospective cohort of US women </w:t>
      </w:r>
      <w:r w:rsidR="0052634C" w:rsidRPr="0086396D">
        <w:rPr>
          <w:rFonts w:ascii="Book Antiqua" w:hAnsi="Book Antiqua"/>
          <w:sz w:val="24"/>
          <w:szCs w:val="24"/>
        </w:rPr>
        <w:t>higher indicators</w:t>
      </w:r>
      <w:r w:rsidR="006B2AF4" w:rsidRPr="0086396D">
        <w:rPr>
          <w:rFonts w:ascii="Book Antiqua" w:hAnsi="Book Antiqua"/>
          <w:sz w:val="24"/>
          <w:szCs w:val="24"/>
        </w:rPr>
        <w:t xml:space="preserve"> of adiposity were associated with an increased risk of CD</w:t>
      </w:r>
      <w:r w:rsidR="004C1EF4" w:rsidRPr="0086396D">
        <w:rPr>
          <w:rFonts w:ascii="Book Antiqua" w:hAnsi="Book Antiqua"/>
          <w:sz w:val="24"/>
          <w:szCs w:val="24"/>
        </w:rPr>
        <w:t>,</w:t>
      </w:r>
      <w:r w:rsidR="006B2AF4" w:rsidRPr="0086396D">
        <w:rPr>
          <w:rFonts w:ascii="Book Antiqua" w:hAnsi="Book Antiqua"/>
          <w:sz w:val="24"/>
          <w:szCs w:val="24"/>
        </w:rPr>
        <w:t xml:space="preserve"> but not UC</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37</w:t>
      </w:r>
      <w:r w:rsidR="002B6AAF" w:rsidRPr="0086396D">
        <w:rPr>
          <w:rFonts w:ascii="Book Antiqua" w:hAnsi="Book Antiqua"/>
          <w:sz w:val="24"/>
          <w:szCs w:val="24"/>
          <w:vertAlign w:val="superscript"/>
        </w:rPr>
        <w:t>]</w:t>
      </w:r>
      <w:r w:rsidR="006B2AF4" w:rsidRPr="0086396D">
        <w:rPr>
          <w:rFonts w:ascii="Book Antiqua" w:hAnsi="Book Antiqua"/>
          <w:sz w:val="24"/>
          <w:szCs w:val="24"/>
        </w:rPr>
        <w:t>. In a r</w:t>
      </w:r>
      <w:r w:rsidR="004C59E8">
        <w:rPr>
          <w:rFonts w:ascii="Book Antiqua" w:hAnsi="Book Antiqua"/>
          <w:sz w:val="24"/>
          <w:szCs w:val="24"/>
        </w:rPr>
        <w:t xml:space="preserve">ecent study by Flores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38</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it was found that obese UC patients were significantly less likely to receive anti-TNF treatment or experience a hospitalization for their UC. The authors concluded that obesity is a marker of less aggressive or less severe </w:t>
      </w:r>
      <w:r w:rsidR="00EA6881" w:rsidRPr="0086396D">
        <w:rPr>
          <w:rFonts w:ascii="Book Antiqua" w:hAnsi="Book Antiqua"/>
          <w:sz w:val="24"/>
          <w:szCs w:val="24"/>
        </w:rPr>
        <w:t>UC</w:t>
      </w:r>
      <w:r w:rsidR="00992F96" w:rsidRPr="00992F96">
        <w:rPr>
          <w:rFonts w:ascii="Book Antiqua" w:hAnsi="Book Antiqua"/>
          <w:sz w:val="24"/>
          <w:szCs w:val="24"/>
          <w:vertAlign w:val="superscript"/>
        </w:rPr>
        <w:t>[</w:t>
      </w:r>
      <w:r w:rsidR="008B5695" w:rsidRPr="0086396D">
        <w:rPr>
          <w:rFonts w:ascii="Book Antiqua" w:hAnsi="Book Antiqua"/>
          <w:sz w:val="24"/>
          <w:szCs w:val="24"/>
          <w:vertAlign w:val="superscript"/>
        </w:rPr>
        <w:t>38</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w:t>
      </w:r>
    </w:p>
    <w:p w14:paraId="0B14E556" w14:textId="1E10C6A6" w:rsidR="004C1EF4" w:rsidRPr="0086396D" w:rsidRDefault="004C1EF4"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lastRenderedPageBreak/>
        <w:t>Interestingly, a h</w:t>
      </w:r>
      <w:r w:rsidR="006B2AF4" w:rsidRPr="0086396D">
        <w:rPr>
          <w:rFonts w:ascii="Book Antiqua" w:hAnsi="Book Antiqua"/>
          <w:sz w:val="24"/>
          <w:szCs w:val="24"/>
        </w:rPr>
        <w:t>igher intake of poultry and maltose</w:t>
      </w:r>
      <w:r w:rsidR="00786E3F" w:rsidRPr="0086396D">
        <w:rPr>
          <w:rFonts w:ascii="Book Antiqua" w:hAnsi="Book Antiqua"/>
          <w:sz w:val="24"/>
          <w:szCs w:val="24"/>
        </w:rPr>
        <w:t xml:space="preserve"> </w:t>
      </w:r>
      <w:r w:rsidR="006B2AF4" w:rsidRPr="0086396D">
        <w:rPr>
          <w:rFonts w:ascii="Book Antiqua" w:hAnsi="Book Antiqua"/>
          <w:sz w:val="24"/>
          <w:szCs w:val="24"/>
        </w:rPr>
        <w:t xml:space="preserve">was found to be related to decreased risk of UC clinical relapse in the present study. However, we did not find any association between intake of other macro/micronutrients and development of relapse. So far, there have been </w:t>
      </w:r>
      <w:r w:rsidRPr="0086396D">
        <w:rPr>
          <w:rFonts w:ascii="Book Antiqua" w:hAnsi="Book Antiqua"/>
          <w:sz w:val="24"/>
          <w:szCs w:val="24"/>
        </w:rPr>
        <w:t xml:space="preserve">only </w:t>
      </w:r>
      <w:r w:rsidR="00985867" w:rsidRPr="0086396D">
        <w:rPr>
          <w:rFonts w:ascii="Book Antiqua" w:hAnsi="Book Antiqua"/>
          <w:sz w:val="24"/>
          <w:szCs w:val="24"/>
        </w:rPr>
        <w:t xml:space="preserve">a </w:t>
      </w:r>
      <w:r w:rsidR="006B2AF4" w:rsidRPr="0086396D">
        <w:rPr>
          <w:rFonts w:ascii="Book Antiqua" w:hAnsi="Book Antiqua"/>
          <w:sz w:val="24"/>
          <w:szCs w:val="24"/>
        </w:rPr>
        <w:t>few prospective cohort studies to investigate the dietary determinants of relapse in IBD patients. In a prospecti</w:t>
      </w:r>
      <w:r w:rsidR="004C59E8">
        <w:rPr>
          <w:rFonts w:ascii="Book Antiqua" w:hAnsi="Book Antiqua"/>
          <w:sz w:val="24"/>
          <w:szCs w:val="24"/>
        </w:rPr>
        <w:t xml:space="preserve">ve cohort study by Jowett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6B2AF4" w:rsidRPr="0086396D">
        <w:rPr>
          <w:rFonts w:ascii="Book Antiqua" w:hAnsi="Book Antiqua"/>
          <w:sz w:val="24"/>
          <w:szCs w:val="24"/>
          <w:vertAlign w:val="superscript"/>
        </w:rPr>
        <w:t>13</w:t>
      </w:r>
      <w:r w:rsidR="002B6AAF" w:rsidRPr="0086396D">
        <w:rPr>
          <w:rFonts w:ascii="Book Antiqua" w:hAnsi="Book Antiqua"/>
          <w:sz w:val="24"/>
          <w:szCs w:val="24"/>
          <w:vertAlign w:val="superscript"/>
        </w:rPr>
        <w:t>]</w:t>
      </w:r>
      <w:r w:rsidR="006B2AF4" w:rsidRPr="0086396D">
        <w:rPr>
          <w:rFonts w:ascii="Book Antiqua" w:hAnsi="Book Antiqua"/>
          <w:sz w:val="24"/>
          <w:szCs w:val="24"/>
        </w:rPr>
        <w:t>, 191 UC patients in remission where follow</w:t>
      </w:r>
      <w:r w:rsidRPr="0086396D">
        <w:rPr>
          <w:rFonts w:ascii="Book Antiqua" w:hAnsi="Book Antiqua"/>
          <w:sz w:val="24"/>
          <w:szCs w:val="24"/>
        </w:rPr>
        <w:t>ed</w:t>
      </w:r>
      <w:r w:rsidR="006B2AF4" w:rsidRPr="0086396D">
        <w:rPr>
          <w:rFonts w:ascii="Book Antiqua" w:hAnsi="Book Antiqua"/>
          <w:sz w:val="24"/>
          <w:szCs w:val="24"/>
        </w:rPr>
        <w:t xml:space="preserve"> for one year. The authors reported that consumption of meat, red meat and processed meat, protein, alcohol, sulphur and sulphate were related to increased risk of relapse. However, similar to our </w:t>
      </w:r>
      <w:r w:rsidRPr="0086396D">
        <w:rPr>
          <w:rFonts w:ascii="Book Antiqua" w:hAnsi="Book Antiqua"/>
          <w:sz w:val="24"/>
          <w:szCs w:val="24"/>
        </w:rPr>
        <w:t xml:space="preserve">pilot </w:t>
      </w:r>
      <w:r w:rsidR="006B2AF4" w:rsidRPr="0086396D">
        <w:rPr>
          <w:rFonts w:ascii="Book Antiqua" w:hAnsi="Book Antiqua"/>
          <w:sz w:val="24"/>
          <w:szCs w:val="24"/>
        </w:rPr>
        <w:t xml:space="preserve">study, they did not find any association between consumption of dairy products, fibre, carbohydrate, and fat and increased risk of UC relapse. </w:t>
      </w:r>
      <w:r w:rsidR="00652BF9" w:rsidRPr="0086396D">
        <w:rPr>
          <w:rFonts w:ascii="Book Antiqua" w:hAnsi="Book Antiqua"/>
          <w:sz w:val="24"/>
          <w:szCs w:val="24"/>
        </w:rPr>
        <w:t>In a</w:t>
      </w:r>
      <w:r w:rsidR="00985867" w:rsidRPr="0086396D">
        <w:rPr>
          <w:rFonts w:ascii="Book Antiqua" w:hAnsi="Book Antiqua"/>
          <w:sz w:val="24"/>
          <w:szCs w:val="24"/>
        </w:rPr>
        <w:t>nother recent</w:t>
      </w:r>
      <w:r w:rsidR="006B2AF4" w:rsidRPr="0086396D">
        <w:rPr>
          <w:rFonts w:ascii="Book Antiqua" w:hAnsi="Book Antiqua"/>
          <w:sz w:val="24"/>
          <w:szCs w:val="24"/>
        </w:rPr>
        <w:t xml:space="preserve"> study </w:t>
      </w:r>
      <w:r w:rsidR="00985867" w:rsidRPr="0086396D">
        <w:rPr>
          <w:rFonts w:ascii="Book Antiqua" w:hAnsi="Book Antiqua"/>
          <w:sz w:val="24"/>
          <w:szCs w:val="24"/>
        </w:rPr>
        <w:t xml:space="preserve">of </w:t>
      </w:r>
      <w:r w:rsidR="006B2AF4" w:rsidRPr="0086396D">
        <w:rPr>
          <w:rFonts w:ascii="Book Antiqua" w:hAnsi="Book Antiqua"/>
          <w:sz w:val="24"/>
          <w:szCs w:val="24"/>
        </w:rPr>
        <w:t>48</w:t>
      </w:r>
      <w:r w:rsidR="004C59E8">
        <w:rPr>
          <w:rFonts w:ascii="Book Antiqua" w:hAnsi="Book Antiqua"/>
          <w:sz w:val="24"/>
          <w:szCs w:val="24"/>
        </w:rPr>
        <w:t xml:space="preserve">9 UC patients, Brotherton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9C5EEA" w:rsidRPr="0086396D">
        <w:rPr>
          <w:rFonts w:ascii="Book Antiqua" w:hAnsi="Book Antiqua"/>
          <w:sz w:val="24"/>
          <w:szCs w:val="24"/>
          <w:vertAlign w:val="superscript"/>
        </w:rPr>
        <w:t>39</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did not find any association between fibre intake and disease relapse. In another recent study, higher intake of lactose, alpha linolenic fatty acid, and myristic fatty acid were related to increased risk of relapse in</w:t>
      </w:r>
      <w:r w:rsidR="00BA0C62" w:rsidRPr="00BA0C62">
        <w:rPr>
          <w:rFonts w:ascii="Book Antiqua" w:hAnsi="Book Antiqua"/>
          <w:i/>
          <w:sz w:val="24"/>
          <w:szCs w:val="24"/>
        </w:rPr>
        <w:t xml:space="preserve"> </w:t>
      </w:r>
      <w:r w:rsidR="006B2AF4" w:rsidRPr="0086396D">
        <w:rPr>
          <w:rFonts w:ascii="Book Antiqua" w:hAnsi="Book Antiqua"/>
          <w:sz w:val="24"/>
          <w:szCs w:val="24"/>
        </w:rPr>
        <w:t>UC patients</w:t>
      </w:r>
      <w:r w:rsidR="00992F96" w:rsidRPr="00992F96">
        <w:rPr>
          <w:rFonts w:ascii="Book Antiqua" w:hAnsi="Book Antiqua"/>
          <w:sz w:val="24"/>
          <w:szCs w:val="24"/>
          <w:vertAlign w:val="superscript"/>
        </w:rPr>
        <w:t>[</w:t>
      </w:r>
      <w:r w:rsidR="009C5EEA" w:rsidRPr="0086396D">
        <w:rPr>
          <w:rFonts w:ascii="Book Antiqua" w:hAnsi="Book Antiqua"/>
          <w:sz w:val="24"/>
          <w:szCs w:val="24"/>
          <w:vertAlign w:val="superscript"/>
        </w:rPr>
        <w:t>40</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In comparison to red meat, poultry has less saturated fat and heme iron, </w:t>
      </w:r>
      <w:r w:rsidRPr="0086396D">
        <w:rPr>
          <w:rFonts w:ascii="Book Antiqua" w:hAnsi="Book Antiqua"/>
          <w:sz w:val="24"/>
          <w:szCs w:val="24"/>
        </w:rPr>
        <w:t xml:space="preserve">both being </w:t>
      </w:r>
      <w:r w:rsidR="006B2AF4" w:rsidRPr="0086396D">
        <w:rPr>
          <w:rFonts w:ascii="Book Antiqua" w:hAnsi="Book Antiqua"/>
          <w:sz w:val="24"/>
          <w:szCs w:val="24"/>
        </w:rPr>
        <w:t>inducers of oxidative stress and DNA damage</w:t>
      </w:r>
      <w:r w:rsidR="00992F96" w:rsidRPr="00992F96">
        <w:rPr>
          <w:rFonts w:ascii="Book Antiqua" w:hAnsi="Book Antiqua"/>
          <w:sz w:val="24"/>
          <w:szCs w:val="24"/>
          <w:vertAlign w:val="superscript"/>
        </w:rPr>
        <w:t>[</w:t>
      </w:r>
      <w:r w:rsidR="009C5EEA" w:rsidRPr="0086396D">
        <w:rPr>
          <w:rFonts w:ascii="Book Antiqua" w:hAnsi="Book Antiqua"/>
          <w:sz w:val="24"/>
          <w:szCs w:val="24"/>
          <w:vertAlign w:val="superscript"/>
        </w:rPr>
        <w:t>41</w:t>
      </w:r>
      <w:r w:rsidR="002B6AAF" w:rsidRPr="0086396D">
        <w:rPr>
          <w:rFonts w:ascii="Book Antiqua" w:hAnsi="Book Antiqua"/>
          <w:sz w:val="24"/>
          <w:szCs w:val="24"/>
          <w:vertAlign w:val="superscript"/>
        </w:rPr>
        <w:t>]</w:t>
      </w:r>
      <w:r w:rsidR="006B2AF4" w:rsidRPr="0086396D">
        <w:rPr>
          <w:rFonts w:ascii="Book Antiqua" w:hAnsi="Book Antiqua"/>
          <w:sz w:val="24"/>
          <w:szCs w:val="24"/>
        </w:rPr>
        <w:t>. In addition, poultry consumption was shown to be inver</w:t>
      </w:r>
      <w:r w:rsidR="009C5EEA" w:rsidRPr="0086396D">
        <w:rPr>
          <w:rFonts w:ascii="Book Antiqua" w:hAnsi="Book Antiqua"/>
          <w:sz w:val="24"/>
          <w:szCs w:val="24"/>
        </w:rPr>
        <w:t>sely related to inflammation</w:t>
      </w:r>
      <w:r w:rsidR="00992F96" w:rsidRPr="00992F96">
        <w:rPr>
          <w:rFonts w:ascii="Book Antiqua" w:hAnsi="Book Antiqua"/>
          <w:sz w:val="24"/>
          <w:szCs w:val="24"/>
          <w:vertAlign w:val="superscript"/>
        </w:rPr>
        <w:t>[</w:t>
      </w:r>
      <w:r w:rsidR="009C5EEA" w:rsidRPr="0086396D">
        <w:rPr>
          <w:rFonts w:ascii="Book Antiqua" w:hAnsi="Book Antiqua"/>
          <w:sz w:val="24"/>
          <w:szCs w:val="24"/>
          <w:vertAlign w:val="superscript"/>
        </w:rPr>
        <w:t>42</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and is suggested to be a healthier source of </w:t>
      </w:r>
      <w:r w:rsidR="009C5EEA" w:rsidRPr="0086396D">
        <w:rPr>
          <w:rFonts w:ascii="Book Antiqua" w:hAnsi="Book Antiqua"/>
          <w:sz w:val="24"/>
          <w:szCs w:val="24"/>
        </w:rPr>
        <w:t>animal protein than red meat</w:t>
      </w:r>
      <w:r w:rsidR="00992F96" w:rsidRPr="00992F96">
        <w:rPr>
          <w:rFonts w:ascii="Book Antiqua" w:hAnsi="Book Antiqua"/>
          <w:sz w:val="24"/>
          <w:szCs w:val="24"/>
          <w:vertAlign w:val="superscript"/>
        </w:rPr>
        <w:t>[</w:t>
      </w:r>
      <w:r w:rsidR="009C5EEA" w:rsidRPr="0086396D">
        <w:rPr>
          <w:rFonts w:ascii="Book Antiqua" w:hAnsi="Book Antiqua"/>
          <w:sz w:val="24"/>
          <w:szCs w:val="24"/>
          <w:vertAlign w:val="superscript"/>
        </w:rPr>
        <w:t>43</w:t>
      </w:r>
      <w:r w:rsidR="002B6AAF" w:rsidRPr="0086396D">
        <w:rPr>
          <w:rFonts w:ascii="Book Antiqua" w:hAnsi="Book Antiqua"/>
          <w:sz w:val="24"/>
          <w:szCs w:val="24"/>
          <w:vertAlign w:val="superscript"/>
        </w:rPr>
        <w:t>]</w:t>
      </w:r>
      <w:r w:rsidR="006B2AF4" w:rsidRPr="0086396D">
        <w:rPr>
          <w:rFonts w:ascii="Book Antiqua" w:hAnsi="Book Antiqua"/>
          <w:sz w:val="24"/>
          <w:szCs w:val="24"/>
        </w:rPr>
        <w:t xml:space="preserve">. </w:t>
      </w:r>
    </w:p>
    <w:p w14:paraId="1B01F8A1" w14:textId="4618E381" w:rsidR="006B2AF4" w:rsidRPr="0086396D" w:rsidRDefault="006B2AF4"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We also found maltose consumption decreases risk of UC relapse. Maltose is a disaccharide </w:t>
      </w:r>
      <w:r w:rsidR="004B05BE" w:rsidRPr="0086396D">
        <w:rPr>
          <w:rFonts w:ascii="Book Antiqua" w:hAnsi="Book Antiqua"/>
          <w:sz w:val="24"/>
          <w:szCs w:val="24"/>
        </w:rPr>
        <w:t xml:space="preserve">derived </w:t>
      </w:r>
      <w:r w:rsidRPr="0086396D">
        <w:rPr>
          <w:rFonts w:ascii="Book Antiqua" w:hAnsi="Book Antiqua"/>
          <w:sz w:val="24"/>
          <w:szCs w:val="24"/>
        </w:rPr>
        <w:t xml:space="preserve">from two units of glucose and is found largely in vegetables, fruits and grains. There </w:t>
      </w:r>
      <w:r w:rsidR="004B05BE" w:rsidRPr="0086396D">
        <w:rPr>
          <w:rFonts w:ascii="Book Antiqua" w:hAnsi="Book Antiqua"/>
          <w:sz w:val="24"/>
          <w:szCs w:val="24"/>
        </w:rPr>
        <w:t xml:space="preserve">are </w:t>
      </w:r>
      <w:r w:rsidRPr="0086396D">
        <w:rPr>
          <w:rFonts w:ascii="Book Antiqua" w:hAnsi="Book Antiqua"/>
          <w:sz w:val="24"/>
          <w:szCs w:val="24"/>
        </w:rPr>
        <w:t xml:space="preserve">scarce data on the beneficial effects of maltose intake for human health in comparison to other types of sugars. However, </w:t>
      </w:r>
      <w:r w:rsidR="004B05BE" w:rsidRPr="0086396D">
        <w:rPr>
          <w:rFonts w:ascii="Book Antiqua" w:hAnsi="Book Antiqua"/>
          <w:sz w:val="24"/>
          <w:szCs w:val="24"/>
        </w:rPr>
        <w:t>maltose</w:t>
      </w:r>
      <w:r w:rsidRPr="0086396D">
        <w:rPr>
          <w:rFonts w:ascii="Book Antiqua" w:hAnsi="Book Antiqua"/>
          <w:sz w:val="24"/>
          <w:szCs w:val="24"/>
        </w:rPr>
        <w:t xml:space="preserve"> is among the preferred carbohydrate energy sources for </w:t>
      </w:r>
      <w:r w:rsidR="004B05BE" w:rsidRPr="0086396D">
        <w:rPr>
          <w:rFonts w:ascii="Book Antiqua" w:hAnsi="Book Antiqua"/>
          <w:sz w:val="24"/>
          <w:szCs w:val="24"/>
        </w:rPr>
        <w:t xml:space="preserve">specific </w:t>
      </w:r>
      <w:r w:rsidRPr="0086396D">
        <w:rPr>
          <w:rFonts w:ascii="Book Antiqua" w:hAnsi="Book Antiqua"/>
          <w:sz w:val="24"/>
          <w:szCs w:val="24"/>
        </w:rPr>
        <w:t xml:space="preserve">colonic bacteria that have </w:t>
      </w:r>
      <w:r w:rsidR="004B05BE" w:rsidRPr="0086396D">
        <w:rPr>
          <w:rFonts w:ascii="Book Antiqua" w:hAnsi="Book Antiqua"/>
          <w:sz w:val="24"/>
          <w:szCs w:val="24"/>
        </w:rPr>
        <w:t>beneficial</w:t>
      </w:r>
      <w:r w:rsidRPr="0086396D">
        <w:rPr>
          <w:rFonts w:ascii="Book Antiqua" w:hAnsi="Book Antiqua"/>
          <w:sz w:val="24"/>
          <w:szCs w:val="24"/>
        </w:rPr>
        <w:t xml:space="preserve"> properties</w:t>
      </w:r>
      <w:r w:rsidR="00992F96" w:rsidRPr="00992F96">
        <w:rPr>
          <w:rFonts w:ascii="Book Antiqua" w:hAnsi="Book Antiqua"/>
          <w:sz w:val="24"/>
          <w:szCs w:val="24"/>
          <w:vertAlign w:val="superscript"/>
        </w:rPr>
        <w:t>[</w:t>
      </w:r>
      <w:r w:rsidR="004C59E8">
        <w:rPr>
          <w:rFonts w:ascii="Book Antiqua" w:hAnsi="Book Antiqua"/>
          <w:sz w:val="24"/>
          <w:szCs w:val="24"/>
          <w:vertAlign w:val="superscript"/>
        </w:rPr>
        <w:t>44,</w:t>
      </w:r>
      <w:r w:rsidR="009C5EEA" w:rsidRPr="0086396D">
        <w:rPr>
          <w:rFonts w:ascii="Book Antiqua" w:hAnsi="Book Antiqua"/>
          <w:sz w:val="24"/>
          <w:szCs w:val="24"/>
          <w:vertAlign w:val="superscript"/>
        </w:rPr>
        <w:t>45</w:t>
      </w:r>
      <w:r w:rsidR="002B6AAF" w:rsidRPr="0086396D">
        <w:rPr>
          <w:rFonts w:ascii="Book Antiqua" w:hAnsi="Book Antiqua"/>
          <w:sz w:val="24"/>
          <w:szCs w:val="24"/>
          <w:vertAlign w:val="superscript"/>
        </w:rPr>
        <w:t>]</w:t>
      </w:r>
      <w:r w:rsidRPr="0086396D">
        <w:rPr>
          <w:rFonts w:ascii="Book Antiqua" w:hAnsi="Book Antiqua"/>
          <w:sz w:val="24"/>
          <w:szCs w:val="24"/>
        </w:rPr>
        <w:t xml:space="preserve">. It should also be mentioned that in the present study we </w:t>
      </w:r>
      <w:r w:rsidR="004B05BE" w:rsidRPr="0086396D">
        <w:rPr>
          <w:rFonts w:ascii="Book Antiqua" w:hAnsi="Book Antiqua"/>
          <w:sz w:val="24"/>
          <w:szCs w:val="24"/>
        </w:rPr>
        <w:t xml:space="preserve">also </w:t>
      </w:r>
      <w:r w:rsidRPr="0086396D">
        <w:rPr>
          <w:rFonts w:ascii="Book Antiqua" w:hAnsi="Book Antiqua"/>
          <w:sz w:val="24"/>
          <w:szCs w:val="24"/>
        </w:rPr>
        <w:t xml:space="preserve">observed a positive correlation between </w:t>
      </w:r>
      <w:r w:rsidR="00E728D8" w:rsidRPr="0086396D">
        <w:rPr>
          <w:rFonts w:ascii="Book Antiqua" w:hAnsi="Book Antiqua"/>
          <w:sz w:val="24"/>
          <w:szCs w:val="24"/>
        </w:rPr>
        <w:t>maltose intake and total grain</w:t>
      </w:r>
      <w:r w:rsidRPr="0086396D">
        <w:rPr>
          <w:rFonts w:ascii="Book Antiqua" w:hAnsi="Book Antiqua"/>
          <w:sz w:val="24"/>
          <w:szCs w:val="24"/>
        </w:rPr>
        <w:t xml:space="preserve"> and wh</w:t>
      </w:r>
      <w:r w:rsidR="00E728D8" w:rsidRPr="0086396D">
        <w:rPr>
          <w:rFonts w:ascii="Book Antiqua" w:hAnsi="Book Antiqua"/>
          <w:sz w:val="24"/>
          <w:szCs w:val="24"/>
        </w:rPr>
        <w:t>ole grain intake (data not shown</w:t>
      </w:r>
      <w:r w:rsidRPr="0086396D">
        <w:rPr>
          <w:rFonts w:ascii="Book Antiqua" w:hAnsi="Book Antiqua"/>
          <w:sz w:val="24"/>
          <w:szCs w:val="24"/>
        </w:rPr>
        <w:t xml:space="preserve">) which </w:t>
      </w:r>
      <w:r w:rsidR="004B05BE" w:rsidRPr="0086396D">
        <w:rPr>
          <w:rFonts w:ascii="Book Antiqua" w:hAnsi="Book Antiqua"/>
          <w:sz w:val="24"/>
          <w:szCs w:val="24"/>
        </w:rPr>
        <w:t xml:space="preserve">suggests </w:t>
      </w:r>
      <w:r w:rsidR="004C1EF4" w:rsidRPr="0086396D">
        <w:rPr>
          <w:rFonts w:ascii="Book Antiqua" w:hAnsi="Book Antiqua"/>
          <w:sz w:val="24"/>
          <w:szCs w:val="24"/>
        </w:rPr>
        <w:t xml:space="preserve">that </w:t>
      </w:r>
      <w:r w:rsidRPr="0086396D">
        <w:rPr>
          <w:rFonts w:ascii="Book Antiqua" w:hAnsi="Book Antiqua"/>
          <w:sz w:val="24"/>
          <w:szCs w:val="24"/>
        </w:rPr>
        <w:t xml:space="preserve">the main source of maltose in our patients </w:t>
      </w:r>
      <w:r w:rsidR="004B05BE" w:rsidRPr="0086396D">
        <w:rPr>
          <w:rFonts w:ascii="Book Antiqua" w:hAnsi="Book Antiqua"/>
          <w:sz w:val="24"/>
          <w:szCs w:val="24"/>
        </w:rPr>
        <w:t xml:space="preserve">could </w:t>
      </w:r>
      <w:r w:rsidRPr="0086396D">
        <w:rPr>
          <w:rFonts w:ascii="Book Antiqua" w:hAnsi="Book Antiqua"/>
          <w:sz w:val="24"/>
          <w:szCs w:val="24"/>
        </w:rPr>
        <w:t xml:space="preserve">have been grain or grain products. Although fruit and whole grain intake </w:t>
      </w:r>
      <w:r w:rsidR="004C1EF4" w:rsidRPr="0086396D">
        <w:rPr>
          <w:rFonts w:ascii="Book Antiqua" w:hAnsi="Book Antiqua"/>
          <w:sz w:val="24"/>
          <w:szCs w:val="24"/>
        </w:rPr>
        <w:t xml:space="preserve">in our study </w:t>
      </w:r>
      <w:r w:rsidRPr="0086396D">
        <w:rPr>
          <w:rFonts w:ascii="Book Antiqua" w:hAnsi="Book Antiqua"/>
          <w:sz w:val="24"/>
          <w:szCs w:val="24"/>
        </w:rPr>
        <w:t xml:space="preserve">was </w:t>
      </w:r>
      <w:r w:rsidR="004B05BE" w:rsidRPr="0086396D">
        <w:rPr>
          <w:rFonts w:ascii="Book Antiqua" w:hAnsi="Book Antiqua"/>
          <w:sz w:val="24"/>
          <w:szCs w:val="24"/>
        </w:rPr>
        <w:t xml:space="preserve">numerically </w:t>
      </w:r>
      <w:r w:rsidRPr="0086396D">
        <w:rPr>
          <w:rFonts w:ascii="Book Antiqua" w:hAnsi="Book Antiqua"/>
          <w:sz w:val="24"/>
          <w:szCs w:val="24"/>
        </w:rPr>
        <w:t xml:space="preserve">higher at baseline in patients with clinical remission than patients who </w:t>
      </w:r>
      <w:r w:rsidR="004B05BE" w:rsidRPr="0086396D">
        <w:rPr>
          <w:rFonts w:ascii="Book Antiqua" w:hAnsi="Book Antiqua"/>
          <w:sz w:val="24"/>
          <w:szCs w:val="24"/>
        </w:rPr>
        <w:t xml:space="preserve">developed a </w:t>
      </w:r>
      <w:r w:rsidRPr="0086396D">
        <w:rPr>
          <w:rFonts w:ascii="Book Antiqua" w:hAnsi="Book Antiqua"/>
          <w:sz w:val="24"/>
          <w:szCs w:val="24"/>
        </w:rPr>
        <w:t xml:space="preserve">UC clinical relapse, </w:t>
      </w:r>
      <w:r w:rsidR="00E13BEB" w:rsidRPr="0086396D">
        <w:rPr>
          <w:rFonts w:ascii="Book Antiqua" w:hAnsi="Book Antiqua"/>
          <w:sz w:val="24"/>
          <w:szCs w:val="24"/>
        </w:rPr>
        <w:t xml:space="preserve">this </w:t>
      </w:r>
      <w:r w:rsidRPr="0086396D">
        <w:rPr>
          <w:rFonts w:ascii="Book Antiqua" w:hAnsi="Book Antiqua"/>
          <w:sz w:val="24"/>
          <w:szCs w:val="24"/>
        </w:rPr>
        <w:t xml:space="preserve">difference was not statistically significant. </w:t>
      </w:r>
    </w:p>
    <w:p w14:paraId="4FA6B7DD" w14:textId="090283F1" w:rsidR="00795DBA" w:rsidRPr="0086396D" w:rsidRDefault="00E13BEB"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lang w:val="en-CA"/>
        </w:rPr>
        <w:lastRenderedPageBreak/>
        <w:t>Age</w:t>
      </w:r>
      <w:r w:rsidR="00795DBA" w:rsidRPr="0086396D">
        <w:rPr>
          <w:rFonts w:ascii="Book Antiqua" w:hAnsi="Book Antiqua"/>
          <w:sz w:val="24"/>
          <w:szCs w:val="24"/>
          <w:lang w:val="en-CA"/>
        </w:rPr>
        <w:t>, gender, UC subtype, UC medication, age at diagnosis, and months since last</w:t>
      </w:r>
      <w:r w:rsidR="00EA3B31" w:rsidRPr="0086396D">
        <w:rPr>
          <w:rFonts w:ascii="Book Antiqua" w:hAnsi="Book Antiqua"/>
          <w:sz w:val="24"/>
          <w:szCs w:val="24"/>
          <w:lang w:val="en-CA"/>
        </w:rPr>
        <w:t xml:space="preserve"> clinical</w:t>
      </w:r>
      <w:r w:rsidR="00795DBA" w:rsidRPr="0086396D">
        <w:rPr>
          <w:rFonts w:ascii="Book Antiqua" w:hAnsi="Book Antiqua"/>
          <w:sz w:val="24"/>
          <w:szCs w:val="24"/>
          <w:lang w:val="en-CA"/>
        </w:rPr>
        <w:t xml:space="preserve"> relapse </w:t>
      </w:r>
      <w:r w:rsidR="002A19AB" w:rsidRPr="0086396D">
        <w:rPr>
          <w:rFonts w:ascii="Book Antiqua" w:hAnsi="Book Antiqua"/>
          <w:sz w:val="24"/>
          <w:szCs w:val="24"/>
          <w:lang w:val="en-CA"/>
        </w:rPr>
        <w:t>were not related to</w:t>
      </w:r>
      <w:r w:rsidR="00795DBA" w:rsidRPr="0086396D">
        <w:rPr>
          <w:rFonts w:ascii="Book Antiqua" w:hAnsi="Book Antiqua"/>
          <w:sz w:val="24"/>
          <w:szCs w:val="24"/>
          <w:lang w:val="en-CA"/>
        </w:rPr>
        <w:t xml:space="preserve"> UC </w:t>
      </w:r>
      <w:r w:rsidR="00EA3B31" w:rsidRPr="0086396D">
        <w:rPr>
          <w:rFonts w:ascii="Book Antiqua" w:hAnsi="Book Antiqua"/>
          <w:sz w:val="24"/>
          <w:szCs w:val="24"/>
          <w:lang w:val="en-CA"/>
        </w:rPr>
        <w:t xml:space="preserve">clinical </w:t>
      </w:r>
      <w:r w:rsidR="00795DBA" w:rsidRPr="0086396D">
        <w:rPr>
          <w:rFonts w:ascii="Book Antiqua" w:hAnsi="Book Antiqua"/>
          <w:sz w:val="24"/>
          <w:szCs w:val="24"/>
          <w:lang w:val="en-CA"/>
        </w:rPr>
        <w:t>relapse</w:t>
      </w:r>
      <w:r w:rsidR="00683397" w:rsidRPr="0086396D">
        <w:rPr>
          <w:rFonts w:ascii="Book Antiqua" w:hAnsi="Book Antiqua"/>
          <w:sz w:val="24"/>
          <w:szCs w:val="24"/>
          <w:lang w:val="en-CA"/>
        </w:rPr>
        <w:t xml:space="preserve"> over a 12-</w:t>
      </w:r>
      <w:r w:rsidR="00985867" w:rsidRPr="0086396D">
        <w:rPr>
          <w:rFonts w:ascii="Book Antiqua" w:hAnsi="Book Antiqua"/>
          <w:sz w:val="24"/>
          <w:szCs w:val="24"/>
          <w:lang w:val="en-CA"/>
        </w:rPr>
        <w:t>mo period</w:t>
      </w:r>
      <w:r w:rsidR="008237BE" w:rsidRPr="0086396D">
        <w:rPr>
          <w:rFonts w:ascii="Book Antiqua" w:hAnsi="Book Antiqua"/>
          <w:sz w:val="24"/>
          <w:szCs w:val="24"/>
          <w:lang w:val="en-CA"/>
        </w:rPr>
        <w:t xml:space="preserve"> in our study</w:t>
      </w:r>
      <w:r w:rsidR="004C59E8">
        <w:rPr>
          <w:rFonts w:ascii="Book Antiqua" w:hAnsi="Book Antiqua"/>
          <w:sz w:val="24"/>
          <w:szCs w:val="24"/>
          <w:lang w:val="en-CA"/>
        </w:rPr>
        <w:t xml:space="preserve">. Similarly, Zenlea </w:t>
      </w:r>
      <w:r w:rsidR="004C59E8" w:rsidRPr="004C59E8">
        <w:rPr>
          <w:rFonts w:ascii="Book Antiqua" w:hAnsi="Book Antiqua"/>
          <w:i/>
          <w:sz w:val="24"/>
          <w:szCs w:val="24"/>
          <w:lang w:val="en-CA"/>
        </w:rPr>
        <w:t>et al</w:t>
      </w:r>
      <w:r w:rsidR="00992F96" w:rsidRPr="00992F96">
        <w:rPr>
          <w:rFonts w:ascii="Book Antiqua" w:hAnsi="Book Antiqua"/>
          <w:sz w:val="24"/>
          <w:szCs w:val="24"/>
          <w:vertAlign w:val="superscript"/>
          <w:lang w:val="en-CA"/>
        </w:rPr>
        <w:t>[</w:t>
      </w:r>
      <w:r w:rsidR="009C5EEA" w:rsidRPr="0086396D">
        <w:rPr>
          <w:rFonts w:ascii="Book Antiqua" w:hAnsi="Book Antiqua"/>
          <w:sz w:val="24"/>
          <w:szCs w:val="24"/>
          <w:vertAlign w:val="superscript"/>
          <w:lang w:val="en-CA"/>
        </w:rPr>
        <w:t>46</w:t>
      </w:r>
      <w:r w:rsidR="002B6AAF" w:rsidRPr="0086396D">
        <w:rPr>
          <w:rFonts w:ascii="Book Antiqua" w:hAnsi="Book Antiqua"/>
          <w:sz w:val="24"/>
          <w:szCs w:val="24"/>
          <w:vertAlign w:val="superscript"/>
          <w:lang w:val="en-CA"/>
        </w:rPr>
        <w:t>]</w:t>
      </w:r>
      <w:r w:rsidR="004D6856" w:rsidRPr="0086396D">
        <w:rPr>
          <w:rFonts w:ascii="Book Antiqua" w:hAnsi="Book Antiqua"/>
          <w:sz w:val="24"/>
          <w:szCs w:val="24"/>
          <w:lang w:val="en-CA"/>
        </w:rPr>
        <w:t xml:space="preserve"> </w:t>
      </w:r>
      <w:r w:rsidR="002A19AB" w:rsidRPr="0086396D">
        <w:rPr>
          <w:rFonts w:ascii="Book Antiqua" w:hAnsi="Book Antiqua"/>
          <w:sz w:val="24"/>
          <w:szCs w:val="24"/>
          <w:lang w:val="en-CA"/>
        </w:rPr>
        <w:t>did not find any relationship between age, gender, type of medication, and increased risk of UC relapse</w:t>
      </w:r>
      <w:r w:rsidR="000A7AF5" w:rsidRPr="0086396D">
        <w:rPr>
          <w:rFonts w:ascii="Book Antiqua" w:hAnsi="Book Antiqua"/>
          <w:sz w:val="24"/>
          <w:szCs w:val="24"/>
          <w:lang w:val="en-CA"/>
        </w:rPr>
        <w:t xml:space="preserve">. </w:t>
      </w:r>
      <w:r w:rsidR="004C1EF4" w:rsidRPr="0086396D">
        <w:rPr>
          <w:rFonts w:ascii="Book Antiqua" w:hAnsi="Book Antiqua"/>
          <w:sz w:val="24"/>
          <w:szCs w:val="24"/>
          <w:lang w:val="en-CA"/>
        </w:rPr>
        <w:t>Also</w:t>
      </w:r>
      <w:r w:rsidR="00786E3F" w:rsidRPr="0086396D">
        <w:rPr>
          <w:rFonts w:ascii="Book Antiqua" w:hAnsi="Book Antiqua"/>
          <w:sz w:val="24"/>
          <w:szCs w:val="24"/>
          <w:lang w:val="en-CA"/>
        </w:rPr>
        <w:t>,</w:t>
      </w:r>
      <w:r w:rsidR="004C1EF4" w:rsidRPr="0086396D">
        <w:rPr>
          <w:rFonts w:ascii="Book Antiqua" w:hAnsi="Book Antiqua"/>
          <w:sz w:val="24"/>
          <w:szCs w:val="24"/>
          <w:lang w:val="en-CA"/>
        </w:rPr>
        <w:t xml:space="preserve"> m</w:t>
      </w:r>
      <w:r w:rsidR="000A7AF5" w:rsidRPr="0086396D">
        <w:rPr>
          <w:rFonts w:ascii="Book Antiqua" w:hAnsi="Book Antiqua"/>
          <w:sz w:val="24"/>
          <w:szCs w:val="24"/>
          <w:lang w:val="en-CA"/>
        </w:rPr>
        <w:t>edian duration of remission</w:t>
      </w:r>
      <w:r w:rsidR="00AE0C41" w:rsidRPr="0086396D">
        <w:rPr>
          <w:rFonts w:ascii="Book Antiqua" w:hAnsi="Book Antiqua"/>
          <w:sz w:val="24"/>
          <w:szCs w:val="24"/>
          <w:lang w:val="en-CA"/>
        </w:rPr>
        <w:t xml:space="preserve"> before study and disease extent</w:t>
      </w:r>
      <w:r w:rsidR="000A7AF5" w:rsidRPr="0086396D">
        <w:rPr>
          <w:rFonts w:ascii="Book Antiqua" w:hAnsi="Book Antiqua"/>
          <w:sz w:val="24"/>
          <w:szCs w:val="24"/>
          <w:lang w:val="en-CA"/>
        </w:rPr>
        <w:t xml:space="preserve"> was not related to increased risk of UC relapse in another prospective cohort study by</w:t>
      </w:r>
      <w:r w:rsidR="004C59E8">
        <w:rPr>
          <w:rFonts w:ascii="Book Antiqua" w:hAnsi="Book Antiqua"/>
          <w:sz w:val="24"/>
          <w:szCs w:val="24"/>
          <w:lang w:val="en-CA"/>
        </w:rPr>
        <w:t xml:space="preserve"> Bessissow </w:t>
      </w:r>
      <w:r w:rsidR="004C59E8" w:rsidRPr="004C59E8">
        <w:rPr>
          <w:rFonts w:ascii="Book Antiqua" w:hAnsi="Book Antiqua"/>
          <w:i/>
          <w:sz w:val="24"/>
          <w:szCs w:val="24"/>
          <w:lang w:val="en-CA"/>
        </w:rPr>
        <w:t>et al</w:t>
      </w:r>
      <w:r w:rsidR="00992F96" w:rsidRPr="00992F96">
        <w:rPr>
          <w:rFonts w:ascii="Book Antiqua" w:hAnsi="Book Antiqua"/>
          <w:sz w:val="24"/>
          <w:szCs w:val="24"/>
          <w:vertAlign w:val="superscript"/>
          <w:lang w:val="en-CA"/>
        </w:rPr>
        <w:t>[</w:t>
      </w:r>
      <w:r w:rsidR="00D745B5" w:rsidRPr="0086396D">
        <w:rPr>
          <w:rFonts w:ascii="Book Antiqua" w:hAnsi="Book Antiqua"/>
          <w:sz w:val="24"/>
          <w:szCs w:val="24"/>
          <w:vertAlign w:val="superscript"/>
          <w:lang w:val="en-CA"/>
        </w:rPr>
        <w:t>47</w:t>
      </w:r>
      <w:r w:rsidR="002B6AAF" w:rsidRPr="0086396D">
        <w:rPr>
          <w:rFonts w:ascii="Book Antiqua" w:hAnsi="Book Antiqua"/>
          <w:sz w:val="24"/>
          <w:szCs w:val="24"/>
          <w:vertAlign w:val="superscript"/>
          <w:lang w:val="en-CA"/>
        </w:rPr>
        <w:t>]</w:t>
      </w:r>
      <w:r w:rsidR="003E1967" w:rsidRPr="0086396D">
        <w:rPr>
          <w:rFonts w:ascii="Book Antiqua" w:hAnsi="Book Antiqua"/>
          <w:sz w:val="24"/>
          <w:szCs w:val="24"/>
          <w:lang w:val="en-CA"/>
        </w:rPr>
        <w:t xml:space="preserve"> </w:t>
      </w:r>
      <w:r w:rsidR="000A7AF5" w:rsidRPr="0086396D">
        <w:rPr>
          <w:rFonts w:ascii="Book Antiqua" w:hAnsi="Book Antiqua"/>
          <w:sz w:val="24"/>
          <w:szCs w:val="24"/>
          <w:lang w:val="en-CA"/>
        </w:rPr>
        <w:t xml:space="preserve">which is </w:t>
      </w:r>
      <w:r w:rsidR="003E1967" w:rsidRPr="0086396D">
        <w:rPr>
          <w:rFonts w:ascii="Book Antiqua" w:hAnsi="Book Antiqua"/>
          <w:sz w:val="24"/>
          <w:szCs w:val="24"/>
          <w:lang w:val="en-CA"/>
        </w:rPr>
        <w:t>in agreement with our findings</w:t>
      </w:r>
      <w:r w:rsidR="000A7AF5" w:rsidRPr="0086396D">
        <w:rPr>
          <w:rFonts w:ascii="Book Antiqua" w:hAnsi="Book Antiqua"/>
          <w:sz w:val="24"/>
          <w:szCs w:val="24"/>
          <w:lang w:val="en-CA"/>
        </w:rPr>
        <w:t>. However, younger age, shorter duration of remission before study, and greater number of prior relapses were associated with earlier time to relapse in</w:t>
      </w:r>
      <w:r w:rsidR="00992F96" w:rsidRPr="00992F96">
        <w:rPr>
          <w:rFonts w:ascii="Book Antiqua" w:hAnsi="Book Antiqua"/>
          <w:sz w:val="24"/>
          <w:szCs w:val="24"/>
          <w:vertAlign w:val="superscript"/>
          <w:lang w:val="en-CA"/>
        </w:rPr>
        <w:t>[</w:t>
      </w:r>
      <w:r w:rsidR="000A7AF5" w:rsidRPr="0086396D">
        <w:rPr>
          <w:rFonts w:ascii="Book Antiqua" w:hAnsi="Book Antiqua"/>
          <w:sz w:val="24"/>
          <w:szCs w:val="24"/>
          <w:vertAlign w:val="superscript"/>
          <w:lang w:val="en-CA"/>
        </w:rPr>
        <w:t>7</w:t>
      </w:r>
      <w:r w:rsidR="002B6AAF" w:rsidRPr="0086396D">
        <w:rPr>
          <w:rFonts w:ascii="Book Antiqua" w:hAnsi="Book Antiqua"/>
          <w:sz w:val="24"/>
          <w:szCs w:val="24"/>
          <w:vertAlign w:val="superscript"/>
          <w:lang w:val="en-CA"/>
        </w:rPr>
        <w:t>]</w:t>
      </w:r>
      <w:r w:rsidR="000A7AF5" w:rsidRPr="0086396D">
        <w:rPr>
          <w:rFonts w:ascii="Book Antiqua" w:hAnsi="Book Antiqua"/>
          <w:sz w:val="24"/>
          <w:szCs w:val="24"/>
          <w:lang w:val="en-CA"/>
        </w:rPr>
        <w:t xml:space="preserve">. </w:t>
      </w:r>
      <w:r w:rsidR="00485FC9" w:rsidRPr="0086396D">
        <w:rPr>
          <w:rFonts w:ascii="Book Antiqua" w:hAnsi="Book Antiqua"/>
          <w:sz w:val="24"/>
          <w:szCs w:val="24"/>
          <w:lang w:val="en-CA"/>
        </w:rPr>
        <w:t xml:space="preserve">In addition, </w:t>
      </w:r>
      <w:r w:rsidR="00485FC9" w:rsidRPr="0086396D">
        <w:rPr>
          <w:rFonts w:ascii="Book Antiqua" w:hAnsi="Book Antiqua"/>
          <w:sz w:val="24"/>
          <w:szCs w:val="24"/>
        </w:rPr>
        <w:t>relapse was more frequent in females during a 5-year follow-up in IBSEN study</w:t>
      </w:r>
      <w:r w:rsidR="00992F96" w:rsidRPr="00992F96">
        <w:rPr>
          <w:rFonts w:ascii="Book Antiqua" w:hAnsi="Book Antiqua"/>
          <w:sz w:val="24"/>
          <w:szCs w:val="24"/>
          <w:vertAlign w:val="superscript"/>
        </w:rPr>
        <w:t>[</w:t>
      </w:r>
      <w:r w:rsidR="00D745B5" w:rsidRPr="0086396D">
        <w:rPr>
          <w:rFonts w:ascii="Book Antiqua" w:hAnsi="Book Antiqua"/>
          <w:sz w:val="24"/>
          <w:szCs w:val="24"/>
          <w:vertAlign w:val="superscript"/>
        </w:rPr>
        <w:t>48</w:t>
      </w:r>
      <w:r w:rsidR="002B6AAF" w:rsidRPr="0086396D">
        <w:rPr>
          <w:rFonts w:ascii="Book Antiqua" w:hAnsi="Book Antiqua"/>
          <w:sz w:val="24"/>
          <w:szCs w:val="24"/>
          <w:vertAlign w:val="superscript"/>
        </w:rPr>
        <w:t>]</w:t>
      </w:r>
      <w:r w:rsidR="00485FC9" w:rsidRPr="0086396D">
        <w:rPr>
          <w:rFonts w:ascii="Book Antiqua" w:hAnsi="Book Antiqua"/>
          <w:sz w:val="24"/>
          <w:szCs w:val="24"/>
        </w:rPr>
        <w:t xml:space="preserve">. </w:t>
      </w:r>
      <w:r w:rsidR="00816CC2" w:rsidRPr="0086396D">
        <w:rPr>
          <w:rFonts w:ascii="Book Antiqua" w:hAnsi="Book Antiqua"/>
          <w:sz w:val="24"/>
          <w:szCs w:val="24"/>
        </w:rPr>
        <w:t xml:space="preserve">Our finding of no relationship between smoking status and UC relapse was </w:t>
      </w:r>
      <w:r w:rsidR="004B05BE" w:rsidRPr="0086396D">
        <w:rPr>
          <w:rFonts w:ascii="Book Antiqua" w:hAnsi="Book Antiqua"/>
          <w:sz w:val="24"/>
          <w:szCs w:val="24"/>
        </w:rPr>
        <w:t xml:space="preserve">also </w:t>
      </w:r>
      <w:r w:rsidR="00816CC2" w:rsidRPr="0086396D">
        <w:rPr>
          <w:rFonts w:ascii="Book Antiqua" w:hAnsi="Book Antiqua"/>
          <w:sz w:val="24"/>
          <w:szCs w:val="24"/>
        </w:rPr>
        <w:t>shown in previous studies</w:t>
      </w:r>
      <w:r w:rsidR="00992F96" w:rsidRPr="00992F96">
        <w:rPr>
          <w:rFonts w:ascii="Book Antiqua" w:hAnsi="Book Antiqua"/>
          <w:sz w:val="24"/>
          <w:szCs w:val="24"/>
          <w:vertAlign w:val="superscript"/>
        </w:rPr>
        <w:t>[</w:t>
      </w:r>
      <w:r w:rsidR="004C59E8">
        <w:rPr>
          <w:rFonts w:ascii="Book Antiqua" w:hAnsi="Book Antiqua"/>
          <w:sz w:val="24"/>
          <w:szCs w:val="24"/>
          <w:vertAlign w:val="superscript"/>
        </w:rPr>
        <w:t>7,</w:t>
      </w:r>
      <w:r w:rsidR="00D745B5" w:rsidRPr="0086396D">
        <w:rPr>
          <w:rFonts w:ascii="Book Antiqua" w:hAnsi="Book Antiqua"/>
          <w:sz w:val="24"/>
          <w:szCs w:val="24"/>
          <w:vertAlign w:val="superscript"/>
        </w:rPr>
        <w:t>46</w:t>
      </w:r>
      <w:r w:rsidR="008B5695" w:rsidRPr="0086396D">
        <w:rPr>
          <w:rFonts w:ascii="Book Antiqua" w:hAnsi="Book Antiqua"/>
          <w:sz w:val="24"/>
          <w:szCs w:val="24"/>
          <w:vertAlign w:val="superscript"/>
        </w:rPr>
        <w:t>-4</w:t>
      </w:r>
      <w:r w:rsidR="00D745B5" w:rsidRPr="0086396D">
        <w:rPr>
          <w:rFonts w:ascii="Book Antiqua" w:hAnsi="Book Antiqua"/>
          <w:sz w:val="24"/>
          <w:szCs w:val="24"/>
          <w:vertAlign w:val="superscript"/>
        </w:rPr>
        <w:t>8</w:t>
      </w:r>
      <w:r w:rsidR="002B6AAF" w:rsidRPr="0086396D">
        <w:rPr>
          <w:rFonts w:ascii="Book Antiqua" w:hAnsi="Book Antiqua"/>
          <w:sz w:val="24"/>
          <w:szCs w:val="24"/>
          <w:vertAlign w:val="superscript"/>
        </w:rPr>
        <w:t>]</w:t>
      </w:r>
      <w:r w:rsidR="004C59E8">
        <w:rPr>
          <w:rFonts w:ascii="Book Antiqua" w:hAnsi="Book Antiqua"/>
          <w:sz w:val="24"/>
          <w:szCs w:val="24"/>
        </w:rPr>
        <w:t xml:space="preserve">. However, Höie </w:t>
      </w:r>
      <w:r w:rsidR="004C59E8" w:rsidRPr="004C59E8">
        <w:rPr>
          <w:rFonts w:ascii="Book Antiqua" w:hAnsi="Book Antiqua"/>
          <w:i/>
          <w:sz w:val="24"/>
          <w:szCs w:val="24"/>
        </w:rPr>
        <w:t>et al</w:t>
      </w:r>
      <w:r w:rsidR="00992F96" w:rsidRPr="00992F96">
        <w:rPr>
          <w:rFonts w:ascii="Book Antiqua" w:hAnsi="Book Antiqua"/>
          <w:sz w:val="24"/>
          <w:szCs w:val="24"/>
          <w:vertAlign w:val="superscript"/>
        </w:rPr>
        <w:t>[</w:t>
      </w:r>
      <w:r w:rsidR="00D745B5" w:rsidRPr="0086396D">
        <w:rPr>
          <w:rFonts w:ascii="Book Antiqua" w:hAnsi="Book Antiqua"/>
          <w:sz w:val="24"/>
          <w:szCs w:val="24"/>
          <w:vertAlign w:val="superscript"/>
        </w:rPr>
        <w:t>49</w:t>
      </w:r>
      <w:r w:rsidR="002B6AAF" w:rsidRPr="0086396D">
        <w:rPr>
          <w:rFonts w:ascii="Book Antiqua" w:hAnsi="Book Antiqua"/>
          <w:sz w:val="24"/>
          <w:szCs w:val="24"/>
          <w:vertAlign w:val="superscript"/>
        </w:rPr>
        <w:t>]</w:t>
      </w:r>
      <w:r w:rsidR="00FD11E7" w:rsidRPr="0086396D">
        <w:rPr>
          <w:rFonts w:ascii="Book Antiqua" w:hAnsi="Book Antiqua"/>
          <w:sz w:val="24"/>
          <w:szCs w:val="24"/>
        </w:rPr>
        <w:t xml:space="preserve"> showed that UC patients who were current smokers had a lower relapse rate than nonsmokers during a 10-year follow-up. </w:t>
      </w:r>
    </w:p>
    <w:p w14:paraId="33E5CC09" w14:textId="66403D8C" w:rsidR="00112953" w:rsidRPr="0086396D" w:rsidRDefault="00112953"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Although in our</w:t>
      </w:r>
      <w:r w:rsidR="009F5EFD" w:rsidRPr="0086396D">
        <w:rPr>
          <w:rFonts w:ascii="Book Antiqua" w:hAnsi="Book Antiqua"/>
          <w:sz w:val="24"/>
          <w:szCs w:val="24"/>
        </w:rPr>
        <w:t xml:space="preserve"> pilot</w:t>
      </w:r>
      <w:r w:rsidRPr="0086396D">
        <w:rPr>
          <w:rFonts w:ascii="Book Antiqua" w:hAnsi="Book Antiqua"/>
          <w:sz w:val="24"/>
          <w:szCs w:val="24"/>
        </w:rPr>
        <w:t xml:space="preserve"> prospective cohort study we tried to investigate several potential contributors of relapse in UC patients which makes the findings valuable, our study has</w:t>
      </w:r>
      <w:r w:rsidR="00E13BEB" w:rsidRPr="0086396D">
        <w:rPr>
          <w:rFonts w:ascii="Book Antiqua" w:hAnsi="Book Antiqua"/>
          <w:sz w:val="24"/>
          <w:szCs w:val="24"/>
        </w:rPr>
        <w:t xml:space="preserve"> several </w:t>
      </w:r>
      <w:r w:rsidRPr="0086396D">
        <w:rPr>
          <w:rFonts w:ascii="Book Antiqua" w:hAnsi="Book Antiqua"/>
          <w:sz w:val="24"/>
          <w:szCs w:val="24"/>
        </w:rPr>
        <w:t xml:space="preserve">limitations as well. The major limitation of the study is the small sample size. </w:t>
      </w:r>
      <w:r w:rsidR="00EA6D81" w:rsidRPr="0086396D">
        <w:rPr>
          <w:rFonts w:ascii="Book Antiqua" w:hAnsi="Book Antiqua"/>
          <w:sz w:val="24"/>
          <w:szCs w:val="24"/>
        </w:rPr>
        <w:t>Thus</w:t>
      </w:r>
      <w:r w:rsidRPr="0086396D">
        <w:rPr>
          <w:rFonts w:ascii="Book Antiqua" w:hAnsi="Book Antiqua"/>
          <w:sz w:val="24"/>
          <w:szCs w:val="24"/>
        </w:rPr>
        <w:t xml:space="preserve">, for several </w:t>
      </w:r>
      <w:r w:rsidR="00953580" w:rsidRPr="0086396D">
        <w:rPr>
          <w:rFonts w:ascii="Book Antiqua" w:hAnsi="Book Antiqua"/>
          <w:sz w:val="24"/>
          <w:szCs w:val="24"/>
        </w:rPr>
        <w:t xml:space="preserve">parameters </w:t>
      </w:r>
      <w:r w:rsidRPr="0086396D">
        <w:rPr>
          <w:rFonts w:ascii="Book Antiqua" w:hAnsi="Book Antiqua"/>
          <w:sz w:val="24"/>
          <w:szCs w:val="24"/>
        </w:rPr>
        <w:t xml:space="preserve">between two groups of patients our study did not have the enough statistical power to detect true differences. </w:t>
      </w:r>
      <w:r w:rsidR="00953580" w:rsidRPr="0086396D">
        <w:rPr>
          <w:rFonts w:ascii="Book Antiqua" w:hAnsi="Book Antiqua"/>
          <w:sz w:val="24"/>
          <w:szCs w:val="24"/>
        </w:rPr>
        <w:t>D</w:t>
      </w:r>
      <w:r w:rsidRPr="0086396D">
        <w:rPr>
          <w:rFonts w:ascii="Book Antiqua" w:hAnsi="Book Antiqua"/>
          <w:sz w:val="24"/>
          <w:szCs w:val="24"/>
        </w:rPr>
        <w:t xml:space="preserve">ue </w:t>
      </w:r>
      <w:r w:rsidR="001D1CB0" w:rsidRPr="0086396D">
        <w:rPr>
          <w:rFonts w:ascii="Book Antiqua" w:hAnsi="Book Antiqua"/>
          <w:sz w:val="24"/>
          <w:szCs w:val="24"/>
        </w:rPr>
        <w:t xml:space="preserve">to this </w:t>
      </w:r>
      <w:r w:rsidR="00EA6D81" w:rsidRPr="0086396D">
        <w:rPr>
          <w:rFonts w:ascii="Book Antiqua" w:hAnsi="Book Antiqua"/>
          <w:sz w:val="24"/>
          <w:szCs w:val="24"/>
        </w:rPr>
        <w:t>limitation,</w:t>
      </w:r>
      <w:r w:rsidR="001D1CB0" w:rsidRPr="0086396D">
        <w:rPr>
          <w:rFonts w:ascii="Book Antiqua" w:hAnsi="Book Antiqua"/>
          <w:sz w:val="24"/>
          <w:szCs w:val="24"/>
        </w:rPr>
        <w:t xml:space="preserve"> we could not perform more complex statistical analysis (</w:t>
      </w:r>
      <w:r w:rsidR="001D1CB0" w:rsidRPr="004C59E8">
        <w:rPr>
          <w:rFonts w:ascii="Book Antiqua" w:hAnsi="Book Antiqua"/>
          <w:i/>
          <w:sz w:val="24"/>
          <w:szCs w:val="24"/>
        </w:rPr>
        <w:t>e.g.</w:t>
      </w:r>
      <w:r w:rsidR="004C59E8">
        <w:rPr>
          <w:rFonts w:ascii="Book Antiqua" w:hAnsi="Book Antiqua" w:hint="eastAsia"/>
          <w:sz w:val="24"/>
          <w:szCs w:val="24"/>
          <w:lang w:eastAsia="zh-CN"/>
        </w:rPr>
        <w:t>,</w:t>
      </w:r>
      <w:r w:rsidR="001D1CB0" w:rsidRPr="0086396D">
        <w:rPr>
          <w:rFonts w:ascii="Book Antiqua" w:hAnsi="Book Antiqua"/>
          <w:sz w:val="24"/>
          <w:szCs w:val="24"/>
        </w:rPr>
        <w:t xml:space="preserve"> comparison of relapse between tertiles of dietary intake for each nutrient and adjusting for </w:t>
      </w:r>
      <w:r w:rsidR="00EA6D81" w:rsidRPr="0086396D">
        <w:rPr>
          <w:rFonts w:ascii="Book Antiqua" w:hAnsi="Book Antiqua"/>
          <w:sz w:val="24"/>
          <w:szCs w:val="24"/>
        </w:rPr>
        <w:t>several confounding variables).</w:t>
      </w:r>
      <w:r w:rsidR="00BA0C62" w:rsidRPr="00BA0C62">
        <w:rPr>
          <w:rFonts w:ascii="Book Antiqua" w:hAnsi="Book Antiqua"/>
          <w:i/>
          <w:sz w:val="24"/>
          <w:szCs w:val="24"/>
        </w:rPr>
        <w:t xml:space="preserve"> </w:t>
      </w:r>
      <w:r w:rsidR="006C1691" w:rsidRPr="0086396D">
        <w:rPr>
          <w:rFonts w:ascii="Book Antiqua" w:hAnsi="Book Antiqua"/>
          <w:sz w:val="24"/>
          <w:szCs w:val="24"/>
        </w:rPr>
        <w:t xml:space="preserve">In addition, since we did not correct our analyses for multiple testing, some of the findings in this study might have been “false positive” findings which needs to be considered before interpreting our results. </w:t>
      </w:r>
      <w:r w:rsidR="00E13BEB" w:rsidRPr="0086396D">
        <w:rPr>
          <w:rFonts w:ascii="Book Antiqua" w:hAnsi="Book Antiqua"/>
          <w:sz w:val="24"/>
          <w:szCs w:val="24"/>
        </w:rPr>
        <w:t>However, despite this limitation</w:t>
      </w:r>
      <w:r w:rsidR="000D538A" w:rsidRPr="0086396D">
        <w:rPr>
          <w:rFonts w:ascii="Book Antiqua" w:hAnsi="Book Antiqua"/>
          <w:sz w:val="24"/>
          <w:szCs w:val="24"/>
        </w:rPr>
        <w:t>,</w:t>
      </w:r>
      <w:r w:rsidR="00E13BEB" w:rsidRPr="0086396D">
        <w:rPr>
          <w:rFonts w:ascii="Book Antiqua" w:hAnsi="Book Antiqua"/>
          <w:sz w:val="24"/>
          <w:szCs w:val="24"/>
        </w:rPr>
        <w:t xml:space="preserve"> the separate clusters with significant difference between urinary and serum metabolomics as a predict</w:t>
      </w:r>
      <w:r w:rsidR="009B6BD5" w:rsidRPr="0086396D">
        <w:rPr>
          <w:rFonts w:ascii="Book Antiqua" w:hAnsi="Book Antiqua"/>
          <w:sz w:val="24"/>
          <w:szCs w:val="24"/>
        </w:rPr>
        <w:t xml:space="preserve">or for clinical relapse versus </w:t>
      </w:r>
      <w:r w:rsidR="00E13BEB" w:rsidRPr="0086396D">
        <w:rPr>
          <w:rFonts w:ascii="Book Antiqua" w:hAnsi="Book Antiqua"/>
          <w:sz w:val="24"/>
          <w:szCs w:val="24"/>
        </w:rPr>
        <w:t>remission remains striking.</w:t>
      </w:r>
      <w:r w:rsidR="00E96644" w:rsidRPr="0086396D">
        <w:rPr>
          <w:rFonts w:ascii="Book Antiqua" w:hAnsi="Book Antiqua"/>
          <w:sz w:val="24"/>
          <w:szCs w:val="24"/>
        </w:rPr>
        <w:t xml:space="preserve"> </w:t>
      </w:r>
      <w:r w:rsidR="009C6206" w:rsidRPr="0086396D">
        <w:rPr>
          <w:rFonts w:ascii="Book Antiqua" w:hAnsi="Book Antiqua"/>
          <w:sz w:val="24"/>
          <w:szCs w:val="24"/>
        </w:rPr>
        <w:t xml:space="preserve">In addition, using a FFQ to assess dietary intake during the past 12 mo is subject to recall bias which is another limitation of this epidemiological study. However, we have tried to overcome this limitation by using a validated tool which has been shown to assess long-term dietary intake among adult population in several settings. </w:t>
      </w:r>
      <w:r w:rsidR="00E96644" w:rsidRPr="0086396D">
        <w:rPr>
          <w:rFonts w:ascii="Book Antiqua" w:hAnsi="Book Antiqua"/>
          <w:sz w:val="24"/>
          <w:szCs w:val="24"/>
        </w:rPr>
        <w:t xml:space="preserve">Since this project is </w:t>
      </w:r>
      <w:r w:rsidR="00E96644" w:rsidRPr="0086396D">
        <w:rPr>
          <w:rFonts w:ascii="Book Antiqua" w:hAnsi="Book Antiqua"/>
          <w:sz w:val="24"/>
          <w:szCs w:val="24"/>
        </w:rPr>
        <w:lastRenderedPageBreak/>
        <w:t xml:space="preserve">considered to be a pilot study, we believe that these findings should be regarded as hypothesis-generating findings, deserving further evaluation in future studies. </w:t>
      </w:r>
    </w:p>
    <w:p w14:paraId="6527B767" w14:textId="49861C0B" w:rsidR="000D538A" w:rsidRPr="0086396D" w:rsidRDefault="001D1CB0" w:rsidP="005C7D8E">
      <w:pPr>
        <w:adjustRightInd w:val="0"/>
        <w:snapToGrid w:val="0"/>
        <w:spacing w:after="0" w:line="360" w:lineRule="auto"/>
        <w:ind w:firstLineChars="100" w:firstLine="240"/>
        <w:jc w:val="both"/>
        <w:rPr>
          <w:rFonts w:ascii="Book Antiqua" w:hAnsi="Book Antiqua"/>
          <w:sz w:val="24"/>
          <w:szCs w:val="24"/>
        </w:rPr>
      </w:pPr>
      <w:r w:rsidRPr="0086396D">
        <w:rPr>
          <w:rFonts w:ascii="Book Antiqua" w:hAnsi="Book Antiqua"/>
          <w:sz w:val="24"/>
          <w:szCs w:val="24"/>
        </w:rPr>
        <w:t xml:space="preserve">In conclusion, we identified </w:t>
      </w:r>
      <w:r w:rsidR="00EA6D81" w:rsidRPr="0086396D">
        <w:rPr>
          <w:rFonts w:ascii="Book Antiqua" w:hAnsi="Book Antiqua"/>
          <w:sz w:val="24"/>
          <w:szCs w:val="24"/>
        </w:rPr>
        <w:t>several</w:t>
      </w:r>
      <w:r w:rsidRPr="0086396D">
        <w:rPr>
          <w:rFonts w:ascii="Book Antiqua" w:hAnsi="Book Antiqua"/>
          <w:sz w:val="24"/>
          <w:szCs w:val="24"/>
        </w:rPr>
        <w:t xml:space="preserve"> metabolites</w:t>
      </w:r>
      <w:r w:rsidR="00E13BEB" w:rsidRPr="0086396D">
        <w:rPr>
          <w:rFonts w:ascii="Book Antiqua" w:hAnsi="Book Antiqua"/>
          <w:sz w:val="24"/>
          <w:szCs w:val="24"/>
        </w:rPr>
        <w:t>, as well as dietary</w:t>
      </w:r>
      <w:r w:rsidR="00177FE9" w:rsidRPr="0086396D">
        <w:rPr>
          <w:rFonts w:ascii="Book Antiqua" w:hAnsi="Book Antiqua"/>
          <w:sz w:val="24"/>
          <w:szCs w:val="24"/>
        </w:rPr>
        <w:t xml:space="preserve"> </w:t>
      </w:r>
      <w:r w:rsidR="009B6BD5" w:rsidRPr="0086396D">
        <w:rPr>
          <w:rFonts w:ascii="Book Antiqua" w:hAnsi="Book Antiqua"/>
          <w:sz w:val="24"/>
          <w:szCs w:val="24"/>
        </w:rPr>
        <w:t>parameters</w:t>
      </w:r>
      <w:r w:rsidRPr="0086396D">
        <w:rPr>
          <w:rFonts w:ascii="Book Antiqua" w:hAnsi="Book Antiqua"/>
          <w:sz w:val="24"/>
          <w:szCs w:val="24"/>
        </w:rPr>
        <w:t xml:space="preserve"> that are related to the development of </w:t>
      </w:r>
      <w:r w:rsidR="00953580" w:rsidRPr="0086396D">
        <w:rPr>
          <w:rFonts w:ascii="Book Antiqua" w:hAnsi="Book Antiqua"/>
          <w:sz w:val="24"/>
          <w:szCs w:val="24"/>
        </w:rPr>
        <w:t xml:space="preserve">clinical </w:t>
      </w:r>
      <w:r w:rsidRPr="0086396D">
        <w:rPr>
          <w:rFonts w:ascii="Book Antiqua" w:hAnsi="Book Antiqua"/>
          <w:sz w:val="24"/>
          <w:szCs w:val="24"/>
        </w:rPr>
        <w:t>relapse in UC patients</w:t>
      </w:r>
      <w:r w:rsidR="00E13BEB" w:rsidRPr="0086396D">
        <w:rPr>
          <w:rFonts w:ascii="Book Antiqua" w:hAnsi="Book Antiqua"/>
          <w:sz w:val="24"/>
          <w:szCs w:val="24"/>
        </w:rPr>
        <w:t xml:space="preserve"> within 12 mo</w:t>
      </w:r>
      <w:r w:rsidRPr="0086396D">
        <w:rPr>
          <w:rFonts w:ascii="Book Antiqua" w:hAnsi="Book Antiqua"/>
          <w:sz w:val="24"/>
          <w:szCs w:val="24"/>
        </w:rPr>
        <w:t xml:space="preserve">. Due to the importance of this topic in the management of UC patients, we suggest </w:t>
      </w:r>
      <w:r w:rsidR="00E13BEB" w:rsidRPr="0086396D">
        <w:rPr>
          <w:rFonts w:ascii="Book Antiqua" w:hAnsi="Book Antiqua"/>
          <w:sz w:val="24"/>
          <w:szCs w:val="24"/>
        </w:rPr>
        <w:t xml:space="preserve">that </w:t>
      </w:r>
      <w:r w:rsidRPr="0086396D">
        <w:rPr>
          <w:rFonts w:ascii="Book Antiqua" w:hAnsi="Book Antiqua"/>
          <w:sz w:val="24"/>
          <w:szCs w:val="24"/>
        </w:rPr>
        <w:t xml:space="preserve">further </w:t>
      </w:r>
      <w:r w:rsidR="00E13BEB" w:rsidRPr="0086396D">
        <w:rPr>
          <w:rFonts w:ascii="Book Antiqua" w:hAnsi="Book Antiqua"/>
          <w:sz w:val="24"/>
          <w:szCs w:val="24"/>
        </w:rPr>
        <w:t xml:space="preserve">well-designed </w:t>
      </w:r>
      <w:r w:rsidRPr="0086396D">
        <w:rPr>
          <w:rFonts w:ascii="Book Antiqua" w:hAnsi="Book Antiqua"/>
          <w:sz w:val="24"/>
          <w:szCs w:val="24"/>
        </w:rPr>
        <w:t>prospective cohort studies</w:t>
      </w:r>
      <w:r w:rsidR="00953580" w:rsidRPr="0086396D">
        <w:rPr>
          <w:rFonts w:ascii="Book Antiqua" w:hAnsi="Book Antiqua"/>
          <w:sz w:val="24"/>
          <w:szCs w:val="24"/>
        </w:rPr>
        <w:t xml:space="preserve"> studying these parameters</w:t>
      </w:r>
      <w:r w:rsidRPr="0086396D">
        <w:rPr>
          <w:rFonts w:ascii="Book Antiqua" w:hAnsi="Book Antiqua"/>
          <w:sz w:val="24"/>
          <w:szCs w:val="24"/>
        </w:rPr>
        <w:t xml:space="preserve"> with larger sample size should be </w:t>
      </w:r>
      <w:r w:rsidR="00755E14" w:rsidRPr="0086396D">
        <w:rPr>
          <w:rFonts w:ascii="Book Antiqua" w:hAnsi="Book Antiqua"/>
          <w:sz w:val="24"/>
          <w:szCs w:val="24"/>
        </w:rPr>
        <w:t>performed</w:t>
      </w:r>
      <w:r w:rsidRPr="0086396D">
        <w:rPr>
          <w:rFonts w:ascii="Book Antiqua" w:hAnsi="Book Antiqua"/>
          <w:sz w:val="24"/>
          <w:szCs w:val="24"/>
        </w:rPr>
        <w:t>.</w:t>
      </w:r>
    </w:p>
    <w:p w14:paraId="38EEB953" w14:textId="77777777" w:rsidR="004C59E8" w:rsidRDefault="004C59E8" w:rsidP="005C7D8E">
      <w:pPr>
        <w:adjustRightInd w:val="0"/>
        <w:snapToGrid w:val="0"/>
        <w:spacing w:after="0" w:line="360" w:lineRule="auto"/>
        <w:jc w:val="both"/>
        <w:rPr>
          <w:rFonts w:ascii="Book Antiqua" w:hAnsi="Book Antiqua"/>
          <w:b/>
          <w:bCs/>
          <w:sz w:val="24"/>
          <w:szCs w:val="24"/>
          <w:lang w:eastAsia="zh-CN"/>
        </w:rPr>
      </w:pPr>
    </w:p>
    <w:p w14:paraId="09DC88B7" w14:textId="64202B47" w:rsidR="00142202" w:rsidRPr="004C59E8" w:rsidRDefault="00142202" w:rsidP="005C7D8E">
      <w:pPr>
        <w:adjustRightInd w:val="0"/>
        <w:snapToGrid w:val="0"/>
        <w:spacing w:after="0" w:line="360" w:lineRule="auto"/>
        <w:jc w:val="both"/>
        <w:rPr>
          <w:rFonts w:ascii="Book Antiqua" w:hAnsi="Book Antiqua"/>
          <w:caps/>
          <w:sz w:val="24"/>
          <w:szCs w:val="24"/>
          <w:lang w:eastAsia="zh-CN"/>
        </w:rPr>
      </w:pPr>
      <w:r w:rsidRPr="004C59E8">
        <w:rPr>
          <w:rFonts w:ascii="Book Antiqua" w:hAnsi="Book Antiqua"/>
          <w:b/>
          <w:bCs/>
          <w:caps/>
          <w:sz w:val="24"/>
          <w:szCs w:val="24"/>
        </w:rPr>
        <w:t>Acknowledg</w:t>
      </w:r>
      <w:r w:rsidR="001D7321" w:rsidRPr="004C59E8">
        <w:rPr>
          <w:rFonts w:ascii="Book Antiqua" w:hAnsi="Book Antiqua"/>
          <w:b/>
          <w:bCs/>
          <w:caps/>
          <w:sz w:val="24"/>
          <w:szCs w:val="24"/>
        </w:rPr>
        <w:t>e</w:t>
      </w:r>
      <w:r w:rsidRPr="004C59E8">
        <w:rPr>
          <w:rFonts w:ascii="Book Antiqua" w:hAnsi="Book Antiqua"/>
          <w:b/>
          <w:bCs/>
          <w:caps/>
          <w:sz w:val="24"/>
          <w:szCs w:val="24"/>
        </w:rPr>
        <w:t>ment</w:t>
      </w:r>
      <w:r w:rsidR="006503F9" w:rsidRPr="004C59E8">
        <w:rPr>
          <w:rFonts w:ascii="Book Antiqua" w:hAnsi="Book Antiqua"/>
          <w:b/>
          <w:bCs/>
          <w:caps/>
          <w:sz w:val="24"/>
          <w:szCs w:val="24"/>
        </w:rPr>
        <w:t>s</w:t>
      </w:r>
    </w:p>
    <w:p w14:paraId="394BCAEB" w14:textId="0E2F0B1A" w:rsidR="00247B7F" w:rsidRPr="0086396D" w:rsidRDefault="00142202" w:rsidP="005C7D8E">
      <w:pPr>
        <w:adjustRightInd w:val="0"/>
        <w:snapToGrid w:val="0"/>
        <w:spacing w:after="0" w:line="360" w:lineRule="auto"/>
        <w:jc w:val="both"/>
        <w:rPr>
          <w:rFonts w:ascii="Book Antiqua" w:hAnsi="Book Antiqua"/>
          <w:sz w:val="24"/>
          <w:szCs w:val="24"/>
        </w:rPr>
      </w:pPr>
      <w:r w:rsidRPr="0086396D">
        <w:rPr>
          <w:rFonts w:ascii="Book Antiqua" w:hAnsi="Book Antiqua"/>
          <w:sz w:val="24"/>
          <w:szCs w:val="24"/>
        </w:rPr>
        <w:t xml:space="preserve">We wish to thank all participants of this study for their excellent cooperation. </w:t>
      </w:r>
      <w:r w:rsidR="003F2D8E" w:rsidRPr="0086396D">
        <w:rPr>
          <w:rFonts w:ascii="Book Antiqua" w:hAnsi="Book Antiqua"/>
          <w:sz w:val="24"/>
          <w:szCs w:val="24"/>
        </w:rPr>
        <w:t xml:space="preserve">This study was funded by </w:t>
      </w:r>
      <w:r w:rsidR="009974DC" w:rsidRPr="0086396D">
        <w:rPr>
          <w:rFonts w:ascii="Book Antiqua" w:hAnsi="Book Antiqua"/>
          <w:sz w:val="24"/>
          <w:szCs w:val="24"/>
        </w:rPr>
        <w:t xml:space="preserve">Alberta Innovates-Bio Solutions. AHK was supported by a graduate studentship from Alberta Innovates-Health Solutions. </w:t>
      </w:r>
    </w:p>
    <w:p w14:paraId="412920D4" w14:textId="77777777" w:rsidR="004C59E8" w:rsidRDefault="004C59E8" w:rsidP="005C7D8E">
      <w:pPr>
        <w:adjustRightInd w:val="0"/>
        <w:snapToGrid w:val="0"/>
        <w:spacing w:after="0" w:line="360" w:lineRule="auto"/>
        <w:jc w:val="both"/>
        <w:rPr>
          <w:rFonts w:ascii="Book Antiqua" w:hAnsi="Book Antiqua"/>
          <w:b/>
          <w:bCs/>
          <w:sz w:val="24"/>
          <w:szCs w:val="24"/>
          <w:lang w:eastAsia="zh-CN"/>
        </w:rPr>
      </w:pPr>
    </w:p>
    <w:p w14:paraId="65BCDD12" w14:textId="7F84CBF1" w:rsidR="00247B7F" w:rsidRPr="0086396D" w:rsidRDefault="004C59E8" w:rsidP="005C7D8E">
      <w:pPr>
        <w:adjustRightInd w:val="0"/>
        <w:snapToGrid w:val="0"/>
        <w:spacing w:after="0" w:line="360" w:lineRule="auto"/>
        <w:jc w:val="both"/>
        <w:rPr>
          <w:rFonts w:ascii="Book Antiqua" w:hAnsi="Book Antiqua"/>
          <w:b/>
          <w:bCs/>
          <w:sz w:val="24"/>
          <w:szCs w:val="24"/>
          <w:lang w:eastAsia="zh-CN"/>
        </w:rPr>
      </w:pPr>
      <w:r>
        <w:rPr>
          <w:rFonts w:ascii="Book Antiqua" w:hAnsi="Book Antiqua"/>
          <w:b/>
          <w:bCs/>
          <w:sz w:val="24"/>
          <w:szCs w:val="24"/>
        </w:rPr>
        <w:t>COMMENTS</w:t>
      </w:r>
    </w:p>
    <w:p w14:paraId="3169CC82" w14:textId="28304925" w:rsidR="00247B7F" w:rsidRPr="0086396D" w:rsidRDefault="002F4273" w:rsidP="005C7D8E">
      <w:pPr>
        <w:adjustRightInd w:val="0"/>
        <w:snapToGrid w:val="0"/>
        <w:spacing w:after="0" w:line="360" w:lineRule="auto"/>
        <w:jc w:val="both"/>
        <w:rPr>
          <w:rFonts w:ascii="Book Antiqua" w:hAnsi="Book Antiqua"/>
          <w:b/>
          <w:bCs/>
          <w:i/>
          <w:iCs/>
          <w:sz w:val="24"/>
          <w:szCs w:val="24"/>
        </w:rPr>
      </w:pPr>
      <w:r w:rsidRPr="0086396D">
        <w:rPr>
          <w:rFonts w:ascii="Book Antiqua" w:hAnsi="Book Antiqua"/>
          <w:b/>
          <w:bCs/>
          <w:i/>
          <w:iCs/>
          <w:sz w:val="24"/>
          <w:szCs w:val="24"/>
        </w:rPr>
        <w:t>Background</w:t>
      </w:r>
    </w:p>
    <w:p w14:paraId="26B360FB" w14:textId="30CCD52C" w:rsidR="002F4273" w:rsidRDefault="002F4273" w:rsidP="005C7D8E">
      <w:pPr>
        <w:adjustRightInd w:val="0"/>
        <w:snapToGrid w:val="0"/>
        <w:spacing w:after="0" w:line="360" w:lineRule="auto"/>
        <w:jc w:val="both"/>
        <w:rPr>
          <w:rFonts w:ascii="Book Antiqua" w:hAnsi="Book Antiqua"/>
          <w:i/>
          <w:sz w:val="24"/>
          <w:szCs w:val="24"/>
          <w:lang w:eastAsia="zh-CN"/>
        </w:rPr>
      </w:pPr>
      <w:r w:rsidRPr="0086396D">
        <w:rPr>
          <w:rFonts w:ascii="Book Antiqua" w:hAnsi="Book Antiqua"/>
          <w:sz w:val="24"/>
          <w:szCs w:val="24"/>
        </w:rPr>
        <w:t>In spite of adequate standard medical treatment, a large number of ulcerative colitis (UC) patients experience disease relapse. Currently, determinants of UC relapse including lifestyle-related factors are largely unknown and there few biomarkers to predict its occurrence.</w:t>
      </w:r>
      <w:r w:rsidR="00BA0C62" w:rsidRPr="00BA0C62">
        <w:rPr>
          <w:rFonts w:ascii="Book Antiqua" w:hAnsi="Book Antiqua"/>
          <w:i/>
          <w:sz w:val="24"/>
          <w:szCs w:val="24"/>
        </w:rPr>
        <w:t xml:space="preserve"> </w:t>
      </w:r>
    </w:p>
    <w:p w14:paraId="2490E61F" w14:textId="77777777" w:rsidR="004C59E8" w:rsidRPr="0086396D" w:rsidRDefault="004C59E8" w:rsidP="005C7D8E">
      <w:pPr>
        <w:adjustRightInd w:val="0"/>
        <w:snapToGrid w:val="0"/>
        <w:spacing w:after="0" w:line="360" w:lineRule="auto"/>
        <w:jc w:val="both"/>
        <w:rPr>
          <w:rFonts w:ascii="Book Antiqua" w:hAnsi="Book Antiqua"/>
          <w:sz w:val="24"/>
          <w:szCs w:val="24"/>
          <w:lang w:eastAsia="zh-CN"/>
        </w:rPr>
      </w:pPr>
    </w:p>
    <w:p w14:paraId="2599712F" w14:textId="38F8914B" w:rsidR="002F4273" w:rsidRPr="0086396D" w:rsidRDefault="002F4273" w:rsidP="005C7D8E">
      <w:pPr>
        <w:adjustRightInd w:val="0"/>
        <w:snapToGrid w:val="0"/>
        <w:spacing w:after="0" w:line="360" w:lineRule="auto"/>
        <w:jc w:val="both"/>
        <w:rPr>
          <w:rFonts w:ascii="Book Antiqua" w:hAnsi="Book Antiqua"/>
          <w:b/>
          <w:bCs/>
          <w:i/>
          <w:iCs/>
          <w:sz w:val="24"/>
          <w:szCs w:val="24"/>
        </w:rPr>
      </w:pPr>
      <w:r w:rsidRPr="0086396D">
        <w:rPr>
          <w:rFonts w:ascii="Book Antiqua" w:hAnsi="Book Antiqua"/>
          <w:b/>
          <w:bCs/>
          <w:i/>
          <w:iCs/>
          <w:sz w:val="24"/>
          <w:szCs w:val="24"/>
        </w:rPr>
        <w:t>Research frontiers</w:t>
      </w:r>
    </w:p>
    <w:p w14:paraId="0E6C28C5" w14:textId="37957D46" w:rsidR="00542E9D" w:rsidRDefault="001A1C60"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A few studies with controversial results have suggested that long-term dietary intake may play a role in </w:t>
      </w:r>
      <w:r w:rsidR="00730303" w:rsidRPr="0086396D">
        <w:rPr>
          <w:rFonts w:ascii="Book Antiqua" w:hAnsi="Book Antiqua"/>
          <w:sz w:val="24"/>
          <w:szCs w:val="24"/>
        </w:rPr>
        <w:t xml:space="preserve">the </w:t>
      </w:r>
      <w:r w:rsidRPr="0086396D">
        <w:rPr>
          <w:rFonts w:ascii="Book Antiqua" w:hAnsi="Book Antiqua"/>
          <w:sz w:val="24"/>
          <w:szCs w:val="24"/>
        </w:rPr>
        <w:t xml:space="preserve">development of UC relapse. </w:t>
      </w:r>
      <w:r w:rsidR="00BB38ED" w:rsidRPr="0086396D">
        <w:rPr>
          <w:rFonts w:ascii="Book Antiqua" w:hAnsi="Book Antiqua"/>
          <w:sz w:val="24"/>
          <w:szCs w:val="24"/>
        </w:rPr>
        <w:t>So far there has been</w:t>
      </w:r>
      <w:r w:rsidRPr="0086396D">
        <w:rPr>
          <w:rFonts w:ascii="Book Antiqua" w:hAnsi="Book Antiqua"/>
          <w:sz w:val="24"/>
          <w:szCs w:val="24"/>
        </w:rPr>
        <w:t xml:space="preserve"> one</w:t>
      </w:r>
      <w:r w:rsidR="00BB38ED" w:rsidRPr="0086396D">
        <w:rPr>
          <w:rFonts w:ascii="Book Antiqua" w:hAnsi="Book Antiqua"/>
          <w:sz w:val="24"/>
          <w:szCs w:val="24"/>
        </w:rPr>
        <w:t xml:space="preserve"> prospective</w:t>
      </w:r>
      <w:r w:rsidRPr="0086396D">
        <w:rPr>
          <w:rFonts w:ascii="Book Antiqua" w:hAnsi="Book Antiqua"/>
          <w:sz w:val="24"/>
          <w:szCs w:val="24"/>
        </w:rPr>
        <w:t xml:space="preserve"> study </w:t>
      </w:r>
      <w:r w:rsidR="00BB38ED" w:rsidRPr="0086396D">
        <w:rPr>
          <w:rFonts w:ascii="Book Antiqua" w:hAnsi="Book Antiqua"/>
          <w:sz w:val="24"/>
          <w:szCs w:val="24"/>
        </w:rPr>
        <w:t>that used a metabolomic approach to identify metabolites in plasma samples in relation to UC relapse</w:t>
      </w:r>
      <w:r w:rsidRPr="0086396D">
        <w:rPr>
          <w:rFonts w:ascii="Book Antiqua" w:hAnsi="Book Antiqua"/>
          <w:sz w:val="24"/>
          <w:szCs w:val="24"/>
        </w:rPr>
        <w:t xml:space="preserve">. </w:t>
      </w:r>
    </w:p>
    <w:p w14:paraId="65D8F99E" w14:textId="77777777" w:rsidR="004C59E8" w:rsidRPr="0086396D" w:rsidRDefault="004C59E8" w:rsidP="005C7D8E">
      <w:pPr>
        <w:adjustRightInd w:val="0"/>
        <w:snapToGrid w:val="0"/>
        <w:spacing w:after="0" w:line="360" w:lineRule="auto"/>
        <w:jc w:val="both"/>
        <w:rPr>
          <w:rFonts w:ascii="Book Antiqua" w:hAnsi="Book Antiqua"/>
          <w:sz w:val="24"/>
          <w:szCs w:val="24"/>
          <w:lang w:eastAsia="zh-CN"/>
        </w:rPr>
      </w:pPr>
    </w:p>
    <w:p w14:paraId="4726E1C8" w14:textId="11A5F5EA" w:rsidR="00BB38ED" w:rsidRPr="0086396D" w:rsidRDefault="00BB38ED" w:rsidP="005C7D8E">
      <w:pPr>
        <w:adjustRightInd w:val="0"/>
        <w:snapToGrid w:val="0"/>
        <w:spacing w:after="0" w:line="360" w:lineRule="auto"/>
        <w:jc w:val="both"/>
        <w:rPr>
          <w:rFonts w:ascii="Book Antiqua" w:hAnsi="Book Antiqua"/>
          <w:b/>
          <w:bCs/>
          <w:i/>
          <w:iCs/>
          <w:sz w:val="24"/>
          <w:szCs w:val="24"/>
        </w:rPr>
      </w:pPr>
      <w:r w:rsidRPr="0086396D">
        <w:rPr>
          <w:rFonts w:ascii="Book Antiqua" w:hAnsi="Book Antiqua"/>
          <w:b/>
          <w:bCs/>
          <w:i/>
          <w:iCs/>
          <w:sz w:val="24"/>
          <w:szCs w:val="24"/>
        </w:rPr>
        <w:t>Innovations and breakthroughs</w:t>
      </w:r>
    </w:p>
    <w:p w14:paraId="26D7D1B3" w14:textId="09BAD32F" w:rsidR="00BB38ED" w:rsidRDefault="005128A8"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The novel finding of this study was the identification of some metabolites in urine and serum samples of UC patients at the time of clinical remission that were related to </w:t>
      </w:r>
      <w:r w:rsidRPr="0086396D">
        <w:rPr>
          <w:rFonts w:ascii="Book Antiqua" w:hAnsi="Book Antiqua"/>
          <w:sz w:val="24"/>
          <w:szCs w:val="24"/>
        </w:rPr>
        <w:lastRenderedPageBreak/>
        <w:t xml:space="preserve">development of disease clinical relapse within a 12-month follow-up. Assessment of dietary intake and anthropometric measurements along with metabolomic evaluations, enabled us investigate how lifestyle factors are related to UC relapse. </w:t>
      </w:r>
    </w:p>
    <w:p w14:paraId="4FED11BE" w14:textId="77777777" w:rsidR="004C59E8" w:rsidRPr="0086396D" w:rsidRDefault="004C59E8" w:rsidP="005C7D8E">
      <w:pPr>
        <w:adjustRightInd w:val="0"/>
        <w:snapToGrid w:val="0"/>
        <w:spacing w:after="0" w:line="360" w:lineRule="auto"/>
        <w:jc w:val="both"/>
        <w:rPr>
          <w:rFonts w:ascii="Book Antiqua" w:hAnsi="Book Antiqua"/>
          <w:sz w:val="24"/>
          <w:szCs w:val="24"/>
          <w:lang w:eastAsia="zh-CN"/>
        </w:rPr>
      </w:pPr>
    </w:p>
    <w:p w14:paraId="5F44604E" w14:textId="12148B81" w:rsidR="005128A8" w:rsidRPr="0086396D" w:rsidRDefault="005128A8" w:rsidP="005C7D8E">
      <w:pPr>
        <w:adjustRightInd w:val="0"/>
        <w:snapToGrid w:val="0"/>
        <w:spacing w:after="0" w:line="360" w:lineRule="auto"/>
        <w:jc w:val="both"/>
        <w:rPr>
          <w:rFonts w:ascii="Book Antiqua" w:hAnsi="Book Antiqua"/>
          <w:b/>
          <w:bCs/>
          <w:i/>
          <w:iCs/>
          <w:sz w:val="24"/>
          <w:szCs w:val="24"/>
        </w:rPr>
      </w:pPr>
      <w:r w:rsidRPr="0086396D">
        <w:rPr>
          <w:rFonts w:ascii="Book Antiqua" w:hAnsi="Book Antiqua"/>
          <w:b/>
          <w:bCs/>
          <w:i/>
          <w:iCs/>
          <w:sz w:val="24"/>
          <w:szCs w:val="24"/>
        </w:rPr>
        <w:t>Applications</w:t>
      </w:r>
    </w:p>
    <w:p w14:paraId="39387EF3" w14:textId="7FB2BAFB" w:rsidR="005128A8" w:rsidRDefault="004C59E8" w:rsidP="005C7D8E">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sidR="005128A8" w:rsidRPr="0086396D">
        <w:rPr>
          <w:rFonts w:ascii="Book Antiqua" w:hAnsi="Book Antiqua"/>
          <w:sz w:val="24"/>
          <w:szCs w:val="24"/>
        </w:rPr>
        <w:t xml:space="preserve"> have identified and quantified a number of metabolites in serum and urine samples that can be used as novel biomarkers for prediction of relapse in adult UC patients after being validated in future studies. </w:t>
      </w:r>
      <w:r w:rsidR="008D3476" w:rsidRPr="0086396D">
        <w:rPr>
          <w:rFonts w:ascii="Book Antiqua" w:hAnsi="Book Antiqua"/>
          <w:sz w:val="24"/>
          <w:szCs w:val="24"/>
        </w:rPr>
        <w:t xml:space="preserve">In addition, findings from this study confirms that patients’ dietary intake at the time of clinical remission is related to risk of experiencing UC relapse. Therefore, modifications of diet can be used as an adjunctive approach to prevent future disease relapse. </w:t>
      </w:r>
    </w:p>
    <w:p w14:paraId="5C914996" w14:textId="77777777" w:rsidR="005E1D36" w:rsidRPr="0086396D" w:rsidRDefault="005E1D36" w:rsidP="005C7D8E">
      <w:pPr>
        <w:adjustRightInd w:val="0"/>
        <w:snapToGrid w:val="0"/>
        <w:spacing w:after="0" w:line="360" w:lineRule="auto"/>
        <w:jc w:val="both"/>
        <w:rPr>
          <w:rFonts w:ascii="Book Antiqua" w:hAnsi="Book Antiqua"/>
          <w:sz w:val="24"/>
          <w:szCs w:val="24"/>
          <w:lang w:eastAsia="zh-CN"/>
        </w:rPr>
      </w:pPr>
    </w:p>
    <w:p w14:paraId="32FAF78B" w14:textId="21FC7B0E" w:rsidR="008D3476" w:rsidRPr="0086396D" w:rsidRDefault="008D3476" w:rsidP="005C7D8E">
      <w:pPr>
        <w:adjustRightInd w:val="0"/>
        <w:snapToGrid w:val="0"/>
        <w:spacing w:after="0" w:line="360" w:lineRule="auto"/>
        <w:jc w:val="both"/>
        <w:rPr>
          <w:rFonts w:ascii="Book Antiqua" w:hAnsi="Book Antiqua"/>
          <w:b/>
          <w:bCs/>
          <w:i/>
          <w:iCs/>
          <w:sz w:val="24"/>
          <w:szCs w:val="24"/>
        </w:rPr>
      </w:pPr>
      <w:r w:rsidRPr="0086396D">
        <w:rPr>
          <w:rFonts w:ascii="Book Antiqua" w:hAnsi="Book Antiqua"/>
          <w:b/>
          <w:bCs/>
          <w:i/>
          <w:iCs/>
          <w:sz w:val="24"/>
          <w:szCs w:val="24"/>
        </w:rPr>
        <w:t>Terminology</w:t>
      </w:r>
    </w:p>
    <w:p w14:paraId="6E099915" w14:textId="281A0A42" w:rsidR="008D3476" w:rsidRDefault="008D3476"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rPr>
        <w:t xml:space="preserve">Scientific terms that have been used in this manuscript have are familiar with most readers and have been described comprehensively in different section of the manuscript. </w:t>
      </w:r>
    </w:p>
    <w:p w14:paraId="4CC0D8C5" w14:textId="77777777" w:rsidR="005E1D36" w:rsidRPr="0086396D" w:rsidRDefault="005E1D36" w:rsidP="005C7D8E">
      <w:pPr>
        <w:adjustRightInd w:val="0"/>
        <w:snapToGrid w:val="0"/>
        <w:spacing w:after="0" w:line="360" w:lineRule="auto"/>
        <w:jc w:val="both"/>
        <w:rPr>
          <w:rFonts w:ascii="Book Antiqua" w:hAnsi="Book Antiqua"/>
          <w:sz w:val="24"/>
          <w:szCs w:val="24"/>
          <w:lang w:eastAsia="zh-CN"/>
        </w:rPr>
      </w:pPr>
    </w:p>
    <w:p w14:paraId="0A085B9D" w14:textId="0E0F475F" w:rsidR="008D3476" w:rsidRPr="0086396D" w:rsidRDefault="005E1D36" w:rsidP="005C7D8E">
      <w:pPr>
        <w:adjustRightInd w:val="0"/>
        <w:snapToGrid w:val="0"/>
        <w:spacing w:after="0" w:line="360" w:lineRule="auto"/>
        <w:jc w:val="both"/>
        <w:rPr>
          <w:rFonts w:ascii="Book Antiqua" w:hAnsi="Book Antiqua"/>
          <w:b/>
          <w:bCs/>
          <w:i/>
          <w:iCs/>
          <w:sz w:val="24"/>
          <w:szCs w:val="24"/>
        </w:rPr>
      </w:pPr>
      <w:r>
        <w:rPr>
          <w:rFonts w:ascii="Book Antiqua" w:hAnsi="Book Antiqua"/>
          <w:b/>
          <w:bCs/>
          <w:i/>
          <w:iCs/>
          <w:sz w:val="24"/>
          <w:szCs w:val="24"/>
        </w:rPr>
        <w:t>Peer-</w:t>
      </w:r>
      <w:r w:rsidR="008D3476" w:rsidRPr="0086396D">
        <w:rPr>
          <w:rFonts w:ascii="Book Antiqua" w:hAnsi="Book Antiqua"/>
          <w:b/>
          <w:bCs/>
          <w:i/>
          <w:iCs/>
          <w:sz w:val="24"/>
          <w:szCs w:val="24"/>
        </w:rPr>
        <w:t>review</w:t>
      </w:r>
    </w:p>
    <w:p w14:paraId="6171CC5E" w14:textId="730F45DB" w:rsidR="005E1D36" w:rsidRDefault="001F0549" w:rsidP="005C7D8E">
      <w:pPr>
        <w:adjustRightInd w:val="0"/>
        <w:snapToGrid w:val="0"/>
        <w:spacing w:after="0" w:line="360" w:lineRule="auto"/>
        <w:jc w:val="both"/>
        <w:rPr>
          <w:rFonts w:ascii="Book Antiqua" w:hAnsi="Book Antiqua"/>
          <w:i/>
          <w:sz w:val="24"/>
          <w:szCs w:val="24"/>
        </w:rPr>
      </w:pPr>
      <w:r w:rsidRPr="0086396D">
        <w:rPr>
          <w:rFonts w:ascii="Book Antiqua" w:hAnsi="Book Antiqua"/>
          <w:sz w:val="24"/>
          <w:szCs w:val="24"/>
        </w:rPr>
        <w:t>This is a prospective pilot study which assessed a number of factors able to predict relapse in UC patients followed during a 12-month period. The study is well conducted and the authors identified factors which have not been previously reported using urinary and serum metabolomics profiling. This pilot study deserves to be repeated in a larger cohort of patients.</w:t>
      </w:r>
      <w:r w:rsidR="00BA0C62" w:rsidRPr="00BA0C62">
        <w:rPr>
          <w:rFonts w:ascii="Book Antiqua" w:hAnsi="Book Antiqua"/>
          <w:i/>
          <w:sz w:val="24"/>
          <w:szCs w:val="24"/>
        </w:rPr>
        <w:t xml:space="preserve"> </w:t>
      </w:r>
      <w:r w:rsidR="005E1D36">
        <w:rPr>
          <w:rFonts w:ascii="Book Antiqua" w:hAnsi="Book Antiqua"/>
          <w:i/>
          <w:sz w:val="24"/>
          <w:szCs w:val="24"/>
        </w:rPr>
        <w:br w:type="page"/>
      </w:r>
    </w:p>
    <w:p w14:paraId="37956240" w14:textId="6F5870CC" w:rsidR="008B5695" w:rsidRDefault="003D0FE8" w:rsidP="005C7D8E">
      <w:pPr>
        <w:adjustRightInd w:val="0"/>
        <w:snapToGrid w:val="0"/>
        <w:spacing w:after="0" w:line="360" w:lineRule="auto"/>
        <w:jc w:val="both"/>
        <w:rPr>
          <w:rFonts w:ascii="Book Antiqua" w:hAnsi="Book Antiqua"/>
          <w:b/>
          <w:bCs/>
          <w:caps/>
          <w:sz w:val="24"/>
          <w:szCs w:val="24"/>
          <w:lang w:eastAsia="zh-CN"/>
        </w:rPr>
      </w:pPr>
      <w:r w:rsidRPr="0086396D">
        <w:rPr>
          <w:rFonts w:ascii="Book Antiqua" w:hAnsi="Book Antiqua"/>
          <w:b/>
          <w:bCs/>
          <w:caps/>
          <w:sz w:val="24"/>
          <w:szCs w:val="24"/>
        </w:rPr>
        <w:lastRenderedPageBreak/>
        <w:t>References</w:t>
      </w:r>
    </w:p>
    <w:p w14:paraId="6D5FBB2F"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Ford AC</w:t>
      </w:r>
      <w:r w:rsidRPr="00B14A7F">
        <w:rPr>
          <w:rFonts w:ascii="Book Antiqua" w:eastAsia="SimSun" w:hAnsi="Book Antiqua" w:cs="SimSun"/>
          <w:sz w:val="24"/>
          <w:szCs w:val="24"/>
          <w:lang w:eastAsia="zh-CN"/>
        </w:rPr>
        <w:t>, Moayyedi P, Hanauer SB. Ulcerative colitis.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BMJ</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346</w:t>
      </w:r>
      <w:r w:rsidRPr="00B14A7F">
        <w:rPr>
          <w:rFonts w:ascii="Book Antiqua" w:eastAsia="SimSun" w:hAnsi="Book Antiqua" w:cs="SimSun"/>
          <w:sz w:val="24"/>
          <w:szCs w:val="24"/>
          <w:lang w:eastAsia="zh-CN"/>
        </w:rPr>
        <w:t>: f432 [PMID: 23386404 DOI: 10.1136/bmj.f432]</w:t>
      </w:r>
    </w:p>
    <w:p w14:paraId="0C9CDF28"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Kaplan GG</w:t>
      </w:r>
      <w:r w:rsidRPr="00B14A7F">
        <w:rPr>
          <w:rFonts w:ascii="Book Antiqua" w:eastAsia="SimSun" w:hAnsi="Book Antiqua" w:cs="SimSun"/>
          <w:sz w:val="24"/>
          <w:szCs w:val="24"/>
          <w:lang w:eastAsia="zh-CN"/>
        </w:rPr>
        <w:t>. The global burden of IBD: from 2015 to 2025.</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Nat Rev Gastroenterol Hepatol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12</w:t>
      </w:r>
      <w:r w:rsidRPr="00B14A7F">
        <w:rPr>
          <w:rFonts w:ascii="Book Antiqua" w:eastAsia="SimSun" w:hAnsi="Book Antiqua" w:cs="SimSun"/>
          <w:sz w:val="24"/>
          <w:szCs w:val="24"/>
          <w:lang w:eastAsia="zh-CN"/>
        </w:rPr>
        <w:t>: 720-727 [PMID: 26323879 DOI: 10.1038/nrgastro.2015.150]</w:t>
      </w:r>
    </w:p>
    <w:p w14:paraId="7929B65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Rocchi A</w:t>
      </w:r>
      <w:r w:rsidRPr="00B14A7F">
        <w:rPr>
          <w:rFonts w:ascii="Book Antiqua" w:eastAsia="SimSun" w:hAnsi="Book Antiqua" w:cs="SimSun"/>
          <w:sz w:val="24"/>
          <w:szCs w:val="24"/>
          <w:lang w:eastAsia="zh-CN"/>
        </w:rPr>
        <w:t>, Benchimol EI, Bernstein CN, Bitton A, Feagan B, Panaccione R, Glasgow KW, Fernandes A, Ghosh S. Inflammatory bowel disease: a Canadian burden of illness review.</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Can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26</w:t>
      </w:r>
      <w:r w:rsidRPr="00B14A7F">
        <w:rPr>
          <w:rFonts w:ascii="Book Antiqua" w:eastAsia="SimSun" w:hAnsi="Book Antiqua" w:cs="SimSun"/>
          <w:sz w:val="24"/>
          <w:szCs w:val="24"/>
          <w:lang w:eastAsia="zh-CN"/>
        </w:rPr>
        <w:t>: 811-817 [PMID: 23166905 DOI: 10.1155/2012/984575]</w:t>
      </w:r>
    </w:p>
    <w:p w14:paraId="50459D12"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Abraham C</w:t>
      </w:r>
      <w:r w:rsidRPr="00B14A7F">
        <w:rPr>
          <w:rFonts w:ascii="Book Antiqua" w:eastAsia="SimSun" w:hAnsi="Book Antiqua" w:cs="SimSun"/>
          <w:sz w:val="24"/>
          <w:szCs w:val="24"/>
          <w:lang w:eastAsia="zh-CN"/>
        </w:rPr>
        <w:t>, Cho JH. Inflammatory bowel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N Engl J Med</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2009;</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361</w:t>
      </w:r>
      <w:r w:rsidRPr="00B14A7F">
        <w:rPr>
          <w:rFonts w:ascii="Book Antiqua" w:eastAsia="SimSun" w:hAnsi="Book Antiqua" w:cs="SimSun"/>
          <w:sz w:val="24"/>
          <w:szCs w:val="24"/>
          <w:lang w:eastAsia="zh-CN"/>
        </w:rPr>
        <w:t>: 2066-2078 [PMID: 19923578 DOI: 10.1056/nejmra0804647]</w:t>
      </w:r>
    </w:p>
    <w:p w14:paraId="19A7977B"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Casellas F</w:t>
      </w:r>
      <w:r w:rsidRPr="00B14A7F">
        <w:rPr>
          <w:rFonts w:ascii="Book Antiqua" w:eastAsia="SimSun" w:hAnsi="Book Antiqua" w:cs="SimSun"/>
          <w:sz w:val="24"/>
          <w:szCs w:val="24"/>
          <w:lang w:eastAsia="zh-CN"/>
        </w:rPr>
        <w:t>, Arenas JI, Baudet JS, Fábregas S, García N, Gelabert J, Medina C, Ochotorena I, Papo M, Rodrigo L, Malagelada JR. Impairment of health-related quality of life in patients with inflammatory bowel disease: a Spanish multicenter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Inflamm Bowel Dis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11</w:t>
      </w:r>
      <w:r w:rsidRPr="00B14A7F">
        <w:rPr>
          <w:rFonts w:ascii="Book Antiqua" w:eastAsia="SimSun" w:hAnsi="Book Antiqua" w:cs="SimSun"/>
          <w:sz w:val="24"/>
          <w:szCs w:val="24"/>
          <w:lang w:eastAsia="zh-CN"/>
        </w:rPr>
        <w:t>: 488-496 [PMID: 15867589 DOI: 10.1097/01.mib.0000159661.55028.56]</w:t>
      </w:r>
    </w:p>
    <w:p w14:paraId="4D6AF84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Eaden JA</w:t>
      </w:r>
      <w:r w:rsidRPr="00B14A7F">
        <w:rPr>
          <w:rFonts w:ascii="Book Antiqua" w:eastAsia="SimSun" w:hAnsi="Book Antiqua" w:cs="SimSun"/>
          <w:sz w:val="24"/>
          <w:szCs w:val="24"/>
          <w:lang w:eastAsia="zh-CN"/>
        </w:rPr>
        <w:t>, Abrams KR, Mayberry JF. The risk of colorectal cancer in ulcerative colitis: a meta-analysis.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Gut</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48</w:t>
      </w:r>
      <w:r w:rsidRPr="00B14A7F">
        <w:rPr>
          <w:rFonts w:ascii="Book Antiqua" w:eastAsia="SimSun" w:hAnsi="Book Antiqua" w:cs="SimSun"/>
          <w:sz w:val="24"/>
          <w:szCs w:val="24"/>
          <w:lang w:eastAsia="zh-CN"/>
        </w:rPr>
        <w:t>: 526-535 [PMID: 11247898 DOI: 10.1136/gut.48.4.526]</w:t>
      </w:r>
    </w:p>
    <w:p w14:paraId="1BC407F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Bitton A</w:t>
      </w:r>
      <w:r w:rsidRPr="00B14A7F">
        <w:rPr>
          <w:rFonts w:ascii="Book Antiqua" w:eastAsia="SimSun" w:hAnsi="Book Antiqua" w:cs="SimSun"/>
          <w:sz w:val="24"/>
          <w:szCs w:val="24"/>
          <w:lang w:eastAsia="zh-CN"/>
        </w:rPr>
        <w:t>, Peppercorn MA, Antonioli DA, Niles JL, Shah S, Bousvaros A, Ransil B, Wild G, Cohen A, Edwardes MD, Stevens AC. Clinical, biological, and histologic parameters as predictors of relapse in ulcerative colitis.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Gastroenterology</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120</w:t>
      </w:r>
      <w:r w:rsidRPr="00B14A7F">
        <w:rPr>
          <w:rFonts w:ascii="Book Antiqua" w:eastAsia="SimSun" w:hAnsi="Book Antiqua" w:cs="SimSun"/>
          <w:sz w:val="24"/>
          <w:szCs w:val="24"/>
          <w:lang w:eastAsia="zh-CN"/>
        </w:rPr>
        <w:t>: 13-20 [PMID: 11208709 DOI: 10.1053/gast.2001.20912]</w:t>
      </w:r>
    </w:p>
    <w:p w14:paraId="4A72B42C"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Bitton A</w:t>
      </w:r>
      <w:r w:rsidRPr="00B14A7F">
        <w:rPr>
          <w:rFonts w:ascii="Book Antiqua" w:eastAsia="SimSun" w:hAnsi="Book Antiqua" w:cs="SimSun"/>
          <w:sz w:val="24"/>
          <w:szCs w:val="24"/>
          <w:lang w:eastAsia="zh-CN"/>
        </w:rPr>
        <w:t>, Sewitch MJ, Peppercorn MA, deB Edwardes MD, Shah S, Ransil B, Locke SE. Psychosocial determinants of relapse in ulcerative colitis: a longitudinal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98</w:t>
      </w:r>
      <w:r w:rsidRPr="00B14A7F">
        <w:rPr>
          <w:rFonts w:ascii="Book Antiqua" w:eastAsia="SimSun" w:hAnsi="Book Antiqua" w:cs="SimSun"/>
          <w:sz w:val="24"/>
          <w:szCs w:val="24"/>
          <w:lang w:eastAsia="zh-CN"/>
        </w:rPr>
        <w:t>: 2203-2208 [PMID: 14572569 DOI: 10.1016/s0002-9270(03)00750-0]</w:t>
      </w:r>
    </w:p>
    <w:p w14:paraId="2D76D839"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9</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Theede K</w:t>
      </w:r>
      <w:r w:rsidRPr="00B14A7F">
        <w:rPr>
          <w:rFonts w:ascii="Book Antiqua" w:eastAsia="SimSun" w:hAnsi="Book Antiqua" w:cs="SimSun"/>
          <w:sz w:val="24"/>
          <w:szCs w:val="24"/>
          <w:lang w:eastAsia="zh-CN"/>
        </w:rPr>
        <w:t>, Holck S, Ibsen P, Kallemose T, Nordgaard-Lassen I, Nielsen AM. Fecal Calprotectin Predicts Relapse and Histological Mucosal Healing in Ulcerative Colitis.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Inflamm Bowel Dis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22</w:t>
      </w:r>
      <w:r w:rsidRPr="00B14A7F">
        <w:rPr>
          <w:rFonts w:ascii="Book Antiqua" w:eastAsia="SimSun" w:hAnsi="Book Antiqua" w:cs="SimSun"/>
          <w:sz w:val="24"/>
          <w:szCs w:val="24"/>
          <w:lang w:eastAsia="zh-CN"/>
        </w:rPr>
        <w:t>: 1042-1048 [PMID: 26919460 DOI: 10.1097/mib.0000000000000736]</w:t>
      </w:r>
    </w:p>
    <w:p w14:paraId="4351CD30"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10</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Hosseini SV</w:t>
      </w:r>
      <w:r w:rsidRPr="00B14A7F">
        <w:rPr>
          <w:rFonts w:ascii="Book Antiqua" w:eastAsia="SimSun" w:hAnsi="Book Antiqua" w:cs="SimSun"/>
          <w:sz w:val="24"/>
          <w:szCs w:val="24"/>
          <w:lang w:eastAsia="zh-CN"/>
        </w:rPr>
        <w:t>, Safarpour AR, Taghavi SA. Developing a novel risk-scoring system for predicting relapse in patients with ulcerative colitis: A prospective cohort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Pak J Med Sci</w:t>
      </w:r>
      <w:r w:rsidRPr="004D51AB">
        <w:rPr>
          <w:rFonts w:ascii="Book Antiqua" w:eastAsia="SimSun" w:hAnsi="Book Antiqua" w:cs="SimSun"/>
          <w:sz w:val="24"/>
          <w:szCs w:val="24"/>
          <w:lang w:eastAsia="zh-CN"/>
        </w:rPr>
        <w:t> 2015</w:t>
      </w:r>
      <w:r w:rsidRPr="00B14A7F">
        <w:rPr>
          <w:rFonts w:ascii="Book Antiqua" w:eastAsia="SimSun" w:hAnsi="Book Antiqua" w:cs="SimSun"/>
          <w:sz w:val="24"/>
          <w:szCs w:val="24"/>
          <w:lang w:eastAsia="zh-CN"/>
        </w:rPr>
        <w:t>;</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31</w:t>
      </w:r>
      <w:r w:rsidRPr="00B14A7F">
        <w:rPr>
          <w:rFonts w:ascii="Book Antiqua" w:eastAsia="SimSun" w:hAnsi="Book Antiqua" w:cs="SimSun"/>
          <w:sz w:val="24"/>
          <w:szCs w:val="24"/>
          <w:lang w:eastAsia="zh-CN"/>
        </w:rPr>
        <w:t>: 1511-1516 [PMID: 26870126 DOI: 10.12669/pjms.316.8811]</w:t>
      </w:r>
    </w:p>
    <w:p w14:paraId="3439730B"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4D51AB">
        <w:rPr>
          <w:rFonts w:ascii="Book Antiqua" w:hAnsi="Book Antiqua"/>
          <w:color w:val="000000"/>
          <w:sz w:val="24"/>
          <w:szCs w:val="24"/>
        </w:rPr>
        <w:t>1</w:t>
      </w:r>
      <w:r w:rsidRPr="004D51AB">
        <w:rPr>
          <w:rFonts w:ascii="Book Antiqua" w:hAnsi="Book Antiqua"/>
          <w:color w:val="000000"/>
          <w:sz w:val="24"/>
          <w:szCs w:val="24"/>
          <w:lang w:eastAsia="zh-CN"/>
        </w:rPr>
        <w:t>1</w:t>
      </w:r>
      <w:r w:rsidRPr="004D51AB">
        <w:rPr>
          <w:rStyle w:val="apple-converted-space"/>
          <w:rFonts w:ascii="Book Antiqua" w:hAnsi="Book Antiqua"/>
          <w:color w:val="000000"/>
          <w:sz w:val="24"/>
          <w:szCs w:val="24"/>
        </w:rPr>
        <w:t> </w:t>
      </w:r>
      <w:r w:rsidRPr="004D51AB">
        <w:rPr>
          <w:rFonts w:ascii="Book Antiqua" w:hAnsi="Book Antiqua"/>
          <w:b/>
          <w:bCs/>
          <w:color w:val="000000"/>
          <w:sz w:val="24"/>
          <w:szCs w:val="24"/>
        </w:rPr>
        <w:t>Liverani E</w:t>
      </w:r>
      <w:r w:rsidRPr="004D51AB">
        <w:rPr>
          <w:rFonts w:ascii="Book Antiqua" w:hAnsi="Book Antiqua"/>
          <w:color w:val="000000"/>
          <w:sz w:val="24"/>
          <w:szCs w:val="24"/>
        </w:rPr>
        <w:t>, Scaioli E, Digby RJ, Bellanova M, Belluzzi A. How to predict clinical relapse in inflammatory bowel disease patients.</w:t>
      </w:r>
      <w:r w:rsidRPr="004D51AB">
        <w:rPr>
          <w:rStyle w:val="apple-converted-space"/>
          <w:rFonts w:ascii="Book Antiqua" w:hAnsi="Book Antiqua"/>
          <w:color w:val="000000"/>
          <w:sz w:val="24"/>
          <w:szCs w:val="24"/>
        </w:rPr>
        <w:t> </w:t>
      </w:r>
      <w:r w:rsidRPr="004D51AB">
        <w:rPr>
          <w:rFonts w:ascii="Book Antiqua" w:hAnsi="Book Antiqua"/>
          <w:i/>
          <w:iCs/>
          <w:color w:val="000000"/>
          <w:sz w:val="24"/>
          <w:szCs w:val="24"/>
        </w:rPr>
        <w:t>World J Gastroenterol</w:t>
      </w:r>
      <w:r w:rsidRPr="004D51AB">
        <w:rPr>
          <w:rStyle w:val="apple-converted-space"/>
          <w:rFonts w:ascii="Book Antiqua" w:hAnsi="Book Antiqua"/>
          <w:color w:val="000000"/>
          <w:sz w:val="24"/>
          <w:szCs w:val="24"/>
        </w:rPr>
        <w:t> </w:t>
      </w:r>
      <w:r w:rsidRPr="004D51AB">
        <w:rPr>
          <w:rFonts w:ascii="Book Antiqua" w:hAnsi="Book Antiqua"/>
          <w:color w:val="000000"/>
          <w:sz w:val="24"/>
          <w:szCs w:val="24"/>
        </w:rPr>
        <w:t>2016;</w:t>
      </w:r>
      <w:r w:rsidRPr="004D51AB">
        <w:rPr>
          <w:rStyle w:val="apple-converted-space"/>
          <w:rFonts w:ascii="Book Antiqua" w:hAnsi="Book Antiqua"/>
          <w:color w:val="000000"/>
          <w:sz w:val="24"/>
          <w:szCs w:val="24"/>
        </w:rPr>
        <w:t> </w:t>
      </w:r>
      <w:r w:rsidRPr="004D51AB">
        <w:rPr>
          <w:rFonts w:ascii="Book Antiqua" w:hAnsi="Book Antiqua"/>
          <w:b/>
          <w:bCs/>
          <w:color w:val="000000"/>
          <w:sz w:val="24"/>
          <w:szCs w:val="24"/>
        </w:rPr>
        <w:t>22</w:t>
      </w:r>
      <w:r w:rsidRPr="004D51AB">
        <w:rPr>
          <w:rFonts w:ascii="Book Antiqua" w:hAnsi="Book Antiqua"/>
          <w:color w:val="000000"/>
          <w:sz w:val="24"/>
          <w:szCs w:val="24"/>
        </w:rPr>
        <w:t>: 1017-1033 [PMID: 26811644 DOI: 10.3748/wjg.v22.i3.1017]</w:t>
      </w:r>
    </w:p>
    <w:p w14:paraId="1AFF4736"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Vermeire S</w:t>
      </w:r>
      <w:r w:rsidRPr="00B14A7F">
        <w:rPr>
          <w:rFonts w:ascii="Book Antiqua" w:eastAsia="SimSun" w:hAnsi="Book Antiqua" w:cs="SimSun"/>
          <w:sz w:val="24"/>
          <w:szCs w:val="24"/>
          <w:lang w:eastAsia="zh-CN"/>
        </w:rPr>
        <w:t>, Van Assche G, Rutgeerts P. Laboratory markers in IBD: useful, magic, or unnecessary toys?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Gut</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55</w:t>
      </w:r>
      <w:r w:rsidRPr="00B14A7F">
        <w:rPr>
          <w:rFonts w:ascii="Book Antiqua" w:eastAsia="SimSun" w:hAnsi="Book Antiqua" w:cs="SimSun"/>
          <w:sz w:val="24"/>
          <w:szCs w:val="24"/>
          <w:lang w:eastAsia="zh-CN"/>
        </w:rPr>
        <w:t>: 426-431 [PMID: 16474109 DOI: 10.1136/gut.2005.069476]</w:t>
      </w:r>
    </w:p>
    <w:p w14:paraId="4E5BB0C4"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Jowett SL</w:t>
      </w:r>
      <w:r w:rsidRPr="00B14A7F">
        <w:rPr>
          <w:rFonts w:ascii="Book Antiqua" w:eastAsia="SimSun" w:hAnsi="Book Antiqua" w:cs="SimSun"/>
          <w:sz w:val="24"/>
          <w:szCs w:val="24"/>
          <w:lang w:eastAsia="zh-CN"/>
        </w:rPr>
        <w:t>, Seal CJ, Pearce MS, Phillips E, Gregory W, Barton JR, Welfare MR. Influence of dietary factors on the clinical course of ulcerative colitis: a prospective cohort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Gut</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53</w:t>
      </w:r>
      <w:r w:rsidRPr="00B14A7F">
        <w:rPr>
          <w:rFonts w:ascii="Book Antiqua" w:eastAsia="SimSun" w:hAnsi="Book Antiqua" w:cs="SimSun"/>
          <w:sz w:val="24"/>
          <w:szCs w:val="24"/>
          <w:lang w:eastAsia="zh-CN"/>
        </w:rPr>
        <w:t>: 1479-1484 [PMID: 15361498 DOI: 10.1136/gut.2003.024828]</w:t>
      </w:r>
    </w:p>
    <w:p w14:paraId="2E993A5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Idle JR</w:t>
      </w:r>
      <w:r w:rsidRPr="00B14A7F">
        <w:rPr>
          <w:rFonts w:ascii="Book Antiqua" w:eastAsia="SimSun" w:hAnsi="Book Antiqua" w:cs="SimSun"/>
          <w:sz w:val="24"/>
          <w:szCs w:val="24"/>
          <w:lang w:eastAsia="zh-CN"/>
        </w:rPr>
        <w:t>, Gonzalez FJ. Metabolomics.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Cell Metab</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6</w:t>
      </w:r>
      <w:r w:rsidRPr="00B14A7F">
        <w:rPr>
          <w:rFonts w:ascii="Book Antiqua" w:eastAsia="SimSun" w:hAnsi="Book Antiqua" w:cs="SimSun"/>
          <w:sz w:val="24"/>
          <w:szCs w:val="24"/>
          <w:lang w:eastAsia="zh-CN"/>
        </w:rPr>
        <w:t>: 348-351 [PMID: 17983580 DOI: 10.1016/j.cmet.2007.10.005]</w:t>
      </w:r>
    </w:p>
    <w:p w14:paraId="47605ECB"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De Preter V</w:t>
      </w:r>
      <w:r w:rsidRPr="00B14A7F">
        <w:rPr>
          <w:rFonts w:ascii="Book Antiqua" w:eastAsia="SimSun" w:hAnsi="Book Antiqua" w:cs="SimSun"/>
          <w:sz w:val="24"/>
          <w:szCs w:val="24"/>
          <w:lang w:eastAsia="zh-CN"/>
        </w:rPr>
        <w:t>, Verbeke K. Metabolomics as a diagnostic tool in gastroenterology.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World J Gastrointest Pharmacol Ther</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w:t>
      </w:r>
      <w:r w:rsidRPr="00B14A7F">
        <w:rPr>
          <w:rFonts w:ascii="Book Antiqua" w:eastAsia="SimSun" w:hAnsi="Book Antiqua" w:cs="SimSun"/>
          <w:sz w:val="24"/>
          <w:szCs w:val="24"/>
          <w:lang w:eastAsia="zh-CN"/>
        </w:rPr>
        <w:t>: 97-107 [PMID: 24199025 DOI: 10.1038/clpt.2013.166]</w:t>
      </w:r>
    </w:p>
    <w:p w14:paraId="57217241"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Bjerrum JT</w:t>
      </w:r>
      <w:r w:rsidRPr="00B14A7F">
        <w:rPr>
          <w:rFonts w:ascii="Book Antiqua" w:eastAsia="SimSun" w:hAnsi="Book Antiqua" w:cs="SimSun"/>
          <w:sz w:val="24"/>
          <w:szCs w:val="24"/>
          <w:lang w:eastAsia="zh-CN"/>
        </w:rPr>
        <w:t>, Wang Y, Hao F, Coskun M, Ludwig C, Günther U, Nielsen OH. Metabonomics of human fecal extracts characterize ulcerative colitis, Crohn's disease and healthy individuals.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Metabolomics</w:t>
      </w:r>
      <w:r w:rsidRPr="004D51AB">
        <w:rPr>
          <w:rFonts w:ascii="Book Antiqua" w:eastAsia="SimSun" w:hAnsi="Book Antiqua" w:cs="SimSun"/>
          <w:sz w:val="24"/>
          <w:szCs w:val="24"/>
          <w:lang w:eastAsia="zh-CN"/>
        </w:rPr>
        <w:t> 2015</w:t>
      </w:r>
      <w:r w:rsidRPr="00B14A7F">
        <w:rPr>
          <w:rFonts w:ascii="Book Antiqua" w:eastAsia="SimSun" w:hAnsi="Book Antiqua" w:cs="SimSun"/>
          <w:sz w:val="24"/>
          <w:szCs w:val="24"/>
          <w:lang w:eastAsia="zh-CN"/>
        </w:rPr>
        <w:t>;</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11</w:t>
      </w:r>
      <w:r w:rsidRPr="00B14A7F">
        <w:rPr>
          <w:rFonts w:ascii="Book Antiqua" w:eastAsia="SimSun" w:hAnsi="Book Antiqua" w:cs="SimSun"/>
          <w:sz w:val="24"/>
          <w:szCs w:val="24"/>
          <w:lang w:eastAsia="zh-CN"/>
        </w:rPr>
        <w:t>: 122-133 [PMID: 25598765 DOI: 10.1007/s11306-014-0677-3]</w:t>
      </w:r>
    </w:p>
    <w:p w14:paraId="3928FFA8"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17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De Vos M</w:t>
      </w:r>
      <w:r w:rsidRPr="00B14A7F">
        <w:rPr>
          <w:rFonts w:ascii="Book Antiqua" w:eastAsia="SimSun" w:hAnsi="Book Antiqua" w:cs="SimSun"/>
          <w:sz w:val="24"/>
          <w:szCs w:val="24"/>
          <w:lang w:eastAsia="zh-CN"/>
        </w:rPr>
        <w:t>, Louis EJ, Jahnsen J, Vandervoort JG, Noman M, Dewit O, D</w:t>
      </w:r>
      <w:r w:rsidRPr="00B14A7F">
        <w:rPr>
          <w:rFonts w:ascii="Times New Roman" w:eastAsia="SimSun" w:hAnsi="Times New Roman" w:cs="Times New Roman"/>
          <w:sz w:val="24"/>
          <w:szCs w:val="24"/>
          <w:lang w:eastAsia="zh-CN"/>
        </w:rPr>
        <w:t>ʼ</w:t>
      </w:r>
      <w:r w:rsidRPr="00B14A7F">
        <w:rPr>
          <w:rFonts w:ascii="Book Antiqua" w:eastAsia="SimSun" w:hAnsi="Book Antiqua" w:cs="SimSun"/>
          <w:sz w:val="24"/>
          <w:szCs w:val="24"/>
          <w:lang w:eastAsia="zh-CN"/>
        </w:rPr>
        <w:t>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Inflamm Bowel Dis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19</w:t>
      </w:r>
      <w:r w:rsidRPr="00B14A7F">
        <w:rPr>
          <w:rFonts w:ascii="Book Antiqua" w:eastAsia="SimSun" w:hAnsi="Book Antiqua" w:cs="SimSun"/>
          <w:sz w:val="24"/>
          <w:szCs w:val="24"/>
          <w:lang w:eastAsia="zh-CN"/>
        </w:rPr>
        <w:t>: 2111-2117 [PMID: 23883959 DOI: 10.1097/mib.0b013e31827e78be]</w:t>
      </w:r>
    </w:p>
    <w:p w14:paraId="74E493E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18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Subar AF</w:t>
      </w:r>
      <w:r w:rsidRPr="00B14A7F">
        <w:rPr>
          <w:rFonts w:ascii="Book Antiqua" w:eastAsia="SimSun" w:hAnsi="Book Antiqua" w:cs="SimSun"/>
          <w:sz w:val="24"/>
          <w:szCs w:val="24"/>
          <w:lang w:eastAsia="zh-CN"/>
        </w:rPr>
        <w:t>, Thompson FE, Kipnis V, Midthune D, Hurwitz P, McNutt S, McIntosh A, Rosenfeld S. Comparative validation of the Block, Willett, and National Cancer Institute food frequency questionnaires : the Eating at America's Table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Epidemiol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154</w:t>
      </w:r>
      <w:r w:rsidRPr="00B14A7F">
        <w:rPr>
          <w:rFonts w:ascii="Book Antiqua" w:eastAsia="SimSun" w:hAnsi="Book Antiqua" w:cs="SimSun"/>
          <w:sz w:val="24"/>
          <w:szCs w:val="24"/>
          <w:lang w:eastAsia="zh-CN"/>
        </w:rPr>
        <w:t>: 1089-1099 [PMID: 11744511 DOI: 10.1093/aje/154.12.1089]</w:t>
      </w:r>
    </w:p>
    <w:p w14:paraId="000B6795" w14:textId="6DC46AC5" w:rsidR="00C55EEF" w:rsidRPr="00B14A7F" w:rsidRDefault="00164BDD" w:rsidP="005C7D8E">
      <w:pPr>
        <w:adjustRightInd w:val="0"/>
        <w:snapToGrid w:val="0"/>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19 </w:t>
      </w:r>
      <w:r w:rsidR="00C55EEF" w:rsidRPr="00164BDD">
        <w:rPr>
          <w:rFonts w:ascii="Book Antiqua" w:eastAsia="SimSun" w:hAnsi="Book Antiqua" w:cs="SimSun"/>
          <w:b/>
          <w:sz w:val="24"/>
          <w:szCs w:val="24"/>
          <w:lang w:eastAsia="zh-CN"/>
        </w:rPr>
        <w:t>National Institutes of Health</w:t>
      </w:r>
      <w:r w:rsidR="00C55EEF" w:rsidRPr="00B14A7F">
        <w:rPr>
          <w:rFonts w:ascii="Book Antiqua" w:eastAsia="SimSun" w:hAnsi="Book Antiqua" w:cs="SimSun"/>
          <w:sz w:val="24"/>
          <w:szCs w:val="24"/>
          <w:lang w:eastAsia="zh-CN"/>
        </w:rPr>
        <w:t xml:space="preserve">, Epidemiology and Genomics Research Program, National Cancer Institute. Diet History Questionnaire II, Version 2.0. 2010. </w:t>
      </w:r>
      <w:r>
        <w:rPr>
          <w:rFonts w:ascii="Book Antiqua" w:eastAsia="SimSun" w:hAnsi="Book Antiqua" w:cs="SimSun" w:hint="eastAsia"/>
          <w:sz w:val="24"/>
          <w:szCs w:val="24"/>
          <w:lang w:eastAsia="zh-CN"/>
        </w:rPr>
        <w:t>Available from: URL:</w:t>
      </w:r>
      <w:hyperlink r:id="rId9" w:history="1">
        <w:r w:rsidRPr="00164BDD">
          <w:rPr>
            <w:rStyle w:val="Hyperlink"/>
            <w:rFonts w:ascii="Book Antiqua" w:eastAsia="SimSun" w:hAnsi="Book Antiqua" w:cs="SimSun" w:hint="eastAsia"/>
            <w:sz w:val="24"/>
            <w:szCs w:val="24"/>
            <w:lang w:eastAsia="zh-CN"/>
          </w:rPr>
          <w:t xml:space="preserve"> </w:t>
        </w:r>
        <w:r>
          <w:rPr>
            <w:rStyle w:val="Hyperlink"/>
            <w:rFonts w:ascii="Book Antiqua" w:eastAsia="SimSun" w:hAnsi="Book Antiqua" w:cs="SimSun"/>
            <w:sz w:val="24"/>
            <w:szCs w:val="24"/>
            <w:lang w:eastAsia="zh-CN"/>
          </w:rPr>
          <w:t>http:</w:t>
        </w:r>
        <w:r w:rsidR="00C55EEF" w:rsidRPr="00164BDD">
          <w:rPr>
            <w:rStyle w:val="Hyperlink"/>
            <w:rFonts w:ascii="Book Antiqua" w:eastAsia="SimSun" w:hAnsi="Book Antiqua" w:cs="SimSun"/>
            <w:sz w:val="24"/>
            <w:szCs w:val="24"/>
            <w:lang w:eastAsia="zh-CN"/>
          </w:rPr>
          <w:t>//www.epi.grants.cancer.gov/dhq2</w:t>
        </w:r>
      </w:hyperlink>
      <w:r>
        <w:rPr>
          <w:rFonts w:ascii="Book Antiqua" w:eastAsia="SimSun" w:hAnsi="Book Antiqua" w:cs="SimSun"/>
          <w:sz w:val="24"/>
          <w:szCs w:val="24"/>
          <w:lang w:eastAsia="zh-CN"/>
        </w:rPr>
        <w:t xml:space="preserve"> </w:t>
      </w:r>
      <w:r>
        <w:rPr>
          <w:rFonts w:ascii="Book Antiqua" w:eastAsia="SimSun" w:hAnsi="Book Antiqua" w:cs="SimSun" w:hint="eastAsia"/>
          <w:sz w:val="24"/>
          <w:szCs w:val="24"/>
          <w:lang w:eastAsia="zh-CN"/>
        </w:rPr>
        <w:t>(</w:t>
      </w:r>
      <w:r w:rsidR="00C55EEF" w:rsidRPr="00164BDD">
        <w:rPr>
          <w:rFonts w:ascii="Book Antiqua" w:eastAsia="SimSun" w:hAnsi="Book Antiqua" w:cs="SimSun"/>
          <w:caps/>
          <w:sz w:val="24"/>
          <w:szCs w:val="24"/>
          <w:lang w:eastAsia="zh-CN"/>
        </w:rPr>
        <w:t>a</w:t>
      </w:r>
      <w:r w:rsidR="00C55EEF" w:rsidRPr="00B14A7F">
        <w:rPr>
          <w:rFonts w:ascii="Book Antiqua" w:eastAsia="SimSun" w:hAnsi="Book Antiqua" w:cs="SimSun"/>
          <w:sz w:val="24"/>
          <w:szCs w:val="24"/>
          <w:lang w:eastAsia="zh-CN"/>
        </w:rPr>
        <w:t>ccessed April 2017)</w:t>
      </w:r>
    </w:p>
    <w:p w14:paraId="50915E13"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20</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Bouatra S</w:t>
      </w:r>
      <w:r w:rsidRPr="00B14A7F">
        <w:rPr>
          <w:rFonts w:ascii="Book Antiqua" w:eastAsia="SimSun" w:hAnsi="Book Antiqua" w:cs="SimSun"/>
          <w:sz w:val="24"/>
          <w:szCs w:val="24"/>
          <w:lang w:eastAsia="zh-CN"/>
        </w:rPr>
        <w:t>, Aziat F, Mandal R, Guo AC, Wilson MR, Knox C, Bjorndahl TC, Krishnamurthy R, Saleem F, Liu P, Dame ZT, Poelzer J, Huynh J, Yallou FS, Psychogios N, Dong E, Bogumil R, Roehring C, Wishart DS. The human urine metabolome.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PLoS One</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8</w:t>
      </w:r>
      <w:r w:rsidRPr="00B14A7F">
        <w:rPr>
          <w:rFonts w:ascii="Book Antiqua" w:eastAsia="SimSun" w:hAnsi="Book Antiqua" w:cs="SimSun"/>
          <w:sz w:val="24"/>
          <w:szCs w:val="24"/>
          <w:lang w:eastAsia="zh-CN"/>
        </w:rPr>
        <w:t>: e73076 [PMID: 24023812 DOI: 10.1371/journal.pone.0073076]</w:t>
      </w:r>
    </w:p>
    <w:p w14:paraId="73D2D96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Costa F</w:t>
      </w:r>
      <w:r w:rsidRPr="00B14A7F">
        <w:rPr>
          <w:rFonts w:ascii="Book Antiqua" w:eastAsia="SimSun" w:hAnsi="Book Antiqua" w:cs="SimSun"/>
          <w:sz w:val="24"/>
          <w:szCs w:val="24"/>
          <w:lang w:eastAsia="zh-CN"/>
        </w:rPr>
        <w:t>, Mumolo MG, Ceccarelli L, Bellini M, Romano MR, Sterpi C, Ricchiuti A, Marchi S, Bottai M. Calprotectin is a stronger predictive marker of relapse in ulcerative colitis than in Crohn's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Gut</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54</w:t>
      </w:r>
      <w:r w:rsidRPr="00B14A7F">
        <w:rPr>
          <w:rFonts w:ascii="Book Antiqua" w:eastAsia="SimSun" w:hAnsi="Book Antiqua" w:cs="SimSun"/>
          <w:sz w:val="24"/>
          <w:szCs w:val="24"/>
          <w:lang w:eastAsia="zh-CN"/>
        </w:rPr>
        <w:t>: 364-368 [PMID: 15710984 DOI: 10.1136/gut.2004.043406]</w:t>
      </w:r>
    </w:p>
    <w:p w14:paraId="7AEBAF2A"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Xia J</w:t>
      </w:r>
      <w:r w:rsidRPr="00B14A7F">
        <w:rPr>
          <w:rFonts w:ascii="Book Antiqua" w:eastAsia="SimSun" w:hAnsi="Book Antiqua" w:cs="SimSun"/>
          <w:sz w:val="24"/>
          <w:szCs w:val="24"/>
          <w:lang w:eastAsia="zh-CN"/>
        </w:rPr>
        <w:t>, Sinelnikov IV, Han B, Wishart DS. MetaboAnalyst 3.0--making metabolomics more meaningful.</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Nucleic Acids Res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43</w:t>
      </w:r>
      <w:r w:rsidRPr="00B14A7F">
        <w:rPr>
          <w:rFonts w:ascii="Book Antiqua" w:eastAsia="SimSun" w:hAnsi="Book Antiqua" w:cs="SimSun"/>
          <w:sz w:val="24"/>
          <w:szCs w:val="24"/>
          <w:lang w:eastAsia="zh-CN"/>
        </w:rPr>
        <w:t>: W251-W257 [PMID: 25897128 DOI: 10.1093/nar/gkv380]</w:t>
      </w:r>
    </w:p>
    <w:p w14:paraId="3EABE19C"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Hisamatsu T</w:t>
      </w:r>
      <w:r w:rsidRPr="00B14A7F">
        <w:rPr>
          <w:rFonts w:ascii="Book Antiqua" w:eastAsia="SimSun" w:hAnsi="Book Antiqua" w:cs="SimSun"/>
          <w:sz w:val="24"/>
          <w:szCs w:val="24"/>
          <w:lang w:eastAsia="zh-CN"/>
        </w:rPr>
        <w:t>, Ono N, Imaizumi A, Mori M, Suzuki H, Uo M, Hashimoto M, Naganuma M, Matsuoka K, Mizuno S, Kitazume MT, Yajima T, Ogata H, Iwao Y, Hibi T, Kanai T. Decreased Plasma Histidine Level Predicts Risk of Relapse in Patients with Ulcerative Colitis in Remission.</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PLoS One</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w:t>
      </w:r>
      <w:r w:rsidRPr="00B14A7F">
        <w:rPr>
          <w:rFonts w:ascii="Book Antiqua" w:eastAsia="SimSun" w:hAnsi="Book Antiqua" w:cs="SimSun"/>
          <w:sz w:val="24"/>
          <w:szCs w:val="24"/>
          <w:lang w:eastAsia="zh-CN"/>
        </w:rPr>
        <w:t>: e0140716 [PMID: 26474176 DOI: 10.1371/journal.pone.0140716]</w:t>
      </w:r>
    </w:p>
    <w:p w14:paraId="62FAE12E"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Stephens NS</w:t>
      </w:r>
      <w:r w:rsidRPr="00B14A7F">
        <w:rPr>
          <w:rFonts w:ascii="Book Antiqua" w:eastAsia="SimSun" w:hAnsi="Book Antiqua" w:cs="SimSun"/>
          <w:sz w:val="24"/>
          <w:szCs w:val="24"/>
          <w:lang w:eastAsia="zh-CN"/>
        </w:rPr>
        <w:t>, Siffledeen J, Su X, Murdoch TB, Fedorak RN, Slupsky CM. Urinary NMR metabolomic profiles discriminate inflammatory bowel disease from healthy.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J Crohns Colitis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7</w:t>
      </w:r>
      <w:r w:rsidRPr="00B14A7F">
        <w:rPr>
          <w:rFonts w:ascii="Book Antiqua" w:eastAsia="SimSun" w:hAnsi="Book Antiqua" w:cs="SimSun"/>
          <w:sz w:val="24"/>
          <w:szCs w:val="24"/>
          <w:lang w:eastAsia="zh-CN"/>
        </w:rPr>
        <w:t>: e42-e48 [PMID: 22626506 DOI: 10.1016/j.crohns.2012.04.019]</w:t>
      </w:r>
    </w:p>
    <w:p w14:paraId="4D9D94CD"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Zhang Y</w:t>
      </w:r>
      <w:r w:rsidRPr="00B14A7F">
        <w:rPr>
          <w:rFonts w:ascii="Book Antiqua" w:eastAsia="SimSun" w:hAnsi="Book Antiqua" w:cs="SimSun"/>
          <w:sz w:val="24"/>
          <w:szCs w:val="24"/>
          <w:lang w:eastAsia="zh-CN"/>
        </w:rPr>
        <w:t>, Lin L, Xu Y, Lin Y, Jin Y, Zheng C. 1H NMR-based spectroscopy detects metabolic alterations in serum of patients with early-stage ulcerative colitis.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Biochem Biophys Res Commun</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433</w:t>
      </w:r>
      <w:r w:rsidRPr="00B14A7F">
        <w:rPr>
          <w:rFonts w:ascii="Book Antiqua" w:eastAsia="SimSun" w:hAnsi="Book Antiqua" w:cs="SimSun"/>
          <w:sz w:val="24"/>
          <w:szCs w:val="24"/>
          <w:lang w:eastAsia="zh-CN"/>
        </w:rPr>
        <w:t>: 547-551 [PMID: 23510994 DOI: 10.1016/j.bbrc.2013.03.012]</w:t>
      </w:r>
    </w:p>
    <w:p w14:paraId="31625650"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26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Dawiskiba T</w:t>
      </w:r>
      <w:r w:rsidRPr="00B14A7F">
        <w:rPr>
          <w:rFonts w:ascii="Book Antiqua" w:eastAsia="SimSun" w:hAnsi="Book Antiqua" w:cs="SimSun"/>
          <w:sz w:val="24"/>
          <w:szCs w:val="24"/>
          <w:lang w:eastAsia="zh-CN"/>
        </w:rPr>
        <w:t>, Deja S, Mulak A, Z</w:t>
      </w:r>
      <w:r w:rsidRPr="00B14A7F">
        <w:rPr>
          <w:rFonts w:ascii="Book Antiqua" w:eastAsia="MS Mincho" w:hAnsi="Book Antiqua" w:cs="MS Mincho"/>
          <w:sz w:val="24"/>
          <w:szCs w:val="24"/>
          <w:lang w:eastAsia="zh-CN"/>
        </w:rPr>
        <w:t>ą</w:t>
      </w:r>
      <w:r w:rsidRPr="00B14A7F">
        <w:rPr>
          <w:rFonts w:ascii="Book Antiqua" w:eastAsia="SimSun" w:hAnsi="Book Antiqua" w:cs="SimSun"/>
          <w:sz w:val="24"/>
          <w:szCs w:val="24"/>
          <w:lang w:eastAsia="zh-CN"/>
        </w:rPr>
        <w:t>bek A, Jawień E, Pawe</w:t>
      </w:r>
      <w:r w:rsidRPr="00B14A7F">
        <w:rPr>
          <w:rFonts w:ascii="Book Antiqua" w:eastAsia="MS Mincho" w:hAnsi="Book Antiqua" w:cs="MS Mincho"/>
          <w:sz w:val="24"/>
          <w:szCs w:val="24"/>
          <w:lang w:eastAsia="zh-CN"/>
        </w:rPr>
        <w:t>ł</w:t>
      </w:r>
      <w:r w:rsidRPr="00B14A7F">
        <w:rPr>
          <w:rFonts w:ascii="Book Antiqua" w:eastAsia="SimSun" w:hAnsi="Book Antiqua" w:cs="SimSun"/>
          <w:sz w:val="24"/>
          <w:szCs w:val="24"/>
          <w:lang w:eastAsia="zh-CN"/>
        </w:rPr>
        <w:t>ka D, Banasik M, Mastalerz-Migas A, Balcerzak W, Kaliszewski K, Skóra J, Bar</w:t>
      </w:r>
      <w:r w:rsidRPr="00B14A7F">
        <w:rPr>
          <w:rFonts w:ascii="Book Antiqua" w:eastAsia="MS Mincho" w:hAnsi="Book Antiqua" w:cs="MS Mincho"/>
          <w:sz w:val="24"/>
          <w:szCs w:val="24"/>
          <w:lang w:eastAsia="zh-CN"/>
        </w:rPr>
        <w:t>ć</w:t>
      </w:r>
      <w:r w:rsidRPr="00B14A7F">
        <w:rPr>
          <w:rFonts w:ascii="Book Antiqua" w:eastAsia="SimSun" w:hAnsi="Book Antiqua" w:cs="SimSun"/>
          <w:sz w:val="24"/>
          <w:szCs w:val="24"/>
          <w:lang w:eastAsia="zh-CN"/>
        </w:rPr>
        <w:t xml:space="preserve"> P, Korta K, Pormańczuk K, Szyber P, Litarski A, M</w:t>
      </w:r>
      <w:r w:rsidRPr="00B14A7F">
        <w:rPr>
          <w:rFonts w:ascii="Book Antiqua" w:eastAsia="MS Mincho" w:hAnsi="Book Antiqua" w:cs="MS Mincho"/>
          <w:sz w:val="24"/>
          <w:szCs w:val="24"/>
          <w:lang w:eastAsia="zh-CN"/>
        </w:rPr>
        <w:t>ł</w:t>
      </w:r>
      <w:r w:rsidRPr="00B14A7F">
        <w:rPr>
          <w:rFonts w:ascii="Book Antiqua" w:eastAsia="SimSun" w:hAnsi="Book Antiqua" w:cs="SimSun"/>
          <w:sz w:val="24"/>
          <w:szCs w:val="24"/>
          <w:lang w:eastAsia="zh-CN"/>
        </w:rPr>
        <w:t>ynarz P. Serum and urine metabolomic fingerprinting in diagnostics of inflammatory bowel diseases.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World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20</w:t>
      </w:r>
      <w:r w:rsidRPr="00B14A7F">
        <w:rPr>
          <w:rFonts w:ascii="Book Antiqua" w:eastAsia="SimSun" w:hAnsi="Book Antiqua" w:cs="SimSun"/>
          <w:sz w:val="24"/>
          <w:szCs w:val="24"/>
          <w:lang w:eastAsia="zh-CN"/>
        </w:rPr>
        <w:t>: 163-174 [PMID: 24415869 DOI: 10.3748/wjg.v20.i1.163]</w:t>
      </w:r>
    </w:p>
    <w:p w14:paraId="24960CBD"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Schicho R</w:t>
      </w:r>
      <w:r w:rsidRPr="00B14A7F">
        <w:rPr>
          <w:rFonts w:ascii="Book Antiqua" w:eastAsia="SimSun" w:hAnsi="Book Antiqua" w:cs="SimSun"/>
          <w:sz w:val="24"/>
          <w:szCs w:val="24"/>
          <w:lang w:eastAsia="zh-CN"/>
        </w:rPr>
        <w:t>, Nazyrova A, Shaykhutdinov R, Duggan G, Vogel HJ, Storr M. Quantitative metabolomic profiling of serum and urine in DSS-induced ulcerative colitis of mice by (1)H NMR spectroscopy.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J Proteome Res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2010;</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9</w:t>
      </w:r>
      <w:r w:rsidRPr="00B14A7F">
        <w:rPr>
          <w:rFonts w:ascii="Book Antiqua" w:eastAsia="SimSun" w:hAnsi="Book Antiqua" w:cs="SimSun"/>
          <w:sz w:val="24"/>
          <w:szCs w:val="24"/>
          <w:lang w:eastAsia="zh-CN"/>
        </w:rPr>
        <w:t>: 6265-6273 [PMID: 20886908 DOI: 10.1021/pr100547y]</w:t>
      </w:r>
    </w:p>
    <w:p w14:paraId="2B7361B0"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Sido B</w:t>
      </w:r>
      <w:r w:rsidRPr="00B14A7F">
        <w:rPr>
          <w:rFonts w:ascii="Book Antiqua" w:eastAsia="SimSun" w:hAnsi="Book Antiqua" w:cs="SimSun"/>
          <w:sz w:val="24"/>
          <w:szCs w:val="24"/>
          <w:lang w:eastAsia="zh-CN"/>
        </w:rPr>
        <w:t>, Hack V, Hochlehnert A, Lipps H, Herfarth C, Dröge W. Impairment of intestinal glutathione synthesis in patients with inflammatory bowel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Gut</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1998;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42</w:t>
      </w:r>
      <w:r w:rsidRPr="00B14A7F">
        <w:rPr>
          <w:rFonts w:ascii="Book Antiqua" w:eastAsia="SimSun" w:hAnsi="Book Antiqua" w:cs="SimSun"/>
          <w:sz w:val="24"/>
          <w:szCs w:val="24"/>
          <w:lang w:eastAsia="zh-CN"/>
        </w:rPr>
        <w:t>: 485-492 [PMID: 9616308 DOI: 10.1136/gut.42.4.485]</w:t>
      </w:r>
    </w:p>
    <w:p w14:paraId="04776B2B"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29</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Jawed H</w:t>
      </w:r>
      <w:r w:rsidRPr="00B14A7F">
        <w:rPr>
          <w:rFonts w:ascii="Book Antiqua" w:eastAsia="SimSun" w:hAnsi="Book Antiqua" w:cs="SimSun"/>
          <w:sz w:val="24"/>
          <w:szCs w:val="24"/>
          <w:lang w:eastAsia="zh-CN"/>
        </w:rPr>
        <w:t>, Shah SU, Jamall S, Simjee SU. N-(2-hydroxy phenyl) acetamide inhibits inflammation-related cytokines and ROS in adjuvant-induced arthritic (AIA) rats.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Int Immunopharmacol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2010;</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w:t>
      </w:r>
      <w:r w:rsidRPr="00B14A7F">
        <w:rPr>
          <w:rFonts w:ascii="Book Antiqua" w:eastAsia="SimSun" w:hAnsi="Book Antiqua" w:cs="SimSun"/>
          <w:sz w:val="24"/>
          <w:szCs w:val="24"/>
          <w:lang w:eastAsia="zh-CN"/>
        </w:rPr>
        <w:t>: 900-905 [PMID: 20452462 DOI: 10.1016/j.intimp.2010.04.028]</w:t>
      </w:r>
    </w:p>
    <w:p w14:paraId="7456F602"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30</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Muri EM</w:t>
      </w:r>
      <w:r w:rsidRPr="00B14A7F">
        <w:rPr>
          <w:rFonts w:ascii="Book Antiqua" w:eastAsia="SimSun" w:hAnsi="Book Antiqua" w:cs="SimSun"/>
          <w:sz w:val="24"/>
          <w:szCs w:val="24"/>
          <w:lang w:eastAsia="zh-CN"/>
        </w:rPr>
        <w:t>, Williamson JS. Anti-Helicobacter pylori agents. An update.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Mini Rev Med Chem</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4</w:t>
      </w:r>
      <w:r w:rsidRPr="00B14A7F">
        <w:rPr>
          <w:rFonts w:ascii="Book Antiqua" w:eastAsia="SimSun" w:hAnsi="Book Antiqua" w:cs="SimSun"/>
          <w:sz w:val="24"/>
          <w:szCs w:val="24"/>
          <w:lang w:eastAsia="zh-CN"/>
        </w:rPr>
        <w:t>: 201-206 [PMID: 14965292 DOI: 10.2174/1389557043487475]</w:t>
      </w:r>
    </w:p>
    <w:p w14:paraId="47289D11" w14:textId="325ABC4E" w:rsidR="00C55EEF" w:rsidRPr="00B14A7F" w:rsidRDefault="005C7D8E" w:rsidP="005C7D8E">
      <w:pPr>
        <w:adjustRightInd w:val="0"/>
        <w:snapToGrid w:val="0"/>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31 </w:t>
      </w:r>
      <w:r w:rsidR="00C55EEF" w:rsidRPr="005C7D8E">
        <w:rPr>
          <w:rFonts w:ascii="Book Antiqua" w:eastAsia="SimSun" w:hAnsi="Book Antiqua" w:cs="SimSun"/>
          <w:b/>
          <w:sz w:val="24"/>
          <w:szCs w:val="24"/>
          <w:lang w:eastAsia="zh-CN"/>
        </w:rPr>
        <w:t>Liu G</w:t>
      </w:r>
      <w:r w:rsidR="00C55EEF" w:rsidRPr="00B14A7F">
        <w:rPr>
          <w:rFonts w:ascii="Book Antiqua" w:eastAsia="SimSun" w:hAnsi="Book Antiqua" w:cs="SimSun"/>
          <w:sz w:val="24"/>
          <w:szCs w:val="24"/>
          <w:lang w:eastAsia="zh-CN"/>
        </w:rPr>
        <w:t xml:space="preserve">, Yang G, Fang T, Cai Y, Wu C, Wang J, Huang Z, Chen X. NMR-based metabolomic studies reveal changes in biochemical profile of urine and plasma from rats fed with sweet potato fiber or sweet potato residue. </w:t>
      </w:r>
      <w:r w:rsidR="00C55EEF" w:rsidRPr="005C7D8E">
        <w:rPr>
          <w:rFonts w:ascii="Book Antiqua" w:eastAsia="SimSun" w:hAnsi="Book Antiqua" w:cs="SimSun"/>
          <w:b/>
          <w:i/>
          <w:sz w:val="24"/>
          <w:szCs w:val="24"/>
          <w:lang w:eastAsia="zh-CN"/>
        </w:rPr>
        <w:t xml:space="preserve">RSC </w:t>
      </w:r>
      <w:r w:rsidR="00C55EEF" w:rsidRPr="005C7D8E">
        <w:rPr>
          <w:rFonts w:ascii="Book Antiqua" w:eastAsia="SimSun" w:hAnsi="Book Antiqua" w:cs="SimSun"/>
          <w:b/>
          <w:i/>
          <w:caps/>
          <w:sz w:val="24"/>
          <w:szCs w:val="24"/>
          <w:lang w:eastAsia="zh-CN"/>
        </w:rPr>
        <w:t>a</w:t>
      </w:r>
      <w:r w:rsidR="00C55EEF" w:rsidRPr="005C7D8E">
        <w:rPr>
          <w:rFonts w:ascii="Book Antiqua" w:eastAsia="SimSun" w:hAnsi="Book Antiqua" w:cs="SimSun"/>
          <w:b/>
          <w:i/>
          <w:sz w:val="24"/>
          <w:szCs w:val="24"/>
          <w:lang w:eastAsia="zh-CN"/>
        </w:rPr>
        <w:t>dvances</w:t>
      </w:r>
      <w:r w:rsidR="00C55EEF" w:rsidRPr="00B14A7F">
        <w:rPr>
          <w:rFonts w:ascii="Book Antiqua" w:eastAsia="SimSun" w:hAnsi="Book Antiqua" w:cs="SimSun"/>
          <w:sz w:val="24"/>
          <w:szCs w:val="24"/>
          <w:lang w:eastAsia="zh-CN"/>
        </w:rPr>
        <w:t xml:space="preserve"> 2014; 4: 23749-</w:t>
      </w:r>
      <w:r>
        <w:rPr>
          <w:rFonts w:ascii="Book Antiqua" w:eastAsia="SimSun" w:hAnsi="Book Antiqua" w:cs="SimSun" w:hint="eastAsia"/>
          <w:sz w:val="24"/>
          <w:szCs w:val="24"/>
          <w:lang w:eastAsia="zh-CN"/>
        </w:rPr>
        <w:t>237</w:t>
      </w:r>
      <w:r>
        <w:rPr>
          <w:rFonts w:ascii="Book Antiqua" w:eastAsia="SimSun" w:hAnsi="Book Antiqua" w:cs="SimSun"/>
          <w:sz w:val="24"/>
          <w:szCs w:val="24"/>
          <w:lang w:eastAsia="zh-CN"/>
        </w:rPr>
        <w:t>58</w:t>
      </w:r>
      <w:r>
        <w:rPr>
          <w:rFonts w:ascii="Book Antiqua" w:eastAsia="SimSun" w:hAnsi="Book Antiqua" w:cs="SimSun" w:hint="eastAsia"/>
          <w:sz w:val="24"/>
          <w:szCs w:val="24"/>
          <w:lang w:eastAsia="zh-CN"/>
        </w:rPr>
        <w:t xml:space="preserve"> </w:t>
      </w:r>
      <w:r w:rsidR="00C55EEF" w:rsidRPr="00B14A7F">
        <w:rPr>
          <w:rFonts w:ascii="Book Antiqua" w:eastAsia="SimSun" w:hAnsi="Book Antiqua" w:cs="SimSun"/>
          <w:sz w:val="24"/>
          <w:szCs w:val="24"/>
          <w:lang w:eastAsia="zh-CN"/>
        </w:rPr>
        <w:t>[DOI: 10.1039/c4ra02421d]</w:t>
      </w:r>
    </w:p>
    <w:p w14:paraId="7C1E760E"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Liu G</w:t>
      </w:r>
      <w:r w:rsidRPr="00B14A7F">
        <w:rPr>
          <w:rFonts w:ascii="Book Antiqua" w:eastAsia="SimSun" w:hAnsi="Book Antiqua" w:cs="SimSun"/>
          <w:sz w:val="24"/>
          <w:szCs w:val="24"/>
          <w:lang w:eastAsia="zh-CN"/>
        </w:rPr>
        <w:t>, Xiao L, Fang T, Cai Y, Jia G, Zhao H, Wang J, Chen X, Wu C. Pea fiber and wheat bran fiber show distinct metabolic profiles in rats as investigated by a 1H NMR-based metabolomic approach.</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PLoS One</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9</w:t>
      </w:r>
      <w:r w:rsidRPr="00B14A7F">
        <w:rPr>
          <w:rFonts w:ascii="Book Antiqua" w:eastAsia="SimSun" w:hAnsi="Book Antiqua" w:cs="SimSun"/>
          <w:sz w:val="24"/>
          <w:szCs w:val="24"/>
          <w:lang w:eastAsia="zh-CN"/>
        </w:rPr>
        <w:t>: e115561 [PMID: 25541729 DOI: 10.1371/journal.pone.0119117]</w:t>
      </w:r>
    </w:p>
    <w:p w14:paraId="37A3F1F8"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Sipponen T</w:t>
      </w:r>
      <w:r w:rsidRPr="00B14A7F">
        <w:rPr>
          <w:rFonts w:ascii="Book Antiqua" w:eastAsia="SimSun" w:hAnsi="Book Antiqua" w:cs="SimSun"/>
          <w:sz w:val="24"/>
          <w:szCs w:val="24"/>
          <w:lang w:eastAsia="zh-CN"/>
        </w:rPr>
        <w:t>, Kolho KL. Fecal calprotectin in diagnosis and clinical assessment of inflammatory bowel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Scand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50</w:t>
      </w:r>
      <w:r w:rsidRPr="00B14A7F">
        <w:rPr>
          <w:rFonts w:ascii="Book Antiqua" w:eastAsia="SimSun" w:hAnsi="Book Antiqua" w:cs="SimSun"/>
          <w:sz w:val="24"/>
          <w:szCs w:val="24"/>
          <w:lang w:eastAsia="zh-CN"/>
        </w:rPr>
        <w:t>: 74-80 [PMID: 25523558 DOI: 10.3109/00365521.2014.987809]</w:t>
      </w:r>
    </w:p>
    <w:p w14:paraId="27868CBD"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34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Greenfield JR</w:t>
      </w:r>
      <w:r w:rsidRPr="00B14A7F">
        <w:rPr>
          <w:rFonts w:ascii="Book Antiqua" w:eastAsia="SimSun" w:hAnsi="Book Antiqua" w:cs="SimSun"/>
          <w:sz w:val="24"/>
          <w:szCs w:val="24"/>
          <w:lang w:eastAsia="zh-CN"/>
        </w:rPr>
        <w:t>, Samaras K, Jenkins AB, Kelly PJ, Spector TD, Gallimore JR, Pepys MB, Campbell LV. Obesity is an important determinant of baseline serum C-reactive protein concentration in monozygotic twins, independent of genetic influences.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Circulation</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109</w:t>
      </w:r>
      <w:r w:rsidRPr="00B14A7F">
        <w:rPr>
          <w:rFonts w:ascii="Book Antiqua" w:eastAsia="SimSun" w:hAnsi="Book Antiqua" w:cs="SimSun"/>
          <w:sz w:val="24"/>
          <w:szCs w:val="24"/>
          <w:lang w:eastAsia="zh-CN"/>
        </w:rPr>
        <w:t>: 3022-3028 [PMID: 15184288 DOI: 10.1161/01.cir.0000130640.77501.79]</w:t>
      </w:r>
    </w:p>
    <w:p w14:paraId="6FD1F9BC"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Gummesson A</w:t>
      </w:r>
      <w:r w:rsidRPr="00B14A7F">
        <w:rPr>
          <w:rFonts w:ascii="Book Antiqua" w:eastAsia="SimSun" w:hAnsi="Book Antiqua" w:cs="SimSun"/>
          <w:sz w:val="24"/>
          <w:szCs w:val="24"/>
          <w:lang w:eastAsia="zh-CN"/>
        </w:rPr>
        <w:t>, Carlsson LM, Storlien LH, Bäckhed F, Lundin P, Löfgren L, Stenlöf K, Lam YY, Fagerberg B, Carlsson B. Intestinal permeability is associated with visceral adiposity in healthy women.</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Obesity (Silver Spring)</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19</w:t>
      </w:r>
      <w:r w:rsidRPr="00B14A7F">
        <w:rPr>
          <w:rFonts w:ascii="Book Antiqua" w:eastAsia="SimSun" w:hAnsi="Book Antiqua" w:cs="SimSun"/>
          <w:sz w:val="24"/>
          <w:szCs w:val="24"/>
          <w:lang w:eastAsia="zh-CN"/>
        </w:rPr>
        <w:t>: 2280-2282 [PMID: 21852815 DOI: 10.1038/oby.2011.251]</w:t>
      </w:r>
    </w:p>
    <w:p w14:paraId="6566A1A6"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Chan SS</w:t>
      </w:r>
      <w:r w:rsidRPr="00B14A7F">
        <w:rPr>
          <w:rFonts w:ascii="Book Antiqua" w:eastAsia="SimSun" w:hAnsi="Book Antiqua" w:cs="SimSun"/>
          <w:sz w:val="24"/>
          <w:szCs w:val="24"/>
          <w:lang w:eastAsia="zh-CN"/>
        </w:rPr>
        <w:t>, Luben R, Olsen A, Tjonneland A, Kaaks R, Teucher B, Lindgren S, Grip O, Key T, Crowe FL, Bergmann MM, Boeing H, Hallmans G, Karling P, Overvad K, Palli D, Masala G, Kennedy H, vanSchaik F, Bueno-de-Mesquita B, Oldenburg B, Khaw KT, Riboli E, Hart AR. Body mass index and the risk for Crohn's disease and ulcerative colitis: data from a European Prospective Cohort Study (The IBD in EPIC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108</w:t>
      </w:r>
      <w:r w:rsidRPr="00B14A7F">
        <w:rPr>
          <w:rFonts w:ascii="Book Antiqua" w:eastAsia="SimSun" w:hAnsi="Book Antiqua" w:cs="SimSun"/>
          <w:sz w:val="24"/>
          <w:szCs w:val="24"/>
          <w:lang w:eastAsia="zh-CN"/>
        </w:rPr>
        <w:t>: 575-582 [PMID: 23318483 DOI: 10.1038/ajg.2012.453]</w:t>
      </w:r>
    </w:p>
    <w:p w14:paraId="2D543CFD"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Khalili H</w:t>
      </w:r>
      <w:r w:rsidRPr="00B14A7F">
        <w:rPr>
          <w:rFonts w:ascii="Book Antiqua" w:eastAsia="SimSun" w:hAnsi="Book Antiqua" w:cs="SimSun"/>
          <w:sz w:val="24"/>
          <w:szCs w:val="24"/>
          <w:lang w:eastAsia="zh-CN"/>
        </w:rPr>
        <w:t>, Ananthakrishnan AN, Konijeti GG, Higuchi LM, Fuchs CS, Richter JM, Chan AT. Measures of obesity and risk of Crohn's disease and ulcerative colitis.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Inflamm Bowel Dis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21</w:t>
      </w:r>
      <w:r w:rsidRPr="00B14A7F">
        <w:rPr>
          <w:rFonts w:ascii="Book Antiqua" w:eastAsia="SimSun" w:hAnsi="Book Antiqua" w:cs="SimSun"/>
          <w:sz w:val="24"/>
          <w:szCs w:val="24"/>
          <w:lang w:eastAsia="zh-CN"/>
        </w:rPr>
        <w:t>: 361-368 [PMID: 25563694 DOI: 10.1097/MIB.0000000000000283]</w:t>
      </w:r>
    </w:p>
    <w:p w14:paraId="13B48E07"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Flores A</w:t>
      </w:r>
      <w:r w:rsidRPr="00B14A7F">
        <w:rPr>
          <w:rFonts w:ascii="Book Antiqua" w:eastAsia="SimSun" w:hAnsi="Book Antiqua" w:cs="SimSun"/>
          <w:sz w:val="24"/>
          <w:szCs w:val="24"/>
          <w:lang w:eastAsia="zh-CN"/>
        </w:rPr>
        <w:t>, Burstein E, Cipher DJ, Feagins LA. Obesity in Inflammatory Bowel Disease: A Marker of Less Severe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Dig Dis Sci</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60</w:t>
      </w:r>
      <w:r w:rsidRPr="00B14A7F">
        <w:rPr>
          <w:rFonts w:ascii="Book Antiqua" w:eastAsia="SimSun" w:hAnsi="Book Antiqua" w:cs="SimSun"/>
          <w:sz w:val="24"/>
          <w:szCs w:val="24"/>
          <w:lang w:eastAsia="zh-CN"/>
        </w:rPr>
        <w:t>: 2436-2445 [PMID: 25799938 DOI: 10.1007/s10620-015-3629-5]</w:t>
      </w:r>
    </w:p>
    <w:p w14:paraId="10B96D66"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39</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Brotherton CS</w:t>
      </w:r>
      <w:r w:rsidRPr="00B14A7F">
        <w:rPr>
          <w:rFonts w:ascii="Book Antiqua" w:eastAsia="SimSun" w:hAnsi="Book Antiqua" w:cs="SimSun"/>
          <w:sz w:val="24"/>
          <w:szCs w:val="24"/>
          <w:lang w:eastAsia="zh-CN"/>
        </w:rPr>
        <w:t>, Martin CA, Long MD, Kappelman MD, Sandler RS. Avoidance of Fiber Is Associated With Greater Risk of Crohn's Disease Flare in a 6-Month Period.</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Clin Gastroenterol Hepatol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14</w:t>
      </w:r>
      <w:r w:rsidRPr="00B14A7F">
        <w:rPr>
          <w:rFonts w:ascii="Book Antiqua" w:eastAsia="SimSun" w:hAnsi="Book Antiqua" w:cs="SimSun"/>
          <w:sz w:val="24"/>
          <w:szCs w:val="24"/>
          <w:lang w:eastAsia="zh-CN"/>
        </w:rPr>
        <w:t>: 1130-1136 [PMID: 26748217 DOI: 10.1016/j.cgh.2015.12.029]</w:t>
      </w:r>
    </w:p>
    <w:p w14:paraId="34A6A724"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4D51AB">
        <w:rPr>
          <w:rFonts w:ascii="Book Antiqua" w:eastAsia="SimSun" w:hAnsi="Book Antiqua" w:cs="SimSun"/>
          <w:sz w:val="24"/>
          <w:szCs w:val="24"/>
          <w:lang w:eastAsia="zh-CN"/>
        </w:rPr>
        <w:t xml:space="preserve">40 </w:t>
      </w:r>
      <w:r w:rsidRPr="00B14A7F">
        <w:rPr>
          <w:rFonts w:ascii="Book Antiqua" w:eastAsia="SimSun" w:hAnsi="Book Antiqua" w:cs="SimSun"/>
          <w:b/>
          <w:sz w:val="24"/>
          <w:szCs w:val="24"/>
          <w:lang w:eastAsia="zh-CN"/>
        </w:rPr>
        <w:t>Barnes EL</w:t>
      </w:r>
      <w:r w:rsidRPr="00B14A7F">
        <w:rPr>
          <w:rFonts w:ascii="Book Antiqua" w:eastAsia="SimSun" w:hAnsi="Book Antiqua" w:cs="SimSun"/>
          <w:sz w:val="24"/>
          <w:szCs w:val="24"/>
          <w:lang w:eastAsia="zh-CN"/>
        </w:rPr>
        <w:t xml:space="preserve">, Nestor MA, Onyewadume L, De Silva PS, Korzenik JR. A prospective study: the role of diet in exacerbations of patients with ulcerative colitis in remission on monotherapy with mesalamine. </w:t>
      </w:r>
      <w:r w:rsidRPr="00B14A7F">
        <w:rPr>
          <w:rFonts w:ascii="Book Antiqua" w:eastAsia="SimSun" w:hAnsi="Book Antiqua" w:cs="SimSun"/>
          <w:i/>
          <w:sz w:val="24"/>
          <w:szCs w:val="24"/>
          <w:lang w:eastAsia="zh-CN"/>
        </w:rPr>
        <w:t>Gastroenterology</w:t>
      </w:r>
      <w:r w:rsidRPr="00B14A7F">
        <w:rPr>
          <w:rFonts w:ascii="Book Antiqua" w:eastAsia="SimSun" w:hAnsi="Book Antiqua" w:cs="SimSun"/>
          <w:sz w:val="24"/>
          <w:szCs w:val="24"/>
          <w:lang w:eastAsia="zh-CN"/>
        </w:rPr>
        <w:t xml:space="preserve"> 2016; </w:t>
      </w:r>
      <w:r w:rsidRPr="00B14A7F">
        <w:rPr>
          <w:rFonts w:ascii="Book Antiqua" w:eastAsia="SimSun" w:hAnsi="Book Antiqua" w:cs="SimSun"/>
          <w:b/>
          <w:sz w:val="24"/>
          <w:szCs w:val="24"/>
          <w:lang w:eastAsia="zh-CN"/>
        </w:rPr>
        <w:t>150</w:t>
      </w:r>
      <w:r w:rsidRPr="004D51AB">
        <w:rPr>
          <w:rFonts w:ascii="Book Antiqua" w:eastAsia="SimSun" w:hAnsi="Book Antiqua" w:cs="SimSun"/>
          <w:sz w:val="24"/>
          <w:szCs w:val="24"/>
          <w:lang w:eastAsia="zh-CN"/>
        </w:rPr>
        <w:t>: S5-6</w:t>
      </w:r>
      <w:r w:rsidRPr="00B14A7F">
        <w:rPr>
          <w:rFonts w:ascii="Book Antiqua" w:eastAsia="SimSun" w:hAnsi="Book Antiqua" w:cs="SimSun"/>
          <w:sz w:val="24"/>
          <w:szCs w:val="24"/>
          <w:lang w:eastAsia="zh-CN"/>
        </w:rPr>
        <w:t xml:space="preserve"> [DOI: 10.1016/s0016-5085(16)30152-4]</w:t>
      </w:r>
    </w:p>
    <w:p w14:paraId="7866D5AF"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41</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Tappel A</w:t>
      </w:r>
      <w:r w:rsidRPr="00B14A7F">
        <w:rPr>
          <w:rFonts w:ascii="Book Antiqua" w:eastAsia="SimSun" w:hAnsi="Book Antiqua" w:cs="SimSun"/>
          <w:sz w:val="24"/>
          <w:szCs w:val="24"/>
          <w:lang w:eastAsia="zh-CN"/>
        </w:rPr>
        <w:t>. Heme of consumed red meat can act as a catalyst of oxidative damage and could initiate colon, breast and prostate cancers, heart disease and other diseases.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Med Hypotheses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68</w:t>
      </w:r>
      <w:r w:rsidRPr="00B14A7F">
        <w:rPr>
          <w:rFonts w:ascii="Book Antiqua" w:eastAsia="SimSun" w:hAnsi="Book Antiqua" w:cs="SimSun"/>
          <w:sz w:val="24"/>
          <w:szCs w:val="24"/>
          <w:lang w:eastAsia="zh-CN"/>
        </w:rPr>
        <w:t>: 562-564 [PMID: 17045417 DOI: 10.1016/j.mehy.2006.08.025]</w:t>
      </w:r>
    </w:p>
    <w:p w14:paraId="1C2090F7"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van Bussel BC</w:t>
      </w:r>
      <w:r w:rsidRPr="00B14A7F">
        <w:rPr>
          <w:rFonts w:ascii="Book Antiqua" w:eastAsia="SimSun" w:hAnsi="Book Antiqua" w:cs="SimSun"/>
          <w:sz w:val="24"/>
          <w:szCs w:val="24"/>
          <w:lang w:eastAsia="zh-CN"/>
        </w:rPr>
        <w:t>, Henry RM, Ferreira I, van Greevenbroek MM, van der Kallen CJ, Twisk JW, Feskens EJ, Schalkwijk CG, Stehouwer CD. A healthy diet is associated with less endothelial dysfunction and less low-grade inflammation over a 7-year period in adults at risk of cardiovascular disease.</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J Nutr</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145</w:t>
      </w:r>
      <w:r w:rsidRPr="00B14A7F">
        <w:rPr>
          <w:rFonts w:ascii="Book Antiqua" w:eastAsia="SimSun" w:hAnsi="Book Antiqua" w:cs="SimSun"/>
          <w:sz w:val="24"/>
          <w:szCs w:val="24"/>
          <w:lang w:eastAsia="zh-CN"/>
        </w:rPr>
        <w:t>: 532-540 [PMID: 25733469 DOI: 10.3945/jn.114.201236]</w:t>
      </w:r>
    </w:p>
    <w:p w14:paraId="286606E9"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Ley SH</w:t>
      </w:r>
      <w:r w:rsidRPr="00B14A7F">
        <w:rPr>
          <w:rFonts w:ascii="Book Antiqua" w:eastAsia="SimSun" w:hAnsi="Book Antiqua" w:cs="SimSun"/>
          <w:sz w:val="24"/>
          <w:szCs w:val="24"/>
          <w:lang w:eastAsia="zh-CN"/>
        </w:rPr>
        <w:t>, Sun Q, Willett WC, Eliassen AH, Wu K, Pan A, Grodstein F, Hu FB. Associations between red meat intake and biomarkers of inflammation and glucose metabolism in women.</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Clin Nutr</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99</w:t>
      </w:r>
      <w:r w:rsidRPr="00B14A7F">
        <w:rPr>
          <w:rFonts w:ascii="Book Antiqua" w:eastAsia="SimSun" w:hAnsi="Book Antiqua" w:cs="SimSun"/>
          <w:sz w:val="24"/>
          <w:szCs w:val="24"/>
          <w:lang w:eastAsia="zh-CN"/>
        </w:rPr>
        <w:t>: 352-360 [PMID: 24284436 DOI: 10.3945/ajcn.113.075663]</w:t>
      </w:r>
    </w:p>
    <w:p w14:paraId="6D23CE71"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Scott KP</w:t>
      </w:r>
      <w:r w:rsidRPr="00B14A7F">
        <w:rPr>
          <w:rFonts w:ascii="Book Antiqua" w:eastAsia="SimSun" w:hAnsi="Book Antiqua" w:cs="SimSun"/>
          <w:sz w:val="24"/>
          <w:szCs w:val="24"/>
          <w:lang w:eastAsia="zh-CN"/>
        </w:rPr>
        <w:t>, Martin JC, Duncan SH, Flint HJ. Prebiotic stimulation of human colonic butyrate-producing bacteria and bifidobacteria, in vitro.</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FEMS Microbiol Ecol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2014;</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87</w:t>
      </w:r>
      <w:r w:rsidRPr="00B14A7F">
        <w:rPr>
          <w:rFonts w:ascii="Book Antiqua" w:eastAsia="SimSun" w:hAnsi="Book Antiqua" w:cs="SimSun"/>
          <w:sz w:val="24"/>
          <w:szCs w:val="24"/>
          <w:lang w:eastAsia="zh-CN"/>
        </w:rPr>
        <w:t>: 30-40 [PMID: 23909466 DOI: 10.1111/1574-6941.12186]</w:t>
      </w:r>
    </w:p>
    <w:p w14:paraId="11B3AEED"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45</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Charalampopoulos D</w:t>
      </w:r>
      <w:r w:rsidRPr="00B14A7F">
        <w:rPr>
          <w:rFonts w:ascii="Book Antiqua" w:eastAsia="SimSun" w:hAnsi="Book Antiqua" w:cs="SimSun"/>
          <w:sz w:val="24"/>
          <w:szCs w:val="24"/>
          <w:lang w:eastAsia="zh-CN"/>
        </w:rPr>
        <w:t>, Pandiella SS, Webb C. Evaluation of the effect of malt, wheat and barley extracts on the viability of potentially probiotic lactic acid bacteria under acidic conditions.</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Int J Food Microbiol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2003;</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82</w:t>
      </w:r>
      <w:r w:rsidRPr="00B14A7F">
        <w:rPr>
          <w:rFonts w:ascii="Book Antiqua" w:eastAsia="SimSun" w:hAnsi="Book Antiqua" w:cs="SimSun"/>
          <w:sz w:val="24"/>
          <w:szCs w:val="24"/>
          <w:lang w:eastAsia="zh-CN"/>
        </w:rPr>
        <w:t>: 133-141 [PMID: 12568753 DOI: 10.1016/s0168-1605(02)00248-9]</w:t>
      </w:r>
    </w:p>
    <w:p w14:paraId="354A86E6"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Zenlea T</w:t>
      </w:r>
      <w:r w:rsidRPr="00B14A7F">
        <w:rPr>
          <w:rFonts w:ascii="Book Antiqua" w:eastAsia="SimSun" w:hAnsi="Book Antiqua" w:cs="SimSun"/>
          <w:sz w:val="24"/>
          <w:szCs w:val="24"/>
          <w:lang w:eastAsia="zh-CN"/>
        </w:rPr>
        <w:t>, Yee EU, Rosenberg L, Boyle M, Nanda KS, Wolf JL, Falchuk KR, Cheifetz AS, Goldsmith JD, Moss AC. Histology Grade Is Independently Associated With Relapse Risk in Patients With Ulcerative Colitis in Clinical Remission: A Prospective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111</w:t>
      </w:r>
      <w:r w:rsidRPr="00B14A7F">
        <w:rPr>
          <w:rFonts w:ascii="Book Antiqua" w:eastAsia="SimSun" w:hAnsi="Book Antiqua" w:cs="SimSun"/>
          <w:sz w:val="24"/>
          <w:szCs w:val="24"/>
          <w:lang w:eastAsia="zh-CN"/>
        </w:rPr>
        <w:t>: 685-690 [PMID: 26977756 DOI: 10.1038/ajg.2016.50]</w:t>
      </w:r>
    </w:p>
    <w:p w14:paraId="0726065E"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Bessissow T</w:t>
      </w:r>
      <w:r w:rsidRPr="00B14A7F">
        <w:rPr>
          <w:rFonts w:ascii="Book Antiqua" w:eastAsia="SimSun" w:hAnsi="Book Antiqua" w:cs="SimSun"/>
          <w:sz w:val="24"/>
          <w:szCs w:val="24"/>
          <w:lang w:eastAsia="zh-CN"/>
        </w:rPr>
        <w:t>, Lemmens B, Ferrante M, Bisschops R, Van Steen K, Geboes K, Van Assche G, Vermeire S, Rutgeerts P, De Hertogh G. Prognostic value of serologic and histologic markers on clinical relapse in ulcerative colitis patients with mucosal healing.</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2012;</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107</w:t>
      </w:r>
      <w:r w:rsidRPr="00B14A7F">
        <w:rPr>
          <w:rFonts w:ascii="Book Antiqua" w:eastAsia="SimSun" w:hAnsi="Book Antiqua" w:cs="SimSun"/>
          <w:sz w:val="24"/>
          <w:szCs w:val="24"/>
          <w:lang w:eastAsia="zh-CN"/>
        </w:rPr>
        <w:t>: 1684-1692 [PMID: 23147523 DOI: 10.1038/ajg.2012.301]</w:t>
      </w:r>
    </w:p>
    <w:p w14:paraId="58CEEB56"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lastRenderedPageBreak/>
        <w:t>48</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Henriksen M</w:t>
      </w:r>
      <w:r w:rsidRPr="00B14A7F">
        <w:rPr>
          <w:rFonts w:ascii="Book Antiqua" w:eastAsia="SimSun" w:hAnsi="Book Antiqua" w:cs="SimSun"/>
          <w:sz w:val="24"/>
          <w:szCs w:val="24"/>
          <w:lang w:eastAsia="zh-CN"/>
        </w:rPr>
        <w:t>, Jahnsen J, Lygren I, Sauar J, Kjellevold Ø, Schulz T, Vatn MH, Moum B</w:t>
      </w:r>
      <w:r w:rsidRPr="004D51AB">
        <w:rPr>
          <w:rFonts w:ascii="Book Antiqua" w:eastAsia="SimSun" w:hAnsi="Book Antiqua" w:cs="SimSun"/>
          <w:sz w:val="24"/>
          <w:szCs w:val="24"/>
          <w:lang w:eastAsia="zh-CN"/>
        </w:rPr>
        <w:t>; IBSEN Study Group.</w:t>
      </w:r>
      <w:r w:rsidRPr="00B14A7F">
        <w:rPr>
          <w:rFonts w:ascii="Book Antiqua" w:eastAsia="SimSun" w:hAnsi="Book Antiqua" w:cs="SimSun"/>
          <w:sz w:val="24"/>
          <w:szCs w:val="24"/>
          <w:lang w:eastAsia="zh-CN"/>
        </w:rPr>
        <w:t xml:space="preserve"> Ulcerative colitis and clinical course: results of a 5-year population-based follow-up study (the IBSEN study).</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Inflamm Bowel Dis</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2006;</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12</w:t>
      </w:r>
      <w:r w:rsidRPr="00B14A7F">
        <w:rPr>
          <w:rFonts w:ascii="Book Antiqua" w:eastAsia="SimSun" w:hAnsi="Book Antiqua" w:cs="SimSun"/>
          <w:sz w:val="24"/>
          <w:szCs w:val="24"/>
          <w:lang w:eastAsia="zh-CN"/>
        </w:rPr>
        <w:t>: 543-550 [PMID: 16804390 DOI: 10.1097/01.MIB.0000225339.91484.fc]</w:t>
      </w:r>
    </w:p>
    <w:p w14:paraId="15271C02" w14:textId="77777777" w:rsidR="00C55EEF" w:rsidRPr="00B14A7F" w:rsidRDefault="00C55EEF" w:rsidP="005C7D8E">
      <w:pPr>
        <w:adjustRightInd w:val="0"/>
        <w:snapToGrid w:val="0"/>
        <w:spacing w:after="0" w:line="360" w:lineRule="auto"/>
        <w:jc w:val="both"/>
        <w:rPr>
          <w:rFonts w:ascii="Book Antiqua" w:eastAsia="SimSun" w:hAnsi="Book Antiqua" w:cs="SimSun"/>
          <w:sz w:val="24"/>
          <w:szCs w:val="24"/>
          <w:lang w:eastAsia="zh-CN"/>
        </w:rPr>
      </w:pPr>
      <w:r w:rsidRPr="00B14A7F">
        <w:rPr>
          <w:rFonts w:ascii="Book Antiqua" w:eastAsia="SimSun" w:hAnsi="Book Antiqua" w:cs="SimSun"/>
          <w:sz w:val="24"/>
          <w:szCs w:val="24"/>
          <w:lang w:eastAsia="zh-CN"/>
        </w:rPr>
        <w:t>49</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Höie O</w:t>
      </w:r>
      <w:r w:rsidRPr="00B14A7F">
        <w:rPr>
          <w:rFonts w:ascii="Book Antiqua" w:eastAsia="SimSun" w:hAnsi="Book Antiqua" w:cs="SimSun"/>
          <w:sz w:val="24"/>
          <w:szCs w:val="24"/>
          <w:lang w:eastAsia="zh-CN"/>
        </w:rPr>
        <w:t>, Wolters F, Riis L, Aamodt G, Solberg C, Bernklev T, Odes S, Mouzas IA, Beltrami M, Langholz E, Stockbrügger R, Vatn M, Moum B. Ulcerative colitis: patient characteristics may predict 10-yr disease recurrence in a European-wide population-based cohort.</w:t>
      </w:r>
      <w:r w:rsidRPr="004D51AB">
        <w:rPr>
          <w:rFonts w:ascii="Book Antiqua" w:eastAsia="SimSun" w:hAnsi="Book Antiqua" w:cs="SimSun"/>
          <w:sz w:val="24"/>
          <w:szCs w:val="24"/>
          <w:lang w:eastAsia="zh-CN"/>
        </w:rPr>
        <w:t> </w:t>
      </w:r>
      <w:r w:rsidRPr="00B14A7F">
        <w:rPr>
          <w:rFonts w:ascii="Book Antiqua" w:eastAsia="SimSun" w:hAnsi="Book Antiqua" w:cs="SimSun"/>
          <w:i/>
          <w:iCs/>
          <w:sz w:val="24"/>
          <w:szCs w:val="24"/>
          <w:lang w:eastAsia="zh-CN"/>
        </w:rPr>
        <w:t>Am J Gastroenterol</w:t>
      </w:r>
      <w:r w:rsidRPr="004D51AB">
        <w:rPr>
          <w:rFonts w:ascii="Book Antiqua" w:eastAsia="SimSun" w:hAnsi="Book Antiqua" w:cs="SimSun"/>
          <w:sz w:val="24"/>
          <w:szCs w:val="24"/>
          <w:lang w:eastAsia="zh-CN"/>
        </w:rPr>
        <w:t> </w:t>
      </w:r>
      <w:r w:rsidRPr="00B14A7F">
        <w:rPr>
          <w:rFonts w:ascii="Book Antiqua" w:eastAsia="SimSun" w:hAnsi="Book Antiqua" w:cs="SimSun"/>
          <w:sz w:val="24"/>
          <w:szCs w:val="24"/>
          <w:lang w:eastAsia="zh-CN"/>
        </w:rPr>
        <w:t>2007;</w:t>
      </w:r>
      <w:r w:rsidRPr="004D51AB">
        <w:rPr>
          <w:rFonts w:ascii="Book Antiqua" w:eastAsia="SimSun" w:hAnsi="Book Antiqua" w:cs="SimSun"/>
          <w:sz w:val="24"/>
          <w:szCs w:val="24"/>
          <w:lang w:eastAsia="zh-CN"/>
        </w:rPr>
        <w:t> </w:t>
      </w:r>
      <w:r w:rsidRPr="00B14A7F">
        <w:rPr>
          <w:rFonts w:ascii="Book Antiqua" w:eastAsia="SimSun" w:hAnsi="Book Antiqua" w:cs="SimSun"/>
          <w:b/>
          <w:bCs/>
          <w:sz w:val="24"/>
          <w:szCs w:val="24"/>
          <w:lang w:eastAsia="zh-CN"/>
        </w:rPr>
        <w:t>102</w:t>
      </w:r>
      <w:r w:rsidRPr="00B14A7F">
        <w:rPr>
          <w:rFonts w:ascii="Book Antiqua" w:eastAsia="SimSun" w:hAnsi="Book Antiqua" w:cs="SimSun"/>
          <w:sz w:val="24"/>
          <w:szCs w:val="24"/>
          <w:lang w:eastAsia="zh-CN"/>
        </w:rPr>
        <w:t>: 1692-1701 [PMID: 17555460 DOI: 10.1111/j.1572-0241.2007.01265.x]</w:t>
      </w:r>
    </w:p>
    <w:p w14:paraId="186A436F" w14:textId="77777777" w:rsidR="00C55EEF" w:rsidRPr="004D51AB" w:rsidRDefault="00C55EEF" w:rsidP="005C7D8E">
      <w:pPr>
        <w:adjustRightInd w:val="0"/>
        <w:snapToGrid w:val="0"/>
        <w:spacing w:after="0" w:line="360" w:lineRule="auto"/>
        <w:jc w:val="both"/>
        <w:rPr>
          <w:rFonts w:ascii="Book Antiqua" w:hAnsi="Book Antiqua"/>
          <w:sz w:val="24"/>
          <w:szCs w:val="24"/>
        </w:rPr>
      </w:pPr>
    </w:p>
    <w:p w14:paraId="1C14351D" w14:textId="3A71163E" w:rsidR="00C55EEF" w:rsidRPr="00356DDD" w:rsidRDefault="00C55EEF" w:rsidP="005C7D8E">
      <w:pPr>
        <w:adjustRightInd w:val="0"/>
        <w:snapToGrid w:val="0"/>
        <w:spacing w:after="0"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853C9C" w:rsidRPr="00853C9C">
        <w:rPr>
          <w:rFonts w:ascii="Book Antiqua" w:hAnsi="Book Antiqua"/>
          <w:bCs/>
          <w:sz w:val="24"/>
          <w:szCs w:val="24"/>
        </w:rPr>
        <w:t>Daniel</w:t>
      </w:r>
      <w:r w:rsidR="00853C9C" w:rsidRPr="00853C9C">
        <w:rPr>
          <w:rFonts w:ascii="Book Antiqua" w:hAnsi="Book Antiqua" w:hint="eastAsia"/>
          <w:bCs/>
          <w:sz w:val="24"/>
          <w:szCs w:val="24"/>
          <w:lang w:eastAsia="zh-CN"/>
        </w:rPr>
        <w:t xml:space="preserve"> F, </w:t>
      </w:r>
      <w:r w:rsidR="00853C9C" w:rsidRPr="00853C9C">
        <w:rPr>
          <w:rFonts w:ascii="Book Antiqua" w:hAnsi="Book Antiqua"/>
          <w:bCs/>
          <w:sz w:val="24"/>
          <w:szCs w:val="24"/>
          <w:lang w:eastAsia="zh-CN"/>
        </w:rPr>
        <w:t>Henderson</w:t>
      </w:r>
      <w:r w:rsidR="00853C9C" w:rsidRPr="00853C9C">
        <w:rPr>
          <w:rFonts w:ascii="Book Antiqua" w:hAnsi="Book Antiqua" w:hint="eastAsia"/>
          <w:bCs/>
          <w:sz w:val="24"/>
          <w:szCs w:val="24"/>
          <w:lang w:eastAsia="zh-CN"/>
        </w:rPr>
        <w:t xml:space="preserve"> P, </w:t>
      </w:r>
      <w:r w:rsidR="00853C9C" w:rsidRPr="00853C9C">
        <w:rPr>
          <w:rFonts w:ascii="Book Antiqua" w:hAnsi="Book Antiqua"/>
          <w:bCs/>
          <w:sz w:val="24"/>
          <w:szCs w:val="24"/>
          <w:lang w:eastAsia="zh-CN"/>
        </w:rPr>
        <w:t>Lankarani</w:t>
      </w:r>
      <w:r w:rsidR="00853C9C" w:rsidRPr="00853C9C">
        <w:rPr>
          <w:rFonts w:ascii="Book Antiqua" w:hAnsi="Book Antiqua" w:hint="eastAsia"/>
          <w:bCs/>
          <w:sz w:val="24"/>
          <w:szCs w:val="24"/>
          <w:lang w:eastAsia="zh-CN"/>
        </w:rPr>
        <w:t xml:space="preserve"> KB</w:t>
      </w:r>
      <w:r w:rsidR="00DD49E1">
        <w:rPr>
          <w:rFonts w:ascii="Book Antiqua" w:hAnsi="Book Antiqua" w:hint="eastAsia"/>
          <w:bCs/>
          <w:sz w:val="24"/>
          <w:szCs w:val="24"/>
          <w:lang w:eastAsia="zh-CN"/>
        </w:rPr>
        <w:t>,</w:t>
      </w:r>
      <w:r w:rsidR="00853C9C" w:rsidRPr="00853C9C">
        <w:rPr>
          <w:rFonts w:ascii="Book Antiqua" w:hAnsi="Book Antiqua" w:hint="eastAsia"/>
          <w:bCs/>
          <w:sz w:val="24"/>
          <w:szCs w:val="24"/>
        </w:rPr>
        <w:t xml:space="preserve"> </w:t>
      </w:r>
      <w:r w:rsidR="001D0A0F" w:rsidRPr="001D0A0F">
        <w:rPr>
          <w:rFonts w:ascii="Book Antiqua" w:hAnsi="Book Antiqua"/>
          <w:bCs/>
          <w:sz w:val="24"/>
          <w:szCs w:val="24"/>
        </w:rPr>
        <w:t>Lakatos</w:t>
      </w:r>
      <w:r w:rsidR="001D0A0F">
        <w:rPr>
          <w:rFonts w:ascii="Book Antiqua" w:hAnsi="Book Antiqua" w:hint="eastAsia"/>
          <w:bCs/>
          <w:sz w:val="24"/>
          <w:szCs w:val="24"/>
          <w:lang w:eastAsia="zh-CN"/>
        </w:rPr>
        <w:t xml:space="preserve"> PL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4E4654BA" w14:textId="77777777" w:rsidR="00C55EEF" w:rsidRPr="00356DDD" w:rsidRDefault="00C55EEF" w:rsidP="005C7D8E">
      <w:pPr>
        <w:adjustRightInd w:val="0"/>
        <w:snapToGrid w:val="0"/>
        <w:spacing w:after="0" w:line="360" w:lineRule="auto"/>
        <w:rPr>
          <w:rFonts w:ascii="Arial" w:hAnsi="Arial" w:cs="Arial"/>
          <w:b/>
          <w:bCs/>
          <w:color w:val="2B2B2B"/>
          <w:sz w:val="24"/>
          <w:szCs w:val="24"/>
          <w:shd w:val="clear" w:color="auto" w:fill="FAFAFA"/>
        </w:rPr>
      </w:pPr>
    </w:p>
    <w:p w14:paraId="7B2D5070" w14:textId="77777777" w:rsidR="00C55EEF" w:rsidRPr="00356DDD" w:rsidRDefault="00C55EEF" w:rsidP="005C7D8E">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1473D5F8" w14:textId="6B8F7420" w:rsidR="00C55EEF" w:rsidRPr="00356DDD" w:rsidRDefault="00C55EEF" w:rsidP="005C7D8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853C9C" w:rsidRPr="00853C9C">
        <w:rPr>
          <w:rFonts w:ascii="Book Antiqua" w:hAnsi="Book Antiqua" w:cs="Helvetica"/>
          <w:sz w:val="24"/>
          <w:szCs w:val="24"/>
        </w:rPr>
        <w:t>Canada</w:t>
      </w:r>
    </w:p>
    <w:p w14:paraId="3AE4598B" w14:textId="77777777" w:rsidR="00C55EEF" w:rsidRPr="00356DDD" w:rsidRDefault="00C55EEF" w:rsidP="005C7D8E">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654C0A27" w14:textId="77777777" w:rsidR="00C55EEF" w:rsidRPr="00356DDD" w:rsidRDefault="00C55EEF" w:rsidP="005C7D8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312E6026" w14:textId="5C0BF563" w:rsidR="00C55EEF" w:rsidRPr="00356DDD" w:rsidRDefault="00C55EEF" w:rsidP="005C7D8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5A7C98" w:rsidRPr="00356DDD">
        <w:rPr>
          <w:rFonts w:ascii="Book Antiqua" w:hAnsi="Book Antiqua" w:cs="Helvetica" w:hint="eastAsia"/>
          <w:sz w:val="24"/>
          <w:szCs w:val="24"/>
        </w:rPr>
        <w:t>0</w:t>
      </w:r>
    </w:p>
    <w:p w14:paraId="5B2B4D72" w14:textId="26DE5BA6" w:rsidR="00C55EEF" w:rsidRPr="00356DDD" w:rsidRDefault="00C55EEF" w:rsidP="005C7D8E">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sidR="005A7C98" w:rsidRPr="00356DDD">
        <w:rPr>
          <w:rFonts w:ascii="Book Antiqua" w:hAnsi="Book Antiqua" w:cs="Helvetica"/>
          <w:sz w:val="24"/>
          <w:szCs w:val="24"/>
        </w:rPr>
        <w:t>C</w:t>
      </w:r>
      <w:r w:rsidR="005A7C98">
        <w:rPr>
          <w:rFonts w:ascii="Book Antiqua" w:hAnsi="Book Antiqua" w:cs="Helvetica" w:hint="eastAsia"/>
          <w:sz w:val="24"/>
          <w:szCs w:val="24"/>
          <w:lang w:eastAsia="zh-CN"/>
        </w:rPr>
        <w:t>,</w:t>
      </w:r>
      <w:r w:rsidR="005A7C98" w:rsidRPr="005A7C98">
        <w:rPr>
          <w:rFonts w:ascii="Book Antiqua" w:hAnsi="Book Antiqua" w:cs="Helvetica"/>
          <w:sz w:val="24"/>
          <w:szCs w:val="24"/>
        </w:rPr>
        <w:t xml:space="preserve"> </w:t>
      </w:r>
      <w:r w:rsidR="005A7C98" w:rsidRPr="00356DDD">
        <w:rPr>
          <w:rFonts w:ascii="Book Antiqua" w:hAnsi="Book Antiqua" w:cs="Helvetica"/>
          <w:sz w:val="24"/>
          <w:szCs w:val="24"/>
        </w:rPr>
        <w:t>C</w:t>
      </w:r>
      <w:r w:rsidR="005A7C98">
        <w:rPr>
          <w:rFonts w:ascii="Book Antiqua" w:hAnsi="Book Antiqua" w:cs="Helvetica" w:hint="eastAsia"/>
          <w:sz w:val="24"/>
          <w:szCs w:val="24"/>
          <w:lang w:eastAsia="zh-CN"/>
        </w:rPr>
        <w:t>,</w:t>
      </w:r>
      <w:r w:rsidR="005A7C98" w:rsidRPr="005A7C98">
        <w:rPr>
          <w:rFonts w:ascii="Book Antiqua" w:hAnsi="Book Antiqua" w:cs="Helvetica"/>
          <w:sz w:val="24"/>
          <w:szCs w:val="24"/>
        </w:rPr>
        <w:t xml:space="preserve"> </w:t>
      </w:r>
      <w:r w:rsidR="005A7C98" w:rsidRPr="00356DDD">
        <w:rPr>
          <w:rFonts w:ascii="Book Antiqua" w:hAnsi="Book Antiqua" w:cs="Helvetica"/>
          <w:sz w:val="24"/>
          <w:szCs w:val="24"/>
        </w:rPr>
        <w:t>C</w:t>
      </w:r>
      <w:r w:rsidR="001660C5">
        <w:rPr>
          <w:rFonts w:ascii="Book Antiqua" w:hAnsi="Book Antiqua" w:cs="Helvetica" w:hint="eastAsia"/>
          <w:sz w:val="24"/>
          <w:szCs w:val="24"/>
          <w:lang w:eastAsia="zh-CN"/>
        </w:rPr>
        <w:t>, C</w:t>
      </w:r>
    </w:p>
    <w:p w14:paraId="2746FEBC" w14:textId="77777777" w:rsidR="00C55EEF" w:rsidRPr="00356DDD" w:rsidRDefault="00C55EEF" w:rsidP="005C7D8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69A7307C" w14:textId="77777777" w:rsidR="00C55EEF" w:rsidRPr="00356DDD" w:rsidRDefault="00C55EEF" w:rsidP="005C7D8E">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14:paraId="06AD5AF2" w14:textId="6141C4AC" w:rsidR="00C2692D" w:rsidRPr="005A7C98" w:rsidRDefault="005A7C98" w:rsidP="005C7D8E">
      <w:pPr>
        <w:adjustRightInd w:val="0"/>
        <w:snapToGrid w:val="0"/>
        <w:spacing w:after="0" w:line="360" w:lineRule="auto"/>
        <w:jc w:val="both"/>
        <w:rPr>
          <w:rFonts w:ascii="Book Antiqua" w:hAnsi="Book Antiqua"/>
          <w:b/>
          <w:bCs/>
          <w:caps/>
          <w:sz w:val="24"/>
          <w:szCs w:val="24"/>
          <w:lang w:eastAsia="zh-CN"/>
        </w:rPr>
      </w:pPr>
      <w:r>
        <w:rPr>
          <w:rFonts w:ascii="Book Antiqua" w:hAnsi="Book Antiqua"/>
          <w:b/>
          <w:bCs/>
          <w:caps/>
          <w:sz w:val="24"/>
          <w:szCs w:val="24"/>
          <w:lang w:eastAsia="zh-CN"/>
        </w:rPr>
        <w:br w:type="page"/>
      </w:r>
    </w:p>
    <w:tbl>
      <w:tblPr>
        <w:tblStyle w:val="TableGrid"/>
        <w:tblpPr w:leftFromText="180" w:rightFromText="180" w:vertAnchor="page" w:horzAnchor="margin" w:tblpY="171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524"/>
        <w:gridCol w:w="1704"/>
        <w:gridCol w:w="1547"/>
        <w:gridCol w:w="943"/>
      </w:tblGrid>
      <w:tr w:rsidR="005A7C98" w:rsidRPr="0086396D" w14:paraId="1E90882C" w14:textId="77777777" w:rsidTr="00412183">
        <w:tc>
          <w:tcPr>
            <w:tcW w:w="9209" w:type="dxa"/>
            <w:gridSpan w:val="5"/>
            <w:tcBorders>
              <w:bottom w:val="single" w:sz="4" w:space="0" w:color="auto"/>
            </w:tcBorders>
          </w:tcPr>
          <w:p w14:paraId="0C150C96" w14:textId="0434E505" w:rsidR="005A7C98" w:rsidRPr="005A7C98" w:rsidRDefault="005A7C98" w:rsidP="005C7D8E">
            <w:pPr>
              <w:adjustRightInd w:val="0"/>
              <w:snapToGrid w:val="0"/>
              <w:spacing w:line="360" w:lineRule="auto"/>
              <w:jc w:val="both"/>
              <w:rPr>
                <w:rFonts w:ascii="Book Antiqua" w:hAnsi="Book Antiqua"/>
                <w:b/>
                <w:sz w:val="24"/>
                <w:szCs w:val="24"/>
                <w:lang w:eastAsia="zh-CN"/>
              </w:rPr>
            </w:pPr>
            <w:r w:rsidRPr="005A7C98">
              <w:rPr>
                <w:rFonts w:ascii="Book Antiqua" w:hAnsi="Book Antiqua"/>
                <w:b/>
                <w:sz w:val="24"/>
                <w:szCs w:val="24"/>
              </w:rPr>
              <w:lastRenderedPageBreak/>
              <w:t>Table 1 Comparison of demographic, anthropometric, body composition, and clinical characteristics of ulcerative colitis patients at baseline according to their relapse status after 12 mo</w:t>
            </w:r>
            <w:r>
              <w:rPr>
                <w:rFonts w:ascii="Book Antiqua" w:hAnsi="Book Antiqua" w:hint="eastAsia"/>
                <w:b/>
                <w:sz w:val="24"/>
                <w:szCs w:val="24"/>
                <w:lang w:eastAsia="zh-CN"/>
              </w:rPr>
              <w:t xml:space="preserve"> </w:t>
            </w:r>
            <w:r w:rsidRPr="00412183">
              <w:rPr>
                <w:rFonts w:ascii="Book Antiqua" w:hAnsi="Book Antiqua"/>
                <w:b/>
                <w:i/>
                <w:sz w:val="24"/>
                <w:szCs w:val="24"/>
              </w:rPr>
              <w:t xml:space="preserve"> n</w:t>
            </w:r>
            <w:r w:rsidRPr="00412183">
              <w:rPr>
                <w:rFonts w:ascii="Book Antiqua" w:hAnsi="Book Antiqua"/>
                <w:b/>
                <w:sz w:val="24"/>
                <w:szCs w:val="24"/>
              </w:rPr>
              <w:t xml:space="preserve"> (%)</w:t>
            </w:r>
          </w:p>
        </w:tc>
      </w:tr>
      <w:tr w:rsidR="005A7C98" w:rsidRPr="00412183" w14:paraId="2BF5F2CD" w14:textId="77777777" w:rsidTr="00412183">
        <w:tc>
          <w:tcPr>
            <w:tcW w:w="2491" w:type="dxa"/>
            <w:tcBorders>
              <w:top w:val="single" w:sz="4" w:space="0" w:color="auto"/>
              <w:bottom w:val="single" w:sz="4" w:space="0" w:color="auto"/>
            </w:tcBorders>
          </w:tcPr>
          <w:p w14:paraId="61541833" w14:textId="77777777" w:rsidR="005A7C98" w:rsidRPr="00412183" w:rsidRDefault="005A7C98" w:rsidP="005C7D8E">
            <w:pPr>
              <w:adjustRightInd w:val="0"/>
              <w:snapToGrid w:val="0"/>
              <w:spacing w:line="360" w:lineRule="auto"/>
              <w:jc w:val="both"/>
              <w:rPr>
                <w:rFonts w:ascii="Book Antiqua" w:hAnsi="Book Antiqua"/>
                <w:b/>
                <w:sz w:val="24"/>
                <w:szCs w:val="24"/>
              </w:rPr>
            </w:pPr>
          </w:p>
        </w:tc>
        <w:tc>
          <w:tcPr>
            <w:tcW w:w="2524" w:type="dxa"/>
            <w:tcBorders>
              <w:top w:val="single" w:sz="4" w:space="0" w:color="auto"/>
              <w:bottom w:val="single" w:sz="4" w:space="0" w:color="auto"/>
            </w:tcBorders>
          </w:tcPr>
          <w:p w14:paraId="72315143" w14:textId="77777777" w:rsidR="005A7C98" w:rsidRPr="00412183" w:rsidRDefault="005A7C98" w:rsidP="005C7D8E">
            <w:pPr>
              <w:adjustRightInd w:val="0"/>
              <w:snapToGrid w:val="0"/>
              <w:spacing w:line="360" w:lineRule="auto"/>
              <w:jc w:val="both"/>
              <w:rPr>
                <w:rFonts w:ascii="Book Antiqua" w:hAnsi="Book Antiqua"/>
                <w:b/>
                <w:sz w:val="24"/>
                <w:szCs w:val="24"/>
              </w:rPr>
            </w:pPr>
          </w:p>
        </w:tc>
        <w:tc>
          <w:tcPr>
            <w:tcW w:w="1704" w:type="dxa"/>
            <w:tcBorders>
              <w:top w:val="single" w:sz="4" w:space="0" w:color="auto"/>
              <w:bottom w:val="single" w:sz="4" w:space="0" w:color="auto"/>
            </w:tcBorders>
          </w:tcPr>
          <w:p w14:paraId="69077764" w14:textId="77777777" w:rsidR="005A7C98" w:rsidRPr="00412183" w:rsidRDefault="005A7C98" w:rsidP="005C7D8E">
            <w:pPr>
              <w:adjustRightInd w:val="0"/>
              <w:snapToGrid w:val="0"/>
              <w:spacing w:line="360" w:lineRule="auto"/>
              <w:jc w:val="both"/>
              <w:rPr>
                <w:rFonts w:ascii="Book Antiqua" w:hAnsi="Book Antiqua"/>
                <w:b/>
                <w:sz w:val="24"/>
                <w:szCs w:val="24"/>
              </w:rPr>
            </w:pPr>
            <w:r w:rsidRPr="00412183">
              <w:rPr>
                <w:rFonts w:ascii="Book Antiqua" w:hAnsi="Book Antiqua"/>
                <w:b/>
                <w:sz w:val="24"/>
                <w:szCs w:val="24"/>
              </w:rPr>
              <w:t>Remission (</w:t>
            </w:r>
            <w:r w:rsidRPr="00412183">
              <w:rPr>
                <w:rFonts w:ascii="Book Antiqua" w:hAnsi="Book Antiqua"/>
                <w:b/>
                <w:i/>
                <w:sz w:val="24"/>
                <w:szCs w:val="24"/>
              </w:rPr>
              <w:t xml:space="preserve">n = </w:t>
            </w:r>
            <w:r w:rsidRPr="00412183">
              <w:rPr>
                <w:rFonts w:ascii="Book Antiqua" w:hAnsi="Book Antiqua"/>
                <w:b/>
                <w:sz w:val="24"/>
                <w:szCs w:val="24"/>
              </w:rPr>
              <w:t>13)</w:t>
            </w:r>
          </w:p>
        </w:tc>
        <w:tc>
          <w:tcPr>
            <w:tcW w:w="1547" w:type="dxa"/>
            <w:tcBorders>
              <w:top w:val="single" w:sz="4" w:space="0" w:color="auto"/>
              <w:bottom w:val="single" w:sz="4" w:space="0" w:color="auto"/>
            </w:tcBorders>
          </w:tcPr>
          <w:p w14:paraId="5E7C2180" w14:textId="77777777" w:rsidR="005A7C98" w:rsidRPr="00412183" w:rsidRDefault="005A7C98" w:rsidP="005C7D8E">
            <w:pPr>
              <w:adjustRightInd w:val="0"/>
              <w:snapToGrid w:val="0"/>
              <w:spacing w:line="360" w:lineRule="auto"/>
              <w:jc w:val="both"/>
              <w:rPr>
                <w:rFonts w:ascii="Book Antiqua" w:hAnsi="Book Antiqua"/>
                <w:b/>
                <w:sz w:val="24"/>
                <w:szCs w:val="24"/>
              </w:rPr>
            </w:pPr>
            <w:r w:rsidRPr="00412183">
              <w:rPr>
                <w:rFonts w:ascii="Book Antiqua" w:hAnsi="Book Antiqua"/>
                <w:b/>
                <w:sz w:val="24"/>
                <w:szCs w:val="24"/>
              </w:rPr>
              <w:t>Relapse (</w:t>
            </w:r>
            <w:r w:rsidRPr="00412183">
              <w:rPr>
                <w:rFonts w:ascii="Book Antiqua" w:hAnsi="Book Antiqua"/>
                <w:b/>
                <w:i/>
                <w:sz w:val="24"/>
                <w:szCs w:val="24"/>
              </w:rPr>
              <w:t xml:space="preserve">n = </w:t>
            </w:r>
            <w:r w:rsidRPr="00412183">
              <w:rPr>
                <w:rFonts w:ascii="Book Antiqua" w:hAnsi="Book Antiqua"/>
                <w:b/>
                <w:sz w:val="24"/>
                <w:szCs w:val="24"/>
              </w:rPr>
              <w:t>7)</w:t>
            </w:r>
          </w:p>
        </w:tc>
        <w:tc>
          <w:tcPr>
            <w:tcW w:w="943" w:type="dxa"/>
            <w:tcBorders>
              <w:top w:val="single" w:sz="4" w:space="0" w:color="auto"/>
              <w:bottom w:val="single" w:sz="4" w:space="0" w:color="auto"/>
            </w:tcBorders>
          </w:tcPr>
          <w:p w14:paraId="5B1E1419" w14:textId="2FFF49CE" w:rsidR="005A7C98" w:rsidRPr="00412183" w:rsidRDefault="005A7C98" w:rsidP="005C7D8E">
            <w:pPr>
              <w:adjustRightInd w:val="0"/>
              <w:snapToGrid w:val="0"/>
              <w:spacing w:line="360" w:lineRule="auto"/>
              <w:jc w:val="both"/>
              <w:rPr>
                <w:rFonts w:ascii="Book Antiqua" w:hAnsi="Book Antiqua"/>
                <w:b/>
                <w:i/>
                <w:sz w:val="24"/>
                <w:szCs w:val="24"/>
                <w:lang w:eastAsia="zh-CN"/>
              </w:rPr>
            </w:pPr>
            <w:r w:rsidRPr="00412183">
              <w:rPr>
                <w:rFonts w:ascii="Book Antiqua" w:hAnsi="Book Antiqua"/>
                <w:b/>
                <w:i/>
                <w:sz w:val="24"/>
                <w:szCs w:val="24"/>
              </w:rPr>
              <w:t>P</w:t>
            </w:r>
            <w:r w:rsidR="00A13179">
              <w:rPr>
                <w:rFonts w:ascii="Book Antiqua" w:hAnsi="Book Antiqua" w:hint="eastAsia"/>
                <w:b/>
                <w:i/>
                <w:sz w:val="24"/>
                <w:szCs w:val="24"/>
                <w:lang w:eastAsia="zh-CN"/>
              </w:rPr>
              <w:t>-</w:t>
            </w:r>
            <w:r w:rsidR="00A13179" w:rsidRPr="00A13179">
              <w:rPr>
                <w:rFonts w:ascii="Book Antiqua" w:hAnsi="Book Antiqua" w:hint="eastAsia"/>
                <w:b/>
                <w:sz w:val="24"/>
                <w:szCs w:val="24"/>
                <w:lang w:eastAsia="zh-CN"/>
              </w:rPr>
              <w:t>value</w:t>
            </w:r>
          </w:p>
        </w:tc>
      </w:tr>
      <w:tr w:rsidR="005A7C98" w:rsidRPr="0086396D" w14:paraId="749C8864" w14:textId="77777777" w:rsidTr="00412183">
        <w:tc>
          <w:tcPr>
            <w:tcW w:w="2491" w:type="dxa"/>
            <w:tcBorders>
              <w:top w:val="single" w:sz="4" w:space="0" w:color="auto"/>
            </w:tcBorders>
          </w:tcPr>
          <w:p w14:paraId="157075A5" w14:textId="22FCDE36" w:rsidR="005A7C98" w:rsidRPr="0086396D" w:rsidRDefault="005A7C98" w:rsidP="005C7D8E">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Age, yr</w:t>
            </w:r>
          </w:p>
        </w:tc>
        <w:tc>
          <w:tcPr>
            <w:tcW w:w="2524" w:type="dxa"/>
            <w:tcBorders>
              <w:top w:val="single" w:sz="4" w:space="0" w:color="auto"/>
            </w:tcBorders>
          </w:tcPr>
          <w:p w14:paraId="165E063F"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Borders>
              <w:top w:val="single" w:sz="4" w:space="0" w:color="auto"/>
            </w:tcBorders>
          </w:tcPr>
          <w:p w14:paraId="3022676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46.0 (32.5-56.5)</w:t>
            </w:r>
          </w:p>
        </w:tc>
        <w:tc>
          <w:tcPr>
            <w:tcW w:w="1547" w:type="dxa"/>
            <w:tcBorders>
              <w:top w:val="single" w:sz="4" w:space="0" w:color="auto"/>
            </w:tcBorders>
          </w:tcPr>
          <w:p w14:paraId="32E6471E"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33.0 (28.0-52.0)</w:t>
            </w:r>
          </w:p>
        </w:tc>
        <w:tc>
          <w:tcPr>
            <w:tcW w:w="943" w:type="dxa"/>
            <w:tcBorders>
              <w:top w:val="single" w:sz="4" w:space="0" w:color="auto"/>
            </w:tcBorders>
          </w:tcPr>
          <w:p w14:paraId="47431C2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0.18</w:t>
            </w:r>
          </w:p>
        </w:tc>
      </w:tr>
      <w:tr w:rsidR="005A7C98" w:rsidRPr="0086396D" w14:paraId="70CA35AC" w14:textId="77777777" w:rsidTr="00412183">
        <w:tc>
          <w:tcPr>
            <w:tcW w:w="2491" w:type="dxa"/>
          </w:tcPr>
          <w:p w14:paraId="34295E50" w14:textId="4C255389"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Females</w:t>
            </w:r>
          </w:p>
        </w:tc>
        <w:tc>
          <w:tcPr>
            <w:tcW w:w="2524" w:type="dxa"/>
          </w:tcPr>
          <w:p w14:paraId="3213F1D0"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42308EB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7 (53.8)</w:t>
            </w:r>
          </w:p>
        </w:tc>
        <w:tc>
          <w:tcPr>
            <w:tcW w:w="1547" w:type="dxa"/>
          </w:tcPr>
          <w:p w14:paraId="5BE0716D"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 (57.1)</w:t>
            </w:r>
          </w:p>
        </w:tc>
        <w:tc>
          <w:tcPr>
            <w:tcW w:w="943" w:type="dxa"/>
          </w:tcPr>
          <w:p w14:paraId="4C6C461A"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1.00</w:t>
            </w:r>
          </w:p>
        </w:tc>
      </w:tr>
      <w:tr w:rsidR="005A7C98" w:rsidRPr="0086396D" w14:paraId="005DD5AE" w14:textId="77777777" w:rsidTr="00412183">
        <w:tc>
          <w:tcPr>
            <w:tcW w:w="2491" w:type="dxa"/>
          </w:tcPr>
          <w:p w14:paraId="187A0CB6" w14:textId="51C97A3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Current smoker</w:t>
            </w:r>
          </w:p>
        </w:tc>
        <w:tc>
          <w:tcPr>
            <w:tcW w:w="2524" w:type="dxa"/>
          </w:tcPr>
          <w:p w14:paraId="1D4653F2"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2E0F3CBD"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 (15.4)</w:t>
            </w:r>
          </w:p>
        </w:tc>
        <w:tc>
          <w:tcPr>
            <w:tcW w:w="1547" w:type="dxa"/>
          </w:tcPr>
          <w:p w14:paraId="1999DFA0"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 (0.0)</w:t>
            </w:r>
          </w:p>
        </w:tc>
        <w:tc>
          <w:tcPr>
            <w:tcW w:w="943" w:type="dxa"/>
          </w:tcPr>
          <w:p w14:paraId="3F24C31C"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0.52</w:t>
            </w:r>
          </w:p>
        </w:tc>
      </w:tr>
      <w:tr w:rsidR="005A7C98" w:rsidRPr="0086396D" w14:paraId="36CE2EFA" w14:textId="77777777" w:rsidTr="00412183">
        <w:tc>
          <w:tcPr>
            <w:tcW w:w="2491" w:type="dxa"/>
          </w:tcPr>
          <w:p w14:paraId="2ADB12C9" w14:textId="2E56C4D2"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 xml:space="preserve">Body mass index, </w:t>
            </w:r>
            <w:r w:rsidR="00412183" w:rsidRPr="0086396D">
              <w:rPr>
                <w:rFonts w:ascii="Book Antiqua" w:hAnsi="Book Antiqua"/>
                <w:sz w:val="24"/>
                <w:szCs w:val="24"/>
              </w:rPr>
              <w:t>k</w:t>
            </w:r>
            <w:r w:rsidRPr="0086396D">
              <w:rPr>
                <w:rFonts w:ascii="Book Antiqua" w:hAnsi="Book Antiqua"/>
                <w:sz w:val="24"/>
                <w:szCs w:val="24"/>
              </w:rPr>
              <w:t>g/m</w:t>
            </w:r>
            <w:r w:rsidRPr="0086396D">
              <w:rPr>
                <w:rFonts w:ascii="Book Antiqua" w:hAnsi="Book Antiqua"/>
                <w:sz w:val="24"/>
                <w:szCs w:val="24"/>
                <w:vertAlign w:val="superscript"/>
              </w:rPr>
              <w:t>2</w:t>
            </w:r>
          </w:p>
        </w:tc>
        <w:tc>
          <w:tcPr>
            <w:tcW w:w="2524" w:type="dxa"/>
          </w:tcPr>
          <w:p w14:paraId="316C60B2"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25C64CF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28.1 (25.3-32.7)</w:t>
            </w:r>
          </w:p>
        </w:tc>
        <w:tc>
          <w:tcPr>
            <w:tcW w:w="1547" w:type="dxa"/>
          </w:tcPr>
          <w:p w14:paraId="438300A3"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22.0 (20.3-22.8)</w:t>
            </w:r>
          </w:p>
        </w:tc>
        <w:tc>
          <w:tcPr>
            <w:tcW w:w="943" w:type="dxa"/>
          </w:tcPr>
          <w:p w14:paraId="13BC3872" w14:textId="5AD17195"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&lt;</w:t>
            </w:r>
            <w:r w:rsidR="00A13179">
              <w:rPr>
                <w:rFonts w:ascii="Book Antiqua" w:hAnsi="Book Antiqua" w:hint="eastAsia"/>
                <w:sz w:val="24"/>
                <w:szCs w:val="24"/>
                <w:lang w:eastAsia="zh-CN"/>
              </w:rPr>
              <w:t xml:space="preserve"> </w:t>
            </w:r>
            <w:r w:rsidRPr="0086396D">
              <w:rPr>
                <w:rFonts w:ascii="Book Antiqua" w:hAnsi="Book Antiqua"/>
                <w:sz w:val="24"/>
                <w:szCs w:val="24"/>
              </w:rPr>
              <w:t>0.01</w:t>
            </w:r>
          </w:p>
        </w:tc>
      </w:tr>
      <w:tr w:rsidR="005A7C98" w:rsidRPr="0086396D" w14:paraId="2A5E9B8D" w14:textId="77777777" w:rsidTr="00412183">
        <w:tc>
          <w:tcPr>
            <w:tcW w:w="2491" w:type="dxa"/>
          </w:tcPr>
          <w:p w14:paraId="1EED0430" w14:textId="39626639"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Overweight/obese</w:t>
            </w:r>
          </w:p>
        </w:tc>
        <w:tc>
          <w:tcPr>
            <w:tcW w:w="2524" w:type="dxa"/>
          </w:tcPr>
          <w:p w14:paraId="05C67757"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29DCE62D"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 (76.9)</w:t>
            </w:r>
          </w:p>
        </w:tc>
        <w:tc>
          <w:tcPr>
            <w:tcW w:w="1547" w:type="dxa"/>
          </w:tcPr>
          <w:p w14:paraId="1A770E3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 (14.3)</w:t>
            </w:r>
          </w:p>
        </w:tc>
        <w:tc>
          <w:tcPr>
            <w:tcW w:w="943" w:type="dxa"/>
          </w:tcPr>
          <w:p w14:paraId="6468FA7E"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0.02</w:t>
            </w:r>
          </w:p>
        </w:tc>
      </w:tr>
      <w:tr w:rsidR="005A7C98" w:rsidRPr="0086396D" w14:paraId="3DC3204F" w14:textId="77777777" w:rsidTr="00412183">
        <w:tc>
          <w:tcPr>
            <w:tcW w:w="2491" w:type="dxa"/>
          </w:tcPr>
          <w:p w14:paraId="0A8239A8"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Waist circumference, cm</w:t>
            </w:r>
          </w:p>
        </w:tc>
        <w:tc>
          <w:tcPr>
            <w:tcW w:w="2524" w:type="dxa"/>
          </w:tcPr>
          <w:p w14:paraId="40EA95CF"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0281ED63"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99.1 (84.4-105.3)</w:t>
            </w:r>
          </w:p>
        </w:tc>
        <w:tc>
          <w:tcPr>
            <w:tcW w:w="1547" w:type="dxa"/>
          </w:tcPr>
          <w:p w14:paraId="4D7C9182"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82.8 (70.1-89.0)</w:t>
            </w:r>
          </w:p>
        </w:tc>
        <w:tc>
          <w:tcPr>
            <w:tcW w:w="943" w:type="dxa"/>
          </w:tcPr>
          <w:p w14:paraId="3EE6F7F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0.03</w:t>
            </w:r>
          </w:p>
        </w:tc>
      </w:tr>
      <w:tr w:rsidR="005A7C98" w:rsidRPr="0086396D" w14:paraId="434BF1D8" w14:textId="77777777" w:rsidTr="00412183">
        <w:tc>
          <w:tcPr>
            <w:tcW w:w="2491" w:type="dxa"/>
          </w:tcPr>
          <w:p w14:paraId="01BB5A48"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Waist to height ratio</w:t>
            </w:r>
          </w:p>
        </w:tc>
        <w:tc>
          <w:tcPr>
            <w:tcW w:w="2524" w:type="dxa"/>
          </w:tcPr>
          <w:p w14:paraId="0B833EFF"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4514710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 (0.5-0.6)</w:t>
            </w:r>
          </w:p>
        </w:tc>
        <w:tc>
          <w:tcPr>
            <w:tcW w:w="1547" w:type="dxa"/>
          </w:tcPr>
          <w:p w14:paraId="3C406FA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 (0.4-0.5)</w:t>
            </w:r>
          </w:p>
        </w:tc>
        <w:tc>
          <w:tcPr>
            <w:tcW w:w="943" w:type="dxa"/>
          </w:tcPr>
          <w:p w14:paraId="0F080F9F"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0.02</w:t>
            </w:r>
          </w:p>
        </w:tc>
      </w:tr>
      <w:tr w:rsidR="005A7C98" w:rsidRPr="0086396D" w14:paraId="3E2CF6E7" w14:textId="77777777" w:rsidTr="00412183">
        <w:tc>
          <w:tcPr>
            <w:tcW w:w="2491" w:type="dxa"/>
          </w:tcPr>
          <w:p w14:paraId="5389D651"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Body fat percentage</w:t>
            </w:r>
          </w:p>
        </w:tc>
        <w:tc>
          <w:tcPr>
            <w:tcW w:w="2524" w:type="dxa"/>
          </w:tcPr>
          <w:p w14:paraId="69EFBC03"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2D0CB015"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35.8 (27.0-47.6)</w:t>
            </w:r>
          </w:p>
        </w:tc>
        <w:tc>
          <w:tcPr>
            <w:tcW w:w="1547" w:type="dxa"/>
          </w:tcPr>
          <w:p w14:paraId="5ACBEC2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29 (20.4-34.1)</w:t>
            </w:r>
          </w:p>
        </w:tc>
        <w:tc>
          <w:tcPr>
            <w:tcW w:w="943" w:type="dxa"/>
          </w:tcPr>
          <w:p w14:paraId="5C3025F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0.16</w:t>
            </w:r>
          </w:p>
        </w:tc>
      </w:tr>
      <w:tr w:rsidR="005A7C98" w:rsidRPr="0086396D" w14:paraId="331CFFA9" w14:textId="77777777" w:rsidTr="00412183">
        <w:tc>
          <w:tcPr>
            <w:tcW w:w="2491" w:type="dxa"/>
          </w:tcPr>
          <w:p w14:paraId="5E08E005" w14:textId="6CB3D201"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 xml:space="preserve">Fat mass, </w:t>
            </w:r>
            <w:r w:rsidR="00412183" w:rsidRPr="0086396D">
              <w:rPr>
                <w:rFonts w:ascii="Book Antiqua" w:hAnsi="Book Antiqua"/>
                <w:sz w:val="24"/>
                <w:szCs w:val="24"/>
              </w:rPr>
              <w:t>k</w:t>
            </w:r>
            <w:r w:rsidRPr="0086396D">
              <w:rPr>
                <w:rFonts w:ascii="Book Antiqua" w:hAnsi="Book Antiqua"/>
                <w:sz w:val="24"/>
                <w:szCs w:val="24"/>
              </w:rPr>
              <w:t>g</w:t>
            </w:r>
          </w:p>
        </w:tc>
        <w:tc>
          <w:tcPr>
            <w:tcW w:w="2524" w:type="dxa"/>
          </w:tcPr>
          <w:p w14:paraId="1587136F"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7A01473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34.1 (20.4-45.5)</w:t>
            </w:r>
          </w:p>
        </w:tc>
        <w:tc>
          <w:tcPr>
            <w:tcW w:w="1547" w:type="dxa"/>
          </w:tcPr>
          <w:p w14:paraId="1E15E42C"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20.1 (16.3-24.6)</w:t>
            </w:r>
          </w:p>
        </w:tc>
        <w:tc>
          <w:tcPr>
            <w:tcW w:w="943" w:type="dxa"/>
          </w:tcPr>
          <w:p w14:paraId="48DF21B5"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0.04</w:t>
            </w:r>
          </w:p>
        </w:tc>
      </w:tr>
      <w:tr w:rsidR="005A7C98" w:rsidRPr="0086396D" w14:paraId="0A0FD9AD" w14:textId="77777777" w:rsidTr="00412183">
        <w:tc>
          <w:tcPr>
            <w:tcW w:w="2491" w:type="dxa"/>
          </w:tcPr>
          <w:p w14:paraId="7A88C73D" w14:textId="34D24B25" w:rsidR="005A7C98" w:rsidRPr="0086396D" w:rsidRDefault="00412183" w:rsidP="005C7D8E">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Age at diagnosis, yr</w:t>
            </w:r>
          </w:p>
        </w:tc>
        <w:tc>
          <w:tcPr>
            <w:tcW w:w="2524" w:type="dxa"/>
          </w:tcPr>
          <w:p w14:paraId="6C506EFC"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64BEB51A"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26.0 (22.5-44.5)</w:t>
            </w:r>
          </w:p>
        </w:tc>
        <w:tc>
          <w:tcPr>
            <w:tcW w:w="1547" w:type="dxa"/>
          </w:tcPr>
          <w:p w14:paraId="03369485"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25.0 (17-29)</w:t>
            </w:r>
          </w:p>
        </w:tc>
        <w:tc>
          <w:tcPr>
            <w:tcW w:w="943" w:type="dxa"/>
          </w:tcPr>
          <w:p w14:paraId="5FEC5F4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0.39</w:t>
            </w:r>
          </w:p>
        </w:tc>
      </w:tr>
      <w:tr w:rsidR="005A7C98" w:rsidRPr="0086396D" w14:paraId="648CA406" w14:textId="77777777" w:rsidTr="00412183">
        <w:tc>
          <w:tcPr>
            <w:tcW w:w="2491" w:type="dxa"/>
          </w:tcPr>
          <w:p w14:paraId="1D1E72C7"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Months since last relapse</w:t>
            </w:r>
          </w:p>
        </w:tc>
        <w:tc>
          <w:tcPr>
            <w:tcW w:w="2524" w:type="dxa"/>
          </w:tcPr>
          <w:p w14:paraId="34260739"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1704" w:type="dxa"/>
          </w:tcPr>
          <w:p w14:paraId="31EFE1C3"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12.0 (4.5-33)</w:t>
            </w:r>
          </w:p>
        </w:tc>
        <w:tc>
          <w:tcPr>
            <w:tcW w:w="1547" w:type="dxa"/>
          </w:tcPr>
          <w:p w14:paraId="5AB4B753"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11.0 (6.0-40)</w:t>
            </w:r>
          </w:p>
        </w:tc>
        <w:tc>
          <w:tcPr>
            <w:tcW w:w="943" w:type="dxa"/>
          </w:tcPr>
          <w:p w14:paraId="61E9E1E9"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0.76</w:t>
            </w:r>
          </w:p>
        </w:tc>
      </w:tr>
      <w:tr w:rsidR="005A7C98" w:rsidRPr="0086396D" w14:paraId="1EFB70FF" w14:textId="77777777" w:rsidTr="00412183">
        <w:tc>
          <w:tcPr>
            <w:tcW w:w="2491" w:type="dxa"/>
          </w:tcPr>
          <w:p w14:paraId="027D681B" w14:textId="0299A329"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UC subtype</w:t>
            </w:r>
          </w:p>
        </w:tc>
        <w:tc>
          <w:tcPr>
            <w:tcW w:w="2524" w:type="dxa"/>
          </w:tcPr>
          <w:p w14:paraId="200F72D5"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Proctitis</w:t>
            </w:r>
          </w:p>
        </w:tc>
        <w:tc>
          <w:tcPr>
            <w:tcW w:w="1704" w:type="dxa"/>
          </w:tcPr>
          <w:p w14:paraId="0BB51081"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 (7.7)</w:t>
            </w:r>
          </w:p>
        </w:tc>
        <w:tc>
          <w:tcPr>
            <w:tcW w:w="1547" w:type="dxa"/>
          </w:tcPr>
          <w:p w14:paraId="3C46D50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 (14.3)</w:t>
            </w:r>
          </w:p>
        </w:tc>
        <w:tc>
          <w:tcPr>
            <w:tcW w:w="943" w:type="dxa"/>
          </w:tcPr>
          <w:p w14:paraId="0467D8F9" w14:textId="77777777" w:rsidR="005A7C98" w:rsidRPr="0086396D" w:rsidRDefault="005A7C98" w:rsidP="005C7D8E">
            <w:pPr>
              <w:adjustRightInd w:val="0"/>
              <w:snapToGrid w:val="0"/>
              <w:spacing w:line="360" w:lineRule="auto"/>
              <w:jc w:val="both"/>
              <w:rPr>
                <w:rFonts w:ascii="Book Antiqua" w:hAnsi="Book Antiqua"/>
                <w:sz w:val="24"/>
                <w:szCs w:val="24"/>
              </w:rPr>
            </w:pPr>
          </w:p>
        </w:tc>
      </w:tr>
      <w:tr w:rsidR="005A7C98" w:rsidRPr="0086396D" w14:paraId="2C69BC09" w14:textId="77777777" w:rsidTr="00412183">
        <w:tc>
          <w:tcPr>
            <w:tcW w:w="2491" w:type="dxa"/>
          </w:tcPr>
          <w:p w14:paraId="2F2AA461"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2524" w:type="dxa"/>
          </w:tcPr>
          <w:p w14:paraId="11F0EA7E"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Left-sided</w:t>
            </w:r>
          </w:p>
        </w:tc>
        <w:tc>
          <w:tcPr>
            <w:tcW w:w="1704" w:type="dxa"/>
          </w:tcPr>
          <w:p w14:paraId="6260A1AA"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 (30.8)</w:t>
            </w:r>
          </w:p>
        </w:tc>
        <w:tc>
          <w:tcPr>
            <w:tcW w:w="1547" w:type="dxa"/>
          </w:tcPr>
          <w:p w14:paraId="3026D1F2"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 (42.9)</w:t>
            </w:r>
          </w:p>
        </w:tc>
        <w:tc>
          <w:tcPr>
            <w:tcW w:w="943" w:type="dxa"/>
          </w:tcPr>
          <w:p w14:paraId="5C510CED"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0.71</w:t>
            </w:r>
          </w:p>
        </w:tc>
      </w:tr>
      <w:tr w:rsidR="005A7C98" w:rsidRPr="0086396D" w14:paraId="3C7A8536" w14:textId="77777777" w:rsidTr="00412183">
        <w:tc>
          <w:tcPr>
            <w:tcW w:w="2491" w:type="dxa"/>
          </w:tcPr>
          <w:p w14:paraId="6F5F7A3C"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2524" w:type="dxa"/>
          </w:tcPr>
          <w:p w14:paraId="3CE14F40"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Pancolitis</w:t>
            </w:r>
          </w:p>
        </w:tc>
        <w:tc>
          <w:tcPr>
            <w:tcW w:w="1704" w:type="dxa"/>
          </w:tcPr>
          <w:p w14:paraId="2AAA230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8 (61.5)</w:t>
            </w:r>
          </w:p>
        </w:tc>
        <w:tc>
          <w:tcPr>
            <w:tcW w:w="1547" w:type="dxa"/>
          </w:tcPr>
          <w:p w14:paraId="5C0F19D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 (42.9)</w:t>
            </w:r>
          </w:p>
        </w:tc>
        <w:tc>
          <w:tcPr>
            <w:tcW w:w="943" w:type="dxa"/>
          </w:tcPr>
          <w:p w14:paraId="4A5F1376" w14:textId="77777777" w:rsidR="005A7C98" w:rsidRPr="0086396D" w:rsidRDefault="005A7C98" w:rsidP="005C7D8E">
            <w:pPr>
              <w:adjustRightInd w:val="0"/>
              <w:snapToGrid w:val="0"/>
              <w:spacing w:line="360" w:lineRule="auto"/>
              <w:jc w:val="both"/>
              <w:rPr>
                <w:rFonts w:ascii="Book Antiqua" w:hAnsi="Book Antiqua"/>
                <w:sz w:val="24"/>
                <w:szCs w:val="24"/>
              </w:rPr>
            </w:pPr>
          </w:p>
        </w:tc>
      </w:tr>
      <w:tr w:rsidR="005A7C98" w:rsidRPr="0086396D" w14:paraId="4FD76D53" w14:textId="77777777" w:rsidTr="00A13179">
        <w:tc>
          <w:tcPr>
            <w:tcW w:w="2491" w:type="dxa"/>
          </w:tcPr>
          <w:p w14:paraId="43553F4F" w14:textId="5B1511C4"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Medication</w:t>
            </w:r>
          </w:p>
        </w:tc>
        <w:tc>
          <w:tcPr>
            <w:tcW w:w="2524" w:type="dxa"/>
          </w:tcPr>
          <w:p w14:paraId="386A999C"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5-ASA</w:t>
            </w:r>
          </w:p>
        </w:tc>
        <w:tc>
          <w:tcPr>
            <w:tcW w:w="1704" w:type="dxa"/>
          </w:tcPr>
          <w:p w14:paraId="6C93BC5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9 (69.2)</w:t>
            </w:r>
          </w:p>
        </w:tc>
        <w:tc>
          <w:tcPr>
            <w:tcW w:w="1547" w:type="dxa"/>
          </w:tcPr>
          <w:p w14:paraId="7AACC75E"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 (57.1)</w:t>
            </w:r>
          </w:p>
        </w:tc>
        <w:tc>
          <w:tcPr>
            <w:tcW w:w="943" w:type="dxa"/>
          </w:tcPr>
          <w:p w14:paraId="51694DB8"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0.65</w:t>
            </w:r>
          </w:p>
        </w:tc>
      </w:tr>
      <w:tr w:rsidR="005A7C98" w:rsidRPr="0086396D" w14:paraId="4CA9C197" w14:textId="77777777" w:rsidTr="00412183">
        <w:tc>
          <w:tcPr>
            <w:tcW w:w="2491" w:type="dxa"/>
          </w:tcPr>
          <w:p w14:paraId="1689EF0F"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2524" w:type="dxa"/>
          </w:tcPr>
          <w:p w14:paraId="44A4C720"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Immunosuppressants</w:t>
            </w:r>
          </w:p>
        </w:tc>
        <w:tc>
          <w:tcPr>
            <w:tcW w:w="1704" w:type="dxa"/>
          </w:tcPr>
          <w:p w14:paraId="0077E4B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 (30.8)</w:t>
            </w:r>
          </w:p>
        </w:tc>
        <w:tc>
          <w:tcPr>
            <w:tcW w:w="1547" w:type="dxa"/>
          </w:tcPr>
          <w:p w14:paraId="128D8B36"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 (28.6)</w:t>
            </w:r>
          </w:p>
        </w:tc>
        <w:tc>
          <w:tcPr>
            <w:tcW w:w="943" w:type="dxa"/>
          </w:tcPr>
          <w:p w14:paraId="5B224479"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1.00</w:t>
            </w:r>
          </w:p>
        </w:tc>
      </w:tr>
      <w:tr w:rsidR="005A7C98" w:rsidRPr="0086396D" w14:paraId="402A594E" w14:textId="77777777" w:rsidTr="00A13179">
        <w:tc>
          <w:tcPr>
            <w:tcW w:w="2491" w:type="dxa"/>
            <w:tcBorders>
              <w:bottom w:val="single" w:sz="4" w:space="0" w:color="auto"/>
            </w:tcBorders>
          </w:tcPr>
          <w:p w14:paraId="2774A81B" w14:textId="77777777" w:rsidR="005A7C98" w:rsidRPr="0086396D" w:rsidRDefault="005A7C98" w:rsidP="005C7D8E">
            <w:pPr>
              <w:adjustRightInd w:val="0"/>
              <w:snapToGrid w:val="0"/>
              <w:spacing w:line="360" w:lineRule="auto"/>
              <w:jc w:val="both"/>
              <w:rPr>
                <w:rFonts w:ascii="Book Antiqua" w:hAnsi="Book Antiqua"/>
                <w:sz w:val="24"/>
                <w:szCs w:val="24"/>
              </w:rPr>
            </w:pPr>
          </w:p>
        </w:tc>
        <w:tc>
          <w:tcPr>
            <w:tcW w:w="2524" w:type="dxa"/>
            <w:tcBorders>
              <w:bottom w:val="single" w:sz="4" w:space="0" w:color="auto"/>
            </w:tcBorders>
          </w:tcPr>
          <w:p w14:paraId="4161DD04"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No medication</w:t>
            </w:r>
          </w:p>
        </w:tc>
        <w:tc>
          <w:tcPr>
            <w:tcW w:w="1704" w:type="dxa"/>
            <w:tcBorders>
              <w:bottom w:val="single" w:sz="4" w:space="0" w:color="auto"/>
            </w:tcBorders>
          </w:tcPr>
          <w:p w14:paraId="6268A7AF"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 (23.1)</w:t>
            </w:r>
          </w:p>
        </w:tc>
        <w:tc>
          <w:tcPr>
            <w:tcW w:w="1547" w:type="dxa"/>
            <w:tcBorders>
              <w:bottom w:val="single" w:sz="4" w:space="0" w:color="auto"/>
            </w:tcBorders>
          </w:tcPr>
          <w:p w14:paraId="63F5DE7B"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 (14.3)</w:t>
            </w:r>
          </w:p>
        </w:tc>
        <w:tc>
          <w:tcPr>
            <w:tcW w:w="943" w:type="dxa"/>
            <w:tcBorders>
              <w:bottom w:val="single" w:sz="4" w:space="0" w:color="auto"/>
            </w:tcBorders>
          </w:tcPr>
          <w:p w14:paraId="6A6502D3" w14:textId="77777777" w:rsidR="005A7C98" w:rsidRPr="0086396D" w:rsidRDefault="005A7C98"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1.00</w:t>
            </w:r>
          </w:p>
        </w:tc>
      </w:tr>
    </w:tbl>
    <w:p w14:paraId="5AC7FF5B" w14:textId="68E52A7D" w:rsidR="005A7C98" w:rsidRPr="0086396D" w:rsidRDefault="00A13179" w:rsidP="005C7D8E">
      <w:pPr>
        <w:adjustRightInd w:val="0"/>
        <w:snapToGrid w:val="0"/>
        <w:spacing w:after="0" w:line="360" w:lineRule="auto"/>
        <w:jc w:val="both"/>
        <w:rPr>
          <w:rFonts w:ascii="Book Antiqua" w:hAnsi="Book Antiqua"/>
          <w:sz w:val="24"/>
          <w:szCs w:val="24"/>
          <w:lang w:eastAsia="zh-CN" w:bidi="fa-IR"/>
        </w:rPr>
      </w:pPr>
      <w:r w:rsidRPr="0086396D">
        <w:rPr>
          <w:rFonts w:ascii="Book Antiqua" w:hAnsi="Book Antiqua"/>
          <w:sz w:val="24"/>
          <w:szCs w:val="24"/>
          <w:lang w:bidi="fa-IR"/>
        </w:rPr>
        <w:lastRenderedPageBreak/>
        <w:t>Numerical variables are presented as median (interquartile range)</w:t>
      </w:r>
      <w:r>
        <w:rPr>
          <w:rFonts w:ascii="Book Antiqua" w:hAnsi="Book Antiqua" w:hint="eastAsia"/>
          <w:sz w:val="24"/>
          <w:szCs w:val="24"/>
          <w:lang w:eastAsia="zh-CN" w:bidi="fa-IR"/>
        </w:rPr>
        <w:t xml:space="preserve">. </w:t>
      </w:r>
      <w:r w:rsidR="005A7C98" w:rsidRPr="0086396D">
        <w:rPr>
          <w:rFonts w:ascii="Book Antiqua" w:hAnsi="Book Antiqua"/>
          <w:sz w:val="24"/>
          <w:szCs w:val="24"/>
          <w:lang w:bidi="fa-IR"/>
        </w:rPr>
        <w:t xml:space="preserve">UC: </w:t>
      </w:r>
      <w:r w:rsidR="005A7C98" w:rsidRPr="00A13179">
        <w:rPr>
          <w:rFonts w:ascii="Book Antiqua" w:hAnsi="Book Antiqua"/>
          <w:caps/>
          <w:sz w:val="24"/>
          <w:szCs w:val="24"/>
          <w:lang w:bidi="fa-IR"/>
        </w:rPr>
        <w:t>u</w:t>
      </w:r>
      <w:r w:rsidR="005A7C98" w:rsidRPr="0086396D">
        <w:rPr>
          <w:rFonts w:ascii="Book Antiqua" w:hAnsi="Book Antiqua"/>
          <w:sz w:val="24"/>
          <w:szCs w:val="24"/>
          <w:lang w:bidi="fa-IR"/>
        </w:rPr>
        <w:t>lcerative colitis</w:t>
      </w:r>
      <w:r>
        <w:rPr>
          <w:rFonts w:ascii="Book Antiqua" w:hAnsi="Book Antiqua" w:hint="eastAsia"/>
          <w:sz w:val="24"/>
          <w:szCs w:val="24"/>
          <w:lang w:eastAsia="zh-CN" w:bidi="fa-IR"/>
        </w:rPr>
        <w:t>.</w:t>
      </w:r>
    </w:p>
    <w:p w14:paraId="459C3793" w14:textId="0D070597" w:rsidR="00A13179" w:rsidRDefault="00A13179" w:rsidP="005C7D8E">
      <w:pPr>
        <w:adjustRightInd w:val="0"/>
        <w:snapToGrid w:val="0"/>
        <w:spacing w:after="0" w:line="360" w:lineRule="auto"/>
        <w:jc w:val="both"/>
        <w:rPr>
          <w:rFonts w:ascii="Book Antiqua" w:hAnsi="Book Antiqua"/>
          <w:b/>
          <w:bCs/>
          <w:sz w:val="24"/>
          <w:szCs w:val="24"/>
        </w:rPr>
      </w:pPr>
      <w:r>
        <w:rPr>
          <w:rFonts w:ascii="Book Antiqua" w:hAnsi="Book Antiqua"/>
          <w:b/>
          <w:bCs/>
          <w:sz w:val="24"/>
          <w:szCs w:val="24"/>
        </w:rPr>
        <w:br w:type="page"/>
      </w:r>
    </w:p>
    <w:p w14:paraId="4CB021F3" w14:textId="33DA3940" w:rsidR="00FE3B52" w:rsidRPr="00A13179" w:rsidRDefault="00A13179" w:rsidP="005C7D8E">
      <w:pPr>
        <w:adjustRightInd w:val="0"/>
        <w:snapToGrid w:val="0"/>
        <w:spacing w:after="0" w:line="360" w:lineRule="auto"/>
        <w:jc w:val="both"/>
        <w:rPr>
          <w:rFonts w:ascii="Book Antiqua" w:hAnsi="Book Antiqua"/>
          <w:b/>
          <w:sz w:val="24"/>
          <w:szCs w:val="24"/>
          <w:lang w:eastAsia="zh-CN"/>
        </w:rPr>
      </w:pPr>
      <w:r w:rsidRPr="00A13179">
        <w:rPr>
          <w:rFonts w:ascii="Book Antiqua" w:hAnsi="Book Antiqua"/>
          <w:b/>
          <w:bCs/>
          <w:sz w:val="24"/>
          <w:szCs w:val="24"/>
        </w:rPr>
        <w:lastRenderedPageBreak/>
        <w:t>Table 2</w:t>
      </w:r>
      <w:r w:rsidR="00FE3B52" w:rsidRPr="00A13179">
        <w:rPr>
          <w:rFonts w:ascii="Book Antiqua" w:hAnsi="Book Antiqua"/>
          <w:b/>
          <w:sz w:val="24"/>
          <w:szCs w:val="24"/>
        </w:rPr>
        <w:t xml:space="preserve"> Dietary intake of nutrients and food groups at baseline in ulcerative colitis patients with and without clinical relapse</w:t>
      </w:r>
      <w:r w:rsidR="00FE3B52" w:rsidRPr="00A13179">
        <w:rPr>
          <w:rFonts w:ascii="Book Antiqua" w:hAnsi="Book Antiqua"/>
          <w:b/>
          <w:sz w:val="24"/>
          <w:szCs w:val="24"/>
          <w:vertAlign w:val="superscript"/>
        </w:rPr>
        <w:t>1</w:t>
      </w:r>
      <w:r w:rsidRPr="00A13179">
        <w:rPr>
          <w:rFonts w:ascii="Book Antiqua" w:hAnsi="Book Antiqua"/>
          <w:b/>
          <w:sz w:val="24"/>
          <w:szCs w:val="24"/>
          <w:vertAlign w:val="superscript"/>
        </w:rPr>
        <w:t>,</w:t>
      </w:r>
      <w:r w:rsidR="00F32B3B" w:rsidRPr="00A13179">
        <w:rPr>
          <w:rFonts w:ascii="Book Antiqua" w:hAnsi="Book Antiqua"/>
          <w:b/>
          <w:sz w:val="24"/>
          <w:szCs w:val="24"/>
          <w:vertAlign w:val="superscript"/>
        </w:rPr>
        <w:t>2</w:t>
      </w:r>
    </w:p>
    <w:tbl>
      <w:tblPr>
        <w:tblStyle w:val="TableGrid"/>
        <w:tblW w:w="10491"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988"/>
        <w:gridCol w:w="2216"/>
        <w:gridCol w:w="2778"/>
        <w:gridCol w:w="2761"/>
        <w:gridCol w:w="896"/>
      </w:tblGrid>
      <w:tr w:rsidR="005D5D25" w:rsidRPr="0086396D" w14:paraId="7A2602A3" w14:textId="77777777" w:rsidTr="009968B0">
        <w:tc>
          <w:tcPr>
            <w:tcW w:w="1841" w:type="dxa"/>
            <w:gridSpan w:val="2"/>
            <w:tcBorders>
              <w:top w:val="single" w:sz="4" w:space="0" w:color="auto"/>
              <w:bottom w:val="nil"/>
            </w:tcBorders>
          </w:tcPr>
          <w:p w14:paraId="1C1347A3" w14:textId="77777777" w:rsidR="005D5D25" w:rsidRPr="005D5D25" w:rsidRDefault="005D5D25" w:rsidP="005C7D8E">
            <w:pPr>
              <w:adjustRightInd w:val="0"/>
              <w:snapToGrid w:val="0"/>
              <w:spacing w:line="360" w:lineRule="auto"/>
              <w:jc w:val="both"/>
              <w:rPr>
                <w:rFonts w:ascii="Book Antiqua" w:hAnsi="Book Antiqua"/>
                <w:b/>
                <w:sz w:val="24"/>
                <w:szCs w:val="24"/>
              </w:rPr>
            </w:pPr>
          </w:p>
        </w:tc>
        <w:tc>
          <w:tcPr>
            <w:tcW w:w="2220" w:type="dxa"/>
            <w:tcBorders>
              <w:top w:val="single" w:sz="4" w:space="0" w:color="auto"/>
              <w:bottom w:val="nil"/>
            </w:tcBorders>
          </w:tcPr>
          <w:p w14:paraId="2AB00252" w14:textId="77777777" w:rsidR="005D5D25" w:rsidRPr="005D5D25" w:rsidRDefault="005D5D25" w:rsidP="005C7D8E">
            <w:pPr>
              <w:adjustRightInd w:val="0"/>
              <w:snapToGrid w:val="0"/>
              <w:spacing w:line="360" w:lineRule="auto"/>
              <w:jc w:val="both"/>
              <w:rPr>
                <w:rFonts w:ascii="Book Antiqua" w:hAnsi="Book Antiqua"/>
                <w:b/>
                <w:sz w:val="24"/>
                <w:szCs w:val="24"/>
              </w:rPr>
            </w:pPr>
          </w:p>
        </w:tc>
        <w:tc>
          <w:tcPr>
            <w:tcW w:w="5548" w:type="dxa"/>
            <w:gridSpan w:val="2"/>
            <w:tcBorders>
              <w:top w:val="single" w:sz="4" w:space="0" w:color="auto"/>
              <w:bottom w:val="single" w:sz="4" w:space="0" w:color="auto"/>
            </w:tcBorders>
          </w:tcPr>
          <w:p w14:paraId="201632D4" w14:textId="78412670" w:rsidR="005D5D25" w:rsidRPr="005D5D25" w:rsidRDefault="005D5D25"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Patient groups</w:t>
            </w:r>
          </w:p>
        </w:tc>
        <w:tc>
          <w:tcPr>
            <w:tcW w:w="882" w:type="dxa"/>
            <w:vMerge w:val="restart"/>
            <w:tcBorders>
              <w:top w:val="single" w:sz="4" w:space="0" w:color="auto"/>
            </w:tcBorders>
          </w:tcPr>
          <w:p w14:paraId="0EA8BB4C" w14:textId="5A7E460E" w:rsidR="005D5D25" w:rsidRPr="005D5D25" w:rsidRDefault="005D5D25" w:rsidP="005C7D8E">
            <w:pPr>
              <w:adjustRightInd w:val="0"/>
              <w:snapToGrid w:val="0"/>
              <w:spacing w:line="360" w:lineRule="auto"/>
              <w:jc w:val="both"/>
              <w:rPr>
                <w:rFonts w:ascii="Book Antiqua" w:hAnsi="Book Antiqua"/>
                <w:b/>
                <w:sz w:val="24"/>
                <w:szCs w:val="24"/>
              </w:rPr>
            </w:pPr>
            <w:r w:rsidRPr="005D5D25">
              <w:rPr>
                <w:rFonts w:ascii="Book Antiqua" w:hAnsi="Book Antiqua"/>
                <w:b/>
                <w:i/>
                <w:sz w:val="24"/>
                <w:szCs w:val="24"/>
              </w:rPr>
              <w:t>P</w:t>
            </w:r>
            <w:r w:rsidRPr="005D5D25">
              <w:rPr>
                <w:rFonts w:ascii="Book Antiqua" w:hAnsi="Book Antiqua" w:hint="eastAsia"/>
                <w:b/>
                <w:sz w:val="24"/>
                <w:szCs w:val="24"/>
                <w:lang w:eastAsia="zh-CN"/>
              </w:rPr>
              <w:t>-value</w:t>
            </w:r>
            <w:r w:rsidRPr="005D5D25">
              <w:rPr>
                <w:rFonts w:ascii="Book Antiqua" w:hAnsi="Book Antiqua"/>
                <w:b/>
                <w:sz w:val="24"/>
                <w:szCs w:val="24"/>
                <w:vertAlign w:val="superscript"/>
              </w:rPr>
              <w:t>3</w:t>
            </w:r>
          </w:p>
        </w:tc>
      </w:tr>
      <w:tr w:rsidR="005D5D25" w:rsidRPr="0086396D" w14:paraId="6EBBCD11" w14:textId="77777777" w:rsidTr="009968B0">
        <w:tc>
          <w:tcPr>
            <w:tcW w:w="1841" w:type="dxa"/>
            <w:gridSpan w:val="2"/>
            <w:tcBorders>
              <w:top w:val="nil"/>
              <w:bottom w:val="single" w:sz="4" w:space="0" w:color="auto"/>
            </w:tcBorders>
          </w:tcPr>
          <w:p w14:paraId="1F40119E" w14:textId="77777777" w:rsidR="005D5D25" w:rsidRPr="005D5D25" w:rsidRDefault="005D5D25" w:rsidP="005C7D8E">
            <w:pPr>
              <w:adjustRightInd w:val="0"/>
              <w:snapToGrid w:val="0"/>
              <w:spacing w:line="360" w:lineRule="auto"/>
              <w:jc w:val="both"/>
              <w:rPr>
                <w:rFonts w:ascii="Book Antiqua" w:hAnsi="Book Antiqua"/>
                <w:b/>
                <w:sz w:val="24"/>
                <w:szCs w:val="24"/>
              </w:rPr>
            </w:pPr>
          </w:p>
        </w:tc>
        <w:tc>
          <w:tcPr>
            <w:tcW w:w="2220" w:type="dxa"/>
            <w:tcBorders>
              <w:top w:val="nil"/>
              <w:bottom w:val="single" w:sz="4" w:space="0" w:color="auto"/>
            </w:tcBorders>
          </w:tcPr>
          <w:p w14:paraId="77F08B2C" w14:textId="77777777" w:rsidR="005D5D25" w:rsidRPr="005D5D25" w:rsidRDefault="005D5D25" w:rsidP="005C7D8E">
            <w:pPr>
              <w:adjustRightInd w:val="0"/>
              <w:snapToGrid w:val="0"/>
              <w:spacing w:line="360" w:lineRule="auto"/>
              <w:jc w:val="both"/>
              <w:rPr>
                <w:rFonts w:ascii="Book Antiqua" w:hAnsi="Book Antiqua"/>
                <w:b/>
                <w:sz w:val="24"/>
                <w:szCs w:val="24"/>
              </w:rPr>
            </w:pPr>
          </w:p>
        </w:tc>
        <w:tc>
          <w:tcPr>
            <w:tcW w:w="2782" w:type="dxa"/>
            <w:tcBorders>
              <w:top w:val="single" w:sz="4" w:space="0" w:color="auto"/>
              <w:bottom w:val="single" w:sz="4" w:space="0" w:color="auto"/>
            </w:tcBorders>
          </w:tcPr>
          <w:p w14:paraId="621820B3" w14:textId="5D3D7E9C" w:rsidR="005D5D25" w:rsidRPr="005D5D25" w:rsidRDefault="005D5D25"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Remission (</w:t>
            </w:r>
            <w:r w:rsidRPr="005D5D25">
              <w:rPr>
                <w:rFonts w:ascii="Book Antiqua" w:hAnsi="Book Antiqua"/>
                <w:b/>
                <w:i/>
                <w:sz w:val="24"/>
                <w:szCs w:val="24"/>
              </w:rPr>
              <w:t xml:space="preserve">n = </w:t>
            </w:r>
            <w:r w:rsidRPr="005D5D25">
              <w:rPr>
                <w:rFonts w:ascii="Book Antiqua" w:hAnsi="Book Antiqua"/>
                <w:b/>
                <w:sz w:val="24"/>
                <w:szCs w:val="24"/>
              </w:rPr>
              <w:t>13)</w:t>
            </w:r>
          </w:p>
        </w:tc>
        <w:tc>
          <w:tcPr>
            <w:tcW w:w="2766" w:type="dxa"/>
            <w:tcBorders>
              <w:top w:val="single" w:sz="4" w:space="0" w:color="auto"/>
              <w:bottom w:val="single" w:sz="4" w:space="0" w:color="auto"/>
            </w:tcBorders>
          </w:tcPr>
          <w:p w14:paraId="52AB6DD6" w14:textId="7697E339" w:rsidR="005D5D25" w:rsidRPr="005D5D25" w:rsidRDefault="005D5D25"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Relapse (</w:t>
            </w:r>
            <w:r w:rsidRPr="005D5D25">
              <w:rPr>
                <w:rFonts w:ascii="Book Antiqua" w:hAnsi="Book Antiqua"/>
                <w:b/>
                <w:i/>
                <w:sz w:val="24"/>
                <w:szCs w:val="24"/>
              </w:rPr>
              <w:t xml:space="preserve">n = </w:t>
            </w:r>
            <w:r w:rsidRPr="005D5D25">
              <w:rPr>
                <w:rFonts w:ascii="Book Antiqua" w:hAnsi="Book Antiqua"/>
                <w:b/>
                <w:sz w:val="24"/>
                <w:szCs w:val="24"/>
              </w:rPr>
              <w:t>7)</w:t>
            </w:r>
          </w:p>
        </w:tc>
        <w:tc>
          <w:tcPr>
            <w:tcW w:w="882" w:type="dxa"/>
            <w:vMerge/>
            <w:tcBorders>
              <w:bottom w:val="single" w:sz="4" w:space="0" w:color="auto"/>
            </w:tcBorders>
          </w:tcPr>
          <w:p w14:paraId="15A1796B" w14:textId="77777777" w:rsidR="005D5D25" w:rsidRPr="0086396D" w:rsidRDefault="005D5D25" w:rsidP="005C7D8E">
            <w:pPr>
              <w:adjustRightInd w:val="0"/>
              <w:snapToGrid w:val="0"/>
              <w:spacing w:line="360" w:lineRule="auto"/>
              <w:jc w:val="both"/>
              <w:rPr>
                <w:rFonts w:ascii="Book Antiqua" w:hAnsi="Book Antiqua"/>
                <w:sz w:val="24"/>
                <w:szCs w:val="24"/>
              </w:rPr>
            </w:pPr>
          </w:p>
        </w:tc>
      </w:tr>
      <w:tr w:rsidR="00FE3B52" w:rsidRPr="0086396D" w14:paraId="6F7A6315" w14:textId="77777777" w:rsidTr="005D5D25">
        <w:tc>
          <w:tcPr>
            <w:tcW w:w="1841" w:type="dxa"/>
            <w:gridSpan w:val="2"/>
            <w:tcBorders>
              <w:top w:val="single" w:sz="4" w:space="0" w:color="auto"/>
            </w:tcBorders>
          </w:tcPr>
          <w:p w14:paraId="35B7052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Energy (Kcal/d)</w:t>
            </w:r>
          </w:p>
        </w:tc>
        <w:tc>
          <w:tcPr>
            <w:tcW w:w="2220" w:type="dxa"/>
            <w:tcBorders>
              <w:top w:val="single" w:sz="4" w:space="0" w:color="auto"/>
            </w:tcBorders>
          </w:tcPr>
          <w:p w14:paraId="494D8C4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782" w:type="dxa"/>
            <w:tcBorders>
              <w:top w:val="single" w:sz="4" w:space="0" w:color="auto"/>
            </w:tcBorders>
          </w:tcPr>
          <w:p w14:paraId="3F0C255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1530.8 (1258.3-2121.4)</w:t>
            </w:r>
          </w:p>
        </w:tc>
        <w:tc>
          <w:tcPr>
            <w:tcW w:w="2766" w:type="dxa"/>
            <w:tcBorders>
              <w:top w:val="single" w:sz="4" w:space="0" w:color="auto"/>
            </w:tcBorders>
          </w:tcPr>
          <w:p w14:paraId="50022DE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1820.2 (1430.8-2337.1)</w:t>
            </w:r>
          </w:p>
        </w:tc>
        <w:tc>
          <w:tcPr>
            <w:tcW w:w="882" w:type="dxa"/>
            <w:tcBorders>
              <w:top w:val="single" w:sz="4" w:space="0" w:color="auto"/>
            </w:tcBorders>
          </w:tcPr>
          <w:p w14:paraId="7EA733C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0.70</w:t>
            </w:r>
          </w:p>
        </w:tc>
      </w:tr>
      <w:tr w:rsidR="00FE3B52" w:rsidRPr="0086396D" w14:paraId="03DF23B3" w14:textId="77777777" w:rsidTr="005D5D25">
        <w:tc>
          <w:tcPr>
            <w:tcW w:w="1841" w:type="dxa"/>
            <w:gridSpan w:val="2"/>
          </w:tcPr>
          <w:p w14:paraId="45381E5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Nutrients</w:t>
            </w:r>
          </w:p>
        </w:tc>
        <w:tc>
          <w:tcPr>
            <w:tcW w:w="2220" w:type="dxa"/>
          </w:tcPr>
          <w:p w14:paraId="14F0668B"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782" w:type="dxa"/>
          </w:tcPr>
          <w:p w14:paraId="659A96CB"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766" w:type="dxa"/>
          </w:tcPr>
          <w:p w14:paraId="7697E1B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882" w:type="dxa"/>
          </w:tcPr>
          <w:p w14:paraId="3BBAAF2D" w14:textId="77777777" w:rsidR="00FE3B52" w:rsidRPr="0086396D" w:rsidRDefault="00FE3B52" w:rsidP="005C7D8E">
            <w:pPr>
              <w:adjustRightInd w:val="0"/>
              <w:snapToGrid w:val="0"/>
              <w:spacing w:line="360" w:lineRule="auto"/>
              <w:jc w:val="both"/>
              <w:rPr>
                <w:rFonts w:ascii="Book Antiqua" w:hAnsi="Book Antiqua"/>
                <w:sz w:val="24"/>
                <w:szCs w:val="24"/>
              </w:rPr>
            </w:pPr>
          </w:p>
        </w:tc>
      </w:tr>
      <w:tr w:rsidR="00FE3B52" w:rsidRPr="0086396D" w14:paraId="7B8A30A2" w14:textId="77777777" w:rsidTr="005D5D25">
        <w:tc>
          <w:tcPr>
            <w:tcW w:w="852" w:type="dxa"/>
          </w:tcPr>
          <w:p w14:paraId="22692F0B"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383E887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Carbohydrate (g/d)</w:t>
            </w:r>
          </w:p>
        </w:tc>
        <w:tc>
          <w:tcPr>
            <w:tcW w:w="2782" w:type="dxa"/>
          </w:tcPr>
          <w:p w14:paraId="52073F4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229.6 (217.0-253.4)</w:t>
            </w:r>
          </w:p>
        </w:tc>
        <w:tc>
          <w:tcPr>
            <w:tcW w:w="2766" w:type="dxa"/>
          </w:tcPr>
          <w:p w14:paraId="7B12BFF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201.5 (156.4-237.1)</w:t>
            </w:r>
          </w:p>
        </w:tc>
        <w:tc>
          <w:tcPr>
            <w:tcW w:w="882" w:type="dxa"/>
          </w:tcPr>
          <w:p w14:paraId="195C0DC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0.21</w:t>
            </w:r>
          </w:p>
        </w:tc>
      </w:tr>
      <w:tr w:rsidR="00FE3B52" w:rsidRPr="0086396D" w14:paraId="61C82B03" w14:textId="77777777" w:rsidTr="005D5D25">
        <w:tc>
          <w:tcPr>
            <w:tcW w:w="852" w:type="dxa"/>
          </w:tcPr>
          <w:p w14:paraId="7F78BBC5"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5C87DC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Protein (g/d)</w:t>
            </w:r>
          </w:p>
        </w:tc>
        <w:tc>
          <w:tcPr>
            <w:tcW w:w="2782" w:type="dxa"/>
          </w:tcPr>
          <w:p w14:paraId="078D6BC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61.6 (55.0-74.9)</w:t>
            </w:r>
          </w:p>
        </w:tc>
        <w:tc>
          <w:tcPr>
            <w:tcW w:w="2766" w:type="dxa"/>
          </w:tcPr>
          <w:p w14:paraId="576D2F4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62.0 (40.6-70.0)</w:t>
            </w:r>
          </w:p>
        </w:tc>
        <w:tc>
          <w:tcPr>
            <w:tcW w:w="882" w:type="dxa"/>
          </w:tcPr>
          <w:p w14:paraId="12BC6DA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0.70</w:t>
            </w:r>
          </w:p>
        </w:tc>
      </w:tr>
      <w:tr w:rsidR="00FE3B52" w:rsidRPr="0086396D" w14:paraId="7E97B3D9" w14:textId="77777777" w:rsidTr="005D5D25">
        <w:tc>
          <w:tcPr>
            <w:tcW w:w="852" w:type="dxa"/>
          </w:tcPr>
          <w:p w14:paraId="5726EF86"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0BBFD4E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Fat (g/d)</w:t>
            </w:r>
          </w:p>
        </w:tc>
        <w:tc>
          <w:tcPr>
            <w:tcW w:w="2782" w:type="dxa"/>
          </w:tcPr>
          <w:p w14:paraId="59585B7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59.0 (50.7-61.6)</w:t>
            </w:r>
          </w:p>
        </w:tc>
        <w:tc>
          <w:tcPr>
            <w:tcW w:w="2766" w:type="dxa"/>
          </w:tcPr>
          <w:p w14:paraId="2DBAD0F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62.3 (46.2-76.0)</w:t>
            </w:r>
          </w:p>
        </w:tc>
        <w:tc>
          <w:tcPr>
            <w:tcW w:w="882" w:type="dxa"/>
          </w:tcPr>
          <w:p w14:paraId="72F00FB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0.21</w:t>
            </w:r>
          </w:p>
        </w:tc>
      </w:tr>
      <w:tr w:rsidR="00FE3B52" w:rsidRPr="0086396D" w14:paraId="6D535328" w14:textId="77777777" w:rsidTr="005D5D25">
        <w:tc>
          <w:tcPr>
            <w:tcW w:w="852" w:type="dxa"/>
          </w:tcPr>
          <w:p w14:paraId="1CDB7A0E"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2AE6260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Cholesterol (g/d)</w:t>
            </w:r>
          </w:p>
        </w:tc>
        <w:tc>
          <w:tcPr>
            <w:tcW w:w="2782" w:type="dxa"/>
          </w:tcPr>
          <w:p w14:paraId="5A4EBF0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198.0 (155.9-275.4)</w:t>
            </w:r>
          </w:p>
        </w:tc>
        <w:tc>
          <w:tcPr>
            <w:tcW w:w="2766" w:type="dxa"/>
          </w:tcPr>
          <w:p w14:paraId="1A04390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166.8 (117.6-207.4)</w:t>
            </w:r>
          </w:p>
        </w:tc>
        <w:tc>
          <w:tcPr>
            <w:tcW w:w="882" w:type="dxa"/>
          </w:tcPr>
          <w:p w14:paraId="2F0BA8B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0.18</w:t>
            </w:r>
          </w:p>
        </w:tc>
      </w:tr>
      <w:tr w:rsidR="00FE3B52" w:rsidRPr="0086396D" w14:paraId="56D8F740" w14:textId="77777777" w:rsidTr="005D5D25">
        <w:tc>
          <w:tcPr>
            <w:tcW w:w="852" w:type="dxa"/>
          </w:tcPr>
          <w:p w14:paraId="30AA22F6"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0A0C13E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SFA (g/d)</w:t>
            </w:r>
          </w:p>
        </w:tc>
        <w:tc>
          <w:tcPr>
            <w:tcW w:w="2782" w:type="dxa"/>
          </w:tcPr>
          <w:p w14:paraId="0C646B4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18.5 (16.4-20.3)</w:t>
            </w:r>
          </w:p>
        </w:tc>
        <w:tc>
          <w:tcPr>
            <w:tcW w:w="2766" w:type="dxa"/>
          </w:tcPr>
          <w:p w14:paraId="0374148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20.4 (11.9-23.8)</w:t>
            </w:r>
          </w:p>
        </w:tc>
        <w:tc>
          <w:tcPr>
            <w:tcW w:w="882" w:type="dxa"/>
          </w:tcPr>
          <w:p w14:paraId="174540F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0.52</w:t>
            </w:r>
          </w:p>
        </w:tc>
      </w:tr>
      <w:tr w:rsidR="00FE3B52" w:rsidRPr="0086396D" w14:paraId="0D9C2CCD" w14:textId="77777777" w:rsidTr="005D5D25">
        <w:tc>
          <w:tcPr>
            <w:tcW w:w="852" w:type="dxa"/>
          </w:tcPr>
          <w:p w14:paraId="5C9237B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706FCBF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MUFA (g/d)</w:t>
            </w:r>
          </w:p>
        </w:tc>
        <w:tc>
          <w:tcPr>
            <w:tcW w:w="2782" w:type="dxa"/>
          </w:tcPr>
          <w:p w14:paraId="0BF142F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21.3 (17.3-23.1)</w:t>
            </w:r>
          </w:p>
        </w:tc>
        <w:tc>
          <w:tcPr>
            <w:tcW w:w="2766" w:type="dxa"/>
          </w:tcPr>
          <w:p w14:paraId="41A39F7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21.7 (15.0-30.4)</w:t>
            </w:r>
          </w:p>
        </w:tc>
        <w:tc>
          <w:tcPr>
            <w:tcW w:w="882" w:type="dxa"/>
          </w:tcPr>
          <w:p w14:paraId="3D29F4A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0.64</w:t>
            </w:r>
          </w:p>
        </w:tc>
      </w:tr>
      <w:tr w:rsidR="00FE3B52" w:rsidRPr="0086396D" w14:paraId="234473DB" w14:textId="77777777" w:rsidTr="005D5D25">
        <w:tc>
          <w:tcPr>
            <w:tcW w:w="852" w:type="dxa"/>
          </w:tcPr>
          <w:p w14:paraId="3B6F5E6F"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3A86976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PUFA (g/d)</w:t>
            </w:r>
          </w:p>
        </w:tc>
        <w:tc>
          <w:tcPr>
            <w:tcW w:w="2782" w:type="dxa"/>
          </w:tcPr>
          <w:p w14:paraId="586A098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14.4 (12.9-14.8)</w:t>
            </w:r>
          </w:p>
        </w:tc>
        <w:tc>
          <w:tcPr>
            <w:tcW w:w="2766" w:type="dxa"/>
          </w:tcPr>
          <w:p w14:paraId="76FD5198" w14:textId="77777777" w:rsidR="00FE3B52" w:rsidRPr="0086396D" w:rsidRDefault="00FE3B52" w:rsidP="005C7D8E">
            <w:pPr>
              <w:adjustRightInd w:val="0"/>
              <w:snapToGrid w:val="0"/>
              <w:spacing w:line="360" w:lineRule="auto"/>
              <w:jc w:val="both"/>
              <w:rPr>
                <w:rFonts w:ascii="Book Antiqua" w:hAnsi="Book Antiqua"/>
                <w:sz w:val="24"/>
                <w:szCs w:val="24"/>
                <w:lang w:bidi="fa-IR"/>
              </w:rPr>
            </w:pPr>
            <w:r w:rsidRPr="0086396D">
              <w:rPr>
                <w:rFonts w:ascii="Book Antiqua" w:hAnsi="Book Antiqua"/>
                <w:sz w:val="24"/>
                <w:szCs w:val="24"/>
              </w:rPr>
              <w:t>12.9 (9.1-15.5)</w:t>
            </w:r>
          </w:p>
        </w:tc>
        <w:tc>
          <w:tcPr>
            <w:tcW w:w="882" w:type="dxa"/>
          </w:tcPr>
          <w:p w14:paraId="6F30193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0.70</w:t>
            </w:r>
          </w:p>
        </w:tc>
      </w:tr>
      <w:tr w:rsidR="00FE3B52" w:rsidRPr="0086396D" w14:paraId="343DDE16" w14:textId="77777777" w:rsidTr="005D5D25">
        <w:tc>
          <w:tcPr>
            <w:tcW w:w="852" w:type="dxa"/>
          </w:tcPr>
          <w:p w14:paraId="141D4B70"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42E3C7F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TFA (g/d)</w:t>
            </w:r>
          </w:p>
        </w:tc>
        <w:tc>
          <w:tcPr>
            <w:tcW w:w="2782" w:type="dxa"/>
          </w:tcPr>
          <w:p w14:paraId="377B95D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3.3 (2.8-3.5)</w:t>
            </w:r>
          </w:p>
        </w:tc>
        <w:tc>
          <w:tcPr>
            <w:tcW w:w="2766" w:type="dxa"/>
          </w:tcPr>
          <w:p w14:paraId="1B2F3E2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3.5 (1.7-4.5)</w:t>
            </w:r>
          </w:p>
        </w:tc>
        <w:tc>
          <w:tcPr>
            <w:tcW w:w="882" w:type="dxa"/>
          </w:tcPr>
          <w:p w14:paraId="7E70461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0.97</w:t>
            </w:r>
          </w:p>
        </w:tc>
      </w:tr>
      <w:tr w:rsidR="00FE3B52" w:rsidRPr="0086396D" w14:paraId="5DBCE6ED" w14:textId="77777777" w:rsidTr="005D5D25">
        <w:tc>
          <w:tcPr>
            <w:tcW w:w="852" w:type="dxa"/>
          </w:tcPr>
          <w:p w14:paraId="447DC40A"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27D6898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Vitamin C (mg/d)</w:t>
            </w:r>
          </w:p>
        </w:tc>
        <w:tc>
          <w:tcPr>
            <w:tcW w:w="2782" w:type="dxa"/>
          </w:tcPr>
          <w:p w14:paraId="6C65D37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112.3 (101.2-166.7)</w:t>
            </w:r>
          </w:p>
        </w:tc>
        <w:tc>
          <w:tcPr>
            <w:tcW w:w="2766" w:type="dxa"/>
          </w:tcPr>
          <w:p w14:paraId="196F09A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100.1 (93.6-124.3)</w:t>
            </w:r>
          </w:p>
        </w:tc>
        <w:tc>
          <w:tcPr>
            <w:tcW w:w="882" w:type="dxa"/>
          </w:tcPr>
          <w:p w14:paraId="53D2EC37" w14:textId="77777777" w:rsidR="00FE3B52" w:rsidRPr="0086396D" w:rsidRDefault="00FE3B52" w:rsidP="005C7D8E">
            <w:pPr>
              <w:adjustRightInd w:val="0"/>
              <w:snapToGrid w:val="0"/>
              <w:spacing w:line="360" w:lineRule="auto"/>
              <w:jc w:val="both"/>
              <w:rPr>
                <w:rFonts w:ascii="Book Antiqua" w:hAnsi="Book Antiqua"/>
                <w:sz w:val="24"/>
                <w:szCs w:val="24"/>
              </w:rPr>
            </w:pPr>
          </w:p>
        </w:tc>
      </w:tr>
      <w:tr w:rsidR="00FE3B52" w:rsidRPr="0086396D" w14:paraId="3D23BF24" w14:textId="77777777" w:rsidTr="005D5D25">
        <w:tc>
          <w:tcPr>
            <w:tcW w:w="852" w:type="dxa"/>
          </w:tcPr>
          <w:p w14:paraId="32F3EFF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34A60E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Vitamin B6 (mg/d)</w:t>
            </w:r>
          </w:p>
        </w:tc>
        <w:tc>
          <w:tcPr>
            <w:tcW w:w="2782" w:type="dxa"/>
          </w:tcPr>
          <w:p w14:paraId="6773526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1.8 (1.5-2.5)</w:t>
            </w:r>
          </w:p>
        </w:tc>
        <w:tc>
          <w:tcPr>
            <w:tcW w:w="2766" w:type="dxa"/>
          </w:tcPr>
          <w:p w14:paraId="4E2D423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1.7 (1.3-1.9)</w:t>
            </w:r>
          </w:p>
        </w:tc>
        <w:tc>
          <w:tcPr>
            <w:tcW w:w="882" w:type="dxa"/>
          </w:tcPr>
          <w:p w14:paraId="3952EB9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0.52</w:t>
            </w:r>
          </w:p>
        </w:tc>
      </w:tr>
      <w:tr w:rsidR="00FE3B52" w:rsidRPr="0086396D" w14:paraId="7C1C7B2C" w14:textId="77777777" w:rsidTr="005D5D25">
        <w:tc>
          <w:tcPr>
            <w:tcW w:w="852" w:type="dxa"/>
          </w:tcPr>
          <w:p w14:paraId="1F689B07"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0B1011F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Total folate (mcg/d)</w:t>
            </w:r>
          </w:p>
        </w:tc>
        <w:tc>
          <w:tcPr>
            <w:tcW w:w="2782" w:type="dxa"/>
          </w:tcPr>
          <w:p w14:paraId="028D1F7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401.3 (289.5-540.9)</w:t>
            </w:r>
          </w:p>
        </w:tc>
        <w:tc>
          <w:tcPr>
            <w:tcW w:w="2766" w:type="dxa"/>
          </w:tcPr>
          <w:p w14:paraId="7AFC2A8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402.3 (222.8-474.9)</w:t>
            </w:r>
          </w:p>
        </w:tc>
        <w:tc>
          <w:tcPr>
            <w:tcW w:w="882" w:type="dxa"/>
          </w:tcPr>
          <w:p w14:paraId="36F8A69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0.77</w:t>
            </w:r>
          </w:p>
        </w:tc>
      </w:tr>
      <w:tr w:rsidR="00FE3B52" w:rsidRPr="0086396D" w14:paraId="387481D3" w14:textId="77777777" w:rsidTr="005D5D25">
        <w:tc>
          <w:tcPr>
            <w:tcW w:w="852" w:type="dxa"/>
          </w:tcPr>
          <w:p w14:paraId="6BAE3248"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14CBD23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Vitamin B12 (mcg/d)</w:t>
            </w:r>
          </w:p>
        </w:tc>
        <w:tc>
          <w:tcPr>
            <w:tcW w:w="2782" w:type="dxa"/>
          </w:tcPr>
          <w:p w14:paraId="6A4B7A2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3.8 (3.3-5.7)</w:t>
            </w:r>
          </w:p>
        </w:tc>
        <w:tc>
          <w:tcPr>
            <w:tcW w:w="2766" w:type="dxa"/>
          </w:tcPr>
          <w:p w14:paraId="6C9996D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4.6 (2.3-5.7)</w:t>
            </w:r>
          </w:p>
        </w:tc>
        <w:tc>
          <w:tcPr>
            <w:tcW w:w="882" w:type="dxa"/>
          </w:tcPr>
          <w:p w14:paraId="5B3C6ED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0.90</w:t>
            </w:r>
          </w:p>
        </w:tc>
      </w:tr>
      <w:tr w:rsidR="00FE3B52" w:rsidRPr="0086396D" w14:paraId="2357DA67" w14:textId="77777777" w:rsidTr="005D5D25">
        <w:tc>
          <w:tcPr>
            <w:tcW w:w="852" w:type="dxa"/>
          </w:tcPr>
          <w:p w14:paraId="68A5481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27CB0B9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 xml:space="preserve">Vitamin E (IU) </w:t>
            </w:r>
          </w:p>
        </w:tc>
        <w:tc>
          <w:tcPr>
            <w:tcW w:w="2782" w:type="dxa"/>
          </w:tcPr>
          <w:p w14:paraId="3388A86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14.8 (8.7-20.8)</w:t>
            </w:r>
          </w:p>
        </w:tc>
        <w:tc>
          <w:tcPr>
            <w:tcW w:w="2766" w:type="dxa"/>
          </w:tcPr>
          <w:p w14:paraId="1CB042C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10.2 (4.4-14.4)</w:t>
            </w:r>
          </w:p>
        </w:tc>
        <w:tc>
          <w:tcPr>
            <w:tcW w:w="882" w:type="dxa"/>
          </w:tcPr>
          <w:p w14:paraId="30FE358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0.13</w:t>
            </w:r>
          </w:p>
        </w:tc>
      </w:tr>
      <w:tr w:rsidR="00FE3B52" w:rsidRPr="0086396D" w14:paraId="495C5CF9" w14:textId="77777777" w:rsidTr="005D5D25">
        <w:tc>
          <w:tcPr>
            <w:tcW w:w="852" w:type="dxa"/>
          </w:tcPr>
          <w:p w14:paraId="7C6265E6"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65EC298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Calcium (mg/d)</w:t>
            </w:r>
          </w:p>
        </w:tc>
        <w:tc>
          <w:tcPr>
            <w:tcW w:w="2782" w:type="dxa"/>
          </w:tcPr>
          <w:p w14:paraId="30012AE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832.0 (730.8-1234.0)</w:t>
            </w:r>
          </w:p>
        </w:tc>
        <w:tc>
          <w:tcPr>
            <w:tcW w:w="2766" w:type="dxa"/>
          </w:tcPr>
          <w:p w14:paraId="37D8C9F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719.9 (551.7-924.0)</w:t>
            </w:r>
          </w:p>
        </w:tc>
        <w:tc>
          <w:tcPr>
            <w:tcW w:w="882" w:type="dxa"/>
          </w:tcPr>
          <w:p w14:paraId="12C9235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0.21</w:t>
            </w:r>
          </w:p>
        </w:tc>
      </w:tr>
      <w:tr w:rsidR="00FE3B52" w:rsidRPr="0086396D" w14:paraId="62432EAF" w14:textId="77777777" w:rsidTr="005D5D25">
        <w:tc>
          <w:tcPr>
            <w:tcW w:w="852" w:type="dxa"/>
          </w:tcPr>
          <w:p w14:paraId="77679D09"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D0067A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Iron (mg/d)</w:t>
            </w:r>
          </w:p>
        </w:tc>
        <w:tc>
          <w:tcPr>
            <w:tcW w:w="2782" w:type="dxa"/>
          </w:tcPr>
          <w:p w14:paraId="7394E4B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13.4 (10.4-25.6)</w:t>
            </w:r>
          </w:p>
        </w:tc>
        <w:tc>
          <w:tcPr>
            <w:tcW w:w="2766" w:type="dxa"/>
          </w:tcPr>
          <w:p w14:paraId="3216BD5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11.7 (7.4-15.0)</w:t>
            </w:r>
          </w:p>
        </w:tc>
        <w:tc>
          <w:tcPr>
            <w:tcW w:w="882" w:type="dxa"/>
          </w:tcPr>
          <w:p w14:paraId="2D6A4E1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0.42</w:t>
            </w:r>
          </w:p>
        </w:tc>
      </w:tr>
      <w:tr w:rsidR="00FE3B52" w:rsidRPr="0086396D" w14:paraId="7D18A079" w14:textId="77777777" w:rsidTr="005D5D25">
        <w:tc>
          <w:tcPr>
            <w:tcW w:w="852" w:type="dxa"/>
          </w:tcPr>
          <w:p w14:paraId="4662D75A"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8EC612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Zinc (mg/d)</w:t>
            </w:r>
          </w:p>
        </w:tc>
        <w:tc>
          <w:tcPr>
            <w:tcW w:w="2782" w:type="dxa"/>
          </w:tcPr>
          <w:p w14:paraId="7F56E2C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9.7 (9.4-16.2)</w:t>
            </w:r>
          </w:p>
        </w:tc>
        <w:tc>
          <w:tcPr>
            <w:tcW w:w="2766" w:type="dxa"/>
          </w:tcPr>
          <w:p w14:paraId="4346406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9.8 (6.9-10.2)</w:t>
            </w:r>
          </w:p>
        </w:tc>
        <w:tc>
          <w:tcPr>
            <w:tcW w:w="882" w:type="dxa"/>
          </w:tcPr>
          <w:p w14:paraId="7920DF0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0.64</w:t>
            </w:r>
          </w:p>
        </w:tc>
      </w:tr>
      <w:tr w:rsidR="00FE3B52" w:rsidRPr="0086396D" w14:paraId="425A79B6" w14:textId="77777777" w:rsidTr="005D5D25">
        <w:tc>
          <w:tcPr>
            <w:tcW w:w="852" w:type="dxa"/>
          </w:tcPr>
          <w:p w14:paraId="34D14442"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B346D0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Sodium (mg/d)</w:t>
            </w:r>
          </w:p>
        </w:tc>
        <w:tc>
          <w:tcPr>
            <w:tcW w:w="2782" w:type="dxa"/>
          </w:tcPr>
          <w:p w14:paraId="054738E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2558.6 (2175.3-2900.6)</w:t>
            </w:r>
          </w:p>
        </w:tc>
        <w:tc>
          <w:tcPr>
            <w:tcW w:w="2766" w:type="dxa"/>
          </w:tcPr>
          <w:p w14:paraId="185DBDF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2521.9 (1818.8-2810.8)</w:t>
            </w:r>
          </w:p>
        </w:tc>
        <w:tc>
          <w:tcPr>
            <w:tcW w:w="882" w:type="dxa"/>
          </w:tcPr>
          <w:p w14:paraId="5F4DAFB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0.77</w:t>
            </w:r>
          </w:p>
        </w:tc>
      </w:tr>
      <w:tr w:rsidR="00FE3B52" w:rsidRPr="0086396D" w14:paraId="3B711C2B" w14:textId="77777777" w:rsidTr="005D5D25">
        <w:tc>
          <w:tcPr>
            <w:tcW w:w="852" w:type="dxa"/>
          </w:tcPr>
          <w:p w14:paraId="23FC157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18D0EBC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Potassium (mg/d)</w:t>
            </w:r>
          </w:p>
        </w:tc>
        <w:tc>
          <w:tcPr>
            <w:tcW w:w="2782" w:type="dxa"/>
          </w:tcPr>
          <w:p w14:paraId="21F1C77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2948.8 (2216.0-3624.5)</w:t>
            </w:r>
          </w:p>
        </w:tc>
        <w:tc>
          <w:tcPr>
            <w:tcW w:w="2766" w:type="dxa"/>
          </w:tcPr>
          <w:p w14:paraId="537E3DC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2951.9 (1890.8-3330.1)</w:t>
            </w:r>
          </w:p>
        </w:tc>
        <w:tc>
          <w:tcPr>
            <w:tcW w:w="882" w:type="dxa"/>
          </w:tcPr>
          <w:p w14:paraId="2D15E14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0.83</w:t>
            </w:r>
          </w:p>
        </w:tc>
      </w:tr>
      <w:tr w:rsidR="00FE3B52" w:rsidRPr="0086396D" w14:paraId="64DE032F" w14:textId="77777777" w:rsidTr="005D5D25">
        <w:tc>
          <w:tcPr>
            <w:tcW w:w="852" w:type="dxa"/>
          </w:tcPr>
          <w:p w14:paraId="7D526540"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D033AF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Fibre (g/d)</w:t>
            </w:r>
          </w:p>
        </w:tc>
        <w:tc>
          <w:tcPr>
            <w:tcW w:w="2782" w:type="dxa"/>
          </w:tcPr>
          <w:p w14:paraId="5FF9F32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16.1 (13.5-26.0)</w:t>
            </w:r>
          </w:p>
        </w:tc>
        <w:tc>
          <w:tcPr>
            <w:tcW w:w="2766" w:type="dxa"/>
          </w:tcPr>
          <w:p w14:paraId="12F27F8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14.1 (9.7-22.2)</w:t>
            </w:r>
          </w:p>
        </w:tc>
        <w:tc>
          <w:tcPr>
            <w:tcW w:w="882" w:type="dxa"/>
          </w:tcPr>
          <w:p w14:paraId="7C124B4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0.32</w:t>
            </w:r>
          </w:p>
        </w:tc>
      </w:tr>
      <w:tr w:rsidR="00FE3B52" w:rsidRPr="0086396D" w14:paraId="2563614A" w14:textId="77777777" w:rsidTr="005D5D25">
        <w:tc>
          <w:tcPr>
            <w:tcW w:w="852" w:type="dxa"/>
          </w:tcPr>
          <w:p w14:paraId="342D049B"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3E1682A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Sucrose (g/d)</w:t>
            </w:r>
          </w:p>
        </w:tc>
        <w:tc>
          <w:tcPr>
            <w:tcW w:w="2782" w:type="dxa"/>
          </w:tcPr>
          <w:p w14:paraId="00A014E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40.2 (29.9-47.3)</w:t>
            </w:r>
          </w:p>
        </w:tc>
        <w:tc>
          <w:tcPr>
            <w:tcW w:w="2766" w:type="dxa"/>
          </w:tcPr>
          <w:p w14:paraId="184F4EB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27.6 (20.6-40.4)</w:t>
            </w:r>
          </w:p>
        </w:tc>
        <w:tc>
          <w:tcPr>
            <w:tcW w:w="882" w:type="dxa"/>
          </w:tcPr>
          <w:p w14:paraId="358AB58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0.11</w:t>
            </w:r>
          </w:p>
        </w:tc>
      </w:tr>
      <w:tr w:rsidR="00FE3B52" w:rsidRPr="0086396D" w14:paraId="3613396F" w14:textId="77777777" w:rsidTr="005D5D25">
        <w:tc>
          <w:tcPr>
            <w:tcW w:w="852" w:type="dxa"/>
          </w:tcPr>
          <w:p w14:paraId="7098101F"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14AF76F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Fructose (g/d)</w:t>
            </w:r>
          </w:p>
        </w:tc>
        <w:tc>
          <w:tcPr>
            <w:tcW w:w="2782" w:type="dxa"/>
          </w:tcPr>
          <w:p w14:paraId="2A73A56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31.1 (18.4-42.3)</w:t>
            </w:r>
          </w:p>
        </w:tc>
        <w:tc>
          <w:tcPr>
            <w:tcW w:w="2766" w:type="dxa"/>
          </w:tcPr>
          <w:p w14:paraId="319CC7F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25.5 (11.7-38.5)</w:t>
            </w:r>
          </w:p>
        </w:tc>
        <w:tc>
          <w:tcPr>
            <w:tcW w:w="882" w:type="dxa"/>
          </w:tcPr>
          <w:p w14:paraId="66B12CD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0.64</w:t>
            </w:r>
          </w:p>
        </w:tc>
      </w:tr>
      <w:tr w:rsidR="00FE3B52" w:rsidRPr="0086396D" w14:paraId="6A58FA74" w14:textId="77777777" w:rsidTr="005D5D25">
        <w:tc>
          <w:tcPr>
            <w:tcW w:w="852" w:type="dxa"/>
          </w:tcPr>
          <w:p w14:paraId="1A8F29A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013E76D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Lactose (g/d)</w:t>
            </w:r>
          </w:p>
        </w:tc>
        <w:tc>
          <w:tcPr>
            <w:tcW w:w="2782" w:type="dxa"/>
          </w:tcPr>
          <w:p w14:paraId="5462CBC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13.6 (9.4-19.0)</w:t>
            </w:r>
          </w:p>
        </w:tc>
        <w:tc>
          <w:tcPr>
            <w:tcW w:w="2766" w:type="dxa"/>
          </w:tcPr>
          <w:p w14:paraId="6D30AD2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9.8 (1.8-17.5)</w:t>
            </w:r>
          </w:p>
        </w:tc>
        <w:tc>
          <w:tcPr>
            <w:tcW w:w="882" w:type="dxa"/>
          </w:tcPr>
          <w:p w14:paraId="7F6F428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0.32</w:t>
            </w:r>
          </w:p>
        </w:tc>
      </w:tr>
      <w:tr w:rsidR="00FE3B52" w:rsidRPr="0086396D" w14:paraId="53C4F0B4" w14:textId="77777777" w:rsidTr="005D5D25">
        <w:tc>
          <w:tcPr>
            <w:tcW w:w="852" w:type="dxa"/>
          </w:tcPr>
          <w:p w14:paraId="728D2F3F"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2D5A6E7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Maltose (g/d)</w:t>
            </w:r>
          </w:p>
        </w:tc>
        <w:tc>
          <w:tcPr>
            <w:tcW w:w="2782" w:type="dxa"/>
          </w:tcPr>
          <w:p w14:paraId="014B7D8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3.9 (3.1-4.3)</w:t>
            </w:r>
          </w:p>
        </w:tc>
        <w:tc>
          <w:tcPr>
            <w:tcW w:w="2766" w:type="dxa"/>
          </w:tcPr>
          <w:p w14:paraId="481C734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1.6 (1.1-3.0)</w:t>
            </w:r>
          </w:p>
        </w:tc>
        <w:tc>
          <w:tcPr>
            <w:tcW w:w="882" w:type="dxa"/>
          </w:tcPr>
          <w:p w14:paraId="067F113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&lt;0.01</w:t>
            </w:r>
          </w:p>
        </w:tc>
      </w:tr>
      <w:tr w:rsidR="00FE3B52" w:rsidRPr="0086396D" w14:paraId="56F722F3" w14:textId="77777777" w:rsidTr="005D5D25">
        <w:tc>
          <w:tcPr>
            <w:tcW w:w="1841" w:type="dxa"/>
            <w:gridSpan w:val="2"/>
          </w:tcPr>
          <w:p w14:paraId="4553154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Food groups</w:t>
            </w:r>
          </w:p>
        </w:tc>
        <w:tc>
          <w:tcPr>
            <w:tcW w:w="2220" w:type="dxa"/>
          </w:tcPr>
          <w:p w14:paraId="1F6480F1"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782" w:type="dxa"/>
          </w:tcPr>
          <w:p w14:paraId="6DB354D8"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766" w:type="dxa"/>
          </w:tcPr>
          <w:p w14:paraId="13CAE49F"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882" w:type="dxa"/>
          </w:tcPr>
          <w:p w14:paraId="69B16EDE" w14:textId="77777777" w:rsidR="00FE3B52" w:rsidRPr="0086396D" w:rsidRDefault="00FE3B52" w:rsidP="005C7D8E">
            <w:pPr>
              <w:adjustRightInd w:val="0"/>
              <w:snapToGrid w:val="0"/>
              <w:spacing w:line="360" w:lineRule="auto"/>
              <w:jc w:val="both"/>
              <w:rPr>
                <w:rFonts w:ascii="Book Antiqua" w:hAnsi="Book Antiqua"/>
                <w:sz w:val="24"/>
                <w:szCs w:val="24"/>
              </w:rPr>
            </w:pPr>
          </w:p>
        </w:tc>
      </w:tr>
      <w:tr w:rsidR="00FE3B52" w:rsidRPr="0086396D" w14:paraId="762F7643" w14:textId="77777777" w:rsidTr="005D5D25">
        <w:tc>
          <w:tcPr>
            <w:tcW w:w="852" w:type="dxa"/>
          </w:tcPr>
          <w:p w14:paraId="6204981F"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654CC0E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Fruit (cup equivalents/d)</w:t>
            </w:r>
          </w:p>
        </w:tc>
        <w:tc>
          <w:tcPr>
            <w:tcW w:w="2782" w:type="dxa"/>
          </w:tcPr>
          <w:p w14:paraId="4C91C12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2.1 (0.8-2.6)</w:t>
            </w:r>
          </w:p>
        </w:tc>
        <w:tc>
          <w:tcPr>
            <w:tcW w:w="2766" w:type="dxa"/>
          </w:tcPr>
          <w:p w14:paraId="0EACB1F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 (0.7-2.0)</w:t>
            </w:r>
          </w:p>
        </w:tc>
        <w:tc>
          <w:tcPr>
            <w:tcW w:w="882" w:type="dxa"/>
          </w:tcPr>
          <w:p w14:paraId="123429A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0.28</w:t>
            </w:r>
          </w:p>
        </w:tc>
      </w:tr>
      <w:tr w:rsidR="00FE3B52" w:rsidRPr="0086396D" w14:paraId="1E42558C" w14:textId="77777777" w:rsidTr="005D5D25">
        <w:tc>
          <w:tcPr>
            <w:tcW w:w="852" w:type="dxa"/>
          </w:tcPr>
          <w:p w14:paraId="15D8CCD2"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39365E1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Vegetable (cup equivalents/d)</w:t>
            </w:r>
          </w:p>
        </w:tc>
        <w:tc>
          <w:tcPr>
            <w:tcW w:w="2782" w:type="dxa"/>
          </w:tcPr>
          <w:p w14:paraId="75C4955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1.8 (1.5-2.4)</w:t>
            </w:r>
          </w:p>
        </w:tc>
        <w:tc>
          <w:tcPr>
            <w:tcW w:w="2766" w:type="dxa"/>
          </w:tcPr>
          <w:p w14:paraId="11A1DD2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1.8 (1.0-3.1)</w:t>
            </w:r>
          </w:p>
        </w:tc>
        <w:tc>
          <w:tcPr>
            <w:tcW w:w="882" w:type="dxa"/>
          </w:tcPr>
          <w:p w14:paraId="09AF1EE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0.77</w:t>
            </w:r>
          </w:p>
        </w:tc>
      </w:tr>
      <w:tr w:rsidR="00FE3B52" w:rsidRPr="0086396D" w14:paraId="7F40CEB8" w14:textId="77777777" w:rsidTr="005D5D25">
        <w:tc>
          <w:tcPr>
            <w:tcW w:w="852" w:type="dxa"/>
          </w:tcPr>
          <w:p w14:paraId="71D8A177"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1EB7489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Whole grain (oz equivalents/d)</w:t>
            </w:r>
          </w:p>
        </w:tc>
        <w:tc>
          <w:tcPr>
            <w:tcW w:w="2782" w:type="dxa"/>
          </w:tcPr>
          <w:p w14:paraId="7869AEE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 (0.5-1.3)</w:t>
            </w:r>
          </w:p>
        </w:tc>
        <w:tc>
          <w:tcPr>
            <w:tcW w:w="2766" w:type="dxa"/>
          </w:tcPr>
          <w:p w14:paraId="0969095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0.7 (0.2-1.1)</w:t>
            </w:r>
          </w:p>
        </w:tc>
        <w:tc>
          <w:tcPr>
            <w:tcW w:w="882" w:type="dxa"/>
          </w:tcPr>
          <w:p w14:paraId="1D98855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0.32</w:t>
            </w:r>
          </w:p>
        </w:tc>
      </w:tr>
      <w:tr w:rsidR="00FE3B52" w:rsidRPr="0086396D" w14:paraId="4307D6DE" w14:textId="77777777" w:rsidTr="005D5D25">
        <w:tc>
          <w:tcPr>
            <w:tcW w:w="852" w:type="dxa"/>
          </w:tcPr>
          <w:p w14:paraId="744760CD"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7159915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Meat (oz/d)</w:t>
            </w:r>
          </w:p>
        </w:tc>
        <w:tc>
          <w:tcPr>
            <w:tcW w:w="2782" w:type="dxa"/>
          </w:tcPr>
          <w:p w14:paraId="1429434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 (0.6-1.3)</w:t>
            </w:r>
          </w:p>
        </w:tc>
        <w:tc>
          <w:tcPr>
            <w:tcW w:w="2766" w:type="dxa"/>
          </w:tcPr>
          <w:p w14:paraId="0E067C5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 (0.3-1.8)</w:t>
            </w:r>
          </w:p>
        </w:tc>
        <w:tc>
          <w:tcPr>
            <w:tcW w:w="882" w:type="dxa"/>
          </w:tcPr>
          <w:p w14:paraId="29DDF4D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1.00</w:t>
            </w:r>
          </w:p>
        </w:tc>
      </w:tr>
      <w:tr w:rsidR="00FE3B52" w:rsidRPr="0086396D" w14:paraId="7297C076" w14:textId="77777777" w:rsidTr="005D5D25">
        <w:tc>
          <w:tcPr>
            <w:tcW w:w="852" w:type="dxa"/>
          </w:tcPr>
          <w:p w14:paraId="1ECAE3E8"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68960C4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Processed meat (oz/d)</w:t>
            </w:r>
          </w:p>
        </w:tc>
        <w:tc>
          <w:tcPr>
            <w:tcW w:w="2782" w:type="dxa"/>
          </w:tcPr>
          <w:p w14:paraId="5F61E73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 (0.1-0.5)</w:t>
            </w:r>
          </w:p>
        </w:tc>
        <w:tc>
          <w:tcPr>
            <w:tcW w:w="2766" w:type="dxa"/>
          </w:tcPr>
          <w:p w14:paraId="49EF361D"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 (0.0-1.0)</w:t>
            </w:r>
          </w:p>
        </w:tc>
        <w:tc>
          <w:tcPr>
            <w:tcW w:w="882" w:type="dxa"/>
          </w:tcPr>
          <w:p w14:paraId="78FBE54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0.83</w:t>
            </w:r>
          </w:p>
        </w:tc>
      </w:tr>
      <w:tr w:rsidR="00FE3B52" w:rsidRPr="0086396D" w14:paraId="2902751B" w14:textId="77777777" w:rsidTr="005D5D25">
        <w:tc>
          <w:tcPr>
            <w:tcW w:w="852" w:type="dxa"/>
          </w:tcPr>
          <w:p w14:paraId="42BF6FD2"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453195F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Fish (oz/d)</w:t>
            </w:r>
          </w:p>
        </w:tc>
        <w:tc>
          <w:tcPr>
            <w:tcW w:w="2782" w:type="dxa"/>
          </w:tcPr>
          <w:p w14:paraId="1A540EC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 (0.2-0.8)</w:t>
            </w:r>
          </w:p>
        </w:tc>
        <w:tc>
          <w:tcPr>
            <w:tcW w:w="2766" w:type="dxa"/>
          </w:tcPr>
          <w:p w14:paraId="25C802D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 (0.2-2.2)</w:t>
            </w:r>
          </w:p>
        </w:tc>
        <w:tc>
          <w:tcPr>
            <w:tcW w:w="882" w:type="dxa"/>
          </w:tcPr>
          <w:p w14:paraId="0522F44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0.64</w:t>
            </w:r>
          </w:p>
        </w:tc>
      </w:tr>
      <w:tr w:rsidR="00FE3B52" w:rsidRPr="0086396D" w14:paraId="11D4FD01" w14:textId="77777777" w:rsidTr="005D5D25">
        <w:tc>
          <w:tcPr>
            <w:tcW w:w="852" w:type="dxa"/>
          </w:tcPr>
          <w:p w14:paraId="5E53457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3B9C594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Poultry (oz/d)</w:t>
            </w:r>
          </w:p>
        </w:tc>
        <w:tc>
          <w:tcPr>
            <w:tcW w:w="2782" w:type="dxa"/>
          </w:tcPr>
          <w:p w14:paraId="781975A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0.9 (0.1-1.3)</w:t>
            </w:r>
          </w:p>
        </w:tc>
        <w:tc>
          <w:tcPr>
            <w:tcW w:w="2766" w:type="dxa"/>
          </w:tcPr>
          <w:p w14:paraId="03C3230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 (0.1-0.3)</w:t>
            </w:r>
          </w:p>
        </w:tc>
        <w:tc>
          <w:tcPr>
            <w:tcW w:w="882" w:type="dxa"/>
          </w:tcPr>
          <w:p w14:paraId="702335D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&lt;0.01</w:t>
            </w:r>
          </w:p>
        </w:tc>
      </w:tr>
      <w:tr w:rsidR="00FE3B52" w:rsidRPr="0086396D" w14:paraId="36CDD0B8" w14:textId="77777777" w:rsidTr="005D5D25">
        <w:tc>
          <w:tcPr>
            <w:tcW w:w="852" w:type="dxa"/>
          </w:tcPr>
          <w:p w14:paraId="32FAD3E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BA0E64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Dairy (cup equivalents/d)</w:t>
            </w:r>
          </w:p>
        </w:tc>
        <w:tc>
          <w:tcPr>
            <w:tcW w:w="2782" w:type="dxa"/>
          </w:tcPr>
          <w:p w14:paraId="46AF91C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 (1.0-1.8)</w:t>
            </w:r>
          </w:p>
        </w:tc>
        <w:tc>
          <w:tcPr>
            <w:tcW w:w="2766" w:type="dxa"/>
          </w:tcPr>
          <w:p w14:paraId="5877700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1.2 (0.3-2.0)</w:t>
            </w:r>
          </w:p>
        </w:tc>
        <w:tc>
          <w:tcPr>
            <w:tcW w:w="882" w:type="dxa"/>
          </w:tcPr>
          <w:p w14:paraId="7911B15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0.52</w:t>
            </w:r>
          </w:p>
        </w:tc>
      </w:tr>
      <w:tr w:rsidR="00FE3B52" w:rsidRPr="0086396D" w14:paraId="37A17393" w14:textId="77777777" w:rsidTr="005D5D25">
        <w:tc>
          <w:tcPr>
            <w:tcW w:w="852" w:type="dxa"/>
          </w:tcPr>
          <w:p w14:paraId="10CCE29C"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1F1E444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Eggs (oz equivalents/d)</w:t>
            </w:r>
          </w:p>
        </w:tc>
        <w:tc>
          <w:tcPr>
            <w:tcW w:w="2782" w:type="dxa"/>
          </w:tcPr>
          <w:p w14:paraId="672D335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0.4 (0.2-0.8)</w:t>
            </w:r>
          </w:p>
        </w:tc>
        <w:tc>
          <w:tcPr>
            <w:tcW w:w="2766" w:type="dxa"/>
          </w:tcPr>
          <w:p w14:paraId="4C16DC7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 (0.2-0.4)</w:t>
            </w:r>
          </w:p>
        </w:tc>
        <w:tc>
          <w:tcPr>
            <w:tcW w:w="882" w:type="dxa"/>
          </w:tcPr>
          <w:p w14:paraId="24143E2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0.42</w:t>
            </w:r>
          </w:p>
        </w:tc>
      </w:tr>
      <w:tr w:rsidR="00FE3B52" w:rsidRPr="0086396D" w14:paraId="028DDB3D" w14:textId="77777777" w:rsidTr="005D5D25">
        <w:tc>
          <w:tcPr>
            <w:tcW w:w="852" w:type="dxa"/>
          </w:tcPr>
          <w:p w14:paraId="47DBAF96"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3209" w:type="dxa"/>
            <w:gridSpan w:val="2"/>
          </w:tcPr>
          <w:p w14:paraId="51EBD78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Alcohol (drink/d)</w:t>
            </w:r>
          </w:p>
        </w:tc>
        <w:tc>
          <w:tcPr>
            <w:tcW w:w="2782" w:type="dxa"/>
          </w:tcPr>
          <w:p w14:paraId="5FB7F4D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 (0.0-0.8)</w:t>
            </w:r>
          </w:p>
        </w:tc>
        <w:tc>
          <w:tcPr>
            <w:tcW w:w="2766" w:type="dxa"/>
          </w:tcPr>
          <w:p w14:paraId="2F38A8A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0.6 (0.0-3.5)</w:t>
            </w:r>
          </w:p>
        </w:tc>
        <w:tc>
          <w:tcPr>
            <w:tcW w:w="882" w:type="dxa"/>
          </w:tcPr>
          <w:p w14:paraId="2BAC0D7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0.90</w:t>
            </w:r>
          </w:p>
        </w:tc>
      </w:tr>
    </w:tbl>
    <w:p w14:paraId="4841F29B" w14:textId="46413349" w:rsidR="00FE3B52" w:rsidRPr="0086396D" w:rsidRDefault="00FE3B52"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vertAlign w:val="superscript"/>
        </w:rPr>
        <w:t>1</w:t>
      </w:r>
      <w:r w:rsidRPr="0086396D">
        <w:rPr>
          <w:rFonts w:ascii="Book Antiqua" w:hAnsi="Book Antiqua"/>
          <w:sz w:val="24"/>
          <w:szCs w:val="24"/>
        </w:rPr>
        <w:t xml:space="preserve">Values are presented </w:t>
      </w:r>
      <w:r w:rsidR="00DA392F">
        <w:rPr>
          <w:rFonts w:ascii="Book Antiqua" w:hAnsi="Book Antiqua"/>
          <w:sz w:val="24"/>
          <w:szCs w:val="24"/>
        </w:rPr>
        <w:t>as median (interquartile range)</w:t>
      </w:r>
      <w:r w:rsidR="00DA392F">
        <w:rPr>
          <w:rFonts w:ascii="Book Antiqua" w:hAnsi="Book Antiqua" w:hint="eastAsia"/>
          <w:sz w:val="24"/>
          <w:szCs w:val="24"/>
          <w:lang w:eastAsia="zh-CN"/>
        </w:rPr>
        <w:t xml:space="preserve">; </w:t>
      </w:r>
      <w:r w:rsidR="00F32B3B" w:rsidRPr="0086396D">
        <w:rPr>
          <w:rFonts w:ascii="Book Antiqua" w:hAnsi="Book Antiqua"/>
          <w:sz w:val="24"/>
          <w:szCs w:val="24"/>
          <w:vertAlign w:val="superscript"/>
        </w:rPr>
        <w:t>2</w:t>
      </w:r>
      <w:r w:rsidR="00F32B3B" w:rsidRPr="0086396D">
        <w:rPr>
          <w:rFonts w:ascii="Book Antiqua" w:hAnsi="Book Antiqua"/>
          <w:sz w:val="24"/>
          <w:szCs w:val="24"/>
        </w:rPr>
        <w:t>Intake of different nutrients and foods were adjusted for</w:t>
      </w:r>
      <w:r w:rsidR="00973EEB" w:rsidRPr="0086396D">
        <w:rPr>
          <w:rFonts w:ascii="Book Antiqua" w:hAnsi="Book Antiqua"/>
          <w:sz w:val="24"/>
          <w:szCs w:val="24"/>
        </w:rPr>
        <w:t xml:space="preserve"> total</w:t>
      </w:r>
      <w:r w:rsidR="00F32B3B" w:rsidRPr="0086396D">
        <w:rPr>
          <w:rFonts w:ascii="Book Antiqua" w:hAnsi="Book Antiqua"/>
          <w:sz w:val="24"/>
          <w:szCs w:val="24"/>
        </w:rPr>
        <w:t xml:space="preserve"> energy i</w:t>
      </w:r>
      <w:r w:rsidR="00DA392F">
        <w:rPr>
          <w:rFonts w:ascii="Book Antiqua" w:hAnsi="Book Antiqua"/>
          <w:sz w:val="24"/>
          <w:szCs w:val="24"/>
        </w:rPr>
        <w:t>ntake using the residual method</w:t>
      </w:r>
      <w:r w:rsidR="00DA392F">
        <w:rPr>
          <w:rFonts w:ascii="Book Antiqua" w:hAnsi="Book Antiqua" w:hint="eastAsia"/>
          <w:sz w:val="24"/>
          <w:szCs w:val="24"/>
          <w:lang w:eastAsia="zh-CN"/>
        </w:rPr>
        <w:t xml:space="preserve">; </w:t>
      </w:r>
      <w:r w:rsidR="00F32B3B" w:rsidRPr="0086396D">
        <w:rPr>
          <w:rFonts w:ascii="Book Antiqua" w:hAnsi="Book Antiqua"/>
          <w:sz w:val="24"/>
          <w:szCs w:val="24"/>
          <w:vertAlign w:val="superscript"/>
        </w:rPr>
        <w:t>3</w:t>
      </w:r>
      <w:r w:rsidRPr="0086396D">
        <w:rPr>
          <w:rFonts w:ascii="Book Antiqua" w:hAnsi="Book Antiqua"/>
          <w:sz w:val="24"/>
          <w:szCs w:val="24"/>
        </w:rPr>
        <w:t>Ob</w:t>
      </w:r>
      <w:r w:rsidR="00DA392F">
        <w:rPr>
          <w:rFonts w:ascii="Book Antiqua" w:hAnsi="Book Antiqua"/>
          <w:sz w:val="24"/>
          <w:szCs w:val="24"/>
        </w:rPr>
        <w:t xml:space="preserve">tained from Mann–Whitney </w:t>
      </w:r>
      <w:r w:rsidR="00DA392F" w:rsidRPr="00DA392F">
        <w:rPr>
          <w:rFonts w:ascii="Book Antiqua" w:hAnsi="Book Antiqua"/>
          <w:i/>
          <w:sz w:val="24"/>
          <w:szCs w:val="24"/>
        </w:rPr>
        <w:t>U</w:t>
      </w:r>
      <w:r w:rsidR="00DA392F">
        <w:rPr>
          <w:rFonts w:ascii="Book Antiqua" w:hAnsi="Book Antiqua"/>
          <w:sz w:val="24"/>
          <w:szCs w:val="24"/>
        </w:rPr>
        <w:t xml:space="preserve"> test</w:t>
      </w:r>
      <w:r w:rsidR="00DA392F">
        <w:rPr>
          <w:rFonts w:ascii="Book Antiqua" w:hAnsi="Book Antiqua" w:hint="eastAsia"/>
          <w:sz w:val="24"/>
          <w:szCs w:val="24"/>
          <w:lang w:eastAsia="zh-CN"/>
        </w:rPr>
        <w:t xml:space="preserve">. </w:t>
      </w:r>
      <w:r w:rsidRPr="0086396D">
        <w:rPr>
          <w:rFonts w:ascii="Book Antiqua" w:hAnsi="Book Antiqua"/>
          <w:sz w:val="24"/>
          <w:szCs w:val="24"/>
        </w:rPr>
        <w:t xml:space="preserve">SFA: </w:t>
      </w:r>
      <w:r w:rsidR="00DA392F" w:rsidRPr="0086396D">
        <w:rPr>
          <w:rFonts w:ascii="Book Antiqua" w:hAnsi="Book Antiqua"/>
          <w:sz w:val="24"/>
          <w:szCs w:val="24"/>
        </w:rPr>
        <w:t xml:space="preserve">Saturated </w:t>
      </w:r>
      <w:r w:rsidRPr="0086396D">
        <w:rPr>
          <w:rFonts w:ascii="Book Antiqua" w:hAnsi="Book Antiqua"/>
          <w:sz w:val="24"/>
          <w:szCs w:val="24"/>
        </w:rPr>
        <w:t>fatty acids</w:t>
      </w:r>
      <w:r w:rsidR="00DA392F">
        <w:rPr>
          <w:rFonts w:ascii="Book Antiqua" w:hAnsi="Book Antiqua" w:hint="eastAsia"/>
          <w:sz w:val="24"/>
          <w:szCs w:val="24"/>
          <w:lang w:eastAsia="zh-CN"/>
        </w:rPr>
        <w:t>;</w:t>
      </w:r>
      <w:r w:rsidRPr="0086396D">
        <w:rPr>
          <w:rFonts w:ascii="Book Antiqua" w:hAnsi="Book Antiqua"/>
          <w:sz w:val="24"/>
          <w:szCs w:val="24"/>
        </w:rPr>
        <w:t xml:space="preserve"> MUFA: </w:t>
      </w:r>
      <w:r w:rsidR="00DA392F" w:rsidRPr="0086396D">
        <w:rPr>
          <w:rFonts w:ascii="Book Antiqua" w:hAnsi="Book Antiqua"/>
          <w:sz w:val="24"/>
          <w:szCs w:val="24"/>
        </w:rPr>
        <w:t xml:space="preserve">Monounsaturated </w:t>
      </w:r>
      <w:r w:rsidRPr="0086396D">
        <w:rPr>
          <w:rFonts w:ascii="Book Antiqua" w:hAnsi="Book Antiqua"/>
          <w:sz w:val="24"/>
          <w:szCs w:val="24"/>
        </w:rPr>
        <w:t>fatty acids</w:t>
      </w:r>
      <w:r w:rsidR="00DA392F">
        <w:rPr>
          <w:rFonts w:ascii="Book Antiqua" w:hAnsi="Book Antiqua" w:hint="eastAsia"/>
          <w:sz w:val="24"/>
          <w:szCs w:val="24"/>
          <w:lang w:eastAsia="zh-CN"/>
        </w:rPr>
        <w:t>;</w:t>
      </w:r>
      <w:r w:rsidRPr="0086396D">
        <w:rPr>
          <w:rFonts w:ascii="Book Antiqua" w:hAnsi="Book Antiqua"/>
          <w:sz w:val="24"/>
          <w:szCs w:val="24"/>
        </w:rPr>
        <w:t xml:space="preserve"> </w:t>
      </w:r>
      <w:r w:rsidR="00DA392F" w:rsidRPr="0086396D">
        <w:rPr>
          <w:rFonts w:ascii="Book Antiqua" w:hAnsi="Book Antiqua"/>
          <w:sz w:val="24"/>
          <w:szCs w:val="24"/>
        </w:rPr>
        <w:t>PUFA</w:t>
      </w:r>
      <w:r w:rsidR="00DA392F">
        <w:rPr>
          <w:rFonts w:ascii="Book Antiqua" w:hAnsi="Book Antiqua" w:hint="eastAsia"/>
          <w:sz w:val="24"/>
          <w:szCs w:val="24"/>
          <w:lang w:eastAsia="zh-CN"/>
        </w:rPr>
        <w:t>:</w:t>
      </w:r>
      <w:r w:rsidR="00DA392F" w:rsidRPr="0086396D">
        <w:rPr>
          <w:rFonts w:ascii="Book Antiqua" w:hAnsi="Book Antiqua"/>
          <w:sz w:val="24"/>
          <w:szCs w:val="24"/>
        </w:rPr>
        <w:t xml:space="preserve"> </w:t>
      </w:r>
      <w:r w:rsidRPr="00DA392F">
        <w:rPr>
          <w:rFonts w:ascii="Book Antiqua" w:hAnsi="Book Antiqua"/>
          <w:caps/>
          <w:sz w:val="24"/>
          <w:szCs w:val="24"/>
        </w:rPr>
        <w:t>p</w:t>
      </w:r>
      <w:r w:rsidRPr="0086396D">
        <w:rPr>
          <w:rFonts w:ascii="Book Antiqua" w:hAnsi="Book Antiqua"/>
          <w:sz w:val="24"/>
          <w:szCs w:val="24"/>
        </w:rPr>
        <w:t>olyunsaturated fatty acids</w:t>
      </w:r>
      <w:r w:rsidR="00DA392F">
        <w:rPr>
          <w:rFonts w:ascii="Book Antiqua" w:hAnsi="Book Antiqua" w:hint="eastAsia"/>
          <w:sz w:val="24"/>
          <w:szCs w:val="24"/>
          <w:lang w:eastAsia="zh-CN"/>
        </w:rPr>
        <w:t>;</w:t>
      </w:r>
      <w:r w:rsidRPr="0086396D">
        <w:rPr>
          <w:rFonts w:ascii="Book Antiqua" w:hAnsi="Book Antiqua"/>
          <w:sz w:val="24"/>
          <w:szCs w:val="24"/>
        </w:rPr>
        <w:t xml:space="preserve"> TFA: </w:t>
      </w:r>
      <w:r w:rsidR="00DA392F" w:rsidRPr="0086396D">
        <w:rPr>
          <w:rFonts w:ascii="Book Antiqua" w:hAnsi="Book Antiqua"/>
          <w:sz w:val="24"/>
          <w:szCs w:val="24"/>
        </w:rPr>
        <w:t xml:space="preserve">Trans </w:t>
      </w:r>
      <w:r w:rsidRPr="0086396D">
        <w:rPr>
          <w:rFonts w:ascii="Book Antiqua" w:hAnsi="Book Antiqua"/>
          <w:sz w:val="24"/>
          <w:szCs w:val="24"/>
        </w:rPr>
        <w:t>fatty acids</w:t>
      </w:r>
      <w:r w:rsidR="00DA392F">
        <w:rPr>
          <w:rFonts w:ascii="Book Antiqua" w:hAnsi="Book Antiqua" w:hint="eastAsia"/>
          <w:sz w:val="24"/>
          <w:szCs w:val="24"/>
          <w:lang w:eastAsia="zh-CN"/>
        </w:rPr>
        <w:t>.</w:t>
      </w:r>
    </w:p>
    <w:p w14:paraId="331B7E5E" w14:textId="3B797847" w:rsidR="00FE3B52" w:rsidRPr="0086396D" w:rsidRDefault="00FE3B52" w:rsidP="005C7D8E">
      <w:pPr>
        <w:adjustRightInd w:val="0"/>
        <w:snapToGrid w:val="0"/>
        <w:spacing w:after="0" w:line="360" w:lineRule="auto"/>
        <w:jc w:val="both"/>
        <w:rPr>
          <w:rFonts w:ascii="Book Antiqua" w:hAnsi="Book Antiqua"/>
          <w:sz w:val="24"/>
          <w:szCs w:val="24"/>
        </w:rPr>
      </w:pPr>
    </w:p>
    <w:p w14:paraId="3E080320" w14:textId="7BAE6C9F" w:rsidR="005D5D25" w:rsidRDefault="005D5D25" w:rsidP="005C7D8E">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14:paraId="03611CAC" w14:textId="16753145" w:rsidR="00FE3B52" w:rsidRPr="005D5D25" w:rsidRDefault="005D5D25" w:rsidP="005C7D8E">
      <w:pPr>
        <w:adjustRightInd w:val="0"/>
        <w:snapToGrid w:val="0"/>
        <w:spacing w:after="0" w:line="360" w:lineRule="auto"/>
        <w:jc w:val="both"/>
        <w:rPr>
          <w:rFonts w:ascii="Book Antiqua" w:hAnsi="Book Antiqua"/>
          <w:b/>
          <w:sz w:val="24"/>
          <w:szCs w:val="24"/>
          <w:lang w:eastAsia="zh-CN"/>
        </w:rPr>
      </w:pPr>
      <w:r w:rsidRPr="005D5D25">
        <w:rPr>
          <w:rFonts w:ascii="Book Antiqua" w:hAnsi="Book Antiqua"/>
          <w:b/>
          <w:bCs/>
          <w:sz w:val="24"/>
          <w:szCs w:val="24"/>
        </w:rPr>
        <w:lastRenderedPageBreak/>
        <w:t>Table 3</w:t>
      </w:r>
      <w:r w:rsidRPr="005D5D25">
        <w:rPr>
          <w:rFonts w:ascii="Book Antiqua" w:hAnsi="Book Antiqua"/>
          <w:b/>
          <w:sz w:val="24"/>
          <w:szCs w:val="24"/>
        </w:rPr>
        <w:t xml:space="preserve"> Comparison of major serum and urinary metabolites responsible for the separation between two groups of ulcerative colitis patients</w:t>
      </w:r>
      <w:r w:rsidRPr="005D5D25">
        <w:rPr>
          <w:rFonts w:ascii="Book Antiqua" w:hAnsi="Book Antiqua"/>
          <w:b/>
          <w:sz w:val="24"/>
          <w:szCs w:val="24"/>
          <w:vertAlign w:val="superscript"/>
        </w:rPr>
        <w:t>1,2</w:t>
      </w:r>
    </w:p>
    <w:p w14:paraId="5C92C52D" w14:textId="60D3F6EE" w:rsidR="00FE3B52" w:rsidRPr="0086396D" w:rsidRDefault="00FE3B52" w:rsidP="005C7D8E">
      <w:pPr>
        <w:adjustRightInd w:val="0"/>
        <w:snapToGrid w:val="0"/>
        <w:spacing w:after="0" w:line="360" w:lineRule="auto"/>
        <w:jc w:val="both"/>
        <w:rPr>
          <w:rFonts w:ascii="Book Antiqua" w:hAnsi="Book Antiqua"/>
          <w:sz w:val="24"/>
          <w:szCs w:val="24"/>
          <w:lang w:eastAsia="zh-CN"/>
        </w:rPr>
      </w:pPr>
    </w:p>
    <w:tbl>
      <w:tblPr>
        <w:tblStyle w:val="TableGrid"/>
        <w:tblpPr w:leftFromText="180" w:rightFromText="180" w:vertAnchor="page" w:horzAnchor="margin" w:tblpY="3175"/>
        <w:tblW w:w="10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637"/>
        <w:gridCol w:w="1779"/>
        <w:gridCol w:w="1054"/>
        <w:gridCol w:w="2318"/>
        <w:gridCol w:w="896"/>
      </w:tblGrid>
      <w:tr w:rsidR="00FE3B52" w:rsidRPr="005D5D25" w14:paraId="1A3F032F" w14:textId="77777777" w:rsidTr="005D5D25">
        <w:tc>
          <w:tcPr>
            <w:tcW w:w="2570" w:type="dxa"/>
            <w:tcBorders>
              <w:top w:val="single" w:sz="4" w:space="0" w:color="auto"/>
              <w:bottom w:val="single" w:sz="4" w:space="0" w:color="auto"/>
            </w:tcBorders>
          </w:tcPr>
          <w:p w14:paraId="40426AA8" w14:textId="77777777" w:rsidR="00FE3B52" w:rsidRPr="005D5D25" w:rsidRDefault="00FE3B52" w:rsidP="005C7D8E">
            <w:pPr>
              <w:adjustRightInd w:val="0"/>
              <w:snapToGrid w:val="0"/>
              <w:spacing w:line="360" w:lineRule="auto"/>
              <w:jc w:val="both"/>
              <w:rPr>
                <w:rFonts w:ascii="Book Antiqua" w:hAnsi="Book Antiqua"/>
                <w:b/>
                <w:sz w:val="24"/>
                <w:szCs w:val="24"/>
              </w:rPr>
            </w:pPr>
          </w:p>
        </w:tc>
        <w:tc>
          <w:tcPr>
            <w:tcW w:w="1657" w:type="dxa"/>
            <w:tcBorders>
              <w:top w:val="single" w:sz="4" w:space="0" w:color="auto"/>
              <w:bottom w:val="single" w:sz="4" w:space="0" w:color="auto"/>
            </w:tcBorders>
          </w:tcPr>
          <w:p w14:paraId="4F027FBA" w14:textId="77777777" w:rsidR="00FE3B52" w:rsidRPr="005D5D25" w:rsidRDefault="00FE3B52"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UC groups</w:t>
            </w:r>
          </w:p>
        </w:tc>
        <w:tc>
          <w:tcPr>
            <w:tcW w:w="1824" w:type="dxa"/>
            <w:tcBorders>
              <w:top w:val="single" w:sz="4" w:space="0" w:color="auto"/>
              <w:bottom w:val="single" w:sz="4" w:space="0" w:color="auto"/>
            </w:tcBorders>
          </w:tcPr>
          <w:p w14:paraId="2DEAF476" w14:textId="77777777" w:rsidR="00FE3B52" w:rsidRPr="005D5D25" w:rsidRDefault="00FE3B52" w:rsidP="005C7D8E">
            <w:pPr>
              <w:adjustRightInd w:val="0"/>
              <w:snapToGrid w:val="0"/>
              <w:spacing w:line="360" w:lineRule="auto"/>
              <w:jc w:val="both"/>
              <w:rPr>
                <w:rFonts w:ascii="Book Antiqua" w:hAnsi="Book Antiqua"/>
                <w:b/>
                <w:sz w:val="24"/>
                <w:szCs w:val="24"/>
              </w:rPr>
            </w:pPr>
          </w:p>
        </w:tc>
        <w:tc>
          <w:tcPr>
            <w:tcW w:w="1071" w:type="dxa"/>
            <w:tcBorders>
              <w:top w:val="single" w:sz="4" w:space="0" w:color="auto"/>
              <w:bottom w:val="single" w:sz="4" w:space="0" w:color="auto"/>
            </w:tcBorders>
          </w:tcPr>
          <w:p w14:paraId="29B1304E" w14:textId="77777777" w:rsidR="00FE3B52" w:rsidRPr="005D5D25" w:rsidRDefault="00FE3B52"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VIP score</w:t>
            </w:r>
          </w:p>
        </w:tc>
        <w:tc>
          <w:tcPr>
            <w:tcW w:w="2318" w:type="dxa"/>
            <w:tcBorders>
              <w:top w:val="single" w:sz="4" w:space="0" w:color="auto"/>
              <w:bottom w:val="single" w:sz="4" w:space="0" w:color="auto"/>
            </w:tcBorders>
          </w:tcPr>
          <w:p w14:paraId="0D96E739" w14:textId="77777777" w:rsidR="00FE3B52" w:rsidRPr="005D5D25" w:rsidRDefault="00FE3B52"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Fold change</w:t>
            </w:r>
          </w:p>
          <w:p w14:paraId="713122BC" w14:textId="77777777" w:rsidR="00FE3B52" w:rsidRPr="005D5D25" w:rsidRDefault="00FE3B52" w:rsidP="005C7D8E">
            <w:pPr>
              <w:adjustRightInd w:val="0"/>
              <w:snapToGrid w:val="0"/>
              <w:spacing w:line="360" w:lineRule="auto"/>
              <w:jc w:val="both"/>
              <w:rPr>
                <w:rFonts w:ascii="Book Antiqua" w:hAnsi="Book Antiqua"/>
                <w:b/>
                <w:sz w:val="24"/>
                <w:szCs w:val="24"/>
              </w:rPr>
            </w:pPr>
            <w:r w:rsidRPr="005D5D25">
              <w:rPr>
                <w:rFonts w:ascii="Book Antiqua" w:hAnsi="Book Antiqua"/>
                <w:b/>
                <w:sz w:val="24"/>
                <w:szCs w:val="24"/>
              </w:rPr>
              <w:t>(remission/relapse)</w:t>
            </w:r>
          </w:p>
        </w:tc>
        <w:tc>
          <w:tcPr>
            <w:tcW w:w="782" w:type="dxa"/>
            <w:tcBorders>
              <w:top w:val="single" w:sz="4" w:space="0" w:color="auto"/>
              <w:bottom w:val="single" w:sz="4" w:space="0" w:color="auto"/>
            </w:tcBorders>
          </w:tcPr>
          <w:p w14:paraId="050E8CDF" w14:textId="1D8907BB" w:rsidR="00FE3B52" w:rsidRPr="005D5D25" w:rsidRDefault="005D5D25" w:rsidP="005C7D8E">
            <w:pPr>
              <w:adjustRightInd w:val="0"/>
              <w:snapToGrid w:val="0"/>
              <w:spacing w:line="360" w:lineRule="auto"/>
              <w:jc w:val="both"/>
              <w:rPr>
                <w:rFonts w:ascii="Book Antiqua" w:hAnsi="Book Antiqua"/>
                <w:b/>
                <w:sz w:val="24"/>
                <w:szCs w:val="24"/>
              </w:rPr>
            </w:pPr>
            <w:r w:rsidRPr="005D5D25">
              <w:rPr>
                <w:rFonts w:ascii="Book Antiqua" w:hAnsi="Book Antiqua"/>
                <w:b/>
                <w:i/>
                <w:sz w:val="24"/>
                <w:szCs w:val="24"/>
              </w:rPr>
              <w:t>P</w:t>
            </w:r>
            <w:r w:rsidRPr="005D5D25">
              <w:rPr>
                <w:rFonts w:ascii="Book Antiqua" w:hAnsi="Book Antiqua" w:hint="eastAsia"/>
                <w:b/>
                <w:sz w:val="24"/>
                <w:szCs w:val="24"/>
                <w:lang w:eastAsia="zh-CN"/>
              </w:rPr>
              <w:t>-value</w:t>
            </w:r>
            <w:r w:rsidR="00FE3B52" w:rsidRPr="005D5D25">
              <w:rPr>
                <w:rFonts w:ascii="Book Antiqua" w:hAnsi="Book Antiqua"/>
                <w:b/>
                <w:sz w:val="24"/>
                <w:szCs w:val="24"/>
                <w:vertAlign w:val="superscript"/>
              </w:rPr>
              <w:t>3</w:t>
            </w:r>
          </w:p>
        </w:tc>
      </w:tr>
      <w:tr w:rsidR="00FE3B52" w:rsidRPr="0086396D" w14:paraId="3DA27F1C" w14:textId="77777777" w:rsidTr="005D5D25">
        <w:tc>
          <w:tcPr>
            <w:tcW w:w="2570" w:type="dxa"/>
            <w:tcBorders>
              <w:top w:val="single" w:sz="4" w:space="0" w:color="auto"/>
            </w:tcBorders>
          </w:tcPr>
          <w:p w14:paraId="7E69D01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1657" w:type="dxa"/>
            <w:tcBorders>
              <w:top w:val="single" w:sz="4" w:space="0" w:color="auto"/>
            </w:tcBorders>
          </w:tcPr>
          <w:p w14:paraId="3C607D5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Remission</w:t>
            </w:r>
          </w:p>
        </w:tc>
        <w:tc>
          <w:tcPr>
            <w:tcW w:w="1824" w:type="dxa"/>
            <w:tcBorders>
              <w:top w:val="single" w:sz="4" w:space="0" w:color="auto"/>
            </w:tcBorders>
          </w:tcPr>
          <w:p w14:paraId="5CB51FA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Relapse</w:t>
            </w:r>
          </w:p>
        </w:tc>
        <w:tc>
          <w:tcPr>
            <w:tcW w:w="1071" w:type="dxa"/>
            <w:tcBorders>
              <w:top w:val="single" w:sz="4" w:space="0" w:color="auto"/>
            </w:tcBorders>
          </w:tcPr>
          <w:p w14:paraId="2B8B906D"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2318" w:type="dxa"/>
            <w:tcBorders>
              <w:top w:val="single" w:sz="4" w:space="0" w:color="auto"/>
            </w:tcBorders>
          </w:tcPr>
          <w:p w14:paraId="243061C4" w14:textId="77777777" w:rsidR="00FE3B52" w:rsidRPr="0086396D" w:rsidRDefault="00FE3B52" w:rsidP="005C7D8E">
            <w:pPr>
              <w:adjustRightInd w:val="0"/>
              <w:snapToGrid w:val="0"/>
              <w:spacing w:line="360" w:lineRule="auto"/>
              <w:jc w:val="both"/>
              <w:rPr>
                <w:rFonts w:ascii="Book Antiqua" w:hAnsi="Book Antiqua"/>
                <w:sz w:val="24"/>
                <w:szCs w:val="24"/>
              </w:rPr>
            </w:pPr>
          </w:p>
        </w:tc>
        <w:tc>
          <w:tcPr>
            <w:tcW w:w="782" w:type="dxa"/>
            <w:tcBorders>
              <w:top w:val="single" w:sz="4" w:space="0" w:color="auto"/>
            </w:tcBorders>
          </w:tcPr>
          <w:p w14:paraId="6F237092" w14:textId="77777777" w:rsidR="00FE3B52" w:rsidRPr="0086396D" w:rsidRDefault="00FE3B52" w:rsidP="005C7D8E">
            <w:pPr>
              <w:adjustRightInd w:val="0"/>
              <w:snapToGrid w:val="0"/>
              <w:spacing w:line="360" w:lineRule="auto"/>
              <w:jc w:val="both"/>
              <w:rPr>
                <w:rFonts w:ascii="Book Antiqua" w:hAnsi="Book Antiqua"/>
                <w:sz w:val="24"/>
                <w:szCs w:val="24"/>
              </w:rPr>
            </w:pPr>
          </w:p>
        </w:tc>
      </w:tr>
      <w:tr w:rsidR="00FE3B52" w:rsidRPr="0086396D" w14:paraId="02E8560A" w14:textId="77777777" w:rsidTr="005D5D25">
        <w:tc>
          <w:tcPr>
            <w:tcW w:w="2570" w:type="dxa"/>
          </w:tcPr>
          <w:p w14:paraId="1DF3289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Trans-aconitate (urine)</w:t>
            </w:r>
          </w:p>
        </w:tc>
        <w:tc>
          <w:tcPr>
            <w:tcW w:w="1657" w:type="dxa"/>
          </w:tcPr>
          <w:p w14:paraId="146822E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0.5 (0.5-1.6)</w:t>
            </w:r>
          </w:p>
        </w:tc>
        <w:tc>
          <w:tcPr>
            <w:tcW w:w="1824" w:type="dxa"/>
          </w:tcPr>
          <w:p w14:paraId="7A0F1AA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3.6 (1.9-5.5)</w:t>
            </w:r>
          </w:p>
        </w:tc>
        <w:tc>
          <w:tcPr>
            <w:tcW w:w="1071" w:type="dxa"/>
          </w:tcPr>
          <w:p w14:paraId="307D8D3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1.9</w:t>
            </w:r>
          </w:p>
        </w:tc>
        <w:tc>
          <w:tcPr>
            <w:tcW w:w="2318" w:type="dxa"/>
          </w:tcPr>
          <w:p w14:paraId="5B9F8B9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w:t>
            </w:r>
          </w:p>
        </w:tc>
        <w:tc>
          <w:tcPr>
            <w:tcW w:w="782" w:type="dxa"/>
          </w:tcPr>
          <w:p w14:paraId="12B9F49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0.02</w:t>
            </w:r>
          </w:p>
        </w:tc>
      </w:tr>
      <w:tr w:rsidR="00FE3B52" w:rsidRPr="0086396D" w14:paraId="1F6FF638" w14:textId="77777777" w:rsidTr="005D5D25">
        <w:tc>
          <w:tcPr>
            <w:tcW w:w="2570" w:type="dxa"/>
          </w:tcPr>
          <w:p w14:paraId="26397EA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3-hydroxybutyrate (serum)</w:t>
            </w:r>
          </w:p>
        </w:tc>
        <w:tc>
          <w:tcPr>
            <w:tcW w:w="1657" w:type="dxa"/>
          </w:tcPr>
          <w:p w14:paraId="06BD597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21.0 (15.0-33.9)</w:t>
            </w:r>
          </w:p>
        </w:tc>
        <w:tc>
          <w:tcPr>
            <w:tcW w:w="1824" w:type="dxa"/>
          </w:tcPr>
          <w:p w14:paraId="291CFD13"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127.8 (37.5-232.0)</w:t>
            </w:r>
          </w:p>
        </w:tc>
        <w:tc>
          <w:tcPr>
            <w:tcW w:w="1071" w:type="dxa"/>
          </w:tcPr>
          <w:p w14:paraId="58257E2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w:t>
            </w:r>
          </w:p>
        </w:tc>
        <w:tc>
          <w:tcPr>
            <w:tcW w:w="2318" w:type="dxa"/>
          </w:tcPr>
          <w:p w14:paraId="31652CC8"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0.2</w:t>
            </w:r>
          </w:p>
        </w:tc>
        <w:tc>
          <w:tcPr>
            <w:tcW w:w="782" w:type="dxa"/>
          </w:tcPr>
          <w:p w14:paraId="1173B83F"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&lt;0.01</w:t>
            </w:r>
          </w:p>
        </w:tc>
      </w:tr>
      <w:tr w:rsidR="00FE3B52" w:rsidRPr="0086396D" w14:paraId="0C13D0C0" w14:textId="77777777" w:rsidTr="005D5D25">
        <w:tc>
          <w:tcPr>
            <w:tcW w:w="2570" w:type="dxa"/>
          </w:tcPr>
          <w:p w14:paraId="2545981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Cystine (urine)</w:t>
            </w:r>
          </w:p>
        </w:tc>
        <w:tc>
          <w:tcPr>
            <w:tcW w:w="1657" w:type="dxa"/>
          </w:tcPr>
          <w:p w14:paraId="79E76FD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5.3 (4.0-8.6)</w:t>
            </w:r>
          </w:p>
        </w:tc>
        <w:tc>
          <w:tcPr>
            <w:tcW w:w="1824" w:type="dxa"/>
          </w:tcPr>
          <w:p w14:paraId="3EBB20C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3.3 (1.4-5.9)</w:t>
            </w:r>
          </w:p>
        </w:tc>
        <w:tc>
          <w:tcPr>
            <w:tcW w:w="1071" w:type="dxa"/>
          </w:tcPr>
          <w:p w14:paraId="2BE5C58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1.4</w:t>
            </w:r>
          </w:p>
        </w:tc>
        <w:tc>
          <w:tcPr>
            <w:tcW w:w="2318" w:type="dxa"/>
          </w:tcPr>
          <w:p w14:paraId="28D7348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2.7</w:t>
            </w:r>
          </w:p>
        </w:tc>
        <w:tc>
          <w:tcPr>
            <w:tcW w:w="782" w:type="dxa"/>
          </w:tcPr>
          <w:p w14:paraId="63068471"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0.07</w:t>
            </w:r>
          </w:p>
        </w:tc>
      </w:tr>
      <w:tr w:rsidR="00FE3B52" w:rsidRPr="0086396D" w14:paraId="28A107AD" w14:textId="77777777" w:rsidTr="005D5D25">
        <w:tc>
          <w:tcPr>
            <w:tcW w:w="2570" w:type="dxa"/>
          </w:tcPr>
          <w:p w14:paraId="6F3C063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Acetamide (urine)</w:t>
            </w:r>
          </w:p>
        </w:tc>
        <w:tc>
          <w:tcPr>
            <w:tcW w:w="1657" w:type="dxa"/>
          </w:tcPr>
          <w:p w14:paraId="6CC7CCE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4.9 (2.7-7.1)</w:t>
            </w:r>
          </w:p>
        </w:tc>
        <w:tc>
          <w:tcPr>
            <w:tcW w:w="1824" w:type="dxa"/>
          </w:tcPr>
          <w:p w14:paraId="480D11F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2.6 (0.8-3.8)</w:t>
            </w:r>
          </w:p>
        </w:tc>
        <w:tc>
          <w:tcPr>
            <w:tcW w:w="1071" w:type="dxa"/>
          </w:tcPr>
          <w:p w14:paraId="3875F170"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1.3</w:t>
            </w:r>
          </w:p>
        </w:tc>
        <w:tc>
          <w:tcPr>
            <w:tcW w:w="2318" w:type="dxa"/>
          </w:tcPr>
          <w:p w14:paraId="1FBC39F2"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2.4</w:t>
            </w:r>
          </w:p>
        </w:tc>
        <w:tc>
          <w:tcPr>
            <w:tcW w:w="782" w:type="dxa"/>
          </w:tcPr>
          <w:p w14:paraId="1307ADB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0.05</w:t>
            </w:r>
          </w:p>
        </w:tc>
      </w:tr>
      <w:tr w:rsidR="00FE3B52" w:rsidRPr="0086396D" w14:paraId="209EB7AE" w14:textId="77777777" w:rsidTr="005D5D25">
        <w:tc>
          <w:tcPr>
            <w:tcW w:w="2570" w:type="dxa"/>
          </w:tcPr>
          <w:p w14:paraId="44B02D6C"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Acetoacetate (serum)</w:t>
            </w:r>
          </w:p>
        </w:tc>
        <w:tc>
          <w:tcPr>
            <w:tcW w:w="1657" w:type="dxa"/>
          </w:tcPr>
          <w:p w14:paraId="35CB5D34"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7.8 (5.8-13.0)</w:t>
            </w:r>
          </w:p>
        </w:tc>
        <w:tc>
          <w:tcPr>
            <w:tcW w:w="1824" w:type="dxa"/>
          </w:tcPr>
          <w:p w14:paraId="55C36CF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25.6 (10.5-60.2)</w:t>
            </w:r>
          </w:p>
        </w:tc>
        <w:tc>
          <w:tcPr>
            <w:tcW w:w="1071" w:type="dxa"/>
          </w:tcPr>
          <w:p w14:paraId="4538B1E6"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1.2</w:t>
            </w:r>
          </w:p>
        </w:tc>
        <w:tc>
          <w:tcPr>
            <w:tcW w:w="2318" w:type="dxa"/>
          </w:tcPr>
          <w:p w14:paraId="2B0DA0C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0.3</w:t>
            </w:r>
          </w:p>
        </w:tc>
        <w:tc>
          <w:tcPr>
            <w:tcW w:w="782" w:type="dxa"/>
          </w:tcPr>
          <w:p w14:paraId="44DE563A"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0.02</w:t>
            </w:r>
          </w:p>
        </w:tc>
      </w:tr>
      <w:tr w:rsidR="00FE3B52" w:rsidRPr="0086396D" w14:paraId="5C613334" w14:textId="77777777" w:rsidTr="005D5D25">
        <w:tc>
          <w:tcPr>
            <w:tcW w:w="2570" w:type="dxa"/>
          </w:tcPr>
          <w:p w14:paraId="03F94211" w14:textId="77777777" w:rsidR="00FE3B52" w:rsidRPr="0086396D" w:rsidRDefault="00FE3B52" w:rsidP="005C7D8E">
            <w:pPr>
              <w:adjustRightInd w:val="0"/>
              <w:snapToGrid w:val="0"/>
              <w:spacing w:line="360" w:lineRule="auto"/>
              <w:jc w:val="both"/>
              <w:rPr>
                <w:rFonts w:ascii="Book Antiqua" w:hAnsi="Book Antiqua"/>
                <w:sz w:val="24"/>
                <w:szCs w:val="24"/>
                <w:rtl/>
                <w:lang w:bidi="fa-IR"/>
              </w:rPr>
            </w:pPr>
            <w:r w:rsidRPr="0086396D">
              <w:rPr>
                <w:rFonts w:ascii="Book Antiqua" w:hAnsi="Book Antiqua"/>
                <w:sz w:val="24"/>
                <w:szCs w:val="24"/>
              </w:rPr>
              <w:t>Acetone (serum)</w:t>
            </w:r>
          </w:p>
        </w:tc>
        <w:tc>
          <w:tcPr>
            <w:tcW w:w="1657" w:type="dxa"/>
          </w:tcPr>
          <w:p w14:paraId="0C682DF7"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5.3 (4.2-8.7)</w:t>
            </w:r>
          </w:p>
        </w:tc>
        <w:tc>
          <w:tcPr>
            <w:tcW w:w="1824" w:type="dxa"/>
          </w:tcPr>
          <w:p w14:paraId="13B82185"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11.9 (6.0-24.7)</w:t>
            </w:r>
          </w:p>
        </w:tc>
        <w:tc>
          <w:tcPr>
            <w:tcW w:w="1071" w:type="dxa"/>
          </w:tcPr>
          <w:p w14:paraId="19EA950E"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1.1</w:t>
            </w:r>
          </w:p>
        </w:tc>
        <w:tc>
          <w:tcPr>
            <w:tcW w:w="2318" w:type="dxa"/>
          </w:tcPr>
          <w:p w14:paraId="5764F43B"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0.4</w:t>
            </w:r>
          </w:p>
        </w:tc>
        <w:tc>
          <w:tcPr>
            <w:tcW w:w="782" w:type="dxa"/>
          </w:tcPr>
          <w:p w14:paraId="56FA5379" w14:textId="77777777" w:rsidR="00FE3B52" w:rsidRPr="0086396D" w:rsidRDefault="00FE3B52" w:rsidP="005C7D8E">
            <w:pPr>
              <w:adjustRightInd w:val="0"/>
              <w:snapToGrid w:val="0"/>
              <w:spacing w:line="360" w:lineRule="auto"/>
              <w:jc w:val="both"/>
              <w:rPr>
                <w:rFonts w:ascii="Book Antiqua" w:hAnsi="Book Antiqua"/>
                <w:sz w:val="24"/>
                <w:szCs w:val="24"/>
              </w:rPr>
            </w:pPr>
            <w:r w:rsidRPr="0086396D">
              <w:rPr>
                <w:rFonts w:ascii="Book Antiqua" w:hAnsi="Book Antiqua"/>
                <w:sz w:val="24"/>
                <w:szCs w:val="24"/>
              </w:rPr>
              <w:t>0.06</w:t>
            </w:r>
          </w:p>
        </w:tc>
      </w:tr>
    </w:tbl>
    <w:p w14:paraId="0C518FFF" w14:textId="428FBAFD" w:rsidR="00FE3B52" w:rsidRPr="0086396D" w:rsidRDefault="00FE3B52" w:rsidP="005C7D8E">
      <w:pPr>
        <w:adjustRightInd w:val="0"/>
        <w:snapToGrid w:val="0"/>
        <w:spacing w:after="0" w:line="360" w:lineRule="auto"/>
        <w:jc w:val="both"/>
        <w:rPr>
          <w:rFonts w:ascii="Book Antiqua" w:hAnsi="Book Antiqua"/>
          <w:sz w:val="24"/>
          <w:szCs w:val="24"/>
          <w:lang w:eastAsia="zh-CN"/>
        </w:rPr>
      </w:pPr>
      <w:r w:rsidRPr="0086396D">
        <w:rPr>
          <w:rFonts w:ascii="Book Antiqua" w:hAnsi="Book Antiqua"/>
          <w:sz w:val="24"/>
          <w:szCs w:val="24"/>
          <w:vertAlign w:val="superscript"/>
        </w:rPr>
        <w:t>1</w:t>
      </w:r>
      <w:r w:rsidRPr="005D5D25">
        <w:rPr>
          <w:rFonts w:ascii="Book Antiqua" w:hAnsi="Book Antiqua"/>
          <w:caps/>
          <w:sz w:val="24"/>
          <w:szCs w:val="24"/>
        </w:rPr>
        <w:t>c</w:t>
      </w:r>
      <w:r w:rsidRPr="0086396D">
        <w:rPr>
          <w:rFonts w:ascii="Book Antiqua" w:hAnsi="Book Antiqua"/>
          <w:sz w:val="24"/>
          <w:szCs w:val="24"/>
        </w:rPr>
        <w:t>oncentrations are presented a</w:t>
      </w:r>
      <w:r w:rsidR="005D5D25">
        <w:rPr>
          <w:rFonts w:ascii="Book Antiqua" w:hAnsi="Book Antiqua"/>
          <w:sz w:val="24"/>
          <w:szCs w:val="24"/>
        </w:rPr>
        <w:t>s median (interquartile range)</w:t>
      </w:r>
      <w:r w:rsidR="005D5D25">
        <w:rPr>
          <w:rFonts w:ascii="Book Antiqua" w:hAnsi="Book Antiqua" w:hint="eastAsia"/>
          <w:sz w:val="24"/>
          <w:szCs w:val="24"/>
          <w:lang w:eastAsia="zh-CN"/>
        </w:rPr>
        <w:t xml:space="preserve">; </w:t>
      </w:r>
      <w:r w:rsidRPr="0086396D">
        <w:rPr>
          <w:rFonts w:ascii="Book Antiqua" w:hAnsi="Book Antiqua"/>
          <w:sz w:val="24"/>
          <w:szCs w:val="24"/>
          <w:vertAlign w:val="superscript"/>
        </w:rPr>
        <w:t>2</w:t>
      </w:r>
      <w:r w:rsidRPr="005D5D25">
        <w:rPr>
          <w:rFonts w:ascii="Book Antiqua" w:hAnsi="Book Antiqua"/>
          <w:caps/>
          <w:sz w:val="24"/>
          <w:szCs w:val="24"/>
        </w:rPr>
        <w:t>u</w:t>
      </w:r>
      <w:r w:rsidRPr="0086396D">
        <w:rPr>
          <w:rFonts w:ascii="Book Antiqua" w:hAnsi="Book Antiqua"/>
          <w:sz w:val="24"/>
          <w:szCs w:val="24"/>
        </w:rPr>
        <w:t>nit of concentration for the metabolites in serum and urine is μ</w:t>
      </w:r>
      <w:r w:rsidR="005D5D25">
        <w:rPr>
          <w:rFonts w:ascii="Book Antiqua" w:hAnsi="Book Antiqua"/>
          <w:sz w:val="24"/>
          <w:szCs w:val="24"/>
        </w:rPr>
        <w:t>mol and μmol/mmol, respectively</w:t>
      </w:r>
      <w:r w:rsidR="005D5D25">
        <w:rPr>
          <w:rFonts w:ascii="Book Antiqua" w:hAnsi="Book Antiqua" w:hint="eastAsia"/>
          <w:sz w:val="24"/>
          <w:szCs w:val="24"/>
          <w:lang w:eastAsia="zh-CN"/>
        </w:rPr>
        <w:t xml:space="preserve">; </w:t>
      </w:r>
      <w:r w:rsidRPr="0086396D">
        <w:rPr>
          <w:rFonts w:ascii="Book Antiqua" w:hAnsi="Book Antiqua"/>
          <w:sz w:val="24"/>
          <w:szCs w:val="24"/>
          <w:vertAlign w:val="superscript"/>
        </w:rPr>
        <w:t>3</w:t>
      </w:r>
      <w:r w:rsidRPr="005D5D25">
        <w:rPr>
          <w:rFonts w:ascii="Book Antiqua" w:hAnsi="Book Antiqua"/>
          <w:caps/>
          <w:sz w:val="24"/>
          <w:szCs w:val="24"/>
        </w:rPr>
        <w:t>o</w:t>
      </w:r>
      <w:r w:rsidRPr="0086396D">
        <w:rPr>
          <w:rFonts w:ascii="Book Antiqua" w:hAnsi="Book Antiqua"/>
          <w:sz w:val="24"/>
          <w:szCs w:val="24"/>
        </w:rPr>
        <w:t xml:space="preserve">btained from Mann–Whitney </w:t>
      </w:r>
      <w:r w:rsidRPr="005D5D25">
        <w:rPr>
          <w:rFonts w:ascii="Book Antiqua" w:hAnsi="Book Antiqua"/>
          <w:i/>
          <w:sz w:val="24"/>
          <w:szCs w:val="24"/>
        </w:rPr>
        <w:t>U</w:t>
      </w:r>
      <w:r w:rsidRPr="0086396D">
        <w:rPr>
          <w:rFonts w:ascii="Book Antiqua" w:hAnsi="Book Antiqua"/>
          <w:sz w:val="24"/>
          <w:szCs w:val="24"/>
        </w:rPr>
        <w:t xml:space="preserve"> test</w:t>
      </w:r>
      <w:r w:rsidR="005D5D25">
        <w:rPr>
          <w:rFonts w:ascii="Book Antiqua" w:hAnsi="Book Antiqua" w:hint="eastAsia"/>
          <w:sz w:val="24"/>
          <w:szCs w:val="24"/>
          <w:lang w:eastAsia="zh-CN"/>
        </w:rPr>
        <w:t xml:space="preserve">. </w:t>
      </w:r>
    </w:p>
    <w:p w14:paraId="300DEA4D" w14:textId="77777777" w:rsidR="00FE3B52" w:rsidRPr="0086396D" w:rsidRDefault="00FE3B52" w:rsidP="005C7D8E">
      <w:pPr>
        <w:adjustRightInd w:val="0"/>
        <w:snapToGrid w:val="0"/>
        <w:spacing w:after="0" w:line="360" w:lineRule="auto"/>
        <w:jc w:val="both"/>
        <w:rPr>
          <w:rFonts w:ascii="Book Antiqua" w:hAnsi="Book Antiqua"/>
          <w:sz w:val="24"/>
          <w:szCs w:val="24"/>
        </w:rPr>
      </w:pPr>
    </w:p>
    <w:p w14:paraId="20E25C73" w14:textId="3708B417" w:rsidR="000A2E8E" w:rsidRDefault="000A2E8E" w:rsidP="005C7D8E">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14:paraId="6D91F1C6" w14:textId="77777777" w:rsidR="003472C5" w:rsidRPr="0086396D" w:rsidRDefault="003472C5" w:rsidP="005C7D8E">
      <w:pPr>
        <w:adjustRightInd w:val="0"/>
        <w:snapToGrid w:val="0"/>
        <w:spacing w:after="0" w:line="360" w:lineRule="auto"/>
        <w:jc w:val="both"/>
        <w:rPr>
          <w:rFonts w:ascii="Book Antiqua" w:hAnsi="Book Antiqua"/>
          <w:b/>
          <w:bCs/>
          <w:noProof/>
          <w:sz w:val="24"/>
          <w:szCs w:val="24"/>
          <w:lang w:val="en-CA" w:eastAsia="en-CA"/>
        </w:rPr>
      </w:pPr>
    </w:p>
    <w:p w14:paraId="36B793E0" w14:textId="46132D1A" w:rsidR="00280814" w:rsidRPr="0086396D" w:rsidRDefault="00280814" w:rsidP="005C7D8E">
      <w:pPr>
        <w:adjustRightInd w:val="0"/>
        <w:snapToGrid w:val="0"/>
        <w:spacing w:after="0" w:line="360" w:lineRule="auto"/>
        <w:jc w:val="both"/>
        <w:rPr>
          <w:rFonts w:ascii="Book Antiqua" w:hAnsi="Book Antiqua"/>
          <w:b/>
          <w:bCs/>
          <w:sz w:val="24"/>
          <w:szCs w:val="24"/>
          <w:lang w:eastAsia="zh-CN"/>
        </w:rPr>
      </w:pPr>
      <w:r w:rsidRPr="0086396D">
        <w:rPr>
          <w:rFonts w:ascii="Book Antiqua" w:hAnsi="Book Antiqua"/>
          <w:noProof/>
          <w:sz w:val="24"/>
          <w:szCs w:val="24"/>
          <w:lang w:eastAsia="zh-CN"/>
        </w:rPr>
        <w:drawing>
          <wp:inline distT="0" distB="0" distL="0" distR="0" wp14:anchorId="1DF4F91F" wp14:editId="683C8DD2">
            <wp:extent cx="3859530" cy="4244340"/>
            <wp:effectExtent l="0" t="0" r="7620" b="3810"/>
            <wp:docPr id="1" name="Picture 1" descr="C:\Users\Ammar\AppData\Local\Microsoft\Windows\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AppData\Local\Microsoft\Windows\INetCache\Content.Word\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9530" cy="4244340"/>
                    </a:xfrm>
                    <a:prstGeom prst="rect">
                      <a:avLst/>
                    </a:prstGeom>
                    <a:noFill/>
                    <a:ln>
                      <a:noFill/>
                    </a:ln>
                  </pic:spPr>
                </pic:pic>
              </a:graphicData>
            </a:graphic>
          </wp:inline>
        </w:drawing>
      </w:r>
    </w:p>
    <w:p w14:paraId="0E6E2E9F" w14:textId="08BD7376" w:rsidR="00FE3B52" w:rsidRPr="0086396D" w:rsidRDefault="000A2E8E" w:rsidP="005C7D8E">
      <w:pPr>
        <w:adjustRightInd w:val="0"/>
        <w:snapToGrid w:val="0"/>
        <w:spacing w:after="0" w:line="360" w:lineRule="auto"/>
        <w:jc w:val="both"/>
        <w:rPr>
          <w:rFonts w:ascii="Book Antiqua" w:hAnsi="Book Antiqua"/>
          <w:sz w:val="24"/>
          <w:szCs w:val="24"/>
          <w:lang w:eastAsia="zh-CN"/>
        </w:rPr>
      </w:pPr>
      <w:r>
        <w:rPr>
          <w:rFonts w:ascii="Book Antiqua" w:hAnsi="Book Antiqua"/>
          <w:b/>
          <w:bCs/>
          <w:sz w:val="24"/>
          <w:szCs w:val="24"/>
        </w:rPr>
        <w:t>Figure 1</w:t>
      </w:r>
      <w:r w:rsidR="00FE3B52" w:rsidRPr="0086396D">
        <w:rPr>
          <w:rFonts w:ascii="Book Antiqua" w:hAnsi="Book Antiqua"/>
          <w:sz w:val="24"/>
          <w:szCs w:val="24"/>
        </w:rPr>
        <w:t xml:space="preserve"> </w:t>
      </w:r>
      <w:r w:rsidR="00FE3B52" w:rsidRPr="000A2E8E">
        <w:rPr>
          <w:rFonts w:ascii="Book Antiqua" w:hAnsi="Book Antiqua"/>
          <w:b/>
          <w:sz w:val="24"/>
          <w:szCs w:val="24"/>
        </w:rPr>
        <w:t xml:space="preserve">Receiver operating characteristic curve for fecal calprotectin concentration in predicting ulcerative colitis relapse. </w:t>
      </w:r>
      <w:r w:rsidR="00FE3B52" w:rsidRPr="0086396D">
        <w:rPr>
          <w:rFonts w:ascii="Book Antiqua" w:hAnsi="Book Antiqua"/>
          <w:sz w:val="24"/>
          <w:szCs w:val="24"/>
        </w:rPr>
        <w:t xml:space="preserve">The area under the curve was 0.78 </w:t>
      </w:r>
      <w:r>
        <w:rPr>
          <w:rFonts w:ascii="Book Antiqua" w:hAnsi="Book Antiqua"/>
          <w:sz w:val="24"/>
          <w:szCs w:val="24"/>
        </w:rPr>
        <w:t>(95%</w:t>
      </w:r>
      <w:r>
        <w:rPr>
          <w:rFonts w:ascii="Book Antiqua" w:hAnsi="Book Antiqua" w:hint="eastAsia"/>
          <w:sz w:val="24"/>
          <w:szCs w:val="24"/>
          <w:lang w:eastAsia="zh-CN"/>
        </w:rPr>
        <w:t>CI</w:t>
      </w:r>
      <w:r w:rsidR="00FE3B52" w:rsidRPr="0086396D">
        <w:rPr>
          <w:rFonts w:ascii="Book Antiqua" w:hAnsi="Book Antiqua"/>
          <w:sz w:val="24"/>
          <w:szCs w:val="24"/>
        </w:rPr>
        <w:t>: 0.55-1.0)</w:t>
      </w:r>
      <w:r w:rsidR="00730303" w:rsidRPr="0086396D">
        <w:rPr>
          <w:rFonts w:ascii="Book Antiqua" w:hAnsi="Book Antiqua"/>
          <w:sz w:val="24"/>
          <w:szCs w:val="24"/>
        </w:rPr>
        <w:t>.</w:t>
      </w:r>
      <w:r>
        <w:rPr>
          <w:rFonts w:ascii="Book Antiqua" w:hAnsi="Book Antiqua" w:hint="eastAsia"/>
          <w:sz w:val="24"/>
          <w:szCs w:val="24"/>
          <w:lang w:eastAsia="zh-CN"/>
        </w:rPr>
        <w:t xml:space="preserve"> </w:t>
      </w:r>
      <w:r w:rsidRPr="0086396D">
        <w:rPr>
          <w:rFonts w:ascii="Book Antiqua" w:hAnsi="Book Antiqua"/>
          <w:sz w:val="24"/>
          <w:szCs w:val="24"/>
        </w:rPr>
        <w:t>ROC</w:t>
      </w:r>
      <w:r>
        <w:rPr>
          <w:rFonts w:ascii="Book Antiqua" w:hAnsi="Book Antiqua" w:hint="eastAsia"/>
          <w:sz w:val="24"/>
          <w:szCs w:val="24"/>
          <w:lang w:eastAsia="zh-CN"/>
        </w:rPr>
        <w:t>:</w:t>
      </w:r>
      <w:r w:rsidRPr="0086396D">
        <w:rPr>
          <w:rFonts w:ascii="Book Antiqua" w:hAnsi="Book Antiqua"/>
          <w:sz w:val="24"/>
          <w:szCs w:val="24"/>
        </w:rPr>
        <w:t xml:space="preserve"> Receiver operating characteristic</w:t>
      </w:r>
      <w:r>
        <w:rPr>
          <w:rFonts w:ascii="Book Antiqua" w:hAnsi="Book Antiqua" w:hint="eastAsia"/>
          <w:sz w:val="24"/>
          <w:szCs w:val="24"/>
          <w:lang w:eastAsia="zh-CN"/>
        </w:rPr>
        <w:t>.</w:t>
      </w:r>
    </w:p>
    <w:p w14:paraId="28008D54" w14:textId="77777777" w:rsidR="00280814" w:rsidRPr="0086396D" w:rsidRDefault="00280814" w:rsidP="005C7D8E">
      <w:pPr>
        <w:adjustRightInd w:val="0"/>
        <w:snapToGrid w:val="0"/>
        <w:spacing w:after="0" w:line="360" w:lineRule="auto"/>
        <w:jc w:val="both"/>
        <w:rPr>
          <w:rFonts w:ascii="Book Antiqua" w:hAnsi="Book Antiqua"/>
          <w:b/>
          <w:bCs/>
          <w:sz w:val="24"/>
          <w:szCs w:val="24"/>
        </w:rPr>
      </w:pPr>
    </w:p>
    <w:p w14:paraId="1318E97B" w14:textId="77777777" w:rsidR="00280814" w:rsidRPr="0086396D" w:rsidRDefault="00280814" w:rsidP="005C7D8E">
      <w:pPr>
        <w:adjustRightInd w:val="0"/>
        <w:snapToGrid w:val="0"/>
        <w:spacing w:after="0" w:line="360" w:lineRule="auto"/>
        <w:jc w:val="both"/>
        <w:rPr>
          <w:rFonts w:ascii="Book Antiqua" w:hAnsi="Book Antiqua"/>
          <w:b/>
          <w:bCs/>
          <w:sz w:val="24"/>
          <w:szCs w:val="24"/>
        </w:rPr>
      </w:pPr>
    </w:p>
    <w:p w14:paraId="1FA04AE3" w14:textId="77777777" w:rsidR="00280814" w:rsidRPr="0086396D" w:rsidRDefault="00280814" w:rsidP="005C7D8E">
      <w:pPr>
        <w:adjustRightInd w:val="0"/>
        <w:snapToGrid w:val="0"/>
        <w:spacing w:after="0" w:line="360" w:lineRule="auto"/>
        <w:jc w:val="both"/>
        <w:rPr>
          <w:rFonts w:ascii="Book Antiqua" w:hAnsi="Book Antiqua"/>
          <w:b/>
          <w:bCs/>
          <w:sz w:val="24"/>
          <w:szCs w:val="24"/>
        </w:rPr>
      </w:pPr>
    </w:p>
    <w:p w14:paraId="0FFE0356" w14:textId="77777777" w:rsidR="00280814" w:rsidRPr="0086396D" w:rsidRDefault="00280814" w:rsidP="005C7D8E">
      <w:pPr>
        <w:adjustRightInd w:val="0"/>
        <w:snapToGrid w:val="0"/>
        <w:spacing w:after="0" w:line="360" w:lineRule="auto"/>
        <w:jc w:val="both"/>
        <w:rPr>
          <w:rFonts w:ascii="Book Antiqua" w:hAnsi="Book Antiqua"/>
          <w:b/>
          <w:bCs/>
          <w:sz w:val="24"/>
          <w:szCs w:val="24"/>
        </w:rPr>
      </w:pPr>
    </w:p>
    <w:p w14:paraId="250381D0" w14:textId="37F5AD3B" w:rsidR="00280814" w:rsidRPr="0086396D" w:rsidRDefault="00280814" w:rsidP="005C7D8E">
      <w:pPr>
        <w:adjustRightInd w:val="0"/>
        <w:snapToGrid w:val="0"/>
        <w:spacing w:after="0" w:line="360" w:lineRule="auto"/>
        <w:jc w:val="both"/>
        <w:rPr>
          <w:rFonts w:ascii="Book Antiqua" w:hAnsi="Book Antiqua"/>
          <w:b/>
          <w:bCs/>
          <w:sz w:val="24"/>
          <w:szCs w:val="24"/>
          <w:lang w:eastAsia="zh-CN"/>
        </w:rPr>
      </w:pPr>
      <w:r w:rsidRPr="0086396D">
        <w:rPr>
          <w:rFonts w:ascii="Book Antiqua" w:hAnsi="Book Antiqua"/>
          <w:noProof/>
          <w:sz w:val="24"/>
          <w:szCs w:val="24"/>
          <w:lang w:eastAsia="zh-CN"/>
        </w:rPr>
        <w:lastRenderedPageBreak/>
        <w:drawing>
          <wp:inline distT="0" distB="0" distL="0" distR="0" wp14:anchorId="48765701" wp14:editId="4B9D782D">
            <wp:extent cx="5943600" cy="5943600"/>
            <wp:effectExtent l="0" t="0" r="0" b="0"/>
            <wp:docPr id="2" name="Picture 2" descr="C:\Users\Ammar\AppData\Local\Microsoft\Windows\INetCache\Content.Word\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AppData\Local\Microsoft\Windows\INetCache\Content.Word\Figure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A805962" w14:textId="79122206" w:rsidR="00FE3B52" w:rsidRPr="000A2E8E" w:rsidRDefault="000A2E8E" w:rsidP="005C7D8E">
      <w:pPr>
        <w:adjustRightInd w:val="0"/>
        <w:snapToGrid w:val="0"/>
        <w:spacing w:after="0" w:line="360" w:lineRule="auto"/>
        <w:jc w:val="both"/>
        <w:rPr>
          <w:rFonts w:ascii="Book Antiqua" w:hAnsi="Book Antiqua"/>
          <w:b/>
          <w:sz w:val="24"/>
          <w:szCs w:val="24"/>
        </w:rPr>
      </w:pPr>
      <w:r w:rsidRPr="000A2E8E">
        <w:rPr>
          <w:rFonts w:ascii="Book Antiqua" w:hAnsi="Book Antiqua"/>
          <w:b/>
          <w:bCs/>
          <w:sz w:val="24"/>
          <w:szCs w:val="24"/>
        </w:rPr>
        <w:t>Figure 2</w:t>
      </w:r>
      <w:r w:rsidRPr="000A2E8E">
        <w:rPr>
          <w:rFonts w:ascii="Book Antiqua" w:hAnsi="Book Antiqua" w:hint="eastAsia"/>
          <w:b/>
          <w:bCs/>
          <w:sz w:val="24"/>
          <w:szCs w:val="24"/>
          <w:lang w:eastAsia="zh-CN"/>
        </w:rPr>
        <w:t xml:space="preserve"> </w:t>
      </w:r>
      <w:r w:rsidR="00FE3B52" w:rsidRPr="000A2E8E">
        <w:rPr>
          <w:rFonts w:ascii="Book Antiqua" w:hAnsi="Book Antiqua"/>
          <w:b/>
          <w:sz w:val="24"/>
          <w:szCs w:val="24"/>
        </w:rPr>
        <w:t>Partial least squares discriminant analysis plot showing a clear separation of the metabolomic fingerprints of ulcerative colitis patients</w:t>
      </w:r>
      <w:r w:rsidR="00EC0595" w:rsidRPr="000A2E8E">
        <w:rPr>
          <w:rFonts w:ascii="Book Antiqua" w:hAnsi="Book Antiqua"/>
          <w:b/>
          <w:sz w:val="24"/>
          <w:szCs w:val="24"/>
        </w:rPr>
        <w:t xml:space="preserve"> in clinical remission</w:t>
      </w:r>
      <w:r w:rsidR="00FE3B52" w:rsidRPr="000A2E8E">
        <w:rPr>
          <w:rFonts w:ascii="Book Antiqua" w:hAnsi="Book Antiqua"/>
          <w:b/>
          <w:sz w:val="24"/>
          <w:szCs w:val="24"/>
        </w:rPr>
        <w:t xml:space="preserve"> </w:t>
      </w:r>
      <w:r w:rsidR="00EC0595" w:rsidRPr="000A2E8E">
        <w:rPr>
          <w:rFonts w:ascii="Book Antiqua" w:hAnsi="Book Antiqua"/>
          <w:b/>
          <w:sz w:val="24"/>
          <w:szCs w:val="24"/>
        </w:rPr>
        <w:t>who developed a R</w:t>
      </w:r>
      <w:r w:rsidR="00FE3B52" w:rsidRPr="000A2E8E">
        <w:rPr>
          <w:rFonts w:ascii="Book Antiqua" w:hAnsi="Book Antiqua"/>
          <w:b/>
          <w:sz w:val="24"/>
          <w:szCs w:val="24"/>
        </w:rPr>
        <w:t xml:space="preserve">elapse or </w:t>
      </w:r>
      <w:r w:rsidR="00EC0595" w:rsidRPr="000A2E8E">
        <w:rPr>
          <w:rFonts w:ascii="Book Antiqua" w:hAnsi="Book Antiqua"/>
          <w:b/>
          <w:sz w:val="24"/>
          <w:szCs w:val="24"/>
        </w:rPr>
        <w:t>stayed in R</w:t>
      </w:r>
      <w:r w:rsidR="00FE3B52" w:rsidRPr="000A2E8E">
        <w:rPr>
          <w:rFonts w:ascii="Book Antiqua" w:hAnsi="Book Antiqua"/>
          <w:b/>
          <w:sz w:val="24"/>
          <w:szCs w:val="24"/>
        </w:rPr>
        <w:t>emission</w:t>
      </w:r>
      <w:r w:rsidR="00EC0595" w:rsidRPr="000A2E8E">
        <w:rPr>
          <w:rFonts w:ascii="Book Antiqua" w:hAnsi="Book Antiqua"/>
          <w:b/>
          <w:sz w:val="24"/>
          <w:szCs w:val="24"/>
        </w:rPr>
        <w:t xml:space="preserve"> within 12 mo</w:t>
      </w:r>
      <w:r w:rsidR="00D745B5" w:rsidRPr="000A2E8E">
        <w:rPr>
          <w:rFonts w:ascii="Book Antiqua" w:hAnsi="Book Antiqua"/>
          <w:b/>
          <w:sz w:val="24"/>
          <w:szCs w:val="24"/>
        </w:rPr>
        <w:t xml:space="preserve"> of</w:t>
      </w:r>
      <w:r w:rsidR="00EC0595" w:rsidRPr="000A2E8E">
        <w:rPr>
          <w:rFonts w:ascii="Book Antiqua" w:hAnsi="Book Antiqua"/>
          <w:b/>
          <w:sz w:val="24"/>
          <w:szCs w:val="24"/>
        </w:rPr>
        <w:t xml:space="preserve"> follow-up</w:t>
      </w:r>
      <w:r w:rsidR="00FE3B52" w:rsidRPr="000A2E8E">
        <w:rPr>
          <w:rFonts w:ascii="Book Antiqua" w:hAnsi="Book Antiqua"/>
          <w:b/>
          <w:sz w:val="24"/>
          <w:szCs w:val="24"/>
        </w:rPr>
        <w:t xml:space="preserve"> (</w:t>
      </w:r>
      <w:r w:rsidR="00FE3B52" w:rsidRPr="000A2E8E">
        <w:rPr>
          <w:rFonts w:ascii="Book Antiqua" w:hAnsi="Book Antiqua"/>
          <w:b/>
          <w:i/>
          <w:sz w:val="24"/>
          <w:szCs w:val="24"/>
        </w:rPr>
        <w:t>R</w:t>
      </w:r>
      <w:r w:rsidR="00FE3B52" w:rsidRPr="000A2E8E">
        <w:rPr>
          <w:rFonts w:ascii="Book Antiqua" w:hAnsi="Book Antiqua"/>
          <w:b/>
          <w:sz w:val="24"/>
          <w:szCs w:val="24"/>
          <w:vertAlign w:val="superscript"/>
        </w:rPr>
        <w:t>2</w:t>
      </w:r>
      <w:r w:rsidRPr="000A2E8E">
        <w:rPr>
          <w:rFonts w:ascii="Book Antiqua" w:hAnsi="Book Antiqua" w:hint="eastAsia"/>
          <w:b/>
          <w:sz w:val="24"/>
          <w:szCs w:val="24"/>
          <w:vertAlign w:val="superscript"/>
          <w:lang w:eastAsia="zh-CN"/>
        </w:rPr>
        <w:t xml:space="preserve"> </w:t>
      </w:r>
      <w:r w:rsidR="00FE3B52" w:rsidRPr="000A2E8E">
        <w:rPr>
          <w:rFonts w:ascii="Book Antiqua" w:hAnsi="Book Antiqua"/>
          <w:b/>
          <w:sz w:val="24"/>
          <w:szCs w:val="24"/>
        </w:rPr>
        <w:t>=</w:t>
      </w:r>
      <w:r w:rsidRPr="000A2E8E">
        <w:rPr>
          <w:rFonts w:ascii="Book Antiqua" w:hAnsi="Book Antiqua" w:hint="eastAsia"/>
          <w:b/>
          <w:sz w:val="24"/>
          <w:szCs w:val="24"/>
          <w:lang w:eastAsia="zh-CN"/>
        </w:rPr>
        <w:t xml:space="preserve"> </w:t>
      </w:r>
      <w:r w:rsidR="00FE3B52" w:rsidRPr="000A2E8E">
        <w:rPr>
          <w:rFonts w:ascii="Book Antiqua" w:hAnsi="Book Antiqua"/>
          <w:b/>
          <w:sz w:val="24"/>
          <w:szCs w:val="24"/>
        </w:rPr>
        <w:t xml:space="preserve">0.84, </w:t>
      </w:r>
      <w:r w:rsidR="00FE3B52" w:rsidRPr="000A2E8E">
        <w:rPr>
          <w:rFonts w:ascii="Book Antiqua" w:hAnsi="Book Antiqua"/>
          <w:b/>
          <w:i/>
          <w:sz w:val="24"/>
          <w:szCs w:val="24"/>
        </w:rPr>
        <w:t>Q</w:t>
      </w:r>
      <w:r w:rsidR="00FE3B52" w:rsidRPr="000A2E8E">
        <w:rPr>
          <w:rFonts w:ascii="Book Antiqua" w:hAnsi="Book Antiqua"/>
          <w:b/>
          <w:sz w:val="24"/>
          <w:szCs w:val="24"/>
          <w:vertAlign w:val="superscript"/>
        </w:rPr>
        <w:t>2</w:t>
      </w:r>
      <w:r w:rsidRPr="000A2E8E">
        <w:rPr>
          <w:rFonts w:ascii="Book Antiqua" w:hAnsi="Book Antiqua" w:hint="eastAsia"/>
          <w:b/>
          <w:sz w:val="24"/>
          <w:szCs w:val="24"/>
          <w:vertAlign w:val="superscript"/>
          <w:lang w:eastAsia="zh-CN"/>
        </w:rPr>
        <w:t xml:space="preserve"> </w:t>
      </w:r>
      <w:r w:rsidR="00FE3B52" w:rsidRPr="000A2E8E">
        <w:rPr>
          <w:rFonts w:ascii="Book Antiqua" w:hAnsi="Book Antiqua"/>
          <w:b/>
          <w:sz w:val="24"/>
          <w:szCs w:val="24"/>
        </w:rPr>
        <w:t>=</w:t>
      </w:r>
      <w:r w:rsidRPr="000A2E8E">
        <w:rPr>
          <w:rFonts w:ascii="Book Antiqua" w:hAnsi="Book Antiqua" w:hint="eastAsia"/>
          <w:b/>
          <w:sz w:val="24"/>
          <w:szCs w:val="24"/>
          <w:lang w:eastAsia="zh-CN"/>
        </w:rPr>
        <w:t xml:space="preserve"> </w:t>
      </w:r>
      <w:r w:rsidR="00FE3B52" w:rsidRPr="000A2E8E">
        <w:rPr>
          <w:rFonts w:ascii="Book Antiqua" w:hAnsi="Book Antiqua"/>
          <w:b/>
          <w:sz w:val="24"/>
          <w:szCs w:val="24"/>
        </w:rPr>
        <w:t xml:space="preserve">0.59, </w:t>
      </w:r>
      <w:r w:rsidR="00BA0C62" w:rsidRPr="000A2E8E">
        <w:rPr>
          <w:rFonts w:ascii="Book Antiqua" w:hAnsi="Book Antiqua"/>
          <w:b/>
          <w:i/>
          <w:sz w:val="24"/>
          <w:szCs w:val="24"/>
        </w:rPr>
        <w:t xml:space="preserve">P = </w:t>
      </w:r>
      <w:r w:rsidR="00FE3B52" w:rsidRPr="000A2E8E">
        <w:rPr>
          <w:rFonts w:ascii="Book Antiqua" w:hAnsi="Book Antiqua"/>
          <w:b/>
          <w:sz w:val="24"/>
          <w:szCs w:val="24"/>
        </w:rPr>
        <w:t xml:space="preserve">0.04). </w:t>
      </w:r>
    </w:p>
    <w:p w14:paraId="67C09B40" w14:textId="2D79CA95" w:rsidR="00A824FA" w:rsidRPr="0086396D" w:rsidRDefault="00A824FA" w:rsidP="005C7D8E">
      <w:pPr>
        <w:adjustRightInd w:val="0"/>
        <w:snapToGrid w:val="0"/>
        <w:spacing w:after="0" w:line="360" w:lineRule="auto"/>
        <w:jc w:val="both"/>
        <w:rPr>
          <w:rFonts w:ascii="Book Antiqua" w:hAnsi="Book Antiqua"/>
          <w:sz w:val="24"/>
          <w:szCs w:val="24"/>
        </w:rPr>
      </w:pPr>
    </w:p>
    <w:sectPr w:rsidR="00A824FA" w:rsidRPr="0086396D" w:rsidSect="0069737F">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0562" w14:textId="77777777" w:rsidR="001D282C" w:rsidRDefault="001D282C" w:rsidP="009217D9">
      <w:pPr>
        <w:spacing w:after="0" w:line="240" w:lineRule="auto"/>
      </w:pPr>
      <w:r>
        <w:separator/>
      </w:r>
    </w:p>
  </w:endnote>
  <w:endnote w:type="continuationSeparator" w:id="0">
    <w:p w14:paraId="57A0B94D" w14:textId="77777777" w:rsidR="001D282C" w:rsidRDefault="001D282C" w:rsidP="0092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959194"/>
      <w:docPartObj>
        <w:docPartGallery w:val="Page Numbers (Bottom of Page)"/>
        <w:docPartUnique/>
      </w:docPartObj>
    </w:sdtPr>
    <w:sdtEndPr>
      <w:rPr>
        <w:noProof/>
      </w:rPr>
    </w:sdtEndPr>
    <w:sdtContent>
      <w:p w14:paraId="68F2B93D" w14:textId="4FB45BC4" w:rsidR="005A7C98" w:rsidRDefault="005A7C98">
        <w:pPr>
          <w:pStyle w:val="Footer"/>
          <w:jc w:val="center"/>
        </w:pPr>
        <w:r>
          <w:fldChar w:fldCharType="begin"/>
        </w:r>
        <w:r>
          <w:instrText xml:space="preserve"> PAGE   \* MERGEFORMAT </w:instrText>
        </w:r>
        <w:r>
          <w:fldChar w:fldCharType="separate"/>
        </w:r>
        <w:r w:rsidR="00816B68">
          <w:rPr>
            <w:noProof/>
          </w:rPr>
          <w:t>32</w:t>
        </w:r>
        <w:r>
          <w:rPr>
            <w:noProof/>
          </w:rPr>
          <w:fldChar w:fldCharType="end"/>
        </w:r>
      </w:p>
    </w:sdtContent>
  </w:sdt>
  <w:p w14:paraId="16E87BC6" w14:textId="77777777" w:rsidR="005A7C98" w:rsidRDefault="005A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E9BD" w14:textId="77777777" w:rsidR="001D282C" w:rsidRDefault="001D282C" w:rsidP="009217D9">
      <w:pPr>
        <w:spacing w:after="0" w:line="240" w:lineRule="auto"/>
      </w:pPr>
      <w:r>
        <w:separator/>
      </w:r>
    </w:p>
  </w:footnote>
  <w:footnote w:type="continuationSeparator" w:id="0">
    <w:p w14:paraId="1952CD1A" w14:textId="77777777" w:rsidR="001D282C" w:rsidRDefault="001D282C" w:rsidP="0092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130F"/>
    <w:multiLevelType w:val="hybridMultilevel"/>
    <w:tmpl w:val="7C36C3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9858F9"/>
    <w:multiLevelType w:val="hybridMultilevel"/>
    <w:tmpl w:val="2C7CE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8C0B7F"/>
    <w:multiLevelType w:val="hybridMultilevel"/>
    <w:tmpl w:val="03F407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17"/>
    <w:rsid w:val="00000785"/>
    <w:rsid w:val="00000D19"/>
    <w:rsid w:val="0000188A"/>
    <w:rsid w:val="00001A96"/>
    <w:rsid w:val="00003529"/>
    <w:rsid w:val="0000527D"/>
    <w:rsid w:val="0000623F"/>
    <w:rsid w:val="00007F9B"/>
    <w:rsid w:val="00010DFF"/>
    <w:rsid w:val="000136B2"/>
    <w:rsid w:val="00016227"/>
    <w:rsid w:val="000203A2"/>
    <w:rsid w:val="00020F2F"/>
    <w:rsid w:val="00021517"/>
    <w:rsid w:val="00021565"/>
    <w:rsid w:val="000216B7"/>
    <w:rsid w:val="00024382"/>
    <w:rsid w:val="00025CA6"/>
    <w:rsid w:val="000304FD"/>
    <w:rsid w:val="000325D4"/>
    <w:rsid w:val="00034C11"/>
    <w:rsid w:val="00035F83"/>
    <w:rsid w:val="00040C6C"/>
    <w:rsid w:val="00041F99"/>
    <w:rsid w:val="00042AB3"/>
    <w:rsid w:val="00046B0E"/>
    <w:rsid w:val="00047D90"/>
    <w:rsid w:val="0005272F"/>
    <w:rsid w:val="00062E57"/>
    <w:rsid w:val="00063CEF"/>
    <w:rsid w:val="00065645"/>
    <w:rsid w:val="0006660C"/>
    <w:rsid w:val="00067D6C"/>
    <w:rsid w:val="000721D4"/>
    <w:rsid w:val="0007315A"/>
    <w:rsid w:val="00073B37"/>
    <w:rsid w:val="000753E0"/>
    <w:rsid w:val="00076535"/>
    <w:rsid w:val="00087AFE"/>
    <w:rsid w:val="00092741"/>
    <w:rsid w:val="0009664C"/>
    <w:rsid w:val="000A06E8"/>
    <w:rsid w:val="000A2E8E"/>
    <w:rsid w:val="000A5428"/>
    <w:rsid w:val="000A5AF6"/>
    <w:rsid w:val="000A7AF5"/>
    <w:rsid w:val="000B0597"/>
    <w:rsid w:val="000B1A51"/>
    <w:rsid w:val="000B5D65"/>
    <w:rsid w:val="000B757E"/>
    <w:rsid w:val="000C15BE"/>
    <w:rsid w:val="000C64F2"/>
    <w:rsid w:val="000C6A54"/>
    <w:rsid w:val="000C6A8C"/>
    <w:rsid w:val="000D0D8F"/>
    <w:rsid w:val="000D1971"/>
    <w:rsid w:val="000D2772"/>
    <w:rsid w:val="000D538A"/>
    <w:rsid w:val="000D577C"/>
    <w:rsid w:val="000E2140"/>
    <w:rsid w:val="000E3CD9"/>
    <w:rsid w:val="000E42D7"/>
    <w:rsid w:val="000F30A3"/>
    <w:rsid w:val="000F35C6"/>
    <w:rsid w:val="000F3B0F"/>
    <w:rsid w:val="00102A1E"/>
    <w:rsid w:val="00102C11"/>
    <w:rsid w:val="0010555F"/>
    <w:rsid w:val="00112953"/>
    <w:rsid w:val="00117437"/>
    <w:rsid w:val="00121E45"/>
    <w:rsid w:val="00122249"/>
    <w:rsid w:val="001238DE"/>
    <w:rsid w:val="00124461"/>
    <w:rsid w:val="001247FA"/>
    <w:rsid w:val="00125150"/>
    <w:rsid w:val="00125E5E"/>
    <w:rsid w:val="00135F5D"/>
    <w:rsid w:val="00140D07"/>
    <w:rsid w:val="00142202"/>
    <w:rsid w:val="00146AF3"/>
    <w:rsid w:val="001478AF"/>
    <w:rsid w:val="001512F9"/>
    <w:rsid w:val="00153D01"/>
    <w:rsid w:val="00157C01"/>
    <w:rsid w:val="001603E9"/>
    <w:rsid w:val="00161280"/>
    <w:rsid w:val="00163161"/>
    <w:rsid w:val="001644EC"/>
    <w:rsid w:val="00164BDD"/>
    <w:rsid w:val="0016600E"/>
    <w:rsid w:val="001660C5"/>
    <w:rsid w:val="0017322D"/>
    <w:rsid w:val="0017714D"/>
    <w:rsid w:val="00177FE9"/>
    <w:rsid w:val="001800D9"/>
    <w:rsid w:val="001807F1"/>
    <w:rsid w:val="00180BDC"/>
    <w:rsid w:val="001811AD"/>
    <w:rsid w:val="00182A96"/>
    <w:rsid w:val="00190AD6"/>
    <w:rsid w:val="00191BC7"/>
    <w:rsid w:val="001947D4"/>
    <w:rsid w:val="001A0123"/>
    <w:rsid w:val="001A1C60"/>
    <w:rsid w:val="001A4177"/>
    <w:rsid w:val="001D06D4"/>
    <w:rsid w:val="001D0A0F"/>
    <w:rsid w:val="001D1CB0"/>
    <w:rsid w:val="001D282C"/>
    <w:rsid w:val="001D6276"/>
    <w:rsid w:val="001D6E1E"/>
    <w:rsid w:val="001D7321"/>
    <w:rsid w:val="001E1943"/>
    <w:rsid w:val="001E4D6C"/>
    <w:rsid w:val="001E5E12"/>
    <w:rsid w:val="001E72FA"/>
    <w:rsid w:val="001E7403"/>
    <w:rsid w:val="001F0549"/>
    <w:rsid w:val="001F0D15"/>
    <w:rsid w:val="001F7F47"/>
    <w:rsid w:val="00201C53"/>
    <w:rsid w:val="00203BF0"/>
    <w:rsid w:val="00211D33"/>
    <w:rsid w:val="00214485"/>
    <w:rsid w:val="00215C0D"/>
    <w:rsid w:val="00220145"/>
    <w:rsid w:val="002208FC"/>
    <w:rsid w:val="00223524"/>
    <w:rsid w:val="002273FD"/>
    <w:rsid w:val="002321E3"/>
    <w:rsid w:val="002334F7"/>
    <w:rsid w:val="00233EEF"/>
    <w:rsid w:val="002422E6"/>
    <w:rsid w:val="002435FF"/>
    <w:rsid w:val="002445DB"/>
    <w:rsid w:val="00245FDC"/>
    <w:rsid w:val="00247075"/>
    <w:rsid w:val="00247B7F"/>
    <w:rsid w:val="00250B75"/>
    <w:rsid w:val="002523B9"/>
    <w:rsid w:val="00252861"/>
    <w:rsid w:val="00254EF7"/>
    <w:rsid w:val="0025741F"/>
    <w:rsid w:val="00264F4D"/>
    <w:rsid w:val="00266DDE"/>
    <w:rsid w:val="00267CD3"/>
    <w:rsid w:val="00270EA1"/>
    <w:rsid w:val="0027116A"/>
    <w:rsid w:val="0027277D"/>
    <w:rsid w:val="002733C9"/>
    <w:rsid w:val="002740C7"/>
    <w:rsid w:val="00275D14"/>
    <w:rsid w:val="00280814"/>
    <w:rsid w:val="00281FB7"/>
    <w:rsid w:val="00286E41"/>
    <w:rsid w:val="00287480"/>
    <w:rsid w:val="0029263D"/>
    <w:rsid w:val="00292EA6"/>
    <w:rsid w:val="00294E7C"/>
    <w:rsid w:val="00295BF1"/>
    <w:rsid w:val="002977BA"/>
    <w:rsid w:val="00297BFA"/>
    <w:rsid w:val="002A19AB"/>
    <w:rsid w:val="002A5ACB"/>
    <w:rsid w:val="002B22A0"/>
    <w:rsid w:val="002B4619"/>
    <w:rsid w:val="002B6AAF"/>
    <w:rsid w:val="002C448B"/>
    <w:rsid w:val="002C55D3"/>
    <w:rsid w:val="002C582A"/>
    <w:rsid w:val="002C6805"/>
    <w:rsid w:val="002D174D"/>
    <w:rsid w:val="002D24AB"/>
    <w:rsid w:val="002D6478"/>
    <w:rsid w:val="002E0C15"/>
    <w:rsid w:val="002E2CC6"/>
    <w:rsid w:val="002E53D4"/>
    <w:rsid w:val="002E734C"/>
    <w:rsid w:val="002F0DFA"/>
    <w:rsid w:val="002F4273"/>
    <w:rsid w:val="002F55FA"/>
    <w:rsid w:val="0030112A"/>
    <w:rsid w:val="00305949"/>
    <w:rsid w:val="00306CA1"/>
    <w:rsid w:val="00310A91"/>
    <w:rsid w:val="0032089C"/>
    <w:rsid w:val="00323336"/>
    <w:rsid w:val="003234F8"/>
    <w:rsid w:val="003243A3"/>
    <w:rsid w:val="00325C42"/>
    <w:rsid w:val="00330999"/>
    <w:rsid w:val="00344AD3"/>
    <w:rsid w:val="00345075"/>
    <w:rsid w:val="003472C5"/>
    <w:rsid w:val="00347579"/>
    <w:rsid w:val="00347AE2"/>
    <w:rsid w:val="00354D62"/>
    <w:rsid w:val="003560A8"/>
    <w:rsid w:val="003621F5"/>
    <w:rsid w:val="0036445C"/>
    <w:rsid w:val="00372C68"/>
    <w:rsid w:val="00374F88"/>
    <w:rsid w:val="00375518"/>
    <w:rsid w:val="003761A6"/>
    <w:rsid w:val="00380ADD"/>
    <w:rsid w:val="00381CD4"/>
    <w:rsid w:val="00383690"/>
    <w:rsid w:val="00384696"/>
    <w:rsid w:val="0038590D"/>
    <w:rsid w:val="00387156"/>
    <w:rsid w:val="00390A9F"/>
    <w:rsid w:val="0039110F"/>
    <w:rsid w:val="00392C0B"/>
    <w:rsid w:val="0039615C"/>
    <w:rsid w:val="00396ADD"/>
    <w:rsid w:val="003A1044"/>
    <w:rsid w:val="003A2B48"/>
    <w:rsid w:val="003A387E"/>
    <w:rsid w:val="003B49DD"/>
    <w:rsid w:val="003B5A65"/>
    <w:rsid w:val="003C0A12"/>
    <w:rsid w:val="003D0FE8"/>
    <w:rsid w:val="003D2D0E"/>
    <w:rsid w:val="003D578F"/>
    <w:rsid w:val="003E1967"/>
    <w:rsid w:val="003E299E"/>
    <w:rsid w:val="003E4724"/>
    <w:rsid w:val="003E5A3D"/>
    <w:rsid w:val="003E733E"/>
    <w:rsid w:val="003E7FAD"/>
    <w:rsid w:val="003F2D8E"/>
    <w:rsid w:val="003F675F"/>
    <w:rsid w:val="00400798"/>
    <w:rsid w:val="0040081E"/>
    <w:rsid w:val="0040315B"/>
    <w:rsid w:val="00403B71"/>
    <w:rsid w:val="0040687F"/>
    <w:rsid w:val="004106F5"/>
    <w:rsid w:val="00411F40"/>
    <w:rsid w:val="00412183"/>
    <w:rsid w:val="00413E85"/>
    <w:rsid w:val="0041609F"/>
    <w:rsid w:val="00416EF8"/>
    <w:rsid w:val="004171EA"/>
    <w:rsid w:val="00420745"/>
    <w:rsid w:val="004208A8"/>
    <w:rsid w:val="00423052"/>
    <w:rsid w:val="0042327A"/>
    <w:rsid w:val="00425907"/>
    <w:rsid w:val="00426E9D"/>
    <w:rsid w:val="00427E70"/>
    <w:rsid w:val="00430676"/>
    <w:rsid w:val="0043100B"/>
    <w:rsid w:val="004362AC"/>
    <w:rsid w:val="00437E40"/>
    <w:rsid w:val="00440D9D"/>
    <w:rsid w:val="00444026"/>
    <w:rsid w:val="0044707B"/>
    <w:rsid w:val="004507AC"/>
    <w:rsid w:val="00451C75"/>
    <w:rsid w:val="00462D61"/>
    <w:rsid w:val="004658A3"/>
    <w:rsid w:val="00470502"/>
    <w:rsid w:val="00471B0E"/>
    <w:rsid w:val="004730E4"/>
    <w:rsid w:val="00483A48"/>
    <w:rsid w:val="00483BCF"/>
    <w:rsid w:val="00485FC9"/>
    <w:rsid w:val="00493506"/>
    <w:rsid w:val="0049479F"/>
    <w:rsid w:val="00496FDC"/>
    <w:rsid w:val="004972B3"/>
    <w:rsid w:val="004A2CF4"/>
    <w:rsid w:val="004A6957"/>
    <w:rsid w:val="004B05BE"/>
    <w:rsid w:val="004B0794"/>
    <w:rsid w:val="004B095C"/>
    <w:rsid w:val="004B3438"/>
    <w:rsid w:val="004C1EF4"/>
    <w:rsid w:val="004C59E8"/>
    <w:rsid w:val="004D2D56"/>
    <w:rsid w:val="004D471E"/>
    <w:rsid w:val="004D5813"/>
    <w:rsid w:val="004D6856"/>
    <w:rsid w:val="004E0924"/>
    <w:rsid w:val="004E6042"/>
    <w:rsid w:val="004E7E3C"/>
    <w:rsid w:val="004F0076"/>
    <w:rsid w:val="004F0AAD"/>
    <w:rsid w:val="004F1325"/>
    <w:rsid w:val="004F19DF"/>
    <w:rsid w:val="004F393C"/>
    <w:rsid w:val="004F73F1"/>
    <w:rsid w:val="00500855"/>
    <w:rsid w:val="005021EF"/>
    <w:rsid w:val="00505929"/>
    <w:rsid w:val="005128A8"/>
    <w:rsid w:val="005173D3"/>
    <w:rsid w:val="00517A9E"/>
    <w:rsid w:val="00520908"/>
    <w:rsid w:val="0052634C"/>
    <w:rsid w:val="00527B12"/>
    <w:rsid w:val="005348F5"/>
    <w:rsid w:val="00534990"/>
    <w:rsid w:val="00542013"/>
    <w:rsid w:val="00542E9D"/>
    <w:rsid w:val="00543C96"/>
    <w:rsid w:val="005469E9"/>
    <w:rsid w:val="00546EFF"/>
    <w:rsid w:val="00553C14"/>
    <w:rsid w:val="00554C65"/>
    <w:rsid w:val="005554F2"/>
    <w:rsid w:val="00575CD5"/>
    <w:rsid w:val="0057765A"/>
    <w:rsid w:val="005816D9"/>
    <w:rsid w:val="005842C3"/>
    <w:rsid w:val="00584E84"/>
    <w:rsid w:val="0058536D"/>
    <w:rsid w:val="00590597"/>
    <w:rsid w:val="00593CCF"/>
    <w:rsid w:val="00597264"/>
    <w:rsid w:val="0059763E"/>
    <w:rsid w:val="005976B9"/>
    <w:rsid w:val="00597F1C"/>
    <w:rsid w:val="005A2C6E"/>
    <w:rsid w:val="005A591A"/>
    <w:rsid w:val="005A598F"/>
    <w:rsid w:val="005A6262"/>
    <w:rsid w:val="005A7C98"/>
    <w:rsid w:val="005B0D5F"/>
    <w:rsid w:val="005B3D2E"/>
    <w:rsid w:val="005C0A9A"/>
    <w:rsid w:val="005C7D8E"/>
    <w:rsid w:val="005D24BC"/>
    <w:rsid w:val="005D27F3"/>
    <w:rsid w:val="005D4507"/>
    <w:rsid w:val="005D5D25"/>
    <w:rsid w:val="005D6C14"/>
    <w:rsid w:val="005E076C"/>
    <w:rsid w:val="005E12CA"/>
    <w:rsid w:val="005E1B5C"/>
    <w:rsid w:val="005E1D36"/>
    <w:rsid w:val="005E4460"/>
    <w:rsid w:val="005F3D54"/>
    <w:rsid w:val="005F7523"/>
    <w:rsid w:val="00603279"/>
    <w:rsid w:val="00605FA2"/>
    <w:rsid w:val="006123C5"/>
    <w:rsid w:val="0061368E"/>
    <w:rsid w:val="0061563B"/>
    <w:rsid w:val="00616C34"/>
    <w:rsid w:val="00617384"/>
    <w:rsid w:val="0062250E"/>
    <w:rsid w:val="006230AB"/>
    <w:rsid w:val="0062381D"/>
    <w:rsid w:val="006241CF"/>
    <w:rsid w:val="006277E3"/>
    <w:rsid w:val="006463B1"/>
    <w:rsid w:val="00646A2C"/>
    <w:rsid w:val="00646F12"/>
    <w:rsid w:val="006479E9"/>
    <w:rsid w:val="006503F9"/>
    <w:rsid w:val="006510A9"/>
    <w:rsid w:val="00652BF9"/>
    <w:rsid w:val="0065384B"/>
    <w:rsid w:val="00653D1D"/>
    <w:rsid w:val="00657231"/>
    <w:rsid w:val="0066732B"/>
    <w:rsid w:val="00667D6D"/>
    <w:rsid w:val="00672E9A"/>
    <w:rsid w:val="00677F7D"/>
    <w:rsid w:val="006801FE"/>
    <w:rsid w:val="00680991"/>
    <w:rsid w:val="00682306"/>
    <w:rsid w:val="00683397"/>
    <w:rsid w:val="0068750D"/>
    <w:rsid w:val="00687CDD"/>
    <w:rsid w:val="00690C8F"/>
    <w:rsid w:val="00691EAF"/>
    <w:rsid w:val="0069435C"/>
    <w:rsid w:val="0069525F"/>
    <w:rsid w:val="006964D0"/>
    <w:rsid w:val="0069737F"/>
    <w:rsid w:val="006B1F10"/>
    <w:rsid w:val="006B2AF4"/>
    <w:rsid w:val="006B4999"/>
    <w:rsid w:val="006B5D2B"/>
    <w:rsid w:val="006C0901"/>
    <w:rsid w:val="006C1691"/>
    <w:rsid w:val="006C324F"/>
    <w:rsid w:val="006C3394"/>
    <w:rsid w:val="006D0C53"/>
    <w:rsid w:val="006D0DCF"/>
    <w:rsid w:val="006D2E9D"/>
    <w:rsid w:val="006D4CDA"/>
    <w:rsid w:val="006E1097"/>
    <w:rsid w:val="006E1912"/>
    <w:rsid w:val="006E1BAA"/>
    <w:rsid w:val="006E26AF"/>
    <w:rsid w:val="006E4663"/>
    <w:rsid w:val="006F1FEF"/>
    <w:rsid w:val="006F59CE"/>
    <w:rsid w:val="00703994"/>
    <w:rsid w:val="00704F90"/>
    <w:rsid w:val="00705508"/>
    <w:rsid w:val="00707EA3"/>
    <w:rsid w:val="00710777"/>
    <w:rsid w:val="007114B8"/>
    <w:rsid w:val="007152DA"/>
    <w:rsid w:val="007160E2"/>
    <w:rsid w:val="00721D40"/>
    <w:rsid w:val="007231AA"/>
    <w:rsid w:val="00727F32"/>
    <w:rsid w:val="00730303"/>
    <w:rsid w:val="00731EC8"/>
    <w:rsid w:val="0073368E"/>
    <w:rsid w:val="007343D5"/>
    <w:rsid w:val="007349F8"/>
    <w:rsid w:val="00735AE3"/>
    <w:rsid w:val="0073769D"/>
    <w:rsid w:val="00742BF0"/>
    <w:rsid w:val="007435DC"/>
    <w:rsid w:val="0075263F"/>
    <w:rsid w:val="00755E14"/>
    <w:rsid w:val="007569D8"/>
    <w:rsid w:val="007573BC"/>
    <w:rsid w:val="00762032"/>
    <w:rsid w:val="0076324B"/>
    <w:rsid w:val="007678A6"/>
    <w:rsid w:val="00770199"/>
    <w:rsid w:val="0077242A"/>
    <w:rsid w:val="00773287"/>
    <w:rsid w:val="00776394"/>
    <w:rsid w:val="007821BF"/>
    <w:rsid w:val="007850C4"/>
    <w:rsid w:val="0078597D"/>
    <w:rsid w:val="00785DD8"/>
    <w:rsid w:val="00786E3F"/>
    <w:rsid w:val="00787D73"/>
    <w:rsid w:val="00795DBA"/>
    <w:rsid w:val="007A0390"/>
    <w:rsid w:val="007A4F9B"/>
    <w:rsid w:val="007A63DD"/>
    <w:rsid w:val="007B3215"/>
    <w:rsid w:val="007B6E29"/>
    <w:rsid w:val="007B7A9B"/>
    <w:rsid w:val="007B7E8E"/>
    <w:rsid w:val="007C1E1F"/>
    <w:rsid w:val="007C1F14"/>
    <w:rsid w:val="007C48E4"/>
    <w:rsid w:val="007C6915"/>
    <w:rsid w:val="007D109A"/>
    <w:rsid w:val="007D36E4"/>
    <w:rsid w:val="007E34A2"/>
    <w:rsid w:val="007E4EB5"/>
    <w:rsid w:val="007F074E"/>
    <w:rsid w:val="007F51BF"/>
    <w:rsid w:val="0080448F"/>
    <w:rsid w:val="00804784"/>
    <w:rsid w:val="008104B1"/>
    <w:rsid w:val="00811585"/>
    <w:rsid w:val="00812B2F"/>
    <w:rsid w:val="00815634"/>
    <w:rsid w:val="00815F84"/>
    <w:rsid w:val="0081618E"/>
    <w:rsid w:val="00816B68"/>
    <w:rsid w:val="00816CC2"/>
    <w:rsid w:val="00817590"/>
    <w:rsid w:val="00817D7B"/>
    <w:rsid w:val="00821A38"/>
    <w:rsid w:val="00822714"/>
    <w:rsid w:val="008237BE"/>
    <w:rsid w:val="00825AA8"/>
    <w:rsid w:val="0083127D"/>
    <w:rsid w:val="008416B8"/>
    <w:rsid w:val="008422AB"/>
    <w:rsid w:val="00846B18"/>
    <w:rsid w:val="00850087"/>
    <w:rsid w:val="0085197B"/>
    <w:rsid w:val="00852C08"/>
    <w:rsid w:val="00853C9C"/>
    <w:rsid w:val="0085449B"/>
    <w:rsid w:val="00854BA0"/>
    <w:rsid w:val="00854CAF"/>
    <w:rsid w:val="0085543B"/>
    <w:rsid w:val="008626EE"/>
    <w:rsid w:val="0086396D"/>
    <w:rsid w:val="00866697"/>
    <w:rsid w:val="0087011E"/>
    <w:rsid w:val="00870DD5"/>
    <w:rsid w:val="00874838"/>
    <w:rsid w:val="008762AE"/>
    <w:rsid w:val="00877CFC"/>
    <w:rsid w:val="008800D1"/>
    <w:rsid w:val="00880FEA"/>
    <w:rsid w:val="008844F3"/>
    <w:rsid w:val="008977FC"/>
    <w:rsid w:val="008A6A1E"/>
    <w:rsid w:val="008A6A53"/>
    <w:rsid w:val="008A7A03"/>
    <w:rsid w:val="008B1BF5"/>
    <w:rsid w:val="008B5695"/>
    <w:rsid w:val="008B77DD"/>
    <w:rsid w:val="008C23C8"/>
    <w:rsid w:val="008C3FB7"/>
    <w:rsid w:val="008C40E4"/>
    <w:rsid w:val="008C4A66"/>
    <w:rsid w:val="008C4B42"/>
    <w:rsid w:val="008C4EEF"/>
    <w:rsid w:val="008C7CFD"/>
    <w:rsid w:val="008D0044"/>
    <w:rsid w:val="008D072A"/>
    <w:rsid w:val="008D16F7"/>
    <w:rsid w:val="008D3476"/>
    <w:rsid w:val="008D5A90"/>
    <w:rsid w:val="008D7B0B"/>
    <w:rsid w:val="008E18DE"/>
    <w:rsid w:val="008E1D5F"/>
    <w:rsid w:val="008E1DB3"/>
    <w:rsid w:val="008E3B4F"/>
    <w:rsid w:val="008F2145"/>
    <w:rsid w:val="008F2A17"/>
    <w:rsid w:val="00902683"/>
    <w:rsid w:val="00903136"/>
    <w:rsid w:val="00904113"/>
    <w:rsid w:val="0090682B"/>
    <w:rsid w:val="00910657"/>
    <w:rsid w:val="00910C35"/>
    <w:rsid w:val="009133DF"/>
    <w:rsid w:val="00913A1A"/>
    <w:rsid w:val="00914602"/>
    <w:rsid w:val="0091670D"/>
    <w:rsid w:val="009217D9"/>
    <w:rsid w:val="009227DD"/>
    <w:rsid w:val="00923376"/>
    <w:rsid w:val="009240AB"/>
    <w:rsid w:val="00932ACB"/>
    <w:rsid w:val="00932C45"/>
    <w:rsid w:val="00935324"/>
    <w:rsid w:val="00946303"/>
    <w:rsid w:val="00946F08"/>
    <w:rsid w:val="009510D4"/>
    <w:rsid w:val="00952CBA"/>
    <w:rsid w:val="00952CF6"/>
    <w:rsid w:val="00953580"/>
    <w:rsid w:val="00953C42"/>
    <w:rsid w:val="00954076"/>
    <w:rsid w:val="0095573B"/>
    <w:rsid w:val="0096789A"/>
    <w:rsid w:val="00970ACA"/>
    <w:rsid w:val="00972878"/>
    <w:rsid w:val="00973EEB"/>
    <w:rsid w:val="0097700B"/>
    <w:rsid w:val="00977CDC"/>
    <w:rsid w:val="009843B6"/>
    <w:rsid w:val="00985867"/>
    <w:rsid w:val="009926CC"/>
    <w:rsid w:val="00992F96"/>
    <w:rsid w:val="0099377D"/>
    <w:rsid w:val="009952B0"/>
    <w:rsid w:val="009974DC"/>
    <w:rsid w:val="009A16AC"/>
    <w:rsid w:val="009A4623"/>
    <w:rsid w:val="009A5A44"/>
    <w:rsid w:val="009A7A80"/>
    <w:rsid w:val="009B0A49"/>
    <w:rsid w:val="009B5D5C"/>
    <w:rsid w:val="009B6BD5"/>
    <w:rsid w:val="009B77CD"/>
    <w:rsid w:val="009C1385"/>
    <w:rsid w:val="009C38DF"/>
    <w:rsid w:val="009C5EEA"/>
    <w:rsid w:val="009C6206"/>
    <w:rsid w:val="009C6E4B"/>
    <w:rsid w:val="009C7C9F"/>
    <w:rsid w:val="009D0448"/>
    <w:rsid w:val="009D40F4"/>
    <w:rsid w:val="009D50C7"/>
    <w:rsid w:val="009D5DA2"/>
    <w:rsid w:val="009D757E"/>
    <w:rsid w:val="009D7714"/>
    <w:rsid w:val="009E018C"/>
    <w:rsid w:val="009E1397"/>
    <w:rsid w:val="009E4D5A"/>
    <w:rsid w:val="009F0091"/>
    <w:rsid w:val="009F286B"/>
    <w:rsid w:val="009F5EFD"/>
    <w:rsid w:val="009F6BA9"/>
    <w:rsid w:val="009F718B"/>
    <w:rsid w:val="009F741B"/>
    <w:rsid w:val="00A014C1"/>
    <w:rsid w:val="00A0361E"/>
    <w:rsid w:val="00A03A3E"/>
    <w:rsid w:val="00A11E0B"/>
    <w:rsid w:val="00A13179"/>
    <w:rsid w:val="00A1506A"/>
    <w:rsid w:val="00A20CA6"/>
    <w:rsid w:val="00A240CB"/>
    <w:rsid w:val="00A34E16"/>
    <w:rsid w:val="00A37BF0"/>
    <w:rsid w:val="00A400F4"/>
    <w:rsid w:val="00A40881"/>
    <w:rsid w:val="00A420A1"/>
    <w:rsid w:val="00A42416"/>
    <w:rsid w:val="00A44E58"/>
    <w:rsid w:val="00A45BF9"/>
    <w:rsid w:val="00A47495"/>
    <w:rsid w:val="00A52711"/>
    <w:rsid w:val="00A57198"/>
    <w:rsid w:val="00A60401"/>
    <w:rsid w:val="00A61007"/>
    <w:rsid w:val="00A619E2"/>
    <w:rsid w:val="00A75755"/>
    <w:rsid w:val="00A80606"/>
    <w:rsid w:val="00A8183B"/>
    <w:rsid w:val="00A824FA"/>
    <w:rsid w:val="00A82606"/>
    <w:rsid w:val="00A82D7E"/>
    <w:rsid w:val="00A834E4"/>
    <w:rsid w:val="00A86475"/>
    <w:rsid w:val="00A86F10"/>
    <w:rsid w:val="00A87118"/>
    <w:rsid w:val="00A877E7"/>
    <w:rsid w:val="00A87927"/>
    <w:rsid w:val="00A87D71"/>
    <w:rsid w:val="00A913B6"/>
    <w:rsid w:val="00A92701"/>
    <w:rsid w:val="00A92D18"/>
    <w:rsid w:val="00A94B0C"/>
    <w:rsid w:val="00A94C57"/>
    <w:rsid w:val="00A9756A"/>
    <w:rsid w:val="00AA2921"/>
    <w:rsid w:val="00AA7C5B"/>
    <w:rsid w:val="00AB2DDA"/>
    <w:rsid w:val="00AB2FD6"/>
    <w:rsid w:val="00AB32E1"/>
    <w:rsid w:val="00AB46FF"/>
    <w:rsid w:val="00AB7060"/>
    <w:rsid w:val="00AC1262"/>
    <w:rsid w:val="00AC6FBC"/>
    <w:rsid w:val="00AC7929"/>
    <w:rsid w:val="00AD1E1F"/>
    <w:rsid w:val="00AD5906"/>
    <w:rsid w:val="00AE0C41"/>
    <w:rsid w:val="00AE4CBC"/>
    <w:rsid w:val="00AE696C"/>
    <w:rsid w:val="00AE795B"/>
    <w:rsid w:val="00AF05DB"/>
    <w:rsid w:val="00AF2284"/>
    <w:rsid w:val="00AF3391"/>
    <w:rsid w:val="00AF5116"/>
    <w:rsid w:val="00B02526"/>
    <w:rsid w:val="00B04601"/>
    <w:rsid w:val="00B1288A"/>
    <w:rsid w:val="00B14392"/>
    <w:rsid w:val="00B2096E"/>
    <w:rsid w:val="00B213E5"/>
    <w:rsid w:val="00B24958"/>
    <w:rsid w:val="00B27E07"/>
    <w:rsid w:val="00B31E86"/>
    <w:rsid w:val="00B34A95"/>
    <w:rsid w:val="00B37BE1"/>
    <w:rsid w:val="00B37FA4"/>
    <w:rsid w:val="00B40890"/>
    <w:rsid w:val="00B40A78"/>
    <w:rsid w:val="00B40F44"/>
    <w:rsid w:val="00B42D69"/>
    <w:rsid w:val="00B43193"/>
    <w:rsid w:val="00B50169"/>
    <w:rsid w:val="00B51D0C"/>
    <w:rsid w:val="00B52734"/>
    <w:rsid w:val="00B53D96"/>
    <w:rsid w:val="00B56052"/>
    <w:rsid w:val="00B576A8"/>
    <w:rsid w:val="00B63C80"/>
    <w:rsid w:val="00B6671B"/>
    <w:rsid w:val="00B74C1F"/>
    <w:rsid w:val="00B74D31"/>
    <w:rsid w:val="00B85685"/>
    <w:rsid w:val="00B93116"/>
    <w:rsid w:val="00B94829"/>
    <w:rsid w:val="00B950F5"/>
    <w:rsid w:val="00BA0C62"/>
    <w:rsid w:val="00BA4ABA"/>
    <w:rsid w:val="00BA7FA7"/>
    <w:rsid w:val="00BB0395"/>
    <w:rsid w:val="00BB38ED"/>
    <w:rsid w:val="00BB6A0F"/>
    <w:rsid w:val="00BC30A6"/>
    <w:rsid w:val="00BD34C3"/>
    <w:rsid w:val="00BE0BDF"/>
    <w:rsid w:val="00BE0D15"/>
    <w:rsid w:val="00BE1DE7"/>
    <w:rsid w:val="00BE26F3"/>
    <w:rsid w:val="00BE2CA8"/>
    <w:rsid w:val="00BE58A7"/>
    <w:rsid w:val="00BF3D17"/>
    <w:rsid w:val="00C036C4"/>
    <w:rsid w:val="00C04A78"/>
    <w:rsid w:val="00C05DD4"/>
    <w:rsid w:val="00C10365"/>
    <w:rsid w:val="00C15208"/>
    <w:rsid w:val="00C16D77"/>
    <w:rsid w:val="00C227A1"/>
    <w:rsid w:val="00C26037"/>
    <w:rsid w:val="00C2692D"/>
    <w:rsid w:val="00C30025"/>
    <w:rsid w:val="00C30DA6"/>
    <w:rsid w:val="00C30ED5"/>
    <w:rsid w:val="00C32A10"/>
    <w:rsid w:val="00C41216"/>
    <w:rsid w:val="00C42BB7"/>
    <w:rsid w:val="00C47ED0"/>
    <w:rsid w:val="00C527CF"/>
    <w:rsid w:val="00C52834"/>
    <w:rsid w:val="00C537CB"/>
    <w:rsid w:val="00C5564F"/>
    <w:rsid w:val="00C55EEF"/>
    <w:rsid w:val="00C57D51"/>
    <w:rsid w:val="00C60100"/>
    <w:rsid w:val="00C664FE"/>
    <w:rsid w:val="00C75D0F"/>
    <w:rsid w:val="00C75FCC"/>
    <w:rsid w:val="00C77425"/>
    <w:rsid w:val="00C84FFE"/>
    <w:rsid w:val="00C8762B"/>
    <w:rsid w:val="00C90E3F"/>
    <w:rsid w:val="00C94D03"/>
    <w:rsid w:val="00C953CC"/>
    <w:rsid w:val="00C97B47"/>
    <w:rsid w:val="00CA37FD"/>
    <w:rsid w:val="00CA7CA6"/>
    <w:rsid w:val="00CB0A8A"/>
    <w:rsid w:val="00CB3F29"/>
    <w:rsid w:val="00CB435A"/>
    <w:rsid w:val="00CB6B57"/>
    <w:rsid w:val="00CB7A27"/>
    <w:rsid w:val="00CC224B"/>
    <w:rsid w:val="00CD1634"/>
    <w:rsid w:val="00CD50FB"/>
    <w:rsid w:val="00CD764E"/>
    <w:rsid w:val="00CE1AA1"/>
    <w:rsid w:val="00CE3634"/>
    <w:rsid w:val="00CE679A"/>
    <w:rsid w:val="00CF19EB"/>
    <w:rsid w:val="00CF28B5"/>
    <w:rsid w:val="00D018B5"/>
    <w:rsid w:val="00D075E1"/>
    <w:rsid w:val="00D1128D"/>
    <w:rsid w:val="00D14D3F"/>
    <w:rsid w:val="00D17937"/>
    <w:rsid w:val="00D20212"/>
    <w:rsid w:val="00D246C7"/>
    <w:rsid w:val="00D24FA6"/>
    <w:rsid w:val="00D334E9"/>
    <w:rsid w:val="00D34A4C"/>
    <w:rsid w:val="00D413AB"/>
    <w:rsid w:val="00D42050"/>
    <w:rsid w:val="00D43825"/>
    <w:rsid w:val="00D449FA"/>
    <w:rsid w:val="00D45692"/>
    <w:rsid w:val="00D45B08"/>
    <w:rsid w:val="00D4688D"/>
    <w:rsid w:val="00D51FC3"/>
    <w:rsid w:val="00D558B7"/>
    <w:rsid w:val="00D6082C"/>
    <w:rsid w:val="00D61D61"/>
    <w:rsid w:val="00D6298C"/>
    <w:rsid w:val="00D65F3A"/>
    <w:rsid w:val="00D745B5"/>
    <w:rsid w:val="00D74852"/>
    <w:rsid w:val="00D80571"/>
    <w:rsid w:val="00D81683"/>
    <w:rsid w:val="00D8324E"/>
    <w:rsid w:val="00D83405"/>
    <w:rsid w:val="00D84656"/>
    <w:rsid w:val="00D846B7"/>
    <w:rsid w:val="00D95BBA"/>
    <w:rsid w:val="00D97636"/>
    <w:rsid w:val="00DA1572"/>
    <w:rsid w:val="00DA392F"/>
    <w:rsid w:val="00DB6C75"/>
    <w:rsid w:val="00DC0701"/>
    <w:rsid w:val="00DC1397"/>
    <w:rsid w:val="00DC7207"/>
    <w:rsid w:val="00DD08F1"/>
    <w:rsid w:val="00DD294A"/>
    <w:rsid w:val="00DD3E82"/>
    <w:rsid w:val="00DD49E1"/>
    <w:rsid w:val="00DD6A8B"/>
    <w:rsid w:val="00DD7CCB"/>
    <w:rsid w:val="00DE087A"/>
    <w:rsid w:val="00DE591B"/>
    <w:rsid w:val="00DF13C9"/>
    <w:rsid w:val="00DF2134"/>
    <w:rsid w:val="00DF45CC"/>
    <w:rsid w:val="00DF4F61"/>
    <w:rsid w:val="00DF5A0C"/>
    <w:rsid w:val="00DF7F40"/>
    <w:rsid w:val="00E02D94"/>
    <w:rsid w:val="00E064DC"/>
    <w:rsid w:val="00E11AD0"/>
    <w:rsid w:val="00E12BB5"/>
    <w:rsid w:val="00E13BEB"/>
    <w:rsid w:val="00E1561A"/>
    <w:rsid w:val="00E17182"/>
    <w:rsid w:val="00E25C87"/>
    <w:rsid w:val="00E30AAA"/>
    <w:rsid w:val="00E323D8"/>
    <w:rsid w:val="00E3423F"/>
    <w:rsid w:val="00E421D9"/>
    <w:rsid w:val="00E42508"/>
    <w:rsid w:val="00E44A4B"/>
    <w:rsid w:val="00E46BD8"/>
    <w:rsid w:val="00E54F68"/>
    <w:rsid w:val="00E5577F"/>
    <w:rsid w:val="00E562BA"/>
    <w:rsid w:val="00E61432"/>
    <w:rsid w:val="00E63F32"/>
    <w:rsid w:val="00E65669"/>
    <w:rsid w:val="00E70ADE"/>
    <w:rsid w:val="00E728D8"/>
    <w:rsid w:val="00E74C1B"/>
    <w:rsid w:val="00E74E95"/>
    <w:rsid w:val="00E75B9E"/>
    <w:rsid w:val="00E77D3D"/>
    <w:rsid w:val="00E804BE"/>
    <w:rsid w:val="00E84EB2"/>
    <w:rsid w:val="00E90D90"/>
    <w:rsid w:val="00E91425"/>
    <w:rsid w:val="00E94849"/>
    <w:rsid w:val="00E94CAF"/>
    <w:rsid w:val="00E9654D"/>
    <w:rsid w:val="00E96644"/>
    <w:rsid w:val="00E96962"/>
    <w:rsid w:val="00EA00C0"/>
    <w:rsid w:val="00EA3B31"/>
    <w:rsid w:val="00EA4178"/>
    <w:rsid w:val="00EA6881"/>
    <w:rsid w:val="00EA6D81"/>
    <w:rsid w:val="00EB1EE8"/>
    <w:rsid w:val="00EB5F34"/>
    <w:rsid w:val="00EB6ED7"/>
    <w:rsid w:val="00EB7231"/>
    <w:rsid w:val="00EB764A"/>
    <w:rsid w:val="00EC0595"/>
    <w:rsid w:val="00EC06DF"/>
    <w:rsid w:val="00EC12A7"/>
    <w:rsid w:val="00EC1D9B"/>
    <w:rsid w:val="00EC249F"/>
    <w:rsid w:val="00EC428F"/>
    <w:rsid w:val="00EC66B4"/>
    <w:rsid w:val="00ED0533"/>
    <w:rsid w:val="00EE43C1"/>
    <w:rsid w:val="00EE6BCC"/>
    <w:rsid w:val="00F02A2E"/>
    <w:rsid w:val="00F144AE"/>
    <w:rsid w:val="00F14CCC"/>
    <w:rsid w:val="00F15F34"/>
    <w:rsid w:val="00F1790C"/>
    <w:rsid w:val="00F2223B"/>
    <w:rsid w:val="00F23092"/>
    <w:rsid w:val="00F257D5"/>
    <w:rsid w:val="00F26491"/>
    <w:rsid w:val="00F322A4"/>
    <w:rsid w:val="00F32B3B"/>
    <w:rsid w:val="00F41387"/>
    <w:rsid w:val="00F42B35"/>
    <w:rsid w:val="00F47BCA"/>
    <w:rsid w:val="00F51F55"/>
    <w:rsid w:val="00F53B48"/>
    <w:rsid w:val="00F566A7"/>
    <w:rsid w:val="00F60713"/>
    <w:rsid w:val="00F61131"/>
    <w:rsid w:val="00F6259C"/>
    <w:rsid w:val="00F65BFA"/>
    <w:rsid w:val="00F66ADC"/>
    <w:rsid w:val="00F676FA"/>
    <w:rsid w:val="00F679C3"/>
    <w:rsid w:val="00F80581"/>
    <w:rsid w:val="00F844E6"/>
    <w:rsid w:val="00F87552"/>
    <w:rsid w:val="00F91E55"/>
    <w:rsid w:val="00F92767"/>
    <w:rsid w:val="00F92F0F"/>
    <w:rsid w:val="00F945DD"/>
    <w:rsid w:val="00F961D2"/>
    <w:rsid w:val="00FA1D5F"/>
    <w:rsid w:val="00FA447D"/>
    <w:rsid w:val="00FA7B54"/>
    <w:rsid w:val="00FB4077"/>
    <w:rsid w:val="00FB46B9"/>
    <w:rsid w:val="00FB48E4"/>
    <w:rsid w:val="00FB608D"/>
    <w:rsid w:val="00FB76A6"/>
    <w:rsid w:val="00FC3385"/>
    <w:rsid w:val="00FC3522"/>
    <w:rsid w:val="00FD11E7"/>
    <w:rsid w:val="00FD3C09"/>
    <w:rsid w:val="00FD48D9"/>
    <w:rsid w:val="00FE06E9"/>
    <w:rsid w:val="00FE3B52"/>
    <w:rsid w:val="00FE3BBC"/>
    <w:rsid w:val="00FE46B5"/>
    <w:rsid w:val="00FF08C8"/>
    <w:rsid w:val="00FF1FF2"/>
    <w:rsid w:val="00FF6DF7"/>
    <w:rsid w:val="00FF7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AD15"/>
  <w15:docId w15:val="{42617250-A9CC-48C5-9D13-FF1A8B4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4A"/>
    <w:rPr>
      <w:color w:val="0000FF" w:themeColor="hyperlink"/>
      <w:u w:val="single"/>
    </w:rPr>
  </w:style>
  <w:style w:type="character" w:styleId="FollowedHyperlink">
    <w:name w:val="FollowedHyperlink"/>
    <w:basedOn w:val="DefaultParagraphFont"/>
    <w:uiPriority w:val="99"/>
    <w:semiHidden/>
    <w:unhideWhenUsed/>
    <w:rsid w:val="00FA7B54"/>
    <w:rPr>
      <w:color w:val="800080" w:themeColor="followedHyperlink"/>
      <w:u w:val="single"/>
    </w:rPr>
  </w:style>
  <w:style w:type="character" w:styleId="CommentReference">
    <w:name w:val="annotation reference"/>
    <w:basedOn w:val="DefaultParagraphFont"/>
    <w:uiPriority w:val="99"/>
    <w:semiHidden/>
    <w:unhideWhenUsed/>
    <w:rsid w:val="007A0390"/>
    <w:rPr>
      <w:sz w:val="16"/>
      <w:szCs w:val="16"/>
    </w:rPr>
  </w:style>
  <w:style w:type="paragraph" w:styleId="CommentText">
    <w:name w:val="annotation text"/>
    <w:basedOn w:val="Normal"/>
    <w:link w:val="CommentTextChar"/>
    <w:uiPriority w:val="99"/>
    <w:semiHidden/>
    <w:unhideWhenUsed/>
    <w:rsid w:val="007A0390"/>
    <w:pPr>
      <w:spacing w:line="240" w:lineRule="auto"/>
    </w:pPr>
    <w:rPr>
      <w:sz w:val="20"/>
      <w:szCs w:val="20"/>
    </w:rPr>
  </w:style>
  <w:style w:type="character" w:customStyle="1" w:styleId="CommentTextChar">
    <w:name w:val="Comment Text Char"/>
    <w:basedOn w:val="DefaultParagraphFont"/>
    <w:link w:val="CommentText"/>
    <w:uiPriority w:val="99"/>
    <w:semiHidden/>
    <w:rsid w:val="007A0390"/>
    <w:rPr>
      <w:sz w:val="20"/>
      <w:szCs w:val="20"/>
    </w:rPr>
  </w:style>
  <w:style w:type="paragraph" w:styleId="CommentSubject">
    <w:name w:val="annotation subject"/>
    <w:basedOn w:val="CommentText"/>
    <w:next w:val="CommentText"/>
    <w:link w:val="CommentSubjectChar"/>
    <w:uiPriority w:val="99"/>
    <w:semiHidden/>
    <w:unhideWhenUsed/>
    <w:rsid w:val="007A0390"/>
    <w:rPr>
      <w:b/>
      <w:bCs/>
    </w:rPr>
  </w:style>
  <w:style w:type="character" w:customStyle="1" w:styleId="CommentSubjectChar">
    <w:name w:val="Comment Subject Char"/>
    <w:basedOn w:val="CommentTextChar"/>
    <w:link w:val="CommentSubject"/>
    <w:uiPriority w:val="99"/>
    <w:semiHidden/>
    <w:rsid w:val="007A0390"/>
    <w:rPr>
      <w:b/>
      <w:bCs/>
      <w:sz w:val="20"/>
      <w:szCs w:val="20"/>
    </w:rPr>
  </w:style>
  <w:style w:type="paragraph" w:styleId="BalloonText">
    <w:name w:val="Balloon Text"/>
    <w:basedOn w:val="Normal"/>
    <w:link w:val="BalloonTextChar"/>
    <w:uiPriority w:val="99"/>
    <w:semiHidden/>
    <w:unhideWhenUsed/>
    <w:rsid w:val="007A0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90"/>
    <w:rPr>
      <w:rFonts w:ascii="Segoe UI" w:hAnsi="Segoe UI" w:cs="Segoe UI"/>
      <w:sz w:val="18"/>
      <w:szCs w:val="18"/>
    </w:rPr>
  </w:style>
  <w:style w:type="paragraph" w:styleId="Revision">
    <w:name w:val="Revision"/>
    <w:hidden/>
    <w:uiPriority w:val="99"/>
    <w:semiHidden/>
    <w:rsid w:val="00880FEA"/>
    <w:pPr>
      <w:spacing w:after="0" w:line="240" w:lineRule="auto"/>
    </w:pPr>
  </w:style>
  <w:style w:type="paragraph" w:styleId="ListParagraph">
    <w:name w:val="List Paragraph"/>
    <w:basedOn w:val="Normal"/>
    <w:uiPriority w:val="34"/>
    <w:qFormat/>
    <w:rsid w:val="002445DB"/>
    <w:pPr>
      <w:ind w:left="720"/>
      <w:contextualSpacing/>
    </w:pPr>
  </w:style>
  <w:style w:type="paragraph" w:styleId="Header">
    <w:name w:val="header"/>
    <w:basedOn w:val="Normal"/>
    <w:link w:val="HeaderChar"/>
    <w:uiPriority w:val="99"/>
    <w:unhideWhenUsed/>
    <w:rsid w:val="0092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D9"/>
  </w:style>
  <w:style w:type="paragraph" w:styleId="Footer">
    <w:name w:val="footer"/>
    <w:basedOn w:val="Normal"/>
    <w:link w:val="FooterChar"/>
    <w:uiPriority w:val="99"/>
    <w:unhideWhenUsed/>
    <w:rsid w:val="0092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D9"/>
  </w:style>
  <w:style w:type="table" w:styleId="TableGrid">
    <w:name w:val="Table Grid"/>
    <w:basedOn w:val="TableNormal"/>
    <w:uiPriority w:val="39"/>
    <w:rsid w:val="00FE3B5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412">
      <w:bodyDiv w:val="1"/>
      <w:marLeft w:val="0"/>
      <w:marRight w:val="0"/>
      <w:marTop w:val="0"/>
      <w:marBottom w:val="0"/>
      <w:divBdr>
        <w:top w:val="none" w:sz="0" w:space="0" w:color="auto"/>
        <w:left w:val="none" w:sz="0" w:space="0" w:color="auto"/>
        <w:bottom w:val="none" w:sz="0" w:space="0" w:color="auto"/>
        <w:right w:val="none" w:sz="0" w:space="0" w:color="auto"/>
      </w:divBdr>
    </w:div>
    <w:div w:id="908535565">
      <w:bodyDiv w:val="1"/>
      <w:marLeft w:val="0"/>
      <w:marRight w:val="0"/>
      <w:marTop w:val="0"/>
      <w:marBottom w:val="0"/>
      <w:divBdr>
        <w:top w:val="none" w:sz="0" w:space="0" w:color="auto"/>
        <w:left w:val="none" w:sz="0" w:space="0" w:color="auto"/>
        <w:bottom w:val="none" w:sz="0" w:space="0" w:color="auto"/>
        <w:right w:val="none" w:sz="0" w:space="0" w:color="auto"/>
      </w:divBdr>
    </w:div>
    <w:div w:id="10569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pi.grants.cancer.gov/dhq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195A-7408-4371-88E0-0DE586E4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7722</Words>
  <Characters>44016</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FOMD</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Hoevers</dc:creator>
  <cp:lastModifiedBy>Na Ma</cp:lastModifiedBy>
  <cp:revision>2</cp:revision>
  <dcterms:created xsi:type="dcterms:W3CDTF">2017-05-04T04:47:00Z</dcterms:created>
  <dcterms:modified xsi:type="dcterms:W3CDTF">2017-05-04T04:47:00Z</dcterms:modified>
</cp:coreProperties>
</file>