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203" w:rsidRPr="009106F4" w:rsidRDefault="001B620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Name of Journal:</w:t>
      </w:r>
      <w:r w:rsidR="00347829"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 </w:t>
      </w:r>
      <w:r w:rsidRPr="009106F4">
        <w:rPr>
          <w:rFonts w:ascii="Book Antiqua" w:hAnsi="Book Antiqua"/>
          <w:b/>
          <w:i/>
          <w:iCs/>
          <w:color w:val="auto"/>
          <w:sz w:val="24"/>
          <w:szCs w:val="24"/>
        </w:rPr>
        <w:t>World Journal of Cardiology</w:t>
      </w:r>
    </w:p>
    <w:p w:rsidR="001B6203" w:rsidRPr="009106F4" w:rsidRDefault="001B620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Manuscript NO: 33910</w:t>
      </w:r>
    </w:p>
    <w:p w:rsidR="001B6203" w:rsidRPr="009106F4" w:rsidRDefault="001B620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Manuscript Type: </w:t>
      </w:r>
      <w:proofErr w:type="spellStart"/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Minireviews</w:t>
      </w:r>
      <w:proofErr w:type="spellEnd"/>
    </w:p>
    <w:p w:rsidR="001B6203" w:rsidRPr="009106F4" w:rsidRDefault="001B620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3D7EA4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Is </w:t>
      </w:r>
      <w:proofErr w:type="spellStart"/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Entresto</w:t>
      </w:r>
      <w:proofErr w:type="spellEnd"/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 </w:t>
      </w:r>
      <w:r w:rsidR="00347829"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good for the bra</w:t>
      </w: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in?</w:t>
      </w:r>
    </w:p>
    <w:p w:rsidR="00347829" w:rsidRPr="009106F4" w:rsidRDefault="0034782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347829" w:rsidRPr="009106F4" w:rsidRDefault="0034782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hAnsi="Book Antiqua"/>
          <w:color w:val="auto"/>
          <w:sz w:val="24"/>
          <w:szCs w:val="24"/>
        </w:rPr>
        <w:t>Patel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N</w:t>
      </w:r>
      <w:r w:rsidRPr="009106F4">
        <w:rPr>
          <w:rFonts w:ascii="Book Antiqua" w:hAnsi="Book Antiqua" w:cs="Times New Roman"/>
          <w:i/>
          <w:color w:val="auto"/>
          <w:sz w:val="24"/>
          <w:szCs w:val="24"/>
          <w:lang w:eastAsia="zh-CN"/>
        </w:rPr>
        <w:t xml:space="preserve"> et al</w:t>
      </w:r>
      <w:r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Entresto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</w:t>
      </w:r>
      <w:r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b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rain</w:t>
      </w:r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  <w:proofErr w:type="spellStart"/>
      <w:r w:rsidRPr="009106F4">
        <w:rPr>
          <w:rFonts w:ascii="Book Antiqua" w:hAnsi="Book Antiqua"/>
          <w:b/>
          <w:color w:val="auto"/>
          <w:sz w:val="24"/>
          <w:szCs w:val="24"/>
        </w:rPr>
        <w:t>Nirav</w:t>
      </w:r>
      <w:proofErr w:type="spellEnd"/>
      <w:r w:rsidRPr="009106F4">
        <w:rPr>
          <w:rFonts w:ascii="Book Antiqua" w:hAnsi="Book Antiqua"/>
          <w:b/>
          <w:color w:val="auto"/>
          <w:sz w:val="24"/>
          <w:szCs w:val="24"/>
        </w:rPr>
        <w:t xml:space="preserve"> Patel, Jason Gluck</w:t>
      </w:r>
    </w:p>
    <w:p w:rsidR="00347829" w:rsidRPr="009106F4" w:rsidRDefault="0034782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</w:p>
    <w:p w:rsidR="003D7EA4" w:rsidRPr="009106F4" w:rsidRDefault="0034782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proofErr w:type="spellStart"/>
      <w:r w:rsidRPr="009106F4">
        <w:rPr>
          <w:rFonts w:ascii="Book Antiqua" w:hAnsi="Book Antiqua"/>
          <w:b/>
          <w:color w:val="auto"/>
          <w:sz w:val="24"/>
          <w:szCs w:val="24"/>
        </w:rPr>
        <w:t>Nirav</w:t>
      </w:r>
      <w:proofErr w:type="spellEnd"/>
      <w:r w:rsidRPr="009106F4">
        <w:rPr>
          <w:rFonts w:ascii="Book Antiqua" w:hAnsi="Book Antiqua"/>
          <w:b/>
          <w:color w:val="auto"/>
          <w:sz w:val="24"/>
          <w:szCs w:val="24"/>
        </w:rPr>
        <w:t xml:space="preserve"> Patel, Jason Gluck</w:t>
      </w:r>
      <w:r w:rsidRPr="009106F4">
        <w:rPr>
          <w:rFonts w:ascii="Book Antiqua" w:hAnsi="Book Antiqua"/>
          <w:b/>
          <w:color w:val="auto"/>
          <w:sz w:val="24"/>
          <w:szCs w:val="24"/>
          <w:lang w:eastAsia="zh-CN"/>
        </w:rPr>
        <w:t xml:space="preserve">,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Department of Cardiology, </w:t>
      </w:r>
      <w:r w:rsidR="006B7AFA" w:rsidRPr="009106F4">
        <w:rPr>
          <w:rFonts w:ascii="Book Antiqua" w:hAnsi="Book Antiqua"/>
          <w:color w:val="auto"/>
          <w:sz w:val="24"/>
          <w:szCs w:val="24"/>
        </w:rPr>
        <w:t xml:space="preserve">University of Connecticut, </w:t>
      </w:r>
      <w:r w:rsidR="00047DFA" w:rsidRPr="009106F4">
        <w:rPr>
          <w:rFonts w:ascii="Book Antiqua" w:hAnsi="Book Antiqua"/>
          <w:color w:val="auto"/>
          <w:sz w:val="24"/>
          <w:szCs w:val="24"/>
        </w:rPr>
        <w:t>Harford Hospital, Hartford, CT</w:t>
      </w:r>
      <w:r w:rsidRPr="009106F4">
        <w:rPr>
          <w:rFonts w:ascii="Book Antiqua" w:hAnsi="Book Antiqua"/>
          <w:color w:val="auto"/>
          <w:sz w:val="24"/>
          <w:szCs w:val="24"/>
          <w:lang w:eastAsia="zh-CN"/>
        </w:rPr>
        <w:t xml:space="preserve"> 06102</w:t>
      </w:r>
      <w:r w:rsidR="00047DFA" w:rsidRPr="009106F4">
        <w:rPr>
          <w:rFonts w:ascii="Book Antiqua" w:hAnsi="Book Antiqua"/>
          <w:color w:val="auto"/>
          <w:sz w:val="24"/>
          <w:szCs w:val="24"/>
        </w:rPr>
        <w:t>, U</w:t>
      </w:r>
      <w:r w:rsidR="006B7AFA" w:rsidRPr="009106F4">
        <w:rPr>
          <w:rFonts w:ascii="Book Antiqua" w:hAnsi="Book Antiqua"/>
          <w:color w:val="auto"/>
          <w:sz w:val="24"/>
          <w:szCs w:val="24"/>
          <w:lang w:eastAsia="zh-CN"/>
        </w:rPr>
        <w:t>nited States</w:t>
      </w:r>
    </w:p>
    <w:p w:rsidR="00491F43" w:rsidRPr="009106F4" w:rsidRDefault="00491F4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491F43" w:rsidRPr="009106F4" w:rsidRDefault="00491F4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hAnsi="Book Antiqua"/>
          <w:b/>
          <w:sz w:val="24"/>
          <w:szCs w:val="24"/>
        </w:rPr>
        <w:t>Author contributions:</w:t>
      </w:r>
      <w:r w:rsidRPr="009106F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Patel N made substantial contributions to conception and design and writing the manuscript</w:t>
      </w:r>
      <w:r w:rsidR="00DB0E69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;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Gluck J participated drafting the manuscript and revising it critically for important intellectual content</w:t>
      </w:r>
      <w:r w:rsidR="00DB0E69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;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Gluck J was also involved in editing the content</w:t>
      </w:r>
      <w:r w:rsidR="00DB0E69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;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Patel N and Gluck J gave final approval of the submitted content as well as the revised content. </w:t>
      </w:r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3D7EA4" w:rsidRPr="009106F4" w:rsidRDefault="00DB0E6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/>
          <w:b/>
          <w:sz w:val="24"/>
          <w:szCs w:val="24"/>
        </w:rPr>
        <w:t>Conflict-of-interest statement:</w:t>
      </w:r>
      <w:r w:rsidR="009106F4">
        <w:rPr>
          <w:rFonts w:ascii="Book Antiqua" w:eastAsia="宋体" w:hAnsi="Book Antiqua" w:cs="TimesNewRomanPS-BoldItalicMT"/>
          <w:b/>
          <w:bCs/>
          <w:iCs/>
          <w:sz w:val="24"/>
          <w:szCs w:val="24"/>
          <w:lang w:eastAsia="zh-CN"/>
        </w:rPr>
        <w:t xml:space="preserve"> </w:t>
      </w:r>
      <w:r w:rsidR="002A078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None</w:t>
      </w:r>
      <w:r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.</w:t>
      </w:r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DB0E69" w:rsidRPr="009106F4" w:rsidRDefault="00DB0E6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106F4">
        <w:rPr>
          <w:rFonts w:ascii="Book Antiqua" w:hAnsi="Book Antiqua"/>
          <w:b/>
          <w:sz w:val="24"/>
          <w:szCs w:val="24"/>
        </w:rPr>
        <w:t xml:space="preserve">Open-Access: </w:t>
      </w:r>
      <w:r w:rsidRPr="009106F4">
        <w:rPr>
          <w:rFonts w:ascii="Book Antiqua" w:hAnsi="Book Antiqua"/>
          <w:sz w:val="24"/>
          <w:szCs w:val="24"/>
        </w:rPr>
        <w:t>This article is an open-access article which was selected by</w:t>
      </w:r>
      <w:r w:rsidRPr="009106F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06F4">
        <w:rPr>
          <w:rFonts w:ascii="Book Antiqua" w:hAnsi="Book Antiqua"/>
          <w:sz w:val="24"/>
          <w:szCs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DB0E69" w:rsidRPr="009106F4" w:rsidRDefault="00DB0E6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Manuscript source: </w:t>
      </w:r>
      <w:r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Unsolicited manuscript</w:t>
      </w:r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9106F4" w:rsidRPr="009106F4" w:rsidRDefault="00DB0E69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/>
          <w:b/>
          <w:sz w:val="24"/>
          <w:szCs w:val="24"/>
        </w:rPr>
        <w:t>Correspondence to:</w:t>
      </w:r>
      <w:r w:rsidRPr="009106F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3D7EA4"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Nirav</w:t>
      </w:r>
      <w:proofErr w:type="spellEnd"/>
      <w:r w:rsidR="003D7EA4"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 Patel</w:t>
      </w:r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, MD,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Department of Cardiology, University of Connecticut, Harford Hospital, </w:t>
      </w:r>
      <w:r w:rsidR="00C76A0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80 Seymour Street</w:t>
      </w:r>
      <w:r w:rsidR="00C76A0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, </w:t>
      </w:r>
      <w:r w:rsidRPr="009106F4">
        <w:rPr>
          <w:rFonts w:ascii="Book Antiqua" w:hAnsi="Book Antiqua"/>
          <w:color w:val="auto"/>
          <w:sz w:val="24"/>
          <w:szCs w:val="24"/>
        </w:rPr>
        <w:t>Hartford, CT</w:t>
      </w:r>
      <w:r w:rsidRPr="009106F4">
        <w:rPr>
          <w:rFonts w:ascii="Book Antiqua" w:hAnsi="Book Antiqua"/>
          <w:color w:val="auto"/>
          <w:sz w:val="24"/>
          <w:szCs w:val="24"/>
          <w:lang w:eastAsia="zh-CN"/>
        </w:rPr>
        <w:t xml:space="preserve"> 06102</w:t>
      </w:r>
      <w:r w:rsidRPr="009106F4">
        <w:rPr>
          <w:rFonts w:ascii="Book Antiqua" w:hAnsi="Book Antiqua"/>
          <w:color w:val="auto"/>
          <w:sz w:val="24"/>
          <w:szCs w:val="24"/>
        </w:rPr>
        <w:t>, U</w:t>
      </w:r>
      <w:r w:rsidRPr="009106F4">
        <w:rPr>
          <w:rFonts w:ascii="Book Antiqua" w:hAnsi="Book Antiqua"/>
          <w:color w:val="auto"/>
          <w:sz w:val="24"/>
          <w:szCs w:val="24"/>
          <w:lang w:eastAsia="zh-CN"/>
        </w:rPr>
        <w:t>nited States.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="009106F4" w:rsidRPr="009106F4">
        <w:rPr>
          <w:rFonts w:ascii="Book Antiqua" w:hAnsi="Book Antiqua"/>
          <w:color w:val="auto"/>
          <w:sz w:val="24"/>
          <w:szCs w:val="24"/>
          <w:lang w:eastAsia="zh-CN"/>
        </w:rPr>
        <w:t>nirav.patel@hhchealth.org</w:t>
      </w:r>
    </w:p>
    <w:p w:rsidR="003D7EA4" w:rsidRPr="009106F4" w:rsidRDefault="009A1CAC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  <w:r w:rsidRPr="009106F4">
        <w:rPr>
          <w:rFonts w:ascii="Book Antiqua" w:hAnsi="Book Antiqua"/>
          <w:b/>
          <w:bCs/>
          <w:sz w:val="24"/>
          <w:szCs w:val="24"/>
        </w:rPr>
        <w:t>Telephone:</w:t>
      </w:r>
      <w:r w:rsidRPr="009106F4">
        <w:rPr>
          <w:rFonts w:ascii="Book Antiqua" w:eastAsia="宋体" w:hAnsi="Book Antiqua"/>
          <w:b/>
          <w:bCs/>
          <w:sz w:val="24"/>
          <w:szCs w:val="24"/>
          <w:lang w:eastAsia="zh-CN"/>
        </w:rPr>
        <w:t xml:space="preserve"> </w:t>
      </w:r>
      <w:r w:rsidR="003643A4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+1-</w:t>
      </w:r>
      <w:r w:rsidR="003643A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860-972</w:t>
      </w:r>
      <w:r w:rsidR="003D7EA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1793</w:t>
      </w:r>
    </w:p>
    <w:p w:rsidR="003D7EA4" w:rsidRPr="009106F4" w:rsidRDefault="003D7E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Fax: </w:t>
      </w:r>
      <w:r w:rsidR="003643A4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+1-</w:t>
      </w:r>
      <w:r w:rsidR="003643A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860-545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3422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106F4">
        <w:rPr>
          <w:rFonts w:ascii="Book Antiqua" w:hAnsi="Book Antiqua"/>
          <w:b/>
          <w:sz w:val="24"/>
          <w:szCs w:val="24"/>
        </w:rPr>
        <w:t>Received:</w:t>
      </w:r>
      <w:r w:rsidRPr="009106F4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2D097D" w:rsidRPr="009106F4">
        <w:rPr>
          <w:rFonts w:ascii="Book Antiqua" w:eastAsia="宋体" w:hAnsi="Book Antiqua"/>
          <w:sz w:val="24"/>
          <w:szCs w:val="24"/>
          <w:lang w:eastAsia="zh-CN"/>
        </w:rPr>
        <w:t>March 13, 2017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106F4">
        <w:rPr>
          <w:rFonts w:ascii="Book Antiqua" w:hAnsi="Book Antiqua"/>
          <w:b/>
          <w:sz w:val="24"/>
          <w:szCs w:val="24"/>
        </w:rPr>
        <w:t>Peer-review started:</w:t>
      </w:r>
      <w:r w:rsidRPr="009106F4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2D097D" w:rsidRPr="009106F4">
        <w:rPr>
          <w:rFonts w:ascii="Book Antiqua" w:eastAsia="宋体" w:hAnsi="Book Antiqua"/>
          <w:sz w:val="24"/>
          <w:szCs w:val="24"/>
          <w:lang w:eastAsia="zh-CN"/>
        </w:rPr>
        <w:t>March 14, 2017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9106F4">
        <w:rPr>
          <w:rFonts w:ascii="Book Antiqua" w:hAnsi="Book Antiqua"/>
          <w:b/>
          <w:sz w:val="24"/>
          <w:szCs w:val="24"/>
        </w:rPr>
        <w:t>First decision:</w:t>
      </w:r>
      <w:r w:rsidRPr="009106F4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2D097D" w:rsidRPr="009106F4">
        <w:rPr>
          <w:rFonts w:ascii="Book Antiqua" w:eastAsia="宋体" w:hAnsi="Book Antiqua"/>
          <w:sz w:val="24"/>
          <w:szCs w:val="24"/>
          <w:lang w:eastAsia="zh-CN"/>
        </w:rPr>
        <w:t>April 14, 2017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9106F4">
        <w:rPr>
          <w:rFonts w:ascii="Book Antiqua" w:hAnsi="Book Antiqua"/>
          <w:b/>
          <w:sz w:val="24"/>
          <w:szCs w:val="24"/>
        </w:rPr>
        <w:t xml:space="preserve">Revised: </w:t>
      </w:r>
      <w:r w:rsidR="002D097D" w:rsidRPr="009106F4">
        <w:rPr>
          <w:rFonts w:ascii="Book Antiqua" w:hAnsi="Book Antiqua"/>
          <w:sz w:val="24"/>
          <w:szCs w:val="24"/>
          <w:lang w:eastAsia="zh-CN"/>
        </w:rPr>
        <w:t>May 1</w:t>
      </w:r>
      <w:r w:rsidR="002C66F3">
        <w:rPr>
          <w:rFonts w:ascii="Book Antiqua" w:hAnsi="Book Antiqua" w:hint="eastAsia"/>
          <w:sz w:val="24"/>
          <w:szCs w:val="24"/>
          <w:lang w:eastAsia="zh-CN"/>
        </w:rPr>
        <w:t>9</w:t>
      </w:r>
      <w:r w:rsidR="002D097D" w:rsidRPr="009106F4">
        <w:rPr>
          <w:rFonts w:ascii="Book Antiqua" w:hAnsi="Book Antiqua"/>
          <w:sz w:val="24"/>
          <w:szCs w:val="24"/>
          <w:lang w:eastAsia="zh-CN"/>
        </w:rPr>
        <w:t>, 2017</w:t>
      </w:r>
    </w:p>
    <w:p w:rsidR="003643A4" w:rsidRPr="00A747E7" w:rsidRDefault="003643A4" w:rsidP="00A747E7">
      <w:pPr>
        <w:rPr>
          <w:rFonts w:ascii="Book Antiqua" w:hAnsi="Book Antiqua"/>
          <w:iCs/>
          <w:sz w:val="24"/>
        </w:rPr>
      </w:pPr>
      <w:r w:rsidRPr="009106F4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9106F4">
        <w:rPr>
          <w:rFonts w:ascii="Book Antiqua" w:hAnsi="Book Antiqua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A747E7">
        <w:rPr>
          <w:rStyle w:val="Emphasis"/>
        </w:rPr>
        <w:t>May 22</w:t>
      </w:r>
      <w:r w:rsidR="00A747E7">
        <w:rPr>
          <w:rStyle w:val="Emphasis"/>
          <w:rFonts w:cs="宋体"/>
        </w:rPr>
        <w:t>,</w:t>
      </w:r>
      <w:r w:rsidR="00A747E7">
        <w:rPr>
          <w:rStyle w:val="Emphasis"/>
        </w:rPr>
        <w:t xml:space="preserve"> 2017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106F4">
        <w:rPr>
          <w:rFonts w:ascii="Book Antiqua" w:hAnsi="Book Antiqua"/>
          <w:b/>
          <w:sz w:val="24"/>
          <w:szCs w:val="24"/>
        </w:rPr>
        <w:t>Article in press: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106F4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3643A4" w:rsidRPr="009106F4" w:rsidRDefault="003643A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047DFA" w:rsidRPr="009106F4" w:rsidRDefault="00047DFA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br w:type="page"/>
      </w:r>
    </w:p>
    <w:p w:rsidR="00E06C81" w:rsidRPr="009106F4" w:rsidRDefault="00882CF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lastRenderedPageBreak/>
        <w:t>Abstract</w:t>
      </w:r>
    </w:p>
    <w:p w:rsidR="009F7213" w:rsidRPr="009106F4" w:rsidRDefault="00870B50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The main stay pharmacotherapy for</w:t>
      </w:r>
      <w:r w:rsidR="00882CF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heart fail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ure (HF)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 targeted towards rennin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-angiotensin-aldosterone (RAAS)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neprilysin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pathways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(NP)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B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oth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therapeutic strategies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de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creases morbidity and mortality</w:t>
      </w:r>
      <w:r w:rsidR="004F719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but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also </w:t>
      </w:r>
      <w:r w:rsidR="0048123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carry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consid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erable adverse effects. 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This review of the literature highlights the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new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generation of HF drug</w:t>
      </w:r>
      <w:r w:rsidR="00872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proofErr w:type="spellStart"/>
      <w:r w:rsidR="006230A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sacubitril</w:t>
      </w:r>
      <w:proofErr w:type="spellEnd"/>
      <w:r w:rsidR="006230A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-valsartan</w:t>
      </w:r>
      <w:r w:rsidR="008179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(SV</w:t>
      </w:r>
      <w:r w:rsidR="00872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), trade name </w:t>
      </w:r>
      <w:proofErr w:type="spellStart"/>
      <w:r w:rsidR="006230A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Entresto</w:t>
      </w:r>
      <w:proofErr w:type="spellEnd"/>
      <w:r w:rsidR="00872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(researched as </w:t>
      </w:r>
      <w:r w:rsidR="008179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LCZ696, </w:t>
      </w:r>
      <w:r w:rsidR="006230A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Novartis</w:t>
      </w:r>
      <w:r w:rsidR="00872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) 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which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simultaneously block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RAAS and NP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This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dual action of angiotensin receptors </w:t>
      </w:r>
      <w:r w:rsidR="0068201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blocker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</w:t>
      </w:r>
      <w:proofErr w:type="spellStart"/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neprilysin</w:t>
      </w:r>
      <w:proofErr w:type="spellEnd"/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inhibitor (</w:t>
      </w:r>
      <w:proofErr w:type="spellStart"/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NPi</w:t>
      </w:r>
      <w:proofErr w:type="spellEnd"/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)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has improved HF prognosis and 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it is an evolution in the management of HF.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Although the initial follow-up of patients treated with </w:t>
      </w:r>
      <w:r w:rsidR="008179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SV</w:t>
      </w:r>
      <w:r w:rsidR="006230A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has yielded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promising results, there are concerns regarding potential side effects especially an increase in the risk of Alzheimer’s disease (AD)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young onset of AD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proofErr w:type="spellStart"/>
      <w:r w:rsidR="0068201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NPi</w:t>
      </w:r>
      <w:proofErr w:type="spellEnd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interferes with the breakdown and clearing of beta-amyloid peptides, the plaques seen in AD, raising concern for AD in </w:t>
      </w:r>
      <w:r w:rsidR="008179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patients.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On the other hand, hypertension and cardiovascular diseases are established risk factors for AD which can be decreased by </w:t>
      </w:r>
      <w:r w:rsidR="008179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therapy.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It is therefore essential that </w:t>
      </w:r>
      <w:r w:rsidR="008179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treated patients are followed up over an extended period of time to detect any adverse cognitive</w:t>
      </w:r>
      <w:r w:rsidR="00E6785A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changes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882CFF" w:rsidRPr="009106F4" w:rsidRDefault="00882CF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b/>
          <w:color w:val="auto"/>
          <w:sz w:val="24"/>
          <w:szCs w:val="24"/>
          <w:lang w:eastAsia="zh-CN"/>
        </w:rPr>
      </w:pPr>
    </w:p>
    <w:p w:rsidR="009F7213" w:rsidRPr="009106F4" w:rsidRDefault="00A3352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hAnsi="Book Antiqua" w:cs="Tahoma"/>
          <w:b/>
          <w:color w:val="auto"/>
          <w:sz w:val="24"/>
          <w:szCs w:val="24"/>
        </w:rPr>
        <w:t>Key</w:t>
      </w:r>
      <w:r w:rsidR="00882CFF" w:rsidRPr="009106F4">
        <w:rPr>
          <w:rFonts w:ascii="Book Antiqua" w:hAnsi="Book Antiqua" w:cs="Tahoma"/>
          <w:b/>
          <w:color w:val="auto"/>
          <w:sz w:val="24"/>
          <w:szCs w:val="24"/>
          <w:lang w:eastAsia="zh-CN"/>
        </w:rPr>
        <w:t xml:space="preserve"> </w:t>
      </w:r>
      <w:r w:rsidRPr="009106F4">
        <w:rPr>
          <w:rFonts w:ascii="Book Antiqua" w:hAnsi="Book Antiqua" w:cs="Tahoma"/>
          <w:b/>
          <w:color w:val="auto"/>
          <w:sz w:val="24"/>
          <w:szCs w:val="24"/>
        </w:rPr>
        <w:t>word</w:t>
      </w:r>
      <w:r w:rsidR="00882CFF" w:rsidRPr="009106F4">
        <w:rPr>
          <w:rFonts w:ascii="Book Antiqua" w:hAnsi="Book Antiqua" w:cs="Tahoma"/>
          <w:b/>
          <w:color w:val="auto"/>
          <w:sz w:val="24"/>
          <w:szCs w:val="24"/>
          <w:lang w:eastAsia="zh-CN"/>
        </w:rPr>
        <w:t>s</w:t>
      </w:r>
      <w:r w:rsidR="00047DFA" w:rsidRPr="009106F4">
        <w:rPr>
          <w:rFonts w:ascii="Book Antiqua" w:hAnsi="Book Antiqua" w:cs="Tahoma"/>
          <w:b/>
          <w:color w:val="auto"/>
          <w:sz w:val="24"/>
          <w:szCs w:val="24"/>
        </w:rPr>
        <w:t xml:space="preserve">: </w:t>
      </w:r>
      <w:r w:rsidR="00047DFA" w:rsidRPr="009106F4">
        <w:rPr>
          <w:rFonts w:ascii="Book Antiqua" w:hAnsi="Book Antiqua"/>
          <w:color w:val="auto"/>
          <w:sz w:val="24"/>
          <w:szCs w:val="24"/>
        </w:rPr>
        <w:t xml:space="preserve">Heart </w:t>
      </w:r>
      <w:r w:rsidR="00882CFF" w:rsidRPr="009106F4">
        <w:rPr>
          <w:rFonts w:ascii="Book Antiqua" w:hAnsi="Book Antiqua"/>
          <w:color w:val="auto"/>
          <w:sz w:val="24"/>
          <w:szCs w:val="24"/>
          <w:lang w:eastAsia="zh-CN"/>
        </w:rPr>
        <w:t>f</w:t>
      </w:r>
      <w:r w:rsidR="00047DFA" w:rsidRPr="009106F4">
        <w:rPr>
          <w:rFonts w:ascii="Book Antiqua" w:hAnsi="Book Antiqua"/>
          <w:color w:val="auto"/>
          <w:sz w:val="24"/>
          <w:szCs w:val="24"/>
        </w:rPr>
        <w:t>ailure</w:t>
      </w:r>
      <w:r w:rsidR="00882CFF" w:rsidRPr="009106F4">
        <w:rPr>
          <w:rFonts w:ascii="Book Antiqua" w:hAnsi="Book Antiqua"/>
          <w:color w:val="auto"/>
          <w:sz w:val="24"/>
          <w:szCs w:val="24"/>
          <w:lang w:eastAsia="zh-CN"/>
        </w:rPr>
        <w:t>;</w:t>
      </w:r>
      <w:r w:rsidR="004C1D44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4C1D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Sacubitril</w:t>
      </w:r>
      <w:proofErr w:type="spellEnd"/>
      <w:r w:rsidR="004C1D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-</w:t>
      </w:r>
      <w:r w:rsidR="00882CFF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v</w:t>
      </w:r>
      <w:r w:rsidR="004C1D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alsartan</w:t>
      </w:r>
      <w:r w:rsidR="00882CFF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;</w:t>
      </w:r>
      <w:r w:rsidR="00047DFA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047DFA" w:rsidRPr="009106F4">
        <w:rPr>
          <w:rFonts w:ascii="Book Antiqua" w:hAnsi="Book Antiqua"/>
          <w:color w:val="auto"/>
          <w:sz w:val="24"/>
          <w:szCs w:val="24"/>
        </w:rPr>
        <w:t>Entresto</w:t>
      </w:r>
      <w:proofErr w:type="spellEnd"/>
      <w:r w:rsidR="00882CFF" w:rsidRPr="009106F4">
        <w:rPr>
          <w:rFonts w:ascii="Book Antiqua" w:hAnsi="Book Antiqua"/>
          <w:color w:val="auto"/>
          <w:sz w:val="24"/>
          <w:szCs w:val="24"/>
          <w:lang w:eastAsia="zh-CN"/>
        </w:rPr>
        <w:t>;</w:t>
      </w:r>
      <w:r w:rsidR="00047DFA" w:rsidRPr="009106F4">
        <w:rPr>
          <w:rFonts w:ascii="Book Antiqua" w:hAnsi="Book Antiqua"/>
          <w:color w:val="auto"/>
          <w:sz w:val="24"/>
          <w:szCs w:val="24"/>
        </w:rPr>
        <w:t xml:space="preserve"> LCZ696</w:t>
      </w:r>
      <w:r w:rsidR="00882CFF" w:rsidRPr="009106F4">
        <w:rPr>
          <w:rFonts w:ascii="Book Antiqua" w:hAnsi="Book Antiqua"/>
          <w:color w:val="auto"/>
          <w:sz w:val="24"/>
          <w:szCs w:val="24"/>
          <w:lang w:eastAsia="zh-CN"/>
        </w:rPr>
        <w:t>;</w:t>
      </w:r>
      <w:r w:rsidR="00047DFA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047DFA" w:rsidRPr="009106F4">
        <w:rPr>
          <w:rFonts w:ascii="Book Antiqua" w:hAnsi="Book Antiqua"/>
          <w:color w:val="auto"/>
          <w:sz w:val="24"/>
          <w:szCs w:val="24"/>
        </w:rPr>
        <w:t>Neprilysin</w:t>
      </w:r>
      <w:proofErr w:type="spellEnd"/>
      <w:r w:rsidR="00047DFA" w:rsidRPr="009106F4">
        <w:rPr>
          <w:rFonts w:ascii="Book Antiqua" w:hAnsi="Book Antiqua"/>
          <w:color w:val="auto"/>
          <w:sz w:val="24"/>
          <w:szCs w:val="24"/>
        </w:rPr>
        <w:t xml:space="preserve"> inhibitor</w:t>
      </w:r>
      <w:r w:rsidR="00882CFF" w:rsidRPr="009106F4">
        <w:rPr>
          <w:rFonts w:ascii="Book Antiqua" w:hAnsi="Book Antiqua"/>
          <w:color w:val="auto"/>
          <w:sz w:val="24"/>
          <w:szCs w:val="24"/>
          <w:lang w:eastAsia="zh-CN"/>
        </w:rPr>
        <w:t>;</w:t>
      </w:r>
      <w:r w:rsidR="00047DFA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Alzheimer’s disease</w:t>
      </w:r>
    </w:p>
    <w:p w:rsidR="009F7213" w:rsidRPr="009106F4" w:rsidRDefault="009F721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1" w:name="OLE_LINK13"/>
      <w:bookmarkStart w:id="12" w:name="OLE_LINK14"/>
      <w:proofErr w:type="gramStart"/>
      <w:r w:rsidRPr="009106F4">
        <w:rPr>
          <w:rFonts w:ascii="Book Antiqua" w:hAnsi="Book Antiqua"/>
          <w:sz w:val="24"/>
          <w:szCs w:val="24"/>
        </w:rPr>
        <w:t xml:space="preserve">© </w:t>
      </w:r>
      <w:bookmarkStart w:id="13" w:name="OLE_LINK6"/>
      <w:bookmarkStart w:id="14" w:name="OLE_LINK7"/>
      <w:bookmarkStart w:id="15" w:name="OLE_LINK8"/>
      <w:r w:rsidRPr="009106F4">
        <w:rPr>
          <w:rFonts w:ascii="Book Antiqua" w:hAnsi="Book Antiqua"/>
          <w:b/>
          <w:sz w:val="24"/>
          <w:szCs w:val="24"/>
        </w:rPr>
        <w:t>The Author(s) 201</w:t>
      </w:r>
      <w:r w:rsidRPr="009106F4">
        <w:rPr>
          <w:rFonts w:ascii="Book Antiqua" w:eastAsia="宋体" w:hAnsi="Book Antiqua"/>
          <w:b/>
          <w:sz w:val="24"/>
          <w:szCs w:val="24"/>
          <w:lang w:eastAsia="zh-CN"/>
        </w:rPr>
        <w:t>7</w:t>
      </w:r>
      <w:r w:rsidRPr="009106F4">
        <w:rPr>
          <w:rFonts w:ascii="Book Antiqua" w:hAnsi="Book Antiqua"/>
          <w:sz w:val="24"/>
          <w:szCs w:val="24"/>
        </w:rPr>
        <w:t>.</w:t>
      </w:r>
      <w:proofErr w:type="gramEnd"/>
      <w:r w:rsidRPr="009106F4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9106F4">
        <w:rPr>
          <w:rFonts w:ascii="Book Antiqua" w:hAnsi="Book Antiqua"/>
          <w:sz w:val="24"/>
          <w:szCs w:val="24"/>
        </w:rPr>
        <w:t>Baishideng</w:t>
      </w:r>
      <w:proofErr w:type="spellEnd"/>
      <w:r w:rsidRPr="009106F4">
        <w:rPr>
          <w:rFonts w:ascii="Book Antiqua" w:hAnsi="Book Antiqua"/>
          <w:sz w:val="24"/>
          <w:szCs w:val="24"/>
        </w:rPr>
        <w:t xml:space="preserve"> Publishing Group Inc. All rights reserved.</w:t>
      </w:r>
    </w:p>
    <w:bookmarkEnd w:id="11"/>
    <w:bookmarkEnd w:id="12"/>
    <w:bookmarkEnd w:id="13"/>
    <w:bookmarkEnd w:id="14"/>
    <w:bookmarkEnd w:id="15"/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:rsidR="002B6002" w:rsidRPr="009106F4" w:rsidRDefault="00A3352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eastAsia="Arial Unicode MS" w:hAnsi="Book Antiqua" w:cs="Arial Unicode MS"/>
          <w:b/>
          <w:color w:val="auto"/>
          <w:sz w:val="24"/>
          <w:szCs w:val="24"/>
        </w:rPr>
        <w:t>Core tip</w:t>
      </w:r>
      <w:r w:rsidR="00882CFF" w:rsidRPr="009106F4">
        <w:rPr>
          <w:rFonts w:ascii="Book Antiqua" w:eastAsia="Arial Unicode MS" w:hAnsi="Book Antiqua" w:cs="Arial Unicode MS"/>
          <w:b/>
          <w:color w:val="auto"/>
          <w:sz w:val="24"/>
          <w:szCs w:val="24"/>
          <w:lang w:eastAsia="zh-CN"/>
        </w:rPr>
        <w:t xml:space="preserve">: 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We are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>discussing an innovative and exciting new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 treatment for heart failure</w:t>
      </w:r>
      <w:r w:rsidR="00936A72" w:rsidRPr="009106F4">
        <w:rPr>
          <w:rFonts w:ascii="Book Antiqua" w:hAnsi="Book Antiqua"/>
          <w:color w:val="auto"/>
          <w:sz w:val="24"/>
          <w:szCs w:val="24"/>
          <w:lang w:eastAsia="zh-CN"/>
        </w:rPr>
        <w:t xml:space="preserve"> (HF)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. This advance in pharmacotherapy has shown promising results and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 xml:space="preserve">is rapidly incorporating into standard medical therapy for </w:t>
      </w:r>
      <w:r w:rsidR="00936A72" w:rsidRPr="009106F4">
        <w:rPr>
          <w:rFonts w:ascii="Book Antiqua" w:hAnsi="Book Antiqua"/>
          <w:color w:val="auto"/>
          <w:sz w:val="24"/>
          <w:szCs w:val="24"/>
          <w:lang w:eastAsia="zh-CN"/>
        </w:rPr>
        <w:t>HF</w:t>
      </w:r>
      <w:r w:rsidR="008179E1" w:rsidRPr="009106F4">
        <w:rPr>
          <w:rFonts w:ascii="Book Antiqua" w:hAnsi="Book Antiqua"/>
          <w:color w:val="auto"/>
          <w:sz w:val="24"/>
          <w:szCs w:val="24"/>
        </w:rPr>
        <w:t>.</w:t>
      </w:r>
      <w:r w:rsidR="00347829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>Th</w:t>
      </w:r>
      <w:r w:rsidR="002B6002" w:rsidRPr="009106F4">
        <w:rPr>
          <w:rFonts w:ascii="Book Antiqua" w:hAnsi="Book Antiqua"/>
          <w:color w:val="auto"/>
          <w:sz w:val="24"/>
          <w:szCs w:val="24"/>
        </w:rPr>
        <w:t>ere is</w:t>
      </w:r>
      <w:r w:rsidR="008179E1" w:rsidRPr="009106F4">
        <w:rPr>
          <w:rFonts w:ascii="Book Antiqua" w:hAnsi="Book Antiqua"/>
          <w:color w:val="auto"/>
          <w:sz w:val="24"/>
          <w:szCs w:val="24"/>
        </w:rPr>
        <w:t>, however, a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 theoretical concern for cognitive dysfunction and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 xml:space="preserve">early onset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Alzheimer’s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 disease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>particularly in the young.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 This review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 xml:space="preserve">informs </w:t>
      </w:r>
      <w:r w:rsidR="002B6002" w:rsidRPr="009106F4">
        <w:rPr>
          <w:rFonts w:ascii="Book Antiqua" w:hAnsi="Book Antiqua"/>
          <w:color w:val="auto"/>
          <w:sz w:val="24"/>
          <w:szCs w:val="24"/>
        </w:rPr>
        <w:t xml:space="preserve">clinicians </w:t>
      </w:r>
      <w:r w:rsidR="008179E1" w:rsidRPr="009106F4">
        <w:rPr>
          <w:rFonts w:ascii="Book Antiqua" w:hAnsi="Book Antiqua"/>
          <w:color w:val="auto"/>
          <w:sz w:val="24"/>
          <w:szCs w:val="24"/>
        </w:rPr>
        <w:t>of the mechanism and potential</w:t>
      </w:r>
      <w:r w:rsidR="00872041" w:rsidRPr="009106F4">
        <w:rPr>
          <w:rFonts w:ascii="Book Antiqua" w:hAnsi="Book Antiqua"/>
          <w:color w:val="auto"/>
          <w:sz w:val="24"/>
          <w:szCs w:val="24"/>
        </w:rPr>
        <w:t xml:space="preserve"> for cognitive dysfunction, thereby</w:t>
      </w:r>
      <w:r w:rsidR="008179E1" w:rsidRPr="009106F4">
        <w:rPr>
          <w:rFonts w:ascii="Book Antiqua" w:hAnsi="Book Antiqua"/>
          <w:color w:val="auto"/>
          <w:sz w:val="24"/>
          <w:szCs w:val="24"/>
        </w:rPr>
        <w:t xml:space="preserve"> increasing awareness and promoting informed prescribing.</w:t>
      </w:r>
    </w:p>
    <w:p w:rsidR="00A33523" w:rsidRPr="009106F4" w:rsidRDefault="00A3352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</w:p>
    <w:p w:rsidR="00B5428F" w:rsidRPr="009106F4" w:rsidRDefault="00B5428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/>
          <w:color w:val="auto"/>
          <w:sz w:val="24"/>
          <w:szCs w:val="24"/>
        </w:rPr>
        <w:lastRenderedPageBreak/>
        <w:t>Patel</w:t>
      </w:r>
      <w:r w:rsidRPr="009106F4">
        <w:rPr>
          <w:rFonts w:ascii="Book Antiqua" w:hAnsi="Book Antiqua"/>
          <w:color w:val="auto"/>
          <w:sz w:val="24"/>
          <w:szCs w:val="24"/>
          <w:lang w:eastAsia="zh-CN"/>
        </w:rPr>
        <w:t xml:space="preserve"> N</w:t>
      </w:r>
      <w:r w:rsidRPr="009106F4">
        <w:rPr>
          <w:rFonts w:ascii="Book Antiqua" w:hAnsi="Book Antiqua"/>
          <w:color w:val="auto"/>
          <w:sz w:val="24"/>
          <w:szCs w:val="24"/>
        </w:rPr>
        <w:t>, Gluck</w:t>
      </w:r>
      <w:r w:rsidRPr="009106F4">
        <w:rPr>
          <w:rFonts w:ascii="Book Antiqua" w:hAnsi="Book Antiqua"/>
          <w:color w:val="auto"/>
          <w:sz w:val="24"/>
          <w:szCs w:val="24"/>
          <w:lang w:eastAsia="zh-CN"/>
        </w:rPr>
        <w:t xml:space="preserve"> J.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Is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Entresto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good for the brain?</w:t>
      </w:r>
      <w:r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</w:t>
      </w:r>
      <w:r w:rsidRPr="009106F4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9106F4">
        <w:rPr>
          <w:rFonts w:ascii="Book Antiqua" w:hAnsi="Book Antiqua"/>
          <w:i/>
          <w:iCs/>
          <w:sz w:val="24"/>
          <w:szCs w:val="24"/>
        </w:rPr>
        <w:t>Cardiol</w:t>
      </w:r>
      <w:proofErr w:type="spellEnd"/>
      <w:r w:rsidRPr="009106F4">
        <w:rPr>
          <w:rFonts w:ascii="Book Antiqua" w:hAnsi="Book Antiqua"/>
          <w:iCs/>
          <w:sz w:val="24"/>
          <w:szCs w:val="24"/>
          <w:lang w:eastAsia="zh-CN"/>
        </w:rPr>
        <w:t xml:space="preserve"> 2017; </w:t>
      </w:r>
      <w:proofErr w:type="gramStart"/>
      <w:r w:rsidRPr="009106F4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9106F4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B5428F" w:rsidRPr="009106F4" w:rsidRDefault="00B5428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8634BF" w:rsidRPr="009106F4" w:rsidRDefault="008634BF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</w:p>
    <w:p w:rsidR="009F7213" w:rsidRPr="009106F4" w:rsidRDefault="00A436C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INTRODUCTION</w:t>
      </w:r>
    </w:p>
    <w:p w:rsidR="00120359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Heart failure (HF) is typified by the reduced ability of the heart to deliver </w:t>
      </w:r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an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adequate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lastRenderedPageBreak/>
        <w:t xml:space="preserve">supply </w:t>
      </w:r>
      <w:r w:rsidR="00827F9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of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blood and oxygen to the tissues</w:t>
      </w:r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, and is associated with high morbidity, mortality and cost.</w:t>
      </w:r>
      <w:r w:rsidR="0034782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Its causes are numerous </w:t>
      </w:r>
      <w:r w:rsidR="00161B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including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ischemic heart di</w:t>
      </w:r>
      <w:r w:rsidR="00870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sease, diabetes, hypertension, c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igarette smoking, obesity and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valvular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heart </w:t>
      </w:r>
      <w:proofErr w:type="gram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disease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  <w:vertAlign w:val="superscript"/>
          <w:lang w:eastAsia="zh-CN"/>
        </w:rPr>
        <w:t>[</w:t>
      </w:r>
      <w:proofErr w:type="gramEnd"/>
      <w:r w:rsidR="001C1AC3" w:rsidRPr="009106F4">
        <w:rPr>
          <w:rFonts w:ascii="Book Antiqua" w:hAnsi="Book Antiqua" w:cs="Times New Roman"/>
          <w:color w:val="auto"/>
          <w:sz w:val="24"/>
          <w:szCs w:val="24"/>
          <w:vertAlign w:val="superscript"/>
          <w:lang w:eastAsia="zh-CN"/>
        </w:rPr>
        <w:t>1]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34782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870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Over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5 million individ</w:t>
      </w:r>
      <w:r w:rsidR="00870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uals </w:t>
      </w:r>
      <w:r w:rsidR="00161B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worldwide </w:t>
      </w:r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suffer</w:t>
      </w:r>
      <w:r w:rsidR="00870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from HF and it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 incidence is </w:t>
      </w:r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rising</w:t>
      </w:r>
      <w:r w:rsidR="00870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with </w:t>
      </w:r>
      <w:r w:rsidR="00B7592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550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000 new diagnoses </w:t>
      </w:r>
      <w:proofErr w:type="gramStart"/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annually</w:t>
      </w:r>
      <w:r w:rsidR="00EE4E20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1,2</w:t>
      </w:r>
      <w:r w:rsidR="00EE4E20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With a steadily aging population, HF incidence is projected to increase </w:t>
      </w:r>
      <w:r w:rsidR="00C165D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to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46% by the year 2030</w:t>
      </w:r>
      <w:r w:rsidR="00EE4E20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B7592D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</w:t>
      </w:r>
      <w:r w:rsidR="00AA1C49" w:rsidRPr="009106F4">
        <w:rPr>
          <w:rFonts w:ascii="Book Antiqua" w:hAnsi="Book Antiqua" w:cs="Times New Roman"/>
          <w:color w:val="auto"/>
          <w:sz w:val="24"/>
          <w:szCs w:val="24"/>
          <w:vertAlign w:val="superscript"/>
          <w:lang w:eastAsia="zh-CN"/>
        </w:rPr>
        <w:t>,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2</w:t>
      </w:r>
      <w:r w:rsidR="00EE4E20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</w:p>
    <w:p w:rsidR="00120359" w:rsidRPr="009106F4" w:rsidRDefault="009D42D7" w:rsidP="009106F4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hAnsi="Book Antiqua"/>
          <w:color w:val="auto"/>
          <w:sz w:val="24"/>
          <w:szCs w:val="24"/>
        </w:rPr>
        <w:t xml:space="preserve">HF </w:t>
      </w:r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occurring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due to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depressed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 left</w:t>
      </w:r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ventricular function </w:t>
      </w:r>
      <w:r w:rsidR="00B7592D" w:rsidRPr="009106F4">
        <w:rPr>
          <w:rFonts w:ascii="Book Antiqua" w:hAnsi="Book Antiqua"/>
          <w:color w:val="auto"/>
          <w:sz w:val="24"/>
          <w:szCs w:val="24"/>
          <w:lang w:eastAsia="zh-CN"/>
        </w:rPr>
        <w:t>[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ejection fraction (EF) </w:t>
      </w:r>
      <w:r w:rsidR="00B7592D" w:rsidRPr="009106F4">
        <w:rPr>
          <w:rFonts w:ascii="Book Antiqua" w:hAnsi="Book Antiqua"/>
          <w:color w:val="auto"/>
          <w:sz w:val="24"/>
          <w:szCs w:val="24"/>
        </w:rPr>
        <w:t>≤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 40%</w:t>
      </w:r>
      <w:r w:rsidR="00B7592D" w:rsidRPr="009106F4">
        <w:rPr>
          <w:rFonts w:ascii="Book Antiqua" w:hAnsi="Book Antiqua"/>
          <w:color w:val="auto"/>
          <w:sz w:val="24"/>
          <w:szCs w:val="24"/>
          <w:lang w:eastAsia="zh-CN"/>
        </w:rPr>
        <w:t>]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 is known as HF with reduced EF (</w:t>
      </w:r>
      <w:proofErr w:type="spellStart"/>
      <w:r w:rsidRPr="009106F4">
        <w:rPr>
          <w:rFonts w:ascii="Book Antiqua" w:hAnsi="Book Antiqua"/>
          <w:color w:val="auto"/>
          <w:sz w:val="24"/>
          <w:szCs w:val="24"/>
        </w:rPr>
        <w:t>HFrEF</w:t>
      </w:r>
      <w:proofErr w:type="spellEnd"/>
      <w:r w:rsidRPr="009106F4">
        <w:rPr>
          <w:rFonts w:ascii="Book Antiqua" w:hAnsi="Book Antiqua"/>
          <w:color w:val="auto"/>
          <w:sz w:val="24"/>
          <w:szCs w:val="24"/>
        </w:rPr>
        <w:t>)</w:t>
      </w:r>
      <w:r w:rsidR="00207366" w:rsidRPr="009106F4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hAnsi="Book Antiqua"/>
          <w:color w:val="auto"/>
          <w:sz w:val="24"/>
          <w:szCs w:val="24"/>
          <w:vertAlign w:val="superscript"/>
        </w:rPr>
        <w:t>4</w:t>
      </w:r>
      <w:r w:rsidR="00207366" w:rsidRPr="009106F4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. Pharmacological intervention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for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 HF largely depended on angiotensin inhibitors such as angiotensin receptor blockers (ARBs) and angiotensin converter enzyme inhibitors (</w:t>
      </w:r>
      <w:proofErr w:type="spellStart"/>
      <w:r w:rsidRPr="009106F4">
        <w:rPr>
          <w:rFonts w:ascii="Book Antiqua" w:hAnsi="Book Antiqua"/>
          <w:color w:val="auto"/>
          <w:sz w:val="24"/>
          <w:szCs w:val="24"/>
        </w:rPr>
        <w:t>ACEi</w:t>
      </w:r>
      <w:proofErr w:type="spellEnd"/>
      <w:r w:rsidRPr="009106F4">
        <w:rPr>
          <w:rFonts w:ascii="Book Antiqua" w:hAnsi="Book Antiqua"/>
          <w:color w:val="auto"/>
          <w:sz w:val="24"/>
          <w:szCs w:val="24"/>
        </w:rPr>
        <w:t xml:space="preserve">).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R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ecently,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 xml:space="preserve">a </w:t>
      </w:r>
      <w:r w:rsidRPr="009106F4">
        <w:rPr>
          <w:rFonts w:ascii="Book Antiqua" w:hAnsi="Book Antiqua"/>
          <w:color w:val="auto"/>
          <w:sz w:val="24"/>
          <w:szCs w:val="24"/>
        </w:rPr>
        <w:t>new strateg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y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using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 xml:space="preserve">a </w:t>
      </w:r>
      <w:proofErr w:type="spellStart"/>
      <w:r w:rsidR="00FE7D66" w:rsidRPr="009106F4">
        <w:rPr>
          <w:rFonts w:ascii="Book Antiqua" w:hAnsi="Book Antiqua"/>
          <w:color w:val="auto"/>
          <w:sz w:val="24"/>
          <w:szCs w:val="24"/>
        </w:rPr>
        <w:t>Neprilysin</w:t>
      </w:r>
      <w:proofErr w:type="spellEnd"/>
      <w:r w:rsidR="00FE7D66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inhibition</w:t>
      </w:r>
      <w:r w:rsidR="00FE7D66" w:rsidRPr="009106F4">
        <w:rPr>
          <w:rFonts w:ascii="Book Antiqua" w:hAnsi="Book Antiqua"/>
          <w:color w:val="auto"/>
          <w:sz w:val="24"/>
          <w:szCs w:val="24"/>
        </w:rPr>
        <w:t xml:space="preserve"> (NIs</w:t>
      </w:r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) and recombinant natriuretic peptides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was proven as a therapeutic option to t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arget HF </w:t>
      </w:r>
      <w:proofErr w:type="gramStart"/>
      <w:r w:rsidRPr="009106F4">
        <w:rPr>
          <w:rFonts w:ascii="Book Antiqua" w:hAnsi="Book Antiqua"/>
          <w:color w:val="auto"/>
          <w:sz w:val="24"/>
          <w:szCs w:val="24"/>
        </w:rPr>
        <w:t>pathophys</w:t>
      </w:r>
      <w:r w:rsidR="00870B50" w:rsidRPr="009106F4">
        <w:rPr>
          <w:rFonts w:ascii="Book Antiqua" w:hAnsi="Book Antiqua"/>
          <w:color w:val="auto"/>
          <w:sz w:val="24"/>
          <w:szCs w:val="24"/>
        </w:rPr>
        <w:t>iology</w:t>
      </w:r>
      <w:r w:rsidR="00207366" w:rsidRPr="009106F4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hAnsi="Book Antiqua"/>
          <w:color w:val="auto"/>
          <w:sz w:val="24"/>
          <w:szCs w:val="24"/>
          <w:vertAlign w:val="superscript"/>
        </w:rPr>
        <w:t>5</w:t>
      </w:r>
      <w:r w:rsidR="00207366" w:rsidRPr="009106F4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. The new generation of HF pharmacotherapy </w:t>
      </w:r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entails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the simultaneous inhibition of both the angiotensin and </w:t>
      </w:r>
      <w:proofErr w:type="spellStart"/>
      <w:r w:rsidR="00C165DF" w:rsidRPr="009106F4">
        <w:rPr>
          <w:rFonts w:ascii="Book Antiqua" w:hAnsi="Book Antiqua"/>
          <w:color w:val="auto"/>
          <w:sz w:val="24"/>
          <w:szCs w:val="24"/>
        </w:rPr>
        <w:t>Neprilysin</w:t>
      </w:r>
      <w:proofErr w:type="spellEnd"/>
      <w:r w:rsidR="00C165DF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pathways, the latest version of which is </w:t>
      </w:r>
      <w:proofErr w:type="spellStart"/>
      <w:r w:rsidR="002733B4" w:rsidRPr="009106F4">
        <w:rPr>
          <w:rFonts w:ascii="Book Antiqua" w:hAnsi="Book Antiqua"/>
          <w:color w:val="auto"/>
          <w:sz w:val="24"/>
          <w:szCs w:val="24"/>
        </w:rPr>
        <w:t>Entresto</w:t>
      </w:r>
      <w:proofErr w:type="spellEnd"/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® –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the combination of </w:t>
      </w:r>
      <w:proofErr w:type="spellStart"/>
      <w:r w:rsidR="00C165DF" w:rsidRPr="009106F4">
        <w:rPr>
          <w:rFonts w:ascii="Book Antiqua" w:hAnsi="Book Antiqua"/>
          <w:color w:val="auto"/>
          <w:sz w:val="24"/>
          <w:szCs w:val="24"/>
        </w:rPr>
        <w:t>sacubitril</w:t>
      </w:r>
      <w:proofErr w:type="spellEnd"/>
      <w:r w:rsidR="00C165DF" w:rsidRPr="009106F4">
        <w:rPr>
          <w:rFonts w:ascii="Book Antiqua" w:hAnsi="Book Antiqua"/>
          <w:color w:val="auto"/>
          <w:sz w:val="24"/>
          <w:szCs w:val="24"/>
        </w:rPr>
        <w:t xml:space="preserve"> and </w:t>
      </w:r>
      <w:r w:rsidRPr="009106F4">
        <w:rPr>
          <w:rFonts w:ascii="Book Antiqua" w:hAnsi="Book Antiqua"/>
          <w:color w:val="auto"/>
          <w:sz w:val="24"/>
          <w:szCs w:val="24"/>
        </w:rPr>
        <w:t>valsartan</w:t>
      </w:r>
      <w:r w:rsidR="00347829" w:rsidRPr="009106F4">
        <w:rPr>
          <w:rFonts w:ascii="Book Antiqua" w:hAnsi="Book Antiqua"/>
          <w:color w:val="auto"/>
          <w:sz w:val="24"/>
          <w:szCs w:val="24"/>
        </w:rPr>
        <w:t xml:space="preserve">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>(SV) (researched as LCZ696)</w:t>
      </w:r>
      <w:r w:rsidR="00207366" w:rsidRPr="009106F4">
        <w:rPr>
          <w:rFonts w:ascii="Book Antiqua" w:hAnsi="Book Antiqua"/>
          <w:color w:val="auto"/>
          <w:sz w:val="24"/>
          <w:szCs w:val="24"/>
          <w:vertAlign w:val="superscript"/>
        </w:rPr>
        <w:t>[</w:t>
      </w:r>
      <w:r w:rsidR="00150335" w:rsidRPr="009106F4">
        <w:rPr>
          <w:rFonts w:ascii="Book Antiqua" w:hAnsi="Book Antiqua"/>
          <w:color w:val="auto"/>
          <w:sz w:val="24"/>
          <w:szCs w:val="24"/>
          <w:vertAlign w:val="superscript"/>
        </w:rPr>
        <w:t>6,</w:t>
      </w:r>
      <w:r w:rsidR="001C1AC3" w:rsidRPr="009106F4">
        <w:rPr>
          <w:rFonts w:ascii="Book Antiqua" w:hAnsi="Book Antiqua"/>
          <w:color w:val="auto"/>
          <w:sz w:val="24"/>
          <w:szCs w:val="24"/>
          <w:vertAlign w:val="superscript"/>
        </w:rPr>
        <w:t>7</w:t>
      </w:r>
      <w:r w:rsidR="00207366" w:rsidRPr="009106F4">
        <w:rPr>
          <w:rFonts w:ascii="Book Antiqua" w:hAnsi="Book Antiqua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. In this concise review, we highlight the mechanisms of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 xml:space="preserve">SV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activity, the results of the successful clinical trial and the potential adverse effects, </w:t>
      </w:r>
      <w:r w:rsidR="00C165DF" w:rsidRPr="009106F4">
        <w:rPr>
          <w:rFonts w:ascii="Book Antiqua" w:hAnsi="Book Antiqua"/>
          <w:color w:val="auto"/>
          <w:sz w:val="24"/>
          <w:szCs w:val="24"/>
        </w:rPr>
        <w:t xml:space="preserve">highlighting 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those </w:t>
      </w:r>
      <w:r w:rsidR="002733B4" w:rsidRPr="009106F4">
        <w:rPr>
          <w:rFonts w:ascii="Book Antiqua" w:hAnsi="Book Antiqua"/>
          <w:color w:val="auto"/>
          <w:sz w:val="24"/>
          <w:szCs w:val="24"/>
        </w:rPr>
        <w:t xml:space="preserve">on </w:t>
      </w:r>
      <w:r w:rsidRPr="009106F4">
        <w:rPr>
          <w:rFonts w:ascii="Book Antiqua" w:hAnsi="Book Antiqua"/>
          <w:color w:val="auto"/>
          <w:sz w:val="24"/>
          <w:szCs w:val="24"/>
        </w:rPr>
        <w:t>cognitive function.</w:t>
      </w:r>
    </w:p>
    <w:p w:rsidR="009F7213" w:rsidRPr="009106F4" w:rsidRDefault="009F721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9F7213" w:rsidRPr="009106F4" w:rsidRDefault="0015033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METHODS</w:t>
      </w:r>
    </w:p>
    <w:p w:rsidR="00B63855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The search for the relevant articles was conducted on PubMed</w:t>
      </w:r>
      <w:r w:rsidR="00870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Ovid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The following </w:t>
      </w:r>
      <w:r w:rsidR="001A0C8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terms </w:t>
      </w:r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“</w:t>
      </w:r>
      <w:proofErr w:type="spellStart"/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Entresto</w:t>
      </w:r>
      <w:proofErr w:type="spellEnd"/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”, “</w:t>
      </w:r>
      <w:proofErr w:type="spellStart"/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neprilysin</w:t>
      </w:r>
      <w:proofErr w:type="spellEnd"/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 xml:space="preserve"> inhibitors”, “angiotensin inhibitors”, “dementia” and “Alzheimer’s</w:t>
      </w:r>
      <w:r w:rsidR="006D7B62"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 xml:space="preserve"> Disease</w:t>
      </w:r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”</w:t>
      </w:r>
      <w:r w:rsidR="006D7B62"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 xml:space="preserve"> “cognitive impairment”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1A0C8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were searched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in different combinations. The search was limited to articles in English language but no search filters were used for timeline and subjects.</w:t>
      </w:r>
    </w:p>
    <w:p w:rsidR="00150335" w:rsidRPr="009106F4" w:rsidRDefault="0015033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B63855" w:rsidRPr="009106F4" w:rsidRDefault="0015033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INCLUSION CRITERIA</w:t>
      </w:r>
    </w:p>
    <w:p w:rsidR="00566148" w:rsidRPr="009106F4" w:rsidRDefault="00B6385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Articles that met our following inclusion criteria were included in this review</w:t>
      </w:r>
      <w:r w:rsidR="0015033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: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15033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(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1) Discussed pathophysiology of </w:t>
      </w:r>
      <w:r w:rsidR="00A436C7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HF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target pharmacotherapy mechanism, </w:t>
      </w:r>
      <w:r w:rsidR="0015033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(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2) Discussed pathophysiology of development of AD, </w:t>
      </w:r>
      <w:r w:rsidR="0015033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(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3) ongoing trials of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Entresto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="0015033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(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4) reported link between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neprilysin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inhibitors and development of AD, </w:t>
      </w:r>
      <w:r w:rsidR="0015033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(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5)</w:t>
      </w:r>
      <w:r w:rsidR="005C36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articles that </w:t>
      </w:r>
      <w:r w:rsidR="005C36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lastRenderedPageBreak/>
        <w:t>were published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full and </w:t>
      </w:r>
      <w:r w:rsidR="005C36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in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English</w:t>
      </w:r>
      <w:r w:rsidR="005C364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language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150335" w:rsidRPr="009106F4" w:rsidRDefault="0015033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566148" w:rsidRPr="009106F4" w:rsidRDefault="0015033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PATHOPHYSIOLOGY OF H</w:t>
      </w:r>
      <w:r w:rsidRPr="009106F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F</w:t>
      </w:r>
    </w:p>
    <w:p w:rsidR="002915F4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pathophysiology of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HFrEF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results mainly from the activation of the renin-angiotensin-aldosterone (RAAS) neuro</w:t>
      </w:r>
      <w:r w:rsidR="003374D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-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hormonal compensatory mechanism. Although the peripheral vasoconstriction initiated by the RAAS mechanism maintains blood pressure and cardiac output for a short time, sustained activation of RAAS leads to ventricular hypertrophy, hypertension and angioedema, ultimately worsen</w:t>
      </w:r>
      <w:r w:rsidR="0015033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ing myocardial </w:t>
      </w:r>
      <w:proofErr w:type="gramStart"/>
      <w:r w:rsidR="0015033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dysfunction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8,9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A second compensatory m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echanism,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the na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triuretic peptide (NP) system,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counteracts the vasoconstrictive</w:t>
      </w:r>
      <w:r w:rsidR="003B7FA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sodium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/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water retenti</w:t>
      </w:r>
      <w:r w:rsidR="003B7FA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ve</w:t>
      </w:r>
      <w:r w:rsidR="0015033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effects of the RAAS </w:t>
      </w:r>
      <w:proofErr w:type="gramStart"/>
      <w:r w:rsidR="0015033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system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10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</w:p>
    <w:p w:rsidR="00150335" w:rsidRPr="009106F4" w:rsidRDefault="0015033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E06C81" w:rsidRPr="009106F4" w:rsidRDefault="007440D4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GOALS OF PHARMACOTHERAPY</w:t>
      </w:r>
    </w:p>
    <w:p w:rsidR="00120359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initial HF pharmacotherapy targeted the RAAS circuit using </w:t>
      </w:r>
      <w:proofErr w:type="gramStart"/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ARBs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11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ACEi</w:t>
      </w:r>
      <w:proofErr w:type="spellEnd"/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12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, beta-blockers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13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, diuretics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14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aldosterone inhibitors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15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All of these drugs have proven to be effective in lowering the morbidity and mortality in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HFrEF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The NP system consists of four related peptides (Atrial, Brain, C-Type, and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Dendroaspis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15033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)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a membrane bound peptidase called </w:t>
      </w:r>
      <w:proofErr w:type="spellStart"/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eprilysin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that degrad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es these vasoactive </w:t>
      </w:r>
      <w:proofErr w:type="gramStart"/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peptides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16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NP system targeting drugs have included a recombin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ant form of BNP (</w:t>
      </w:r>
      <w:proofErr w:type="spellStart"/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Nesiritide</w:t>
      </w:r>
      <w:proofErr w:type="spellEnd"/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)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17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as well as </w:t>
      </w:r>
      <w:proofErr w:type="spellStart"/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eprilysin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CA392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inhibitors (NIs)</w:t>
      </w:r>
      <w:r w:rsidR="007440D4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,</w:t>
      </w:r>
      <w:r w:rsidR="00CA392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e.g.</w:t>
      </w:r>
      <w:r w:rsidR="007440D4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,</w:t>
      </w:r>
      <w:r w:rsidR="007440D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proofErr w:type="spellStart"/>
      <w:r w:rsidR="007440D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candoxatril</w:t>
      </w:r>
      <w:proofErr w:type="spellEnd"/>
      <w:r w:rsidR="007440D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proofErr w:type="spellStart"/>
      <w:r w:rsidR="007440D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rececodotril</w:t>
      </w:r>
      <w:proofErr w:type="spellEnd"/>
      <w:r w:rsidR="007440D4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proofErr w:type="gramStart"/>
      <w:r w:rsidR="007440D4" w:rsidRPr="009106F4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etc</w:t>
      </w:r>
      <w:proofErr w:type="spellEnd"/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7440D4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18,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19</w:t>
      </w:r>
      <w:r w:rsidR="00EA025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CA392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5365E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 pharmacotherapy targeting the NP system and the resp</w:t>
      </w:r>
      <w:r w:rsidR="0048123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ective clinical trials are</w:t>
      </w:r>
      <w:r w:rsidR="005365E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summarized in </w:t>
      </w:r>
      <w:r w:rsidR="0074232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Table</w:t>
      </w:r>
      <w:r w:rsidR="00742325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1</w:t>
      </w:r>
      <w:r w:rsidR="00742325" w:rsidRPr="009106F4">
        <w:rPr>
          <w:rFonts w:ascii="Book Antiqua" w:hAnsi="Book Antiqua" w:cs="Times New Roman"/>
          <w:color w:val="auto"/>
          <w:sz w:val="24"/>
          <w:szCs w:val="24"/>
          <w:vertAlign w:val="superscript"/>
          <w:lang w:eastAsia="zh-CN"/>
        </w:rPr>
        <w:t>[20-32]</w:t>
      </w:r>
      <w:r w:rsidR="005365E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Although strategies blocking either of the</w:t>
      </w:r>
      <w:r w:rsidR="007A66B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se two pathways have reduce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</w:t>
      </w:r>
      <w:r w:rsidR="007A66B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mortality and morbidity in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proofErr w:type="gram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12,28,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32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,</w:t>
      </w:r>
      <w:r w:rsidR="007A66B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prognosis still remains poor due to long term ineffectiveness of the drugs as well as 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adverse physiological effects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A63621" w:rsidRPr="009106F4" w:rsidRDefault="009D42D7" w:rsidP="00E97A2A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newest strategy in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HFrEF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pharmaco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-intervention is the combination of 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ARB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and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996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</w:t>
      </w:r>
      <w:r w:rsidR="00996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730B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(ARNI)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that cause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 dual 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inhibition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of the RAAS 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pathway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</w:t>
      </w:r>
      <w:proofErr w:type="spellStart"/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Neprilysin</w:t>
      </w:r>
      <w:proofErr w:type="spellEnd"/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: </w:t>
      </w:r>
      <w:r w:rsidR="00E97A2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T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he 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prototype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drug 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was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LCZ696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6,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7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FE7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which is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made up of 1: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1 ratio of </w:t>
      </w:r>
      <w:r w:rsidR="005C74D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ARB 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valsartan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33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</w:t>
      </w:r>
      <w:r w:rsidR="005C74D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NI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sacubitril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(AHU 377)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34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6A0A7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The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action of 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 multimodal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34782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proofErr w:type="spellStart"/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acubitril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is a 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pro-drug which is activat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es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to </w:t>
      </w:r>
      <w:proofErr w:type="spellStart"/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acubitrilat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(LBQ657), the active metabolite that inhibits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lastRenderedPageBreak/>
        <w:t>while valsartan simultaneously blocks the angiotensin receptor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The dual action of </w:t>
      </w:r>
      <w:proofErr w:type="spellStart"/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acubitril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valsartan augment the beneficial actions of the NPs and inhibits the deleterio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us effects of the RAAS </w:t>
      </w:r>
      <w:proofErr w:type="gramStart"/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system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7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The PARADIGM-HF trial was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conducted by McMurray </w:t>
      </w:r>
      <w:r w:rsidR="00B75D75" w:rsidRPr="00E97A2A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et al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31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to determine the efficacy of 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SV compared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to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915F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the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ACE inhibitor </w:t>
      </w:r>
      <w:proofErr w:type="spellStart"/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nalapril</w:t>
      </w:r>
      <w:proofErr w:type="spellEnd"/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35,</w:t>
      </w:r>
      <w:r w:rsidR="002730BF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36</w:t>
      </w:r>
      <w:r w:rsidR="008365D9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which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improves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mortality and morbidity. The median follow-up duration was 27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mo</w:t>
      </w:r>
      <w:proofErr w:type="spellEnd"/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reduced HF related symptoms and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o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verall survival 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by 20%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31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Additionally</w:t>
      </w:r>
      <w:r w:rsidR="002730B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the ARNI approach 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avoids the common side-effects of</w:t>
      </w:r>
      <w:r w:rsidR="002730B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proofErr w:type="spellStart"/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ACEi</w:t>
      </w:r>
      <w:proofErr w:type="spellEnd"/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such as cough and angioedema that result from impaired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degradation and elevated 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levels of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bradykinin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2730BF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37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In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ONTARGET trial, ARBs 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were documented to result in a 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lower rate of cough and angioedema compared to </w:t>
      </w:r>
      <w:proofErr w:type="spellStart"/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CEi</w:t>
      </w:r>
      <w:proofErr w:type="spellEnd"/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: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E97A2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T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herefore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combination therapy prefers</w:t>
      </w:r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ARBs over </w:t>
      </w:r>
      <w:proofErr w:type="spellStart"/>
      <w:proofErr w:type="gramStart"/>
      <w:r w:rsidR="001308A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ACEi</w:t>
      </w:r>
      <w:proofErr w:type="spellEnd"/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2730BF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38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A6362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120359" w:rsidRPr="009106F4" w:rsidRDefault="009D42D7" w:rsidP="00E97A2A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US Food and Drug Administration </w:t>
      </w:r>
      <w:r w:rsidR="001A7C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had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approved 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for clinical use and at present it is produced un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der the name of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Entresto</w:t>
      </w:r>
      <w:proofErr w:type="spellEnd"/>
      <w:r w:rsidR="00276B50" w:rsidRPr="009106F4">
        <w:rPr>
          <w:rFonts w:ascii="Book Antiqua" w:hAnsi="Book Antiqua"/>
          <w:color w:val="auto"/>
          <w:sz w:val="24"/>
          <w:szCs w:val="24"/>
        </w:rPr>
        <w:t>®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622BF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by </w:t>
      </w:r>
      <w:proofErr w:type="gramStart"/>
      <w:r w:rsidR="00622BF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Novartis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39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The recommended dose of </w:t>
      </w:r>
      <w:proofErr w:type="spellStart"/>
      <w:r w:rsidR="007A66B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Entresto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is 49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mg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sacubitril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/51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mg valsartan twice daily increased to 97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mg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sacubitril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/103</w:t>
      </w:r>
      <w:r w:rsidR="00A7225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mg valsartan after 2-4 w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k. It is contraindicated in patients with history of angioedema, hypotension, hyperkalemia or renal dysfunction and in pregnant 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women due to f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etal </w:t>
      </w:r>
      <w:proofErr w:type="gramStart"/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toxicity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40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In the PARADIGM-HF trial, 10.7% of the patients reported at least one of the following adverse effects hypotension, renal failure, hyperka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lemia, fatigue and </w:t>
      </w:r>
      <w:proofErr w:type="gramStart"/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dizziness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31</w:t>
      </w:r>
      <w:r w:rsidR="009865BB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120359" w:rsidRPr="009106F4" w:rsidRDefault="00A7225F" w:rsidP="00E97A2A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9106F4">
        <w:rPr>
          <w:rFonts w:ascii="Book Antiqua" w:hAnsi="Book Antiqua" w:cs="Times New Roman"/>
          <w:color w:val="auto"/>
          <w:sz w:val="24"/>
          <w:szCs w:val="24"/>
        </w:rPr>
        <w:t xml:space="preserve">In clinical practice, </w:t>
      </w:r>
      <w:proofErr w:type="spellStart"/>
      <w:r w:rsidRPr="009106F4">
        <w:rPr>
          <w:rFonts w:ascii="Book Antiqua" w:hAnsi="Book Antiqua" w:cs="Times New Roman"/>
          <w:color w:val="auto"/>
          <w:sz w:val="24"/>
          <w:szCs w:val="24"/>
        </w:rPr>
        <w:t>approximatley</w:t>
      </w:r>
      <w:proofErr w:type="spellEnd"/>
      <w:r w:rsidRPr="009106F4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50% of the HF patients have a preserved left ventricular ejection fraction (</w:t>
      </w:r>
      <w:proofErr w:type="spellStart"/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HFpEF</w:t>
      </w:r>
      <w:proofErr w:type="spellEnd"/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) and present </w:t>
      </w:r>
      <w:r w:rsidRPr="009106F4">
        <w:rPr>
          <w:rFonts w:ascii="Book Antiqua" w:hAnsi="Book Antiqua" w:cs="Times New Roman"/>
          <w:color w:val="auto"/>
          <w:sz w:val="24"/>
          <w:szCs w:val="24"/>
        </w:rPr>
        <w:t xml:space="preserve">with 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similar</w:t>
      </w:r>
      <w:r w:rsidR="00347829" w:rsidRPr="009106F4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morbidity and mortality</w:t>
      </w:r>
      <w:r w:rsidR="00E97A2A">
        <w:rPr>
          <w:rFonts w:ascii="Book Antiqua" w:hAnsi="Book Antiqua" w:cs="Times New Roman"/>
          <w:color w:val="auto"/>
          <w:sz w:val="24"/>
          <w:szCs w:val="24"/>
        </w:rPr>
        <w:t xml:space="preserve"> as seen in patients with </w:t>
      </w:r>
      <w:proofErr w:type="spellStart"/>
      <w:proofErr w:type="gramStart"/>
      <w:r w:rsidR="00E97A2A">
        <w:rPr>
          <w:rFonts w:ascii="Book Antiqua" w:hAnsi="Book Antiqua" w:cs="Times New Roman"/>
          <w:color w:val="auto"/>
          <w:sz w:val="24"/>
          <w:szCs w:val="24"/>
        </w:rPr>
        <w:t>HFrEF</w:t>
      </w:r>
      <w:proofErr w:type="spellEnd"/>
      <w:r w:rsidR="006915B3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6915B3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2</w:t>
      </w:r>
      <w:r w:rsidR="00E97A2A">
        <w:rPr>
          <w:rFonts w:ascii="Book Antiqua" w:hAnsi="Book Antiqua" w:cs="Times New Roman" w:hint="eastAsia"/>
          <w:color w:val="auto"/>
          <w:sz w:val="24"/>
          <w:szCs w:val="24"/>
          <w:vertAlign w:val="superscript"/>
          <w:lang w:eastAsia="zh-CN"/>
        </w:rPr>
        <w:t>-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4]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proofErr w:type="spellStart"/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S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acubitril</w:t>
      </w:r>
      <w:proofErr w:type="spellEnd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/valsartan </w:t>
      </w:r>
      <w:r w:rsidRPr="009106F4">
        <w:rPr>
          <w:rFonts w:ascii="Book Antiqua" w:hAnsi="Book Antiqua" w:cs="Times New Roman"/>
          <w:color w:val="auto"/>
          <w:sz w:val="24"/>
          <w:szCs w:val="24"/>
        </w:rPr>
        <w:t xml:space="preserve">is validated in </w:t>
      </w:r>
      <w:proofErr w:type="spellStart"/>
      <w:r w:rsidRPr="009106F4">
        <w:rPr>
          <w:rFonts w:ascii="Book Antiqua" w:hAnsi="Book Antiqua" w:cs="Times New Roman"/>
          <w:color w:val="auto"/>
          <w:sz w:val="24"/>
          <w:szCs w:val="24"/>
        </w:rPr>
        <w:t>HFrEF</w:t>
      </w:r>
      <w:proofErr w:type="spellEnd"/>
      <w:r w:rsidRPr="009106F4">
        <w:rPr>
          <w:rFonts w:ascii="Book Antiqua" w:hAnsi="Book Antiqua" w:cs="Times New Roman"/>
          <w:color w:val="auto"/>
          <w:sz w:val="24"/>
          <w:szCs w:val="24"/>
        </w:rPr>
        <w:t xml:space="preserve"> but is being evaluated for </w:t>
      </w:r>
      <w:proofErr w:type="spellStart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HFpEF</w:t>
      </w:r>
      <w:proofErr w:type="spellEnd"/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 in the PARAMOUNT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-HF 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(T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he Prospective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comparison of ARNI with ARB on Management of Heart 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Failure 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with Preserved Ejection Fraction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>)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 trial</w:t>
      </w:r>
      <w:r w:rsidRPr="009106F4">
        <w:rPr>
          <w:rFonts w:ascii="Book Antiqua" w:hAnsi="Book Antiqua" w:cs="Times New Roman"/>
          <w:color w:val="auto"/>
          <w:sz w:val="24"/>
          <w:szCs w:val="24"/>
        </w:rPr>
        <w:t>.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hAnsi="Book Antiqua" w:cs="Times New Roman"/>
          <w:color w:val="auto"/>
          <w:sz w:val="24"/>
          <w:szCs w:val="24"/>
        </w:rPr>
        <w:t>P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atients 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who treated with </w:t>
      </w:r>
      <w:proofErr w:type="spellStart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sacubitril</w:t>
      </w:r>
      <w:proofErr w:type="spellEnd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/valsartan</w:t>
      </w:r>
      <w:r w:rsidR="006915B3" w:rsidRPr="009106F4">
        <w:rPr>
          <w:rFonts w:ascii="Book Antiqua" w:hAnsi="Book Antiqua" w:cs="Times New Roman"/>
          <w:color w:val="auto"/>
          <w:sz w:val="24"/>
          <w:szCs w:val="24"/>
        </w:rPr>
        <w:t xml:space="preserve"> showed a reduction in 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NYHA class and left atrial </w:t>
      </w:r>
      <w:proofErr w:type="gramStart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volumes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3F249A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29]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At present, the PARAGON-HF trial is </w:t>
      </w:r>
      <w:r w:rsidRPr="009106F4">
        <w:rPr>
          <w:rFonts w:ascii="Book Antiqua" w:hAnsi="Book Antiqua" w:cs="Times New Roman"/>
          <w:color w:val="auto"/>
          <w:sz w:val="24"/>
          <w:szCs w:val="24"/>
        </w:rPr>
        <w:t>on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going </w:t>
      </w:r>
      <w:proofErr w:type="spellStart"/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>compare</w:t>
      </w:r>
      <w:r w:rsidRPr="009106F4">
        <w:rPr>
          <w:rFonts w:ascii="Book Antiqua" w:hAnsi="Book Antiqua" w:cs="Times New Roman"/>
          <w:color w:val="auto"/>
          <w:sz w:val="24"/>
          <w:szCs w:val="24"/>
        </w:rPr>
        <w:t>ing</w:t>
      </w:r>
      <w:proofErr w:type="spellEnd"/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 the effects of </w:t>
      </w:r>
      <w:proofErr w:type="spellStart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sacubitril</w:t>
      </w:r>
      <w:proofErr w:type="spellEnd"/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/valsartan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C1AC3" w:rsidRPr="009106F4">
        <w:rPr>
          <w:rFonts w:ascii="Book Antiqua" w:hAnsi="Book Antiqua" w:cs="Times New Roman"/>
          <w:color w:val="auto"/>
          <w:sz w:val="24"/>
          <w:szCs w:val="24"/>
        </w:rPr>
        <w:t>versus valsartan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 in the </w:t>
      </w:r>
      <w:proofErr w:type="spellStart"/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>HFpEF</w:t>
      </w:r>
      <w:proofErr w:type="spellEnd"/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proofErr w:type="gramStart"/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>patients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3F249A" w:rsidRPr="009106F4">
        <w:rPr>
          <w:rFonts w:ascii="Book Antiqua" w:hAnsi="Book Antiqua" w:cs="Times New Roman"/>
          <w:color w:val="auto"/>
          <w:sz w:val="24"/>
          <w:szCs w:val="24"/>
          <w:vertAlign w:val="superscript"/>
        </w:rPr>
        <w:t>32]</w:t>
      </w:r>
      <w:r w:rsidR="003F249A" w:rsidRPr="009106F4">
        <w:rPr>
          <w:rFonts w:ascii="Book Antiqua" w:hAnsi="Book Antiqua" w:cs="Times New Roman"/>
          <w:color w:val="auto"/>
          <w:sz w:val="24"/>
          <w:szCs w:val="24"/>
        </w:rPr>
        <w:t>.</w:t>
      </w:r>
    </w:p>
    <w:p w:rsidR="00566148" w:rsidRPr="009106F4" w:rsidRDefault="00566148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566148" w:rsidRPr="00E97A2A" w:rsidRDefault="00E97A2A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NEPRILYSIN INHIBITORS AND ALZHEIMER’S DISEASE</w:t>
      </w:r>
    </w:p>
    <w:p w:rsidR="00120359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 interesting facet of the use of </w:t>
      </w:r>
      <w:r w:rsidR="00996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in the treatment of cardiovascular diseases is their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lastRenderedPageBreak/>
        <w:t xml:space="preserve">potential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role in the development or progression of Alzheimer’s disease (AD)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,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as there is considerable overlap between the populati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ons suffering from HF and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AD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41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The hallmark of A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D is the accumulation of 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b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eta 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myloid (βA)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peptide in the brain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causing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neurotoxic plaques that are supposedly respons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ible for the pathology of </w:t>
      </w:r>
      <w:proofErr w:type="gramStart"/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AD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42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Under normal physiological condi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tions, the βA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peptide is degraded by proteases such as ACE,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insulin degrading </w:t>
      </w:r>
      <w:proofErr w:type="gramStart"/>
      <w:r w:rsidR="00276B5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enzyme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43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has a broad range of substrates apart from the NPs such as bradykinin,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enkephalins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as w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ell as the 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βA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peptide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44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Additionally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patients with AD have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lower expression of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compared to healthy </w:t>
      </w:r>
      <w:proofErr w:type="gramStart"/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subjects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45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deficient mice d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evelop the murine form of AD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46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This possible correlation was further highlighted when intracerebral infusion of </w:t>
      </w:r>
      <w:proofErr w:type="spellStart"/>
      <w:r w:rsidR="00996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NPi</w:t>
      </w:r>
      <w:proofErr w:type="spellEnd"/>
      <w:r w:rsidR="003D7EA4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lead to the development o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f AD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-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like lesions in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rabbits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47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Lastly, certain polymorphisms in the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gene (NEP) were associated with a higher propensit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y for AD in a Finnish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cohort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48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Therefore,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is as much a pharmaceutical target for the treatment of AD as for HF, except that the strategies are opposite for both pathologies</w:t>
      </w:r>
      <w:r w:rsidR="00BE1F4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(F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igure</w:t>
      </w:r>
      <w:r w:rsidR="00E97A2A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 xml:space="preserve"> 1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)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Indeed,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centered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therapies have been developed independently for AD and tested at the pre-clinical levels. CNS targeted recombinant human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was able to reduce 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βA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peptide toxicity 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in the mouse model of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AD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49,50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E97A2A" w:rsidRDefault="00E97A2A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9F7213" w:rsidRPr="00E97A2A" w:rsidRDefault="00E97A2A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ENTRESTO</w:t>
      </w:r>
      <w:r w:rsidRPr="009106F4">
        <w:rPr>
          <w:rFonts w:ascii="Book Antiqua" w:hAnsi="Book Antiqua"/>
          <w:b/>
          <w:color w:val="auto"/>
          <w:sz w:val="24"/>
          <w:szCs w:val="24"/>
        </w:rPr>
        <w:t>®</w:t>
      </w: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 AND ALZHEIMER'S D</w:t>
      </w:r>
      <w:r>
        <w:rPr>
          <w:rFonts w:ascii="Book Antiqua" w:eastAsia="Times New Roman" w:hAnsi="Book Antiqua" w:cs="Times New Roman"/>
          <w:b/>
          <w:color w:val="auto"/>
          <w:sz w:val="24"/>
          <w:szCs w:val="24"/>
        </w:rPr>
        <w:t>ISEASE</w:t>
      </w:r>
    </w:p>
    <w:p w:rsidR="00F303B3" w:rsidRPr="009106F4" w:rsidRDefault="00895FFC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Clinicians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should </w:t>
      </w:r>
      <w:r w:rsidR="00ED42F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be 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aware 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of the possible inhibitory action </w:t>
      </w:r>
      <w:r w:rsidR="0030443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of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in the clearing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of </w:t>
      </w:r>
      <w:r w:rsidR="00411F8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βA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peptide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while considering it for HF treatment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In patients who are at the risk of developing AD, whether due to age or genetic predisposition, the chronic exposure to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may accelerate the clinical onset of the disease. Critical to this hypothesis is the ability of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to cross the blood brain barrier (BBB) in order to block brain </w:t>
      </w:r>
      <w:r w:rsidR="008D6CE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NP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There is evidence that certain </w:t>
      </w:r>
      <w:r w:rsidR="00996041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like S-</w:t>
      </w:r>
      <w:proofErr w:type="spellStart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acetl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ythiorphan</w:t>
      </w:r>
      <w:proofErr w:type="spellEnd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can cross the </w:t>
      </w:r>
      <w:proofErr w:type="gramStart"/>
      <w:r w:rsidR="00E97A2A">
        <w:rPr>
          <w:rFonts w:ascii="Book Antiqua" w:eastAsia="Times New Roman" w:hAnsi="Book Antiqua" w:cs="Times New Roman"/>
          <w:color w:val="auto"/>
          <w:sz w:val="24"/>
          <w:szCs w:val="24"/>
        </w:rPr>
        <w:t>BBB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</w:t>
      </w:r>
      <w:r w:rsidR="00E97A2A">
        <w:rPr>
          <w:rFonts w:ascii="Book Antiqua" w:hAnsi="Book Antiqua" w:cs="Times New Roman" w:hint="eastAsia"/>
          <w:color w:val="auto"/>
          <w:sz w:val="24"/>
          <w:szCs w:val="24"/>
          <w:vertAlign w:val="superscript"/>
          <w:lang w:eastAsia="zh-CN"/>
        </w:rPr>
        <w:t>1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)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while 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some like </w:t>
      </w:r>
      <w:proofErr w:type="spellStart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candoxatril</w:t>
      </w:r>
      <w:proofErr w:type="spellEnd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FB773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cannot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52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Both </w:t>
      </w:r>
      <w:proofErr w:type="spellStart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Sacubitril</w:t>
      </w:r>
      <w:proofErr w:type="spellEnd"/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and its activ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e metabolite </w:t>
      </w:r>
      <w:proofErr w:type="gramStart"/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LBQ657</w:t>
      </w:r>
      <w:r w:rsidR="00F303B3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B75D75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7</w:t>
      </w:r>
      <w:r w:rsidR="00F303B3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9D42D7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 xml:space="preserve">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are under the threshold size of 400 </w:t>
      </w:r>
      <w:proofErr w:type="spellStart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kD</w:t>
      </w:r>
      <w:proofErr w:type="spellEnd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which makes them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fit to cross the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BBB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r w:rsid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53,</w:t>
      </w:r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54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6E6CD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It is noteworth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y that the PARADIGM-HF </w:t>
      </w:r>
      <w:proofErr w:type="gramStart"/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trial</w:t>
      </w:r>
      <w:r w:rsidR="00F303B3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B75D75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31</w:t>
      </w:r>
      <w:r w:rsidR="00F303B3" w:rsidRPr="00E97A2A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had excluded patients with AD and did not include any cognitive function tests to evaluate drug safety. McMurray </w:t>
      </w:r>
      <w:r w:rsidR="009D42D7" w:rsidRPr="005514D8">
        <w:rPr>
          <w:rFonts w:ascii="Book Antiqua" w:eastAsia="Times New Roman" w:hAnsi="Book Antiqua" w:cs="Times New Roman"/>
          <w:i/>
          <w:color w:val="auto"/>
          <w:sz w:val="24"/>
          <w:szCs w:val="24"/>
        </w:rPr>
        <w:t xml:space="preserve">et </w:t>
      </w:r>
      <w:proofErr w:type="gramStart"/>
      <w:r w:rsidR="009D42D7" w:rsidRPr="005514D8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al</w:t>
      </w:r>
      <w:r w:rsidR="005514D8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5514D8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55]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have confirmed some correlation between </w:t>
      </w:r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treatment and βA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peptide level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 in a recent review 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lastRenderedPageBreak/>
        <w:t>article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While </w:t>
      </w:r>
      <w:proofErr w:type="spellStart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cynomolgus</w:t>
      </w:r>
      <w:proofErr w:type="spellEnd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monkeys treated with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had increased le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vels of βA peptide in the CSF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the healthy volunteers treated with </w:t>
      </w:r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or two weeks had no change in βA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peptide levels.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McMurray </w:t>
      </w:r>
      <w:r w:rsidRPr="005514D8">
        <w:rPr>
          <w:rFonts w:ascii="Book Antiqua" w:eastAsia="Times New Roman" w:hAnsi="Book Antiqua" w:cs="Times New Roman"/>
          <w:i/>
          <w:color w:val="auto"/>
          <w:sz w:val="24"/>
          <w:szCs w:val="24"/>
        </w:rPr>
        <w:t xml:space="preserve">et </w:t>
      </w:r>
      <w:proofErr w:type="gramStart"/>
      <w:r w:rsidRPr="005514D8">
        <w:rPr>
          <w:rFonts w:ascii="Book Antiqua" w:eastAsia="Times New Roman" w:hAnsi="Book Antiqua" w:cs="Times New Roman"/>
          <w:i/>
          <w:color w:val="auto"/>
          <w:sz w:val="24"/>
          <w:szCs w:val="24"/>
        </w:rPr>
        <w:t>al</w:t>
      </w:r>
      <w:r w:rsidR="005514D8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5514D8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31]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showed that the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dementia and cognitive defects were not increased in the </w:t>
      </w:r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treated patients </w:t>
      </w:r>
      <w:r w:rsidR="00B75D7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during the trial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However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="005B1AAC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it should be noted that 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 earliest symptoms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of AD 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can take as long as 8-10 years 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to </w:t>
      </w:r>
      <w:proofErr w:type="gramStart"/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manifest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56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5B1AAC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If there is a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correlation between </w:t>
      </w:r>
      <w:r w:rsidR="00127AB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therapy 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AD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one 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would predict an earlier onset of symptoms.</w:t>
      </w:r>
    </w:p>
    <w:p w:rsidR="0025587F" w:rsidRPr="009106F4" w:rsidRDefault="00F303B3" w:rsidP="005514D8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It is therefore</w:t>
      </w:r>
      <w:r w:rsidR="005B1AAC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imperative that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patients on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="00302B7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V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are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followed up for cognitive abiliti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es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and potentially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evaluat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for AD. One can consider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cerebrospinal fluid (CSF)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analysis for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βA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peptide levels and amyloid plaques through PET scans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if</w:t>
      </w:r>
      <w:r w:rsidR="007C5AA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early signs of dementia </w:t>
      </w:r>
      <w:proofErr w:type="gramStart"/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ensue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57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 In the ongoing PARAGON-</w:t>
      </w:r>
      <w:proofErr w:type="gramStart"/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32]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 xml:space="preserve">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trial, A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 patients have not been excluded and serial cognitive tests have also been included as part of initial follow-up.</w:t>
      </w:r>
      <w:r w:rsidR="00643120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</w:p>
    <w:p w:rsidR="00120359" w:rsidRPr="009106F4" w:rsidRDefault="002F27B3" w:rsidP="007249DD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Another concern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is that the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proportion of 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HF patient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younger than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40 years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old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is </w:t>
      </w:r>
      <w:proofErr w:type="gramStart"/>
      <w:r w:rsidR="007249DD">
        <w:rPr>
          <w:rFonts w:ascii="Book Antiqua" w:eastAsia="Times New Roman" w:hAnsi="Book Antiqua" w:cs="Times New Roman"/>
          <w:color w:val="auto"/>
          <w:sz w:val="24"/>
          <w:szCs w:val="24"/>
        </w:rPr>
        <w:t>increasing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58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B06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FA6F9D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Younger patient’s receiving</w:t>
      </w:r>
      <w:r w:rsidR="00B06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have the potential for a longer term exposure </w:t>
      </w:r>
      <w:r w:rsidR="00B06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the consequent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potential for </w:t>
      </w:r>
      <w:r w:rsidR="00B06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increase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</w:t>
      </w:r>
      <w:r w:rsidR="00B06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risk of young onset Alzheimer’s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disease (YOAD)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is noteworthy</w:t>
      </w:r>
      <w:r w:rsidR="00B06D66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YOAD</w:t>
      </w:r>
      <w:r w:rsidR="0020010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 described</w:t>
      </w:r>
      <w:r w:rsidR="0020010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in subjects less than 65 years of age and has a more rapid progression than the ty</w:t>
      </w:r>
      <w:r w:rsidR="007249DD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pical late onset </w:t>
      </w:r>
      <w:proofErr w:type="gramStart"/>
      <w:r w:rsidR="007249DD">
        <w:rPr>
          <w:rFonts w:ascii="Book Antiqua" w:eastAsia="Times New Roman" w:hAnsi="Book Antiqua" w:cs="Times New Roman"/>
          <w:color w:val="auto"/>
          <w:sz w:val="24"/>
          <w:szCs w:val="24"/>
        </w:rPr>
        <w:t>Alzheimer’s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59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20010B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120359" w:rsidRPr="009106F4" w:rsidRDefault="00F303B3" w:rsidP="007249DD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Interestingly, one can also describe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as having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protective effect against AD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since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h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ypertension and cardiovascular diseases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are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established risk</w:t>
      </w:r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factors for </w:t>
      </w:r>
      <w:proofErr w:type="gramStart"/>
      <w:r w:rsidR="00DE22E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AD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60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,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decreased by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therapy. </w:t>
      </w:r>
      <w:proofErr w:type="spellStart"/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ACEi</w:t>
      </w:r>
      <w:proofErr w:type="spellEnd"/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or ARBs have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also been 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shown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to decrease in dementia and other symptoms of AD </w:t>
      </w:r>
      <w:r w:rsidR="00566148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through reducing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hypertension and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7249DD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cardiovascular </w:t>
      </w:r>
      <w:proofErr w:type="gramStart"/>
      <w:r w:rsidR="007249DD">
        <w:rPr>
          <w:rFonts w:ascii="Book Antiqua" w:eastAsia="Times New Roman" w:hAnsi="Book Antiqua" w:cs="Times New Roman"/>
          <w:color w:val="auto"/>
          <w:sz w:val="24"/>
          <w:szCs w:val="24"/>
        </w:rPr>
        <w:t>disease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1C1AC3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61</w:t>
      </w:r>
      <w:r w:rsidR="00270D76" w:rsidRPr="009106F4">
        <w:rPr>
          <w:rFonts w:ascii="Book Antiqua" w:eastAsia="Times New Roman" w:hAnsi="Book Antiqua" w:cs="Times New Roman"/>
          <w:color w:val="auto"/>
          <w:sz w:val="24"/>
          <w:szCs w:val="24"/>
          <w:vertAlign w:val="superscript"/>
        </w:rPr>
        <w:t>]</w:t>
      </w:r>
      <w:r w:rsidR="009D42D7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It will be interesting to f</w:t>
      </w:r>
      <w:r w:rsidR="00D5059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ollow the neuro-cognitive outcomes from PARAGON</w:t>
      </w:r>
      <w:r w:rsidR="00C77A2E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-HF trial</w:t>
      </w:r>
      <w:r w:rsidR="00D5059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</w:p>
    <w:p w:rsidR="00566148" w:rsidRPr="009106F4" w:rsidRDefault="00566148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9F7213" w:rsidRPr="007249DD" w:rsidRDefault="007249DD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>
        <w:rPr>
          <w:rFonts w:ascii="Book Antiqua" w:eastAsia="Times New Roman" w:hAnsi="Book Antiqua" w:cs="Times New Roman"/>
          <w:b/>
          <w:color w:val="auto"/>
          <w:sz w:val="24"/>
          <w:szCs w:val="24"/>
        </w:rPr>
        <w:t>CONCLUSION</w:t>
      </w:r>
    </w:p>
    <w:p w:rsidR="00120359" w:rsidRPr="009106F4" w:rsidRDefault="009D42D7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Clinicians should be aware of the potential adverse effects of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SV and make informed decisions in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prescribing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SV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particularly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to patients with existing neurodegenerative diseases</w:t>
      </w:r>
      <w:r w:rsidR="006D7B6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or the very young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.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there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are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no definitive answer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yet about the long term effects of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SV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, </w:t>
      </w:r>
      <w:r w:rsidR="006D7B6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we await the results from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PARAGON-HF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and reports to follow </w:t>
      </w:r>
      <w:r w:rsidR="006D7B62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with interest.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P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atients who are currently receiving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SV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treatment should be well monitored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lastRenderedPageBreak/>
        <w:t xml:space="preserve">for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potential adverse events with particular attention to 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dementia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347829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A low threshold for testing for AD if/when dementia symptoms occur seems warranted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.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More study on the implications for young </w:t>
      </w:r>
      <w:r w:rsidR="00A436C7" w:rsidRPr="009106F4">
        <w:rPr>
          <w:rFonts w:ascii="Book Antiqua" w:hAnsi="Book Antiqua" w:cs="Times New Roman"/>
          <w:color w:val="auto"/>
          <w:sz w:val="24"/>
          <w:szCs w:val="24"/>
          <w:lang w:eastAsia="zh-CN"/>
        </w:rPr>
        <w:t>HF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patients </w:t>
      </w:r>
      <w:r w:rsidR="0025587F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is</w:t>
      </w:r>
      <w:r w:rsidR="00F303B3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warranted.</w:t>
      </w:r>
    </w:p>
    <w:p w:rsidR="009F7213" w:rsidRPr="009106F4" w:rsidRDefault="009F721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9F7213" w:rsidRPr="009106F4" w:rsidRDefault="009F721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E06C81" w:rsidRPr="00E054EE" w:rsidRDefault="009D42D7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E054EE">
        <w:rPr>
          <w:rFonts w:ascii="Book Antiqua" w:hAnsi="Book Antiqua"/>
          <w:color w:val="auto"/>
          <w:sz w:val="24"/>
          <w:szCs w:val="24"/>
        </w:rPr>
        <w:br w:type="page"/>
      </w:r>
    </w:p>
    <w:p w:rsidR="009F7213" w:rsidRPr="00E054EE" w:rsidRDefault="007249DD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  <w:r w:rsidRPr="00E054EE">
        <w:rPr>
          <w:rFonts w:ascii="Book Antiqua" w:eastAsia="Times New Roman" w:hAnsi="Book Antiqua" w:cs="Times New Roman"/>
          <w:b/>
          <w:color w:val="auto"/>
          <w:sz w:val="24"/>
          <w:szCs w:val="24"/>
        </w:rPr>
        <w:lastRenderedPageBreak/>
        <w:t>REFERENCES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>American Heart Association.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Classes of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[</w:t>
      </w:r>
      <w:proofErr w:type="gramStart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u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pdated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2015 Apr 23]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. Available from: URL: http:// www.heart.org/HEARTORG/Conditions/HeartFailure/AboutHeartFailure/Classes-of-Heart</w:t>
      </w:r>
      <w:r>
        <w:rPr>
          <w:rFonts w:ascii="Book Antiqua" w:eastAsia="宋体" w:hAnsi="Book Antiqua" w:cs="宋体"/>
          <w:sz w:val="24"/>
          <w:szCs w:val="24"/>
          <w:lang w:eastAsia="zh-CN"/>
        </w:rPr>
        <w:t>-Failure_UCM_306328_Article.jsp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Mozaffarian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Benjamin EJ, Go AS, Arnett DK,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Blaha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MJ, Cushman M, de Ferranti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Després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JP, Fullerton HJ, Howard VJ, Huffman MD, Judd SE,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Kissela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Lackland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DT,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Lichtman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Lisabeth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LD, Liu S, Mackey RH,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Matchar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DB, McGuire DK,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Mohler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ER, Moy CS,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Muntner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Mussolino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ME, Nasir 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Neumar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RW, Nichol G,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Palaniappan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L, Pandey DK, Reeves MJ, Rodriguez CJ,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Sorlie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PD, Stein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Towfighi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Turan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TN, Virani SS, Willey JZ, Woo D,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Yeh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RW, Turner MB. Heart disease and stroke statistics--2015 update: a report from the American Heart Association.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e29-322 [PMID: 25520374 DOI: 10.1161/CIR.0000000000000152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>Mayo Clinic staff.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Diseases and conditions: heart failure. </w:t>
      </w:r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[</w:t>
      </w:r>
      <w:proofErr w:type="gramStart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accessed</w:t>
      </w:r>
      <w:proofErr w:type="gramEnd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 xml:space="preserve"> 2015 Jan 17]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. Available from: URL: http:// www.mayoclinic.org/diseases/conditions/heart-failure/basics/</w:t>
      </w:r>
      <w:r>
        <w:rPr>
          <w:rFonts w:ascii="Book Antiqua" w:eastAsia="宋体" w:hAnsi="Book Antiqua" w:cs="宋体"/>
          <w:sz w:val="24"/>
          <w:szCs w:val="24"/>
          <w:lang w:eastAsia="zh-CN"/>
        </w:rPr>
        <w:t>definition/con-20029801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Yancy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CW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Jessup M, Bozkurt B, Butler J, Casey DE,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Drazner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Fonarow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Geraci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Horwich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Januzzi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JL, Johnson MR, Kasper EK, Levy WC,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Masoudi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FA, McBride PE, McMurray JJ, Mitchell JE, Peterson PN,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Riegel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B, Sam F, Stevenson LW, Tang WH, Tsai EJ,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Wilkoff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BL. 2013 ACCF/AHA guideline for the management of heart failure: executive summary: a report of the American College of Cardiology Foundation/American Heart Association Task Force on practice guidelines.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1810-1852 [PMID: 23741057 DOI: 10.1161/CIR.0b013e31829e8807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Singh JS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Lang CC. Angiotensin receptor-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inhibitors: clinical potential in heart failure and beyond.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Health Risk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Manag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283-295 [PMID: 26082640 DOI: 10.2147/VHRM.S55630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Gu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Noe A, Chandra P, Al-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Fayoumi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Ligueros-Saylan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Sarangapani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Maahs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Ksander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G, Rigel DF,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Jeng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AY, Lin TH, Zheng W, Dole WP.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Pharmacokinetics and pharmacodynamics of LCZ696, a novel dual-acting angiotensin receptor-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inhibitor (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ARNi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).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401-414 [PMID: 19934029 DOI: 10.1177/0091270009343932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>Langenickel</w:t>
      </w:r>
      <w:proofErr w:type="spellEnd"/>
      <w:r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TH,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Dole WP. Angiotensin receptor-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inhibition with LCZ696: a novel approach for the treatment of heart failure. </w:t>
      </w:r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Drug </w:t>
      </w:r>
      <w:proofErr w:type="spellStart"/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>Discov</w:t>
      </w:r>
      <w:proofErr w:type="spellEnd"/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 Today </w:t>
      </w:r>
      <w:proofErr w:type="spellStart"/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>Ther</w:t>
      </w:r>
      <w:proofErr w:type="spellEnd"/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>Strateg</w:t>
      </w:r>
      <w:proofErr w:type="spellEnd"/>
      <w:r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2012; </w:t>
      </w:r>
      <w:r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9: </w:t>
      </w:r>
      <w:r>
        <w:rPr>
          <w:rFonts w:ascii="Book Antiqua" w:eastAsia="宋体" w:hAnsi="Book Antiqua" w:cs="宋体"/>
          <w:sz w:val="24"/>
          <w:szCs w:val="24"/>
          <w:lang w:eastAsia="zh-CN"/>
        </w:rPr>
        <w:t>e131-e139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[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DOI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: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10.1016/j.ddstr.2013.11.002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Crowley SD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Gurley SB, Herrera MJ, Ruiz P, Griffiths R, Kumar AP, Kim HS, Smithies O, Le TH, Coffman TM.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Angiotensin II causes hypertension and cardiac hypertrophy through its receptors in the kidney. </w:t>
      </w:r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17985-17990 [PMID: 17090678 DOI: 10.1073/pnas.0605545103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Holtz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. Pathophysiology of heart failure and the renin-angiotensin-system.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Basic Res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1993;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88 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Suppl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183-201 [PMID: 8357333]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Bayes-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Genis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Morant-Talamante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Lupón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and Natriuretic Peptide Regulation in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Heart Fail Rep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151-157 [PMID: 27260315 DOI: 10.1007/s11897-016-0292-x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Karnik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Unal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H, Kemp JR,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Tirupula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Eguchi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Vanderheyden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PM, Thomas WG.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International Union of Basic and Clinical Pharmacology.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XCIX. Angiotensin Receptors: Interpreters of Pathophysiological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Angiotensinergic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Stimuli [corrected].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754-819 [PMID: 26315714 DOI: 10.1124/pr.114.010454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12 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Pilote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Abrahamowicz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Eisenberg M, Humphries 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Behlouli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Tu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JV.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Effect of different angiotensin-converting-enzyme inhibitors on mortality among elderly patients with congestive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CMAJ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1303-1311 [PMID: 18458262 DOI: 10.1503/cmaj.060068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Rienstra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Damman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K, Mulder BA, Van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Gelder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IC, McMurray JJ, Van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Veldhuisen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DJ. Beta-blockers and outcome in heart failure and atrial fibrillation: a meta-analysis.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JACC Heart Fail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21-28 [PMID: 24621795 DOI: 10.1016/j.jchf.2012.09.002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Brandimarte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Mureddu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GF,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Boccanelli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Cacciatore G,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Brandimarte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C, Fedele F,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Gheorghiade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M. Diuretic therapy in heart failure: current controversies and new approaches for fluid removal.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(Hagerstown)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563-570 [PMID: 20186069 DOI: 10.2459/JCM.0b013e3283376bfa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15 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Nappi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Sieg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A. Aldosterone and aldosterone receptor antagonists in patients with chronic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Health Risk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Manag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353-363 [PMID: 21731887 DOI: 10.2147/VHRM.S13779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16 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Jhund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McMurray JJ. The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pathway in heart failure: a review and guide on the use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sacubitril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/valsartan.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Heart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102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1342-1347 [PMID: 27207980 DOI: 10.1136/heartjnl-2014-306775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Colucci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Elkayam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U, Horton DP, Abraham WT,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Bourge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RC, Johnson AD, Wagoner LE,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Givertz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MM, Liang CS,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Neibaur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Haught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WH,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LeJemtel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TH.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Intravenous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nesiritide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a natriuretic peptide, in the treatment of decompensated congestive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Nesiritide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Study Group.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343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246-253 [PMID: 10911006 DOI: 10.1056/NEJM200007273430403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Gros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Souque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Schwartz JC,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Duchier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Cournot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Baumer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Lecomte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JM. Protection of atrial natriuretic factor against degradation: diuretic and natriuretic responses after in vivo inhibition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enkephalinase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(EC 3.4.24.11) by acetorphan. </w:t>
      </w:r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181B9C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1989;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7580-7584 [PMID: 2529543]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19 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Northridge DB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Jardine AG, Alabaster CT, Barclay PL, Connell JM,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Dargie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HJ, Dilly SG, Findlay IN, Lever AF, Samuels GM. Effects of UK 69 578: a novel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atriopeptidase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inhibitor.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1989;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591-593 [PMID: 2570286]</w:t>
      </w:r>
    </w:p>
    <w:p w:rsidR="00E054EE" w:rsidRPr="00E054EE" w:rsidRDefault="00181B9C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r w:rsidR="00E054EE"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>Young JB,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Abraham WT, Stevenson LW, Horton DP. Results of the VMAC trial: vasodilation in the management of acute congestive heart failure.</w:t>
      </w:r>
      <w:r w:rsidR="00E054EE" w:rsidRPr="00E054E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 Circulation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="00E054EE"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102: 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2794 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[</w:t>
      </w:r>
      <w:r>
        <w:rPr>
          <w:rFonts w:ascii="Book Antiqua" w:eastAsia="宋体" w:hAnsi="Book Antiqua" w:cs="宋体"/>
          <w:sz w:val="24"/>
          <w:szCs w:val="24"/>
          <w:lang w:eastAsia="zh-CN"/>
        </w:rPr>
        <w:t>DOI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: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>10.1161/01.CIR.102.22.2794-a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21 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Burger AJ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Horton DP,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LeJemtel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Ghali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JK, Torre G,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Dennish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Koren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Dinerman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J, Silver M, Cheng ML,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Elkayam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U</w:t>
      </w:r>
      <w:r w:rsidR="006C5EC3">
        <w:rPr>
          <w:rFonts w:ascii="Book Antiqua" w:eastAsia="宋体" w:hAnsi="Book Antiqua" w:cs="宋体" w:hint="eastAsia"/>
          <w:sz w:val="24"/>
          <w:szCs w:val="24"/>
          <w:lang w:eastAsia="zh-CN"/>
        </w:rPr>
        <w:t>;</w:t>
      </w:r>
      <w:r w:rsidR="006C5EC3" w:rsidRPr="006C5EC3">
        <w:rPr>
          <w:rFonts w:ascii="Book Antiqua" w:eastAsia="宋体" w:hAnsi="Book Antiqua" w:cs="宋体"/>
          <w:sz w:val="24"/>
          <w:szCs w:val="24"/>
          <w:lang w:eastAsia="zh-CN"/>
        </w:rPr>
        <w:t xml:space="preserve">  </w:t>
      </w:r>
      <w:hyperlink r:id="rId7" w:history="1">
        <w:r w:rsidR="006C5EC3" w:rsidRPr="006C5EC3">
          <w:rPr>
            <w:rFonts w:ascii="Book Antiqua" w:eastAsia="宋体" w:hAnsi="Book Antiqua" w:cs="宋体"/>
            <w:sz w:val="24"/>
            <w:szCs w:val="24"/>
            <w:lang w:eastAsia="zh-CN"/>
          </w:rPr>
          <w:t>Prospective Randomized Evaluation of Cardiac Ectopy with Dobutamine or Natrecor Therapy</w:t>
        </w:r>
      </w:hyperlink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. Effect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nesiritide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(B-type natriuretic peptide) and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dobutamine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on ventricular arrhythmias in the treatment of patients with acutely decompensated congestive heart failure: the PRECEDENT study.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Heart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144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1102-1108 [PMID: 12486437 DOI: 10.1067/mhj.2002.125620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Hernandez AF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O'Connor CM, Starling RC,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Reist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CJ, Armstrong PW, Dickstein K, Lorenz TJ,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Gibler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WB, Hasselblad V,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Komajda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Massie B, McMurray JJ,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Nieminen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Rouleau JL,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Swedberg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Califf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RM. Rationale and design of the Acute Study of Clinical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Effectiveness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Nesiritide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 Decompensated Heart Failure Trial (ASCEND-HF).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Heart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271-277 [PMID: 19185633 DOI: 10.1016/j.ahj.2008.07.031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23 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Northridge DB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Currie PF, Newby DE, McMurray JJ, Ford M, Boon NA,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Dargie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HJ.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Placebo-controlled comparison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candoxatril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an orally active neutral endopeptidase inhibitor, and captopril in patients with chronic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Heart Fail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1999;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67-72 [PMID: 10937982 DOI: 10.1016/S1388-9842(98)00003-8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24 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Westheim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Bostrøm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P, Christensen CC,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Parikka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Rykke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EO,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Toivonen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L. Hemodynamic and neuroendocrine effects for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candoxatril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and frusemide in mild stable chronic heart failure.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1999;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1794-1801 [PMID: 10577572]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25 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Kentsch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Otter W, Drummer 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Nötges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Gerzer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R, Müller-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Esch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G. Neutral endopeptidase 24.11 inhibition may not exhibit beneficial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haemodynamic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effects in patients with congestive heart failure.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1996;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269-272 [PMID: 9010697]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26 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Rouleau JL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Pfeffer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MA, Stewart DJ, Isaac D,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Sestier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Kerut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EK, Porter CB,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Proulx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G, Qian C, Block AJ. Comparison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vasopeptidase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inhibitor,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omapatrilat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and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lisinopril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on exercise tolerance and morbidity in patients with heart failure: IMPRESS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randomised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trial.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615-620 [PMID: 10968433]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27 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Packer 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Califf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Konstam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MA, Krum H, McMurray JJ, Rouleau JL,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Swedberg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K. Comparison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omapatrilat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chronic heart failure: the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Omapatrilat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Versus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Randomized Trial of Utility in Reducing Events (OVERTURE).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920-926 [PMID: 12186794]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28 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Kostis JB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Packer M, Black HR,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Schmieder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R, Henry D, Levy E.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Omapatrilat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hypertension: the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Omapatrilat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Cardiovascular Treatment vs.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(OCTAVE) trial.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Hypertens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103-111 [PMID: 14751650]</w:t>
      </w:r>
    </w:p>
    <w:p w:rsidR="00E054EE" w:rsidRPr="00E054EE" w:rsidRDefault="00E054EE" w:rsidP="00FB63D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29 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Solomon SD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Zile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Pieske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Voors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Shah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Kraigher-Krainer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E, Shi V,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Bransford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T, Takeuchi M, Gong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Lefkowitz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Packer M, McMurray JJ</w:t>
      </w:r>
      <w:r w:rsidR="00CD4D5B" w:rsidRPr="00CD4D5B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hyperlink r:id="rId8" w:history="1">
        <w:r w:rsidR="00CD4D5B" w:rsidRPr="00CD4D5B">
          <w:rPr>
            <w:rFonts w:ascii="Book Antiqua" w:eastAsia="宋体" w:hAnsi="Book Antiqua" w:cs="宋体"/>
            <w:sz w:val="24"/>
            <w:szCs w:val="24"/>
            <w:lang w:eastAsia="zh-CN"/>
          </w:rPr>
          <w:t>Prospective comparison of ARNI with ARB on Management Of heart failUre with preserved ejectioN fracTion (PARAMOUNT) Investigators</w:t>
        </w:r>
      </w:hyperlink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. The angiotensin receptor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inhibitor LCZ696 in heart failure with preserved ejection fraction: a phase 2 double-blind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randomised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controlled trial.</w:t>
      </w:r>
      <w:r w:rsidRPr="00FB63D1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FB63D1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2012;</w:t>
      </w:r>
      <w:r w:rsidRPr="00FB63D1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380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: 1387-1395 [PMID: 22932717 DOI: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10.1016/S0140-6736(12)61227-6</w:t>
      </w:r>
      <w:r w:rsidRPr="00FB63D1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FB63D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r w:rsidR="00FB63D1" w:rsidRPr="00FB63D1">
        <w:rPr>
          <w:rFonts w:ascii="Book Antiqua" w:hAnsi="Book Antiqua"/>
          <w:b/>
          <w:bCs/>
          <w:sz w:val="24"/>
          <w:szCs w:val="24"/>
        </w:rPr>
        <w:t>McMurray JJ</w:t>
      </w:r>
      <w:r w:rsidR="00FB63D1" w:rsidRPr="00FB63D1">
        <w:rPr>
          <w:rFonts w:ascii="Book Antiqua" w:hAnsi="Book Antiqua"/>
          <w:sz w:val="24"/>
          <w:szCs w:val="24"/>
        </w:rPr>
        <w:t xml:space="preserve">, Packer M, Desai AS, Gong J, </w:t>
      </w:r>
      <w:proofErr w:type="spellStart"/>
      <w:r w:rsidR="00FB63D1" w:rsidRPr="00FB63D1">
        <w:rPr>
          <w:rFonts w:ascii="Book Antiqua" w:hAnsi="Book Antiqua"/>
          <w:sz w:val="24"/>
          <w:szCs w:val="24"/>
        </w:rPr>
        <w:t>Lefkowitz</w:t>
      </w:r>
      <w:proofErr w:type="spellEnd"/>
      <w:r w:rsidR="00FB63D1" w:rsidRPr="00FB63D1">
        <w:rPr>
          <w:rFonts w:ascii="Book Antiqua" w:hAnsi="Book Antiqua"/>
          <w:sz w:val="24"/>
          <w:szCs w:val="24"/>
        </w:rPr>
        <w:t xml:space="preserve"> MP, </w:t>
      </w:r>
      <w:proofErr w:type="spellStart"/>
      <w:r w:rsidR="00FB63D1" w:rsidRPr="00FB63D1">
        <w:rPr>
          <w:rFonts w:ascii="Book Antiqua" w:hAnsi="Book Antiqua"/>
          <w:sz w:val="24"/>
          <w:szCs w:val="24"/>
        </w:rPr>
        <w:t>Rizkala</w:t>
      </w:r>
      <w:proofErr w:type="spellEnd"/>
      <w:r w:rsidR="00FB63D1" w:rsidRPr="00FB63D1">
        <w:rPr>
          <w:rFonts w:ascii="Book Antiqua" w:hAnsi="Book Antiqua"/>
          <w:sz w:val="24"/>
          <w:szCs w:val="24"/>
        </w:rPr>
        <w:t xml:space="preserve"> AR, Rouleau J, Shi VC, Solomon SD, </w:t>
      </w:r>
      <w:proofErr w:type="spellStart"/>
      <w:r w:rsidR="00FB63D1" w:rsidRPr="00FB63D1">
        <w:rPr>
          <w:rFonts w:ascii="Book Antiqua" w:hAnsi="Book Antiqua"/>
          <w:sz w:val="24"/>
          <w:szCs w:val="24"/>
        </w:rPr>
        <w:t>Swedberg</w:t>
      </w:r>
      <w:proofErr w:type="spellEnd"/>
      <w:r w:rsidR="00FB63D1" w:rsidRPr="00FB63D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="00FB63D1" w:rsidRPr="00FB63D1">
        <w:rPr>
          <w:rFonts w:ascii="Book Antiqua" w:hAnsi="Book Antiqua"/>
          <w:sz w:val="24"/>
          <w:szCs w:val="24"/>
        </w:rPr>
        <w:t>Zile</w:t>
      </w:r>
      <w:proofErr w:type="spellEnd"/>
      <w:r w:rsidR="00FB63D1" w:rsidRPr="00FB63D1">
        <w:rPr>
          <w:rFonts w:ascii="Book Antiqua" w:hAnsi="Book Antiqua"/>
          <w:sz w:val="24"/>
          <w:szCs w:val="24"/>
        </w:rPr>
        <w:t xml:space="preserve"> MR</w:t>
      </w:r>
      <w:r w:rsidR="008E1F6E" w:rsidRPr="008E1F6E">
        <w:rPr>
          <w:rFonts w:ascii="Book Antiqua" w:hAnsi="Book Antiqua"/>
          <w:sz w:val="24"/>
          <w:szCs w:val="24"/>
        </w:rPr>
        <w:t>; </w:t>
      </w:r>
      <w:hyperlink r:id="rId9" w:history="1">
        <w:r w:rsidR="008E1F6E" w:rsidRPr="008E1F6E">
          <w:rPr>
            <w:rFonts w:ascii="Book Antiqua" w:hAnsi="Book Antiqua"/>
            <w:sz w:val="24"/>
            <w:szCs w:val="24"/>
          </w:rPr>
          <w:t>PARADIGM-HF Committees and Investigators</w:t>
        </w:r>
      </w:hyperlink>
      <w:r w:rsidR="00FB63D1" w:rsidRPr="00FB63D1">
        <w:rPr>
          <w:rFonts w:ascii="Book Antiqua" w:hAnsi="Book Antiqua"/>
          <w:sz w:val="24"/>
          <w:szCs w:val="24"/>
        </w:rPr>
        <w:t xml:space="preserve">. Dual angiotensin receptor and </w:t>
      </w:r>
      <w:proofErr w:type="spellStart"/>
      <w:r w:rsidR="00FB63D1" w:rsidRPr="00FB63D1">
        <w:rPr>
          <w:rFonts w:ascii="Book Antiqua" w:hAnsi="Book Antiqua"/>
          <w:sz w:val="24"/>
          <w:szCs w:val="24"/>
        </w:rPr>
        <w:t>neprilysin</w:t>
      </w:r>
      <w:proofErr w:type="spellEnd"/>
      <w:r w:rsidR="00FB63D1" w:rsidRPr="00FB63D1">
        <w:rPr>
          <w:rFonts w:ascii="Book Antiqua" w:hAnsi="Book Antiqua"/>
          <w:sz w:val="24"/>
          <w:szCs w:val="24"/>
        </w:rPr>
        <w:t xml:space="preserve"> inhibition as an alternative to angiotensin-converting enzyme inhibition in patients with chronic systolic heart failure: rationale for and design of the Prospective comparison of ARNI with ACEI to Determine Impact on Global Mortality and morbidity in Heart Failure trial (PARADIGM-HF).</w:t>
      </w:r>
      <w:r w:rsidR="00FB63D1" w:rsidRPr="00FB63D1">
        <w:rPr>
          <w:rStyle w:val="apple-converted-space"/>
          <w:rFonts w:ascii="Book Antiqua" w:hAnsi="Book Antiqua"/>
          <w:sz w:val="24"/>
          <w:szCs w:val="24"/>
        </w:rPr>
        <w:t> </w:t>
      </w:r>
      <w:proofErr w:type="spellStart"/>
      <w:r w:rsidR="00FB63D1" w:rsidRPr="00FB63D1">
        <w:rPr>
          <w:rFonts w:ascii="Book Antiqua" w:hAnsi="Book Antiqua"/>
          <w:i/>
          <w:iCs/>
          <w:sz w:val="24"/>
          <w:szCs w:val="24"/>
        </w:rPr>
        <w:t>Eur</w:t>
      </w:r>
      <w:proofErr w:type="spellEnd"/>
      <w:r w:rsidR="00FB63D1" w:rsidRPr="00FB63D1">
        <w:rPr>
          <w:rFonts w:ascii="Book Antiqua" w:hAnsi="Book Antiqua"/>
          <w:i/>
          <w:iCs/>
          <w:sz w:val="24"/>
          <w:szCs w:val="24"/>
        </w:rPr>
        <w:t xml:space="preserve"> J Heart Fail</w:t>
      </w:r>
      <w:r w:rsidR="00FB63D1" w:rsidRPr="00FB63D1">
        <w:rPr>
          <w:rStyle w:val="apple-converted-space"/>
          <w:rFonts w:ascii="Book Antiqua" w:hAnsi="Book Antiqua"/>
          <w:sz w:val="24"/>
          <w:szCs w:val="24"/>
        </w:rPr>
        <w:t> </w:t>
      </w:r>
      <w:r w:rsidR="00FB63D1" w:rsidRPr="00FB63D1">
        <w:rPr>
          <w:rFonts w:ascii="Book Antiqua" w:hAnsi="Book Antiqua"/>
          <w:sz w:val="24"/>
          <w:szCs w:val="24"/>
        </w:rPr>
        <w:t>2013;</w:t>
      </w:r>
      <w:r w:rsidR="00FB63D1" w:rsidRPr="00FB63D1">
        <w:rPr>
          <w:rStyle w:val="apple-converted-space"/>
          <w:rFonts w:ascii="Book Antiqua" w:hAnsi="Book Antiqua"/>
          <w:sz w:val="24"/>
          <w:szCs w:val="24"/>
        </w:rPr>
        <w:t> </w:t>
      </w:r>
      <w:r w:rsidR="00FB63D1" w:rsidRPr="00FB63D1">
        <w:rPr>
          <w:rFonts w:ascii="Book Antiqua" w:hAnsi="Book Antiqua"/>
          <w:b/>
          <w:bCs/>
          <w:sz w:val="24"/>
          <w:szCs w:val="24"/>
        </w:rPr>
        <w:t>15</w:t>
      </w:r>
      <w:r w:rsidR="00FB63D1" w:rsidRPr="00FB63D1">
        <w:rPr>
          <w:rFonts w:ascii="Book Antiqua" w:hAnsi="Book Antiqua"/>
          <w:sz w:val="24"/>
          <w:szCs w:val="24"/>
        </w:rPr>
        <w:t>: 1062-1073 [PMID: 23563576 DOI: 10.1093/</w:t>
      </w:r>
      <w:proofErr w:type="spellStart"/>
      <w:r w:rsidR="00FB63D1" w:rsidRPr="00FB63D1">
        <w:rPr>
          <w:rFonts w:ascii="Book Antiqua" w:hAnsi="Book Antiqua"/>
          <w:sz w:val="24"/>
          <w:szCs w:val="24"/>
        </w:rPr>
        <w:t>eurjhf</w:t>
      </w:r>
      <w:proofErr w:type="spellEnd"/>
      <w:r w:rsidR="00FB63D1" w:rsidRPr="00FB63D1">
        <w:rPr>
          <w:rFonts w:ascii="Book Antiqua" w:hAnsi="Book Antiqua"/>
          <w:sz w:val="24"/>
          <w:szCs w:val="24"/>
        </w:rPr>
        <w:t>/hft052]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31 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McMurray JJ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Packer M, Desai AS, Gong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Lefkowitz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Rizkala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AR, Rouleau J, Shi VC, Solomon SD,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Swedberg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Zile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MR</w:t>
      </w:r>
      <w:r w:rsidR="00FB63D1" w:rsidRPr="00FB63D1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hyperlink r:id="rId10" w:history="1">
        <w:r w:rsidR="00FB63D1" w:rsidRPr="00FB63D1">
          <w:rPr>
            <w:rFonts w:ascii="Book Antiqua" w:eastAsia="宋体" w:hAnsi="Book Antiqua" w:cs="宋体"/>
            <w:sz w:val="24"/>
            <w:szCs w:val="24"/>
            <w:lang w:eastAsia="zh-CN"/>
          </w:rPr>
          <w:t>PARADIGM-HF Committees and Investigators</w:t>
        </w:r>
      </w:hyperlink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. Dual angiotensin receptor and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inhibition as an alternative to angiotensin-converting enzyme inhibition in patients with chronic systolic heart failure: rationale for and design of the Prospective comparison of ARNI with ACEI to Determine Impact on Global Mortality and morbidity in Heart Failure trial (PARADIGM-HF).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Heart Fail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1062-1073 [PMID: 23563576 DOI: 10.1093/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eurjhf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/hft052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7A16B2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>
        <w:rPr>
          <w:rFonts w:ascii="Book Antiqua" w:eastAsia="宋体" w:hAnsi="Book Antiqua" w:cs="宋体"/>
          <w:sz w:val="24"/>
          <w:szCs w:val="24"/>
          <w:lang w:eastAsia="zh-CN"/>
        </w:rPr>
        <w:t>32</w:t>
      </w:r>
      <w:r w:rsidRPr="007A16B2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</w:t>
      </w:r>
      <w:r w:rsidR="00E054EE"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Novartis. 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Novartis Announces Enormous Clinical Trial Program For Heart Failure Drug. Press release. </w:t>
      </w:r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[</w:t>
      </w:r>
      <w:proofErr w:type="gramStart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released</w:t>
      </w:r>
      <w:proofErr w:type="gramEnd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 xml:space="preserve"> 2016 May 9]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Available from: URL: 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>http: //cardiobrief.org/2016/05/19/novartis-announces-enormous-clinical-trial-program-for-heart-failure-drug/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33 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Mistry NB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Westheim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Kjeldsen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The angiotensin receptor antagonist valsartan: a review of the literature with a focus on clinical trials.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Expert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Opin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Pharmacother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575-581 [PMID: 16553573]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34 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Ksander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Ghai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RD,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deJesus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Diefenbacher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CG, Yuan A, Berry 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Sakane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Y, Trapani A. Dicarboxylic acid dipeptide neutral endopeptidase inhibitors.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Med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1995;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1689-1700 [PMID: 7752193]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35 </w:t>
      </w:r>
      <w:hyperlink r:id="rId11" w:history="1">
        <w:r w:rsidR="007A16B2" w:rsidRPr="007A16B2">
          <w:rPr>
            <w:rFonts w:ascii="Book Antiqua" w:eastAsia="宋体" w:hAnsi="Book Antiqua" w:cs="宋体"/>
            <w:sz w:val="24"/>
            <w:szCs w:val="24"/>
            <w:lang w:eastAsia="zh-CN"/>
          </w:rPr>
          <w:t>CONSENSUS Trial Study Group</w:t>
        </w:r>
      </w:hyperlink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Effects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on mortality in severe congestive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Results of the Cooperative North Scandinavian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Survival Study (CONSENSUS).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1987;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1429-1435 [PMID: 2883575 DOI: 10.1056/NEJM198706043162301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36 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Yusuf 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Pitt B, Davis CE, Hood WB, Cohn JN.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Effect of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enalapril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on survival in patients with reduced left ventricular ejection fractions and congestive heart failure.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1991;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325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293-302 [PMID: 2057034 DOI: 10.1056/NEJM199108013250501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37 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Byrd JB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Adam A, Brown NJ.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Angiotensin-converting enzyme inhibitor-associated angioedema.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Allergy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North Am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725-737 [PMID: 17085287 DOI: 10.1016/j.iac.2006.08.001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38 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Yusuf 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Teo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KK, Pogue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Dyal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L, Copland I, Schumacher 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Dagenais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G, Sleight P, Anderson C.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Telmisartan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ramipril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or both in patients at high risk for vascular events.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1547-1559 [PMID: 18378520 DOI: 10.1056/NEJMoa0801317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7A16B2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39 </w:t>
      </w:r>
      <w:r w:rsidR="00E054EE" w:rsidRPr="00E054EE">
        <w:rPr>
          <w:rFonts w:ascii="Book Antiqua" w:eastAsia="宋体" w:hAnsi="Book Antiqua" w:cs="宋体"/>
          <w:b/>
          <w:sz w:val="24"/>
          <w:szCs w:val="24"/>
          <w:lang w:eastAsia="zh-CN"/>
        </w:rPr>
        <w:t>Novartis.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Novartis’ new heart failure medicine LCZ696, now called </w:t>
      </w:r>
      <w:proofErr w:type="spellStart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>Entresto</w:t>
      </w:r>
      <w:proofErr w:type="spellEnd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approved by FDA to reduce risk of cardiovascular death and heart failure hospitalization. Press release. </w:t>
      </w:r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[</w:t>
      </w:r>
      <w:proofErr w:type="gramStart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>released</w:t>
      </w:r>
      <w:proofErr w:type="gramEnd"/>
      <w:r w:rsidR="00A747E7">
        <w:rPr>
          <w:rFonts w:ascii="Book Antiqua" w:eastAsia="宋体" w:hAnsi="Book Antiqua" w:cs="宋体"/>
          <w:sz w:val="24"/>
          <w:szCs w:val="24"/>
          <w:lang w:eastAsia="zh-CN"/>
        </w:rPr>
        <w:t xml:space="preserve"> 2015 July 8]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7A16B2">
        <w:rPr>
          <w:rFonts w:ascii="Book Antiqua" w:eastAsia="宋体" w:hAnsi="Book Antiqua" w:cs="宋体"/>
          <w:sz w:val="24"/>
          <w:szCs w:val="24"/>
          <w:lang w:eastAsia="zh-CN"/>
        </w:rPr>
        <w:t>Available from: URL: http://</w:t>
      </w:r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>www.novartis.com/news/media-releases/novartis-new-heart-failure-medicine-lcz696-now-called-entrestotm-approvedfda.</w:t>
      </w:r>
    </w:p>
    <w:p w:rsidR="00E054EE" w:rsidRPr="00E054EE" w:rsidRDefault="007F0912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40 </w:t>
      </w:r>
      <w:proofErr w:type="spellStart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>Entresto</w:t>
      </w:r>
      <w:proofErr w:type="spellEnd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(</w:t>
      </w:r>
      <w:proofErr w:type="spellStart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>sacubitril</w:t>
      </w:r>
      <w:proofErr w:type="spellEnd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and valsartan) tablets [prescribing information].</w:t>
      </w:r>
      <w:proofErr w:type="gramEnd"/>
      <w:r w:rsidR="00E054EE"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East H</w:t>
      </w:r>
      <w:r>
        <w:rPr>
          <w:rFonts w:ascii="Book Antiqua" w:eastAsia="宋体" w:hAnsi="Book Antiqua" w:cs="宋体"/>
          <w:sz w:val="24"/>
          <w:szCs w:val="24"/>
          <w:lang w:eastAsia="zh-CN"/>
        </w:rPr>
        <w:t>anover, NJ: Novartis; July 2015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41 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Cermakova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Eriksdotter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Lund LH,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Winblad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Religa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Religa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D. Heart failure and Alzheimer's disease.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Intern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406-425 [PMID: 25041352 DOI: 10.1111/joim.12287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42 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Ghiso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Frangione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B. Amyloidosis and Alzheimer's disease.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Drug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Deliv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54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1539-1551 [PMID: 12453671]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43 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Iwata 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Higuchi 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Saido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TC.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Metabolism of amyloid-beta peptide and Alzheimer's disease.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129-148 [PMID: 16112736 DOI: 10.1016/j.pharmthera.2005.03.010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44 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Webster CI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Burrell M, Olsson LL, Fowler SB, Digby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Sandercock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Snijder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Tebbe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Haupts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Grudzinska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Jermutus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Andersson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C. Engineering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activity and specificity to create a novel therapeutic for Alzheimer's disease.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e104001 [PMID: 25089527 DOI: 10.1371/journal.pone.0104001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45 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Yasojima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Akiyama 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McGeer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EG,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McGeer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PL. Reduced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 high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plaque areas of Alzheimer brain: a possible relationship to deficient degradation of beta-amyloid peptide.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Neurosci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Lett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97-100 [PMID: 11121879]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46 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Iwata 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Tsubuki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Takaki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Shirotani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K, Lu B, Gerard NP, Gerard C, Hama E, Lee HJ,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Saido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TC. Metabolic regulation of brain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Abeta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by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Science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292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1550-1552 [PMID: 11375493 DOI: 10.1126/science.1059946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47 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Newell AJ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Sue LI, Scott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Rauschkolb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PK, Walker DG, Potter PE, Beach TG.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Thiorphan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-induced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inhibition raises amyloid beta levels in rabbit cortex and cerebrospinal fluid.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Neurosci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Lett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350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178-180 [PMID: 14550923]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48 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Vepsäläinen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Helisalmi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Mannermaa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Pirttilä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Soininen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Hiltunen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M. Combined risk effects of IDE and NEP gene variants on Alzheimer disease.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Neurosurg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Psychiatry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80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1268-1270 [PMID: 19864659 DOI: 10.1136/jnnp.2008.160002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49 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Marr RA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Rockenstein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E, Mukherjee A, Kindy MS,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Hersh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LB, Gage FH,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Verma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Masliah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gene transfer reduces human amyloid pathology in transgenic mice.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Neurosci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1992-1996 [PMID: 12657655]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50 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Spencer B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Marr RA,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Gindi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Potkar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R, Michael 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Adame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Rockenstein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Verma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Masliah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E. Peripheral delivery of a CNS targeted,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metalo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-protease reduces aβ toxicity in a mouse model of Alzheimer's disease.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e16575 [PMID: 21304989 DOI: 10.1371/journal.pone.0016575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51 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Lecomte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Costentin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Vlaiculescu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Chaillet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Marcais-Collado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Llorens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-Cortes 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Leboyer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Schwartz JC.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Pharmacological properties of acetorphan, a parenterally active "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enkephalinase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" inhibitor.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1986;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237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937-944 [PMID: 3519939]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52 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Becker 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Siems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WE, Kluge R,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Gembardt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Schultheiss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HP,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Schirner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M, Walther T.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New function for an old enzyme: NEP deficient mice develop late-onset obesity.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[PMID: 20862277 DOI: 10.1371/journal.pone.0012793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53 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Pardridge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. Drug transport across the blood-brain barrier.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Cereb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Blood Flow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1959-1972 [PMID: 22929442 DOI: 10.1038/jcbfm.2012.126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54 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Bell RD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Zlokovic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BV. Neurovascular mechanisms and blood-brain barrier disorder in Alzheimer's disease.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Neuropathol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: 103-113 [PMID: 19319544 DOI: 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10.1007/s00401-009-0522-3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55 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McMurray JJ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Packer M, Solomon SD.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inhibition for heart failure.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371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2336-2337 [PMID: 25494275 DOI: 10.1056/NEJMc1412654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56 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Bäckman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Jones S, Berger AK,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Laukka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EJ, Small BJ.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Multiple cognitive deficits during the transition to Alzheimer's disease.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Intern Med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195-204 [PMID: 15324363 DOI: 10.1111/j.1365-2796.2004.01386.x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57 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Vodovar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Paquet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Mebazaa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Launay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Hugon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J, Cohen-Solal A.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Neprilysin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cardiovascular, and Alzheimer's diseases: the therapeutic split?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Heart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902-905 [PMID: 25636748 DOI: 10.1093/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eurheartj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/ehv015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58 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Wong CM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Hawkins NM, Petrie MC,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Jhund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PS, Gardner RS,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Ariti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CA,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Poppe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KK, Earle N, 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Whalley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GA, Squire IB, Doughty RN, McMurray JJ. Heart failure in younger patients: the Meta-analysis Global Group in Chronic Heart Failure (MAGGIC).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Heart J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2714-2721 [PMID: 24944329 DOI: 10.1093/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eurheartj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/ehu216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59 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Stanley K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, Walker Z. Do patients with young onset Alzheimer's disease deteriorate faster than those with late onset Alzheimer's disease? </w:t>
      </w: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 review of the literature.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Psychogeriatr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1945-1953 [PMID: 24989902 DOI: 10.1017/S1041610214001173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60 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Thorin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. Hypertension and Alzheimer disease: another brick in the wall of awareness.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Hypertension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36-38 [PMID: 25331847 DOI: 10.1161/HYPERTENSIONAHA.114.04257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E054EE" w:rsidRPr="00E054EE" w:rsidRDefault="00E054EE" w:rsidP="00E054E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61 </w:t>
      </w:r>
      <w:proofErr w:type="spellStart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Villapol</w:t>
      </w:r>
      <w:proofErr w:type="spellEnd"/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, Saavedra JM.</w:t>
      </w:r>
      <w:proofErr w:type="gram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 xml:space="preserve"> Neuroprotective effects of angiotensin receptor blockers. </w:t>
      </w:r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E054E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Hypertens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E054E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: 289-299 [PMID: 25362113 DOI: 10.1093/</w:t>
      </w:r>
      <w:proofErr w:type="spellStart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ajh</w:t>
      </w:r>
      <w:proofErr w:type="spellEnd"/>
      <w:r w:rsidRPr="00E054EE">
        <w:rPr>
          <w:rFonts w:ascii="Book Antiqua" w:eastAsia="宋体" w:hAnsi="Book Antiqua" w:cs="宋体"/>
          <w:sz w:val="24"/>
          <w:szCs w:val="24"/>
          <w:lang w:eastAsia="zh-CN"/>
        </w:rPr>
        <w:t>/hpu19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7249DD" w:rsidRPr="007F0912" w:rsidRDefault="007249DD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7F0912" w:rsidRDefault="007F0912" w:rsidP="007F0912">
      <w:pPr>
        <w:wordWrap w:val="0"/>
        <w:spacing w:line="360" w:lineRule="auto"/>
        <w:jc w:val="right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F0912">
        <w:rPr>
          <w:rFonts w:ascii="Book Antiqua" w:hAnsi="Book Antiqua"/>
          <w:b/>
          <w:sz w:val="24"/>
          <w:szCs w:val="24"/>
        </w:rPr>
        <w:t>P- Reviewer:</w:t>
      </w:r>
      <w:r w:rsidRPr="007F091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7F0912">
        <w:rPr>
          <w:rFonts w:ascii="Book Antiqua" w:hAnsi="Book Antiqua"/>
          <w:sz w:val="24"/>
          <w:szCs w:val="24"/>
          <w:lang w:eastAsia="zh-CN"/>
        </w:rPr>
        <w:t>Joseph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7F0912">
        <w:rPr>
          <w:rFonts w:ascii="Book Antiqua" w:hAnsi="Book Antiqua"/>
          <w:sz w:val="24"/>
          <w:szCs w:val="24"/>
          <w:lang w:eastAsia="zh-CN"/>
        </w:rPr>
        <w:t>J</w:t>
      </w:r>
      <w:r w:rsidRPr="007F0912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7F0912">
        <w:rPr>
          <w:rFonts w:ascii="Book Antiqua" w:hAnsi="Book Antiqua"/>
          <w:sz w:val="24"/>
          <w:szCs w:val="24"/>
          <w:lang w:eastAsia="zh-CN"/>
        </w:rPr>
        <w:t>Wang</w:t>
      </w:r>
      <w:r w:rsidRPr="007F0912">
        <w:rPr>
          <w:rFonts w:ascii="Book Antiqua" w:hAnsi="Book Antiqua" w:hint="eastAsia"/>
          <w:sz w:val="24"/>
          <w:szCs w:val="24"/>
          <w:lang w:eastAsia="zh-CN"/>
        </w:rPr>
        <w:t xml:space="preserve"> Y</w:t>
      </w:r>
    </w:p>
    <w:p w:rsidR="007F0912" w:rsidRPr="007F0912" w:rsidRDefault="007F0912" w:rsidP="007F0912">
      <w:pPr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7F0912">
        <w:rPr>
          <w:rFonts w:ascii="Book Antiqua" w:hAnsi="Book Antiqua"/>
          <w:b/>
          <w:sz w:val="24"/>
          <w:szCs w:val="24"/>
        </w:rPr>
        <w:t>S- Editor:</w:t>
      </w:r>
      <w:r w:rsidRPr="007F091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Song XX </w:t>
      </w:r>
      <w:r w:rsidRPr="007F0912">
        <w:rPr>
          <w:rFonts w:ascii="Book Antiqua" w:hAnsi="Book Antiqua"/>
          <w:b/>
          <w:sz w:val="24"/>
          <w:szCs w:val="24"/>
        </w:rPr>
        <w:t>L- Editor:</w:t>
      </w:r>
      <w:r w:rsidRPr="007F0912">
        <w:rPr>
          <w:rFonts w:ascii="Book Antiqua" w:hAnsi="Book Antiqua"/>
          <w:sz w:val="24"/>
          <w:szCs w:val="24"/>
        </w:rPr>
        <w:t xml:space="preserve"> </w:t>
      </w:r>
      <w:r w:rsidRPr="007F0912">
        <w:rPr>
          <w:rFonts w:ascii="Book Antiqua" w:hAnsi="Book Antiqua"/>
          <w:b/>
          <w:sz w:val="24"/>
          <w:szCs w:val="24"/>
        </w:rPr>
        <w:t>E- Editor:</w:t>
      </w:r>
    </w:p>
    <w:p w:rsidR="007249DD" w:rsidRPr="007F0912" w:rsidRDefault="007249DD" w:rsidP="00C16C4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A77C0">
        <w:rPr>
          <w:rFonts w:ascii="Book Antiqua" w:hAnsi="Book Antiqua"/>
          <w:b/>
          <w:sz w:val="24"/>
          <w:szCs w:val="24"/>
        </w:rPr>
        <w:t>Specialty type:</w:t>
      </w:r>
      <w:r w:rsidRPr="00C16C4B">
        <w:rPr>
          <w:rFonts w:ascii="Book Antiqua" w:hAnsi="Book Antiqua"/>
          <w:sz w:val="24"/>
          <w:szCs w:val="24"/>
        </w:rPr>
        <w:t xml:space="preserve"> Cardiac and cardiovascular systems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A77C0">
        <w:rPr>
          <w:rFonts w:ascii="Book Antiqua" w:hAnsi="Book Antiqua"/>
          <w:b/>
          <w:sz w:val="24"/>
          <w:szCs w:val="24"/>
        </w:rPr>
        <w:t xml:space="preserve">Country of origin: </w:t>
      </w:r>
      <w:r w:rsidRPr="009106F4">
        <w:rPr>
          <w:rFonts w:ascii="Book Antiqua" w:hAnsi="Book Antiqua"/>
          <w:color w:val="auto"/>
          <w:sz w:val="24"/>
          <w:szCs w:val="24"/>
        </w:rPr>
        <w:t>U</w:t>
      </w:r>
      <w:r w:rsidRPr="009106F4">
        <w:rPr>
          <w:rFonts w:ascii="Book Antiqua" w:hAnsi="Book Antiqua"/>
          <w:color w:val="auto"/>
          <w:sz w:val="24"/>
          <w:szCs w:val="24"/>
          <w:lang w:eastAsia="zh-CN"/>
        </w:rPr>
        <w:t>nited States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A77C0">
        <w:rPr>
          <w:rFonts w:ascii="Book Antiqua" w:hAnsi="Book Antiqua"/>
          <w:b/>
          <w:sz w:val="24"/>
          <w:szCs w:val="24"/>
        </w:rPr>
        <w:t>Peer-review report classification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sz w:val="24"/>
          <w:szCs w:val="24"/>
        </w:rPr>
        <w:t>Grade A (Excellent): 0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A77C0">
        <w:rPr>
          <w:rFonts w:ascii="Book Antiqua" w:hAnsi="Book Antiqua"/>
          <w:sz w:val="24"/>
          <w:szCs w:val="24"/>
        </w:rPr>
        <w:t xml:space="preserve">Grade B (Very good): </w:t>
      </w:r>
      <w:r>
        <w:rPr>
          <w:rFonts w:ascii="Book Antiqua" w:hAnsi="Book Antiqua" w:hint="eastAsia"/>
          <w:sz w:val="24"/>
          <w:szCs w:val="24"/>
          <w:lang w:eastAsia="zh-CN"/>
        </w:rPr>
        <w:t>B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lastRenderedPageBreak/>
        <w:t xml:space="preserve">Grade C (Good): </w:t>
      </w:r>
      <w:r>
        <w:rPr>
          <w:rFonts w:ascii="Book Antiqua" w:hAnsi="Book Antiqua" w:hint="eastAsia"/>
          <w:sz w:val="24"/>
          <w:szCs w:val="24"/>
          <w:lang w:eastAsia="zh-CN"/>
        </w:rPr>
        <w:t>C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sz w:val="24"/>
          <w:szCs w:val="24"/>
        </w:rPr>
        <w:t>Grade D (Fair): 0</w:t>
      </w:r>
    </w:p>
    <w:p w:rsidR="00C16C4B" w:rsidRPr="003A77C0" w:rsidRDefault="00C16C4B" w:rsidP="00C16C4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sz w:val="24"/>
          <w:szCs w:val="24"/>
        </w:rPr>
        <w:t>Grade E (Poor): 0</w:t>
      </w:r>
    </w:p>
    <w:p w:rsidR="007249DD" w:rsidRPr="009106F4" w:rsidRDefault="007249DD" w:rsidP="00C16C4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7249DD" w:rsidRPr="009106F4" w:rsidRDefault="007249DD" w:rsidP="00C16C4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7249DD" w:rsidRPr="009106F4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7249DD" w:rsidRPr="009106F4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C16C4B" w:rsidRDefault="00C16C4B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:rsidR="007249DD" w:rsidRP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>Figure</w:t>
      </w:r>
      <w:r w:rsidRPr="007249DD">
        <w:rPr>
          <w:rFonts w:ascii="Book Antiqua" w:hAnsi="Book Antiqua" w:cs="Times New Roman" w:hint="eastAsia"/>
          <w:b/>
          <w:color w:val="auto"/>
          <w:sz w:val="24"/>
          <w:szCs w:val="24"/>
          <w:lang w:eastAsia="zh-CN"/>
        </w:rPr>
        <w:t xml:space="preserve"> 1</w:t>
      </w:r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 xml:space="preserve"> Schematic representation of the contradictory effects of </w:t>
      </w:r>
      <w:r w:rsidRPr="007249DD">
        <w:rPr>
          <w:rFonts w:ascii="Book Antiqua" w:hAnsi="Book Antiqua" w:cs="Times New Roman" w:hint="eastAsia"/>
          <w:b/>
          <w:color w:val="auto"/>
          <w:sz w:val="24"/>
          <w:szCs w:val="24"/>
          <w:lang w:eastAsia="zh-CN"/>
        </w:rPr>
        <w:t>a</w:t>
      </w:r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 xml:space="preserve">ngiotensin </w:t>
      </w:r>
      <w:r w:rsidRPr="007249DD">
        <w:rPr>
          <w:rFonts w:ascii="Book Antiqua" w:hAnsi="Book Antiqua" w:cs="Times New Roman" w:hint="eastAsia"/>
          <w:b/>
          <w:color w:val="auto"/>
          <w:sz w:val="24"/>
          <w:szCs w:val="24"/>
          <w:lang w:eastAsia="zh-CN"/>
        </w:rPr>
        <w:t>r</w:t>
      </w:r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 xml:space="preserve">eceptor and </w:t>
      </w:r>
      <w:proofErr w:type="spellStart"/>
      <w:r w:rsidRPr="007249DD">
        <w:rPr>
          <w:rFonts w:ascii="Book Antiqua" w:hAnsi="Book Antiqua" w:cs="Times New Roman" w:hint="eastAsia"/>
          <w:b/>
          <w:color w:val="auto"/>
          <w:sz w:val="24"/>
          <w:szCs w:val="24"/>
          <w:lang w:eastAsia="zh-CN"/>
        </w:rPr>
        <w:t>n</w:t>
      </w:r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>eprilysin</w:t>
      </w:r>
      <w:proofErr w:type="spellEnd"/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 xml:space="preserve"> inhibitors on cerebrovascular disease and </w:t>
      </w:r>
      <w:r w:rsidRPr="007249DD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Alzheimer’s disease</w:t>
      </w:r>
      <w:r w:rsidRPr="007249DD">
        <w:rPr>
          <w:rFonts w:ascii="Book Antiqua" w:hAnsi="Book Antiqua" w:cs="Times New Roman"/>
          <w:b/>
          <w:color w:val="auto"/>
          <w:sz w:val="24"/>
          <w:szCs w:val="24"/>
        </w:rPr>
        <w:t>.</w:t>
      </w: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auto"/>
          <w:sz w:val="24"/>
          <w:szCs w:val="24"/>
          <w:lang w:eastAsia="zh-CN"/>
        </w:rPr>
      </w:pP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auto"/>
          <w:sz w:val="24"/>
          <w:szCs w:val="24"/>
          <w:lang w:eastAsia="zh-CN"/>
        </w:rPr>
      </w:pPr>
    </w:p>
    <w:p w:rsidR="007249DD" w:rsidRP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auto"/>
          <w:sz w:val="24"/>
          <w:szCs w:val="24"/>
          <w:lang w:eastAsia="zh-CN"/>
        </w:rPr>
      </w:pPr>
    </w:p>
    <w:p w:rsidR="007249DD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auto"/>
          <w:sz w:val="24"/>
          <w:szCs w:val="24"/>
          <w:lang w:eastAsia="zh-CN"/>
        </w:rPr>
      </w:pPr>
    </w:p>
    <w:p w:rsidR="007249DD" w:rsidRPr="009106F4" w:rsidRDefault="007249DD" w:rsidP="007249D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hAnsi="Book Antiqua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541EF3" wp14:editId="04341F8E">
            <wp:simplePos x="0" y="0"/>
            <wp:positionH relativeFrom="margin">
              <wp:align>left</wp:align>
            </wp:positionH>
            <wp:positionV relativeFrom="page">
              <wp:posOffset>1604645</wp:posOffset>
            </wp:positionV>
            <wp:extent cx="6172200" cy="4707890"/>
            <wp:effectExtent l="0" t="0" r="0" b="0"/>
            <wp:wrapTight wrapText="bothSides">
              <wp:wrapPolygon edited="0">
                <wp:start x="12867" y="0"/>
                <wp:lineTo x="11867" y="87"/>
                <wp:lineTo x="10067" y="961"/>
                <wp:lineTo x="10067" y="1923"/>
                <wp:lineTo x="10467" y="2797"/>
                <wp:lineTo x="10733" y="2797"/>
                <wp:lineTo x="8667" y="5069"/>
                <wp:lineTo x="7600" y="5419"/>
                <wp:lineTo x="7600" y="8128"/>
                <wp:lineTo x="8133" y="8391"/>
                <wp:lineTo x="10267" y="8391"/>
                <wp:lineTo x="8067" y="9177"/>
                <wp:lineTo x="7533" y="9439"/>
                <wp:lineTo x="7533" y="9876"/>
                <wp:lineTo x="7867" y="11187"/>
                <wp:lineTo x="0" y="11187"/>
                <wp:lineTo x="0" y="14072"/>
                <wp:lineTo x="2200" y="15383"/>
                <wp:lineTo x="133" y="15383"/>
                <wp:lineTo x="0" y="15470"/>
                <wp:lineTo x="0" y="21501"/>
                <wp:lineTo x="15600" y="21501"/>
                <wp:lineTo x="21533" y="21501"/>
                <wp:lineTo x="21533" y="18791"/>
                <wp:lineTo x="19067" y="18180"/>
                <wp:lineTo x="21533" y="17917"/>
                <wp:lineTo x="21533" y="11187"/>
                <wp:lineTo x="13600" y="11187"/>
                <wp:lineTo x="13867" y="9964"/>
                <wp:lineTo x="14000" y="9527"/>
                <wp:lineTo x="13333" y="9177"/>
                <wp:lineTo x="11267" y="8391"/>
                <wp:lineTo x="21267" y="8128"/>
                <wp:lineTo x="21267" y="5332"/>
                <wp:lineTo x="16733" y="4195"/>
                <wp:lineTo x="17667" y="2797"/>
                <wp:lineTo x="18000" y="2797"/>
                <wp:lineTo x="18400" y="1923"/>
                <wp:lineTo x="18400" y="1049"/>
                <wp:lineTo x="16533" y="87"/>
                <wp:lineTo x="15600" y="0"/>
                <wp:lineTo x="128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0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9DD" w:rsidRDefault="007249DD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</w:p>
    <w:p w:rsidR="007249DD" w:rsidRDefault="007249DD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</w:p>
    <w:p w:rsidR="007B3795" w:rsidRPr="009106F4" w:rsidRDefault="001C1AC3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106F4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Table</w:t>
      </w:r>
      <w:r w:rsidR="007B379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A31AA3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1</w:t>
      </w:r>
      <w:r w:rsidR="007B3795"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7B3795" w:rsidRPr="00A31AA3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Overview of drugs targeting the </w:t>
      </w:r>
      <w:proofErr w:type="spellStart"/>
      <w:r w:rsidR="00A31AA3" w:rsidRPr="00A31AA3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neprilysin</w:t>
      </w:r>
      <w:proofErr w:type="spellEnd"/>
      <w:r w:rsidR="00A31AA3" w:rsidRPr="00A31AA3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 pathways</w:t>
      </w:r>
      <w:r w:rsidR="007B3795" w:rsidRPr="00A31AA3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 and its pathways</w:t>
      </w:r>
    </w:p>
    <w:tbl>
      <w:tblPr>
        <w:tblW w:w="9360" w:type="dxa"/>
        <w:tblBorders>
          <w:top w:val="single" w:sz="4" w:space="0" w:color="000000"/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025"/>
        <w:gridCol w:w="3015"/>
        <w:gridCol w:w="2925"/>
      </w:tblGrid>
      <w:tr w:rsidR="00347829" w:rsidRPr="009106F4" w:rsidTr="00A31AA3"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Mechanism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Clinical Trials and year</w:t>
            </w:r>
          </w:p>
        </w:tc>
        <w:tc>
          <w:tcPr>
            <w:tcW w:w="292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Results on HF symptoms</w:t>
            </w:r>
          </w:p>
        </w:tc>
      </w:tr>
      <w:tr w:rsidR="00347829" w:rsidRPr="009106F4" w:rsidTr="00A31AA3">
        <w:tc>
          <w:tcPr>
            <w:tcW w:w="139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Nestiride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Increasing natriuretic </w:t>
            </w: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lastRenderedPageBreak/>
              <w:t>peptide activity</w:t>
            </w:r>
          </w:p>
        </w:tc>
        <w:tc>
          <w:tcPr>
            <w:tcW w:w="301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lastRenderedPageBreak/>
              <w:t>VMAC, 2000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20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PRECEDENT, 2002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21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lastRenderedPageBreak/>
              <w:t>ASCENT-HF, 2009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22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92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lastRenderedPageBreak/>
              <w:t>Improved BP and dyspnea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lastRenderedPageBreak/>
              <w:t>Less cardiac arrhythmias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More hypotension</w:t>
            </w:r>
          </w:p>
        </w:tc>
      </w:tr>
      <w:tr w:rsidR="00347829" w:rsidRPr="009106F4" w:rsidTr="00A31AA3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lastRenderedPageBreak/>
              <w:t>Candoxatril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Uni-centre</w:t>
            </w:r>
            <w:proofErr w:type="spellEnd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investigation with on</w:t>
            </w:r>
            <w:r w:rsidR="00A31AA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ly a limited number of patients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23-25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More exercise tolerance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Increase in vascular resistance</w:t>
            </w:r>
          </w:p>
        </w:tc>
      </w:tr>
      <w:tr w:rsidR="00347829" w:rsidRPr="009106F4" w:rsidTr="00A31AA3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Omapatrilat</w:t>
            </w:r>
            <w:proofErr w:type="spellEnd"/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IMPRESS, 2000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26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OVERTURE, 2002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27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OCTAVE, 2004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28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More exercise tolerance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Increase in angioedema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Reduction in BP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Lower mortality</w:t>
            </w:r>
          </w:p>
        </w:tc>
      </w:tr>
      <w:tr w:rsidR="00347829" w:rsidRPr="009106F4" w:rsidTr="00A31AA3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LCZ696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proofErr w:type="spellStart"/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PARAMOUNT, 2012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29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PARADIGM, 2014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30,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31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  <w:p w:rsidR="007B3795" w:rsidRPr="009106F4" w:rsidRDefault="00A31AA3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PARAGON, ongoing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[</w:t>
            </w:r>
            <w:r w:rsidR="001C1AC3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32</w:t>
            </w:r>
            <w:r w:rsidR="00EA025B"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Reduction in BP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Improved ejection fraction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Lower mortality</w:t>
            </w:r>
          </w:p>
          <w:p w:rsidR="007B3795" w:rsidRPr="009106F4" w:rsidRDefault="007B3795" w:rsidP="009106F4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9106F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No change in angioedema</w:t>
            </w:r>
          </w:p>
        </w:tc>
      </w:tr>
    </w:tbl>
    <w:p w:rsidR="007B3795" w:rsidRPr="00A31AA3" w:rsidRDefault="007B3795" w:rsidP="009106F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106F4">
        <w:rPr>
          <w:rFonts w:ascii="Book Antiqua" w:hAnsi="Book Antiqua"/>
          <w:color w:val="auto"/>
          <w:sz w:val="24"/>
          <w:szCs w:val="24"/>
        </w:rPr>
        <w:t xml:space="preserve">BP: Blood </w:t>
      </w:r>
      <w:r w:rsidR="00A31AA3">
        <w:rPr>
          <w:rFonts w:ascii="Book Antiqua" w:hAnsi="Book Antiqua" w:hint="eastAsia"/>
          <w:color w:val="auto"/>
          <w:sz w:val="24"/>
          <w:szCs w:val="24"/>
          <w:lang w:eastAsia="zh-CN"/>
        </w:rPr>
        <w:t>p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ressure; HF: Heart </w:t>
      </w:r>
      <w:r w:rsidR="00A31AA3">
        <w:rPr>
          <w:rFonts w:ascii="Book Antiqua" w:hAnsi="Book Antiqua" w:hint="eastAsia"/>
          <w:color w:val="auto"/>
          <w:sz w:val="24"/>
          <w:szCs w:val="24"/>
          <w:lang w:eastAsia="zh-CN"/>
        </w:rPr>
        <w:t>f</w:t>
      </w:r>
      <w:r w:rsidRPr="009106F4">
        <w:rPr>
          <w:rFonts w:ascii="Book Antiqua" w:hAnsi="Book Antiqua"/>
          <w:color w:val="auto"/>
          <w:sz w:val="24"/>
          <w:szCs w:val="24"/>
        </w:rPr>
        <w:t xml:space="preserve">ailure; </w:t>
      </w:r>
      <w:proofErr w:type="spellStart"/>
      <w:r w:rsidRPr="009106F4">
        <w:rPr>
          <w:rFonts w:ascii="Book Antiqua" w:hAnsi="Book Antiqua"/>
          <w:color w:val="auto"/>
          <w:sz w:val="24"/>
          <w:szCs w:val="24"/>
        </w:rPr>
        <w:t>NPi</w:t>
      </w:r>
      <w:proofErr w:type="spellEnd"/>
      <w:r w:rsidRPr="009106F4">
        <w:rPr>
          <w:rFonts w:ascii="Book Antiqua" w:hAnsi="Book Antiqua"/>
          <w:color w:val="auto"/>
          <w:sz w:val="24"/>
          <w:szCs w:val="24"/>
        </w:rPr>
        <w:t xml:space="preserve">: </w:t>
      </w:r>
      <w:proofErr w:type="spellStart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Neprilysin</w:t>
      </w:r>
      <w:proofErr w:type="spellEnd"/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</w:t>
      </w:r>
      <w:r w:rsidR="00A31AA3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i</w:t>
      </w:r>
      <w:r w:rsidRPr="009106F4">
        <w:rPr>
          <w:rFonts w:ascii="Book Antiqua" w:eastAsia="Times New Roman" w:hAnsi="Book Antiqua" w:cs="Times New Roman"/>
          <w:color w:val="auto"/>
          <w:sz w:val="24"/>
          <w:szCs w:val="24"/>
        </w:rPr>
        <w:t>nhibitors</w:t>
      </w:r>
      <w:r w:rsidR="00A31AA3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.</w:t>
      </w:r>
      <w:bookmarkStart w:id="16" w:name="_GoBack"/>
      <w:bookmarkEnd w:id="16"/>
    </w:p>
    <w:sectPr w:rsidR="007B3795" w:rsidRPr="00A31AA3" w:rsidSect="00E565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AF1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903"/>
    <w:multiLevelType w:val="multilevel"/>
    <w:tmpl w:val="8E2476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20507E6"/>
    <w:multiLevelType w:val="hybridMultilevel"/>
    <w:tmpl w:val="97260212"/>
    <w:lvl w:ilvl="0" w:tplc="ADCC0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1"/>
    <w:rsid w:val="00005BA4"/>
    <w:rsid w:val="00047DFA"/>
    <w:rsid w:val="00062CF9"/>
    <w:rsid w:val="000B6DD1"/>
    <w:rsid w:val="000D1729"/>
    <w:rsid w:val="00120359"/>
    <w:rsid w:val="00126DCA"/>
    <w:rsid w:val="00127ABB"/>
    <w:rsid w:val="001308AD"/>
    <w:rsid w:val="00150335"/>
    <w:rsid w:val="00161B3D"/>
    <w:rsid w:val="00181B9C"/>
    <w:rsid w:val="001A0C88"/>
    <w:rsid w:val="001A15E6"/>
    <w:rsid w:val="001A7C7F"/>
    <w:rsid w:val="001B6203"/>
    <w:rsid w:val="001C1AC3"/>
    <w:rsid w:val="001C6B21"/>
    <w:rsid w:val="001C761F"/>
    <w:rsid w:val="001F3075"/>
    <w:rsid w:val="001F588B"/>
    <w:rsid w:val="0020010B"/>
    <w:rsid w:val="00207366"/>
    <w:rsid w:val="002344DE"/>
    <w:rsid w:val="0025587F"/>
    <w:rsid w:val="00270D76"/>
    <w:rsid w:val="002730BF"/>
    <w:rsid w:val="002733B4"/>
    <w:rsid w:val="00276B50"/>
    <w:rsid w:val="00280D9A"/>
    <w:rsid w:val="002915F4"/>
    <w:rsid w:val="00295863"/>
    <w:rsid w:val="002A0786"/>
    <w:rsid w:val="002B6002"/>
    <w:rsid w:val="002C66F3"/>
    <w:rsid w:val="002D097D"/>
    <w:rsid w:val="002D1D02"/>
    <w:rsid w:val="002E0641"/>
    <w:rsid w:val="002F27B3"/>
    <w:rsid w:val="002F2EFC"/>
    <w:rsid w:val="00302B76"/>
    <w:rsid w:val="00304438"/>
    <w:rsid w:val="003044A3"/>
    <w:rsid w:val="00306EED"/>
    <w:rsid w:val="003374D1"/>
    <w:rsid w:val="00347829"/>
    <w:rsid w:val="00361912"/>
    <w:rsid w:val="003643A4"/>
    <w:rsid w:val="00374402"/>
    <w:rsid w:val="003A467D"/>
    <w:rsid w:val="003B7FA7"/>
    <w:rsid w:val="003D7EA4"/>
    <w:rsid w:val="003F249A"/>
    <w:rsid w:val="00411F89"/>
    <w:rsid w:val="00430A5D"/>
    <w:rsid w:val="00434282"/>
    <w:rsid w:val="00442820"/>
    <w:rsid w:val="0048029C"/>
    <w:rsid w:val="0048123B"/>
    <w:rsid w:val="00491F43"/>
    <w:rsid w:val="004A102A"/>
    <w:rsid w:val="004B28B9"/>
    <w:rsid w:val="004C1D44"/>
    <w:rsid w:val="004C6589"/>
    <w:rsid w:val="004E2D52"/>
    <w:rsid w:val="004F13FB"/>
    <w:rsid w:val="004F7191"/>
    <w:rsid w:val="005365EF"/>
    <w:rsid w:val="005514D8"/>
    <w:rsid w:val="00566148"/>
    <w:rsid w:val="00566B53"/>
    <w:rsid w:val="00572B09"/>
    <w:rsid w:val="005B1AAC"/>
    <w:rsid w:val="005B1B70"/>
    <w:rsid w:val="005C3644"/>
    <w:rsid w:val="005C74D0"/>
    <w:rsid w:val="005D14EC"/>
    <w:rsid w:val="005F192E"/>
    <w:rsid w:val="005F7487"/>
    <w:rsid w:val="006016FB"/>
    <w:rsid w:val="00622BFD"/>
    <w:rsid w:val="006230AA"/>
    <w:rsid w:val="00632663"/>
    <w:rsid w:val="00643120"/>
    <w:rsid w:val="00682014"/>
    <w:rsid w:val="00682767"/>
    <w:rsid w:val="006915B3"/>
    <w:rsid w:val="006A0A7D"/>
    <w:rsid w:val="006B7AFA"/>
    <w:rsid w:val="006B7F1B"/>
    <w:rsid w:val="006C5E09"/>
    <w:rsid w:val="006C5EC3"/>
    <w:rsid w:val="006D40F8"/>
    <w:rsid w:val="006D7B62"/>
    <w:rsid w:val="006E6CD0"/>
    <w:rsid w:val="006F0A08"/>
    <w:rsid w:val="006F6CA7"/>
    <w:rsid w:val="007249DD"/>
    <w:rsid w:val="00731FCD"/>
    <w:rsid w:val="00742325"/>
    <w:rsid w:val="007440D4"/>
    <w:rsid w:val="00744E8B"/>
    <w:rsid w:val="00745508"/>
    <w:rsid w:val="007A16B2"/>
    <w:rsid w:val="007A2DEA"/>
    <w:rsid w:val="007A66B5"/>
    <w:rsid w:val="007B3795"/>
    <w:rsid w:val="007C233F"/>
    <w:rsid w:val="007C5AAB"/>
    <w:rsid w:val="007E72D9"/>
    <w:rsid w:val="007F0912"/>
    <w:rsid w:val="007F5ABA"/>
    <w:rsid w:val="007F6D3B"/>
    <w:rsid w:val="00810A59"/>
    <w:rsid w:val="008179E1"/>
    <w:rsid w:val="00827F92"/>
    <w:rsid w:val="008365D9"/>
    <w:rsid w:val="008634BF"/>
    <w:rsid w:val="00870B50"/>
    <w:rsid w:val="00872041"/>
    <w:rsid w:val="00882CFF"/>
    <w:rsid w:val="00895395"/>
    <w:rsid w:val="00895FFC"/>
    <w:rsid w:val="008D6CE1"/>
    <w:rsid w:val="008E1F6E"/>
    <w:rsid w:val="009106F4"/>
    <w:rsid w:val="00936A72"/>
    <w:rsid w:val="009834C5"/>
    <w:rsid w:val="009865BB"/>
    <w:rsid w:val="00996041"/>
    <w:rsid w:val="009A1CAC"/>
    <w:rsid w:val="009A53ED"/>
    <w:rsid w:val="009D42D7"/>
    <w:rsid w:val="009F7213"/>
    <w:rsid w:val="00A01837"/>
    <w:rsid w:val="00A02942"/>
    <w:rsid w:val="00A235CD"/>
    <w:rsid w:val="00A31AA3"/>
    <w:rsid w:val="00A33523"/>
    <w:rsid w:val="00A436C7"/>
    <w:rsid w:val="00A63621"/>
    <w:rsid w:val="00A7225F"/>
    <w:rsid w:val="00A747E7"/>
    <w:rsid w:val="00AA1C49"/>
    <w:rsid w:val="00AA2FC7"/>
    <w:rsid w:val="00B06D66"/>
    <w:rsid w:val="00B071EE"/>
    <w:rsid w:val="00B11353"/>
    <w:rsid w:val="00B41B5E"/>
    <w:rsid w:val="00B5428F"/>
    <w:rsid w:val="00B54579"/>
    <w:rsid w:val="00B63855"/>
    <w:rsid w:val="00B7592D"/>
    <w:rsid w:val="00B75D75"/>
    <w:rsid w:val="00BE1F46"/>
    <w:rsid w:val="00BF1623"/>
    <w:rsid w:val="00C04FC4"/>
    <w:rsid w:val="00C165DF"/>
    <w:rsid w:val="00C16C4B"/>
    <w:rsid w:val="00C400D4"/>
    <w:rsid w:val="00C76A05"/>
    <w:rsid w:val="00C77A2E"/>
    <w:rsid w:val="00C77AA0"/>
    <w:rsid w:val="00C91C63"/>
    <w:rsid w:val="00CA3927"/>
    <w:rsid w:val="00CB1B5D"/>
    <w:rsid w:val="00CD4D5B"/>
    <w:rsid w:val="00D16D6D"/>
    <w:rsid w:val="00D50593"/>
    <w:rsid w:val="00D670E2"/>
    <w:rsid w:val="00DB0E69"/>
    <w:rsid w:val="00DE1DD1"/>
    <w:rsid w:val="00DE22E2"/>
    <w:rsid w:val="00E054EE"/>
    <w:rsid w:val="00E06C81"/>
    <w:rsid w:val="00E5078B"/>
    <w:rsid w:val="00E533E8"/>
    <w:rsid w:val="00E56595"/>
    <w:rsid w:val="00E6785A"/>
    <w:rsid w:val="00E97A2A"/>
    <w:rsid w:val="00EA025B"/>
    <w:rsid w:val="00ED42F3"/>
    <w:rsid w:val="00EE11AE"/>
    <w:rsid w:val="00EE4E20"/>
    <w:rsid w:val="00F00F88"/>
    <w:rsid w:val="00F0546A"/>
    <w:rsid w:val="00F06A61"/>
    <w:rsid w:val="00F303B3"/>
    <w:rsid w:val="00F85A3F"/>
    <w:rsid w:val="00F94EAD"/>
    <w:rsid w:val="00FA6F9D"/>
    <w:rsid w:val="00FB4366"/>
    <w:rsid w:val="00FB63D1"/>
    <w:rsid w:val="00FB773D"/>
    <w:rsid w:val="00FD5B0D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595"/>
  </w:style>
  <w:style w:type="paragraph" w:styleId="Heading1">
    <w:name w:val="heading 1"/>
    <w:basedOn w:val="Normal"/>
    <w:next w:val="Normal"/>
    <w:rsid w:val="00E5659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5659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5659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5659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5659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5659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5659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5659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565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42D7"/>
    <w:pPr>
      <w:spacing w:line="240" w:lineRule="auto"/>
    </w:pPr>
  </w:style>
  <w:style w:type="character" w:customStyle="1" w:styleId="citation">
    <w:name w:val="citation"/>
    <w:basedOn w:val="DefaultParagraphFont"/>
    <w:rsid w:val="00C400D4"/>
  </w:style>
  <w:style w:type="paragraph" w:styleId="NormalWeb">
    <w:name w:val="Normal (Web)"/>
    <w:basedOn w:val="Normal"/>
    <w:uiPriority w:val="99"/>
    <w:unhideWhenUsed/>
    <w:rsid w:val="002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pipe">
    <w:name w:val="pipe"/>
    <w:basedOn w:val="DefaultParagraphFont"/>
    <w:rsid w:val="002344DE"/>
  </w:style>
  <w:style w:type="character" w:styleId="Hyperlink">
    <w:name w:val="Hyperlink"/>
    <w:basedOn w:val="DefaultParagraphFont"/>
    <w:uiPriority w:val="99"/>
    <w:unhideWhenUsed/>
    <w:rsid w:val="00234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2D9"/>
    <w:pPr>
      <w:ind w:left="720"/>
      <w:contextualSpacing/>
    </w:pPr>
  </w:style>
  <w:style w:type="character" w:customStyle="1" w:styleId="nlm-given-names">
    <w:name w:val="nlm-given-names"/>
    <w:basedOn w:val="DefaultParagraphFont"/>
    <w:rsid w:val="00434282"/>
  </w:style>
  <w:style w:type="character" w:customStyle="1" w:styleId="apple-converted-space">
    <w:name w:val="apple-converted-space"/>
    <w:basedOn w:val="DefaultParagraphFont"/>
    <w:rsid w:val="00434282"/>
  </w:style>
  <w:style w:type="character" w:customStyle="1" w:styleId="nlm-surname">
    <w:name w:val="nlm-surname"/>
    <w:basedOn w:val="DefaultParagraphFont"/>
    <w:rsid w:val="00434282"/>
  </w:style>
  <w:style w:type="character" w:customStyle="1" w:styleId="highlight2">
    <w:name w:val="highlight2"/>
    <w:basedOn w:val="DefaultParagraphFont"/>
    <w:rsid w:val="004E2D52"/>
  </w:style>
  <w:style w:type="character" w:customStyle="1" w:styleId="highwire-cite-metadata-doi3">
    <w:name w:val="highwire-cite-metadata-doi3"/>
    <w:basedOn w:val="DefaultParagraphFont"/>
    <w:rsid w:val="00062CF9"/>
  </w:style>
  <w:style w:type="character" w:customStyle="1" w:styleId="dxebaseoffice2010blue">
    <w:name w:val="dxebase_office2010blue"/>
    <w:basedOn w:val="DefaultParagraphFont"/>
    <w:rsid w:val="002B6002"/>
  </w:style>
  <w:style w:type="character" w:styleId="Emphasis">
    <w:name w:val="Emphasis"/>
    <w:qFormat/>
    <w:rsid w:val="00A747E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595"/>
  </w:style>
  <w:style w:type="paragraph" w:styleId="Heading1">
    <w:name w:val="heading 1"/>
    <w:basedOn w:val="Normal"/>
    <w:next w:val="Normal"/>
    <w:rsid w:val="00E5659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5659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5659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5659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5659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5659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5659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5659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565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42D7"/>
    <w:pPr>
      <w:spacing w:line="240" w:lineRule="auto"/>
    </w:pPr>
  </w:style>
  <w:style w:type="character" w:customStyle="1" w:styleId="citation">
    <w:name w:val="citation"/>
    <w:basedOn w:val="DefaultParagraphFont"/>
    <w:rsid w:val="00C400D4"/>
  </w:style>
  <w:style w:type="paragraph" w:styleId="NormalWeb">
    <w:name w:val="Normal (Web)"/>
    <w:basedOn w:val="Normal"/>
    <w:uiPriority w:val="99"/>
    <w:unhideWhenUsed/>
    <w:rsid w:val="0023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pipe">
    <w:name w:val="pipe"/>
    <w:basedOn w:val="DefaultParagraphFont"/>
    <w:rsid w:val="002344DE"/>
  </w:style>
  <w:style w:type="character" w:styleId="Hyperlink">
    <w:name w:val="Hyperlink"/>
    <w:basedOn w:val="DefaultParagraphFont"/>
    <w:uiPriority w:val="99"/>
    <w:unhideWhenUsed/>
    <w:rsid w:val="00234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2D9"/>
    <w:pPr>
      <w:ind w:left="720"/>
      <w:contextualSpacing/>
    </w:pPr>
  </w:style>
  <w:style w:type="character" w:customStyle="1" w:styleId="nlm-given-names">
    <w:name w:val="nlm-given-names"/>
    <w:basedOn w:val="DefaultParagraphFont"/>
    <w:rsid w:val="00434282"/>
  </w:style>
  <w:style w:type="character" w:customStyle="1" w:styleId="apple-converted-space">
    <w:name w:val="apple-converted-space"/>
    <w:basedOn w:val="DefaultParagraphFont"/>
    <w:rsid w:val="00434282"/>
  </w:style>
  <w:style w:type="character" w:customStyle="1" w:styleId="nlm-surname">
    <w:name w:val="nlm-surname"/>
    <w:basedOn w:val="DefaultParagraphFont"/>
    <w:rsid w:val="00434282"/>
  </w:style>
  <w:style w:type="character" w:customStyle="1" w:styleId="highlight2">
    <w:name w:val="highlight2"/>
    <w:basedOn w:val="DefaultParagraphFont"/>
    <w:rsid w:val="004E2D52"/>
  </w:style>
  <w:style w:type="character" w:customStyle="1" w:styleId="highwire-cite-metadata-doi3">
    <w:name w:val="highwire-cite-metadata-doi3"/>
    <w:basedOn w:val="DefaultParagraphFont"/>
    <w:rsid w:val="00062CF9"/>
  </w:style>
  <w:style w:type="character" w:customStyle="1" w:styleId="dxebaseoffice2010blue">
    <w:name w:val="dxebase_office2010blue"/>
    <w:basedOn w:val="DefaultParagraphFont"/>
    <w:rsid w:val="002B6002"/>
  </w:style>
  <w:style w:type="character" w:styleId="Emphasis">
    <w:name w:val="Emphasis"/>
    <w:qFormat/>
    <w:rsid w:val="00A747E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0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0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9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1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50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6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9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9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1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13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2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7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7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1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7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0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4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46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3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7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4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16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97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17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5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0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6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79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2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502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6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1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5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9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4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72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3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3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1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6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8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9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3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6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2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6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9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2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22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8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56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3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8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21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5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22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9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49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5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53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6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9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0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77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6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62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2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9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?term=CONSENSUS%20Trial%20Study%20Group%5BCorporate%20Author%5D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36" Type="http://schemas.microsoft.com/office/2011/relationships/people" Target="people.xml"/><Relationship Id="rId23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ncbi.nlm.nih.gov/pubmed/?term=Prospective%20Randomized%20Evaluation%20of%20Cardiac%20Ectopy%20with%20Dobutamine%20or%20Natrecor%20Therapy%5BCorporate%20Author%5D" TargetMode="External"/><Relationship Id="rId8" Type="http://schemas.openxmlformats.org/officeDocument/2006/relationships/hyperlink" Target="https://www.ncbi.nlm.nih.gov/pubmed/?term=Prospective%20comparison%20of%20ARNI%20with%20ARB%20on%20Management%20Of%20heart%20failUre%20with%20preserved%20ejectioN%20fracTion%20(PARAMOUNT)%20Investigators%5BCorporate%20Author%5D" TargetMode="External"/><Relationship Id="rId9" Type="http://schemas.openxmlformats.org/officeDocument/2006/relationships/hyperlink" Target="https://www.ncbi.nlm.nih.gov/pubmed/?term=PARADIGM-HF%20Committees%20and%20Investigators%5BCorporate%20Author%5D" TargetMode="External"/><Relationship Id="rId10" Type="http://schemas.openxmlformats.org/officeDocument/2006/relationships/hyperlink" Target="https://www.ncbi.nlm.nih.gov/pubmed/?term=PARADIGM-HF%20Committees%20and%20Investigators%5BCorporate%20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3830-6C3B-844E-980D-18AA3F59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5030</Words>
  <Characters>28671</Characters>
  <Application>Microsoft Macintosh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33634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Gluck, Jason</dc:creator>
  <cp:lastModifiedBy>Na Ma</cp:lastModifiedBy>
  <cp:revision>2</cp:revision>
  <cp:lastPrinted>2017-02-04T21:02:00Z</cp:lastPrinted>
  <dcterms:created xsi:type="dcterms:W3CDTF">2017-05-22T23:02:00Z</dcterms:created>
  <dcterms:modified xsi:type="dcterms:W3CDTF">2017-05-22T23:02:00Z</dcterms:modified>
</cp:coreProperties>
</file>