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FA" w:rsidRPr="00F14AE8" w:rsidRDefault="00CF32FA" w:rsidP="00F14AE8">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F14AE8">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F14AE8">
        <w:rPr>
          <w:rFonts w:ascii="Book Antiqua" w:eastAsia="Times New Roman" w:hAnsi="Book Antiqua" w:cs="SimSun"/>
          <w:b/>
          <w:i/>
          <w:color w:val="000000"/>
          <w:sz w:val="24"/>
          <w:szCs w:val="24"/>
        </w:rPr>
        <w:t xml:space="preserve">World Journal of </w:t>
      </w:r>
      <w:bookmarkStart w:id="8" w:name="OLE_LINK1222"/>
      <w:bookmarkStart w:id="9" w:name="OLE_LINK1223"/>
      <w:r w:rsidRPr="00F14AE8">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CF32FA" w:rsidRPr="00F14AE8" w:rsidRDefault="00CF32FA" w:rsidP="00F14AE8">
      <w:pPr>
        <w:adjustRightInd w:val="0"/>
        <w:snapToGrid w:val="0"/>
        <w:spacing w:after="0" w:line="360" w:lineRule="auto"/>
        <w:jc w:val="both"/>
        <w:rPr>
          <w:rFonts w:ascii="Book Antiqua" w:hAnsi="Book Antiqua" w:cs="Arial"/>
          <w:color w:val="000000"/>
          <w:sz w:val="24"/>
          <w:szCs w:val="24"/>
          <w:lang w:eastAsia="zh-CN"/>
        </w:rPr>
      </w:pPr>
      <w:r w:rsidRPr="00F14AE8">
        <w:rPr>
          <w:rFonts w:ascii="Book Antiqua" w:hAnsi="Book Antiqua" w:cs="Arial"/>
          <w:b/>
          <w:color w:val="000000"/>
          <w:sz w:val="24"/>
          <w:szCs w:val="24"/>
        </w:rPr>
        <w:t xml:space="preserve">Manuscript NO: </w:t>
      </w:r>
      <w:r w:rsidRPr="00F14AE8">
        <w:rPr>
          <w:rFonts w:ascii="Book Antiqua" w:hAnsi="Book Antiqua" w:cs="Arial"/>
          <w:b/>
          <w:color w:val="000000"/>
          <w:sz w:val="24"/>
          <w:szCs w:val="24"/>
          <w:lang w:eastAsia="zh-CN"/>
        </w:rPr>
        <w:t>3</w:t>
      </w:r>
      <w:r w:rsidR="00C17B1C">
        <w:rPr>
          <w:rFonts w:ascii="Book Antiqua" w:hAnsi="Book Antiqua" w:cs="Arial" w:hint="eastAsia"/>
          <w:b/>
          <w:color w:val="000000"/>
          <w:sz w:val="24"/>
          <w:szCs w:val="24"/>
          <w:lang w:eastAsia="zh-CN"/>
        </w:rPr>
        <w:t>4</w:t>
      </w:r>
      <w:r w:rsidRPr="00F14AE8">
        <w:rPr>
          <w:rFonts w:ascii="Book Antiqua" w:hAnsi="Book Antiqua" w:cs="Arial"/>
          <w:b/>
          <w:color w:val="000000"/>
          <w:sz w:val="24"/>
          <w:szCs w:val="24"/>
          <w:lang w:eastAsia="zh-CN"/>
        </w:rPr>
        <w:t>043</w:t>
      </w:r>
    </w:p>
    <w:p w:rsidR="00CF32FA" w:rsidRPr="00F14AE8" w:rsidRDefault="00CF32FA" w:rsidP="00F14AE8">
      <w:pPr>
        <w:spacing w:after="0" w:line="360" w:lineRule="auto"/>
        <w:jc w:val="both"/>
        <w:rPr>
          <w:rFonts w:ascii="Book Antiqua" w:hAnsi="Book Antiqua"/>
          <w:b/>
          <w:sz w:val="24"/>
          <w:szCs w:val="24"/>
        </w:rPr>
      </w:pPr>
      <w:r w:rsidRPr="00F14AE8">
        <w:rPr>
          <w:rFonts w:ascii="Book Antiqua" w:hAnsi="Book Antiqua"/>
          <w:b/>
          <w:sz w:val="24"/>
          <w:szCs w:val="24"/>
        </w:rPr>
        <w:t xml:space="preserve">Manuscript Type: </w:t>
      </w:r>
      <w:r w:rsidR="005E2661" w:rsidRPr="00F14AE8">
        <w:rPr>
          <w:rFonts w:ascii="Book Antiqua" w:hAnsi="Book Antiqua"/>
          <w:b/>
          <w:sz w:val="24"/>
          <w:szCs w:val="24"/>
        </w:rPr>
        <w:t>ORIGINAL ARTICLE</w:t>
      </w:r>
    </w:p>
    <w:bookmarkEnd w:id="0"/>
    <w:bookmarkEnd w:id="1"/>
    <w:bookmarkEnd w:id="2"/>
    <w:p w:rsidR="0056134A" w:rsidRPr="00F14AE8" w:rsidRDefault="00CF32FA" w:rsidP="00F14AE8">
      <w:pPr>
        <w:spacing w:after="0" w:line="360" w:lineRule="auto"/>
        <w:jc w:val="both"/>
        <w:rPr>
          <w:rFonts w:ascii="Book Antiqua" w:hAnsi="Book Antiqua"/>
          <w:sz w:val="24"/>
          <w:szCs w:val="24"/>
          <w:lang w:eastAsia="zh-CN"/>
        </w:rPr>
      </w:pPr>
      <w:r w:rsidRPr="00F14AE8">
        <w:rPr>
          <w:rFonts w:ascii="Book Antiqua" w:hAnsi="Book Antiqua"/>
          <w:b/>
          <w:sz w:val="24"/>
          <w:szCs w:val="24"/>
          <w:lang w:eastAsia="zh-CN"/>
        </w:rPr>
        <w:t xml:space="preserve"> </w:t>
      </w:r>
    </w:p>
    <w:p w:rsidR="00CF32FA" w:rsidRPr="00F14AE8" w:rsidRDefault="00CF32FA" w:rsidP="00F14AE8">
      <w:pPr>
        <w:spacing w:after="0" w:line="360" w:lineRule="auto"/>
        <w:jc w:val="both"/>
        <w:rPr>
          <w:rFonts w:ascii="Book Antiqua" w:hAnsi="Book Antiqua"/>
          <w:b/>
          <w:i/>
          <w:sz w:val="24"/>
          <w:szCs w:val="24"/>
          <w:lang w:eastAsia="zh-CN"/>
        </w:rPr>
      </w:pPr>
      <w:r w:rsidRPr="00F14AE8">
        <w:rPr>
          <w:rFonts w:ascii="Book Antiqua" w:hAnsi="Book Antiqua"/>
          <w:b/>
          <w:i/>
          <w:sz w:val="24"/>
          <w:szCs w:val="24"/>
        </w:rPr>
        <w:t>Observational study</w:t>
      </w:r>
    </w:p>
    <w:p w:rsidR="008C3E4D" w:rsidRPr="00F14AE8" w:rsidRDefault="00573A33" w:rsidP="00F14AE8">
      <w:pPr>
        <w:spacing w:after="0" w:line="360" w:lineRule="auto"/>
        <w:jc w:val="both"/>
        <w:rPr>
          <w:rFonts w:ascii="Book Antiqua" w:hAnsi="Book Antiqua"/>
          <w:b/>
          <w:sz w:val="24"/>
          <w:szCs w:val="24"/>
          <w:lang w:eastAsia="zh-CN"/>
        </w:rPr>
      </w:pPr>
      <w:r w:rsidRPr="00F14AE8">
        <w:rPr>
          <w:rFonts w:ascii="Book Antiqua" w:hAnsi="Book Antiqua"/>
          <w:b/>
          <w:sz w:val="24"/>
          <w:szCs w:val="24"/>
        </w:rPr>
        <w:t>Endoscopy is of low yield</w:t>
      </w:r>
      <w:r w:rsidR="008C3E4D" w:rsidRPr="00F14AE8">
        <w:rPr>
          <w:rFonts w:ascii="Book Antiqua" w:hAnsi="Book Antiqua"/>
          <w:b/>
          <w:sz w:val="24"/>
          <w:szCs w:val="24"/>
        </w:rPr>
        <w:t xml:space="preserve"> in the identification of </w:t>
      </w:r>
      <w:r w:rsidR="004A6554" w:rsidRPr="00F14AE8">
        <w:rPr>
          <w:rFonts w:ascii="Book Antiqua" w:hAnsi="Book Antiqua"/>
          <w:b/>
          <w:sz w:val="24"/>
          <w:szCs w:val="24"/>
        </w:rPr>
        <w:t>gastrointestinal neoplasia</w:t>
      </w:r>
      <w:r w:rsidR="008C3E4D" w:rsidRPr="00F14AE8">
        <w:rPr>
          <w:rFonts w:ascii="Book Antiqua" w:hAnsi="Book Antiqua"/>
          <w:b/>
          <w:sz w:val="24"/>
          <w:szCs w:val="24"/>
        </w:rPr>
        <w:t xml:space="preserve"> in </w:t>
      </w:r>
      <w:r w:rsidRPr="00F14AE8">
        <w:rPr>
          <w:rFonts w:ascii="Book Antiqua" w:hAnsi="Book Antiqua"/>
          <w:b/>
          <w:sz w:val="24"/>
          <w:szCs w:val="24"/>
        </w:rPr>
        <w:t xml:space="preserve">patients with </w:t>
      </w:r>
      <w:r w:rsidR="008C3E4D" w:rsidRPr="00F14AE8">
        <w:rPr>
          <w:rFonts w:ascii="Book Antiqua" w:hAnsi="Book Antiqua"/>
          <w:b/>
          <w:sz w:val="24"/>
          <w:szCs w:val="24"/>
        </w:rPr>
        <w:t>dermatomyositis</w:t>
      </w:r>
      <w:r w:rsidRPr="00F14AE8">
        <w:rPr>
          <w:rFonts w:ascii="Book Antiqua" w:hAnsi="Book Antiqua"/>
          <w:b/>
          <w:sz w:val="24"/>
          <w:szCs w:val="24"/>
        </w:rPr>
        <w:t>: A cross-sectional study</w:t>
      </w:r>
    </w:p>
    <w:p w:rsidR="00CF32FA" w:rsidRPr="00F14AE8" w:rsidRDefault="00CF32FA" w:rsidP="00F14AE8">
      <w:pPr>
        <w:spacing w:after="0" w:line="360" w:lineRule="auto"/>
        <w:jc w:val="both"/>
        <w:rPr>
          <w:rFonts w:ascii="Book Antiqua" w:hAnsi="Book Antiqua"/>
          <w:b/>
          <w:sz w:val="24"/>
          <w:szCs w:val="24"/>
          <w:lang w:eastAsia="zh-CN"/>
        </w:rPr>
      </w:pPr>
    </w:p>
    <w:p w:rsidR="008C3E4D" w:rsidRPr="00F14AE8" w:rsidRDefault="0056134A"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Kidambi</w:t>
      </w:r>
      <w:r w:rsidR="005E2661" w:rsidRPr="00F14AE8">
        <w:rPr>
          <w:rFonts w:ascii="Book Antiqua" w:hAnsi="Book Antiqua"/>
          <w:sz w:val="24"/>
          <w:szCs w:val="24"/>
          <w:lang w:eastAsia="zh-CN"/>
        </w:rPr>
        <w:t xml:space="preserve"> </w:t>
      </w:r>
      <w:r w:rsidRPr="00F14AE8">
        <w:rPr>
          <w:rFonts w:ascii="Book Antiqua" w:hAnsi="Book Antiqua"/>
          <w:i/>
          <w:sz w:val="24"/>
          <w:szCs w:val="24"/>
        </w:rPr>
        <w:t>et al</w:t>
      </w:r>
      <w:r w:rsidRPr="00F14AE8">
        <w:rPr>
          <w:rFonts w:ascii="Book Antiqua" w:hAnsi="Book Antiqua"/>
          <w:sz w:val="24"/>
          <w:szCs w:val="24"/>
        </w:rPr>
        <w:t xml:space="preserve">. </w:t>
      </w:r>
      <w:r w:rsidR="00700E65" w:rsidRPr="00F14AE8">
        <w:rPr>
          <w:rFonts w:ascii="Book Antiqua" w:hAnsi="Book Antiqua"/>
          <w:sz w:val="24"/>
          <w:szCs w:val="24"/>
        </w:rPr>
        <w:t>Yield of e</w:t>
      </w:r>
      <w:r w:rsidR="008C3E4D" w:rsidRPr="00F14AE8">
        <w:rPr>
          <w:rFonts w:ascii="Book Antiqua" w:hAnsi="Book Antiqua"/>
          <w:sz w:val="24"/>
          <w:szCs w:val="24"/>
        </w:rPr>
        <w:t>ndoscopy in dermatomyositis</w:t>
      </w:r>
    </w:p>
    <w:p w:rsidR="00CF32FA" w:rsidRPr="00F14AE8" w:rsidRDefault="00CF32FA" w:rsidP="00F14AE8">
      <w:pPr>
        <w:spacing w:after="0" w:line="360" w:lineRule="auto"/>
        <w:jc w:val="both"/>
        <w:rPr>
          <w:rFonts w:ascii="Book Antiqua" w:hAnsi="Book Antiqua"/>
          <w:sz w:val="24"/>
          <w:szCs w:val="24"/>
          <w:lang w:eastAsia="zh-CN"/>
        </w:rPr>
      </w:pPr>
    </w:p>
    <w:p w:rsidR="008C3E4D" w:rsidRPr="00F14AE8" w:rsidRDefault="008C3E4D" w:rsidP="00F14AE8">
      <w:pPr>
        <w:spacing w:after="0" w:line="360" w:lineRule="auto"/>
        <w:jc w:val="both"/>
        <w:rPr>
          <w:rFonts w:ascii="Book Antiqua" w:hAnsi="Book Antiqua"/>
          <w:sz w:val="24"/>
          <w:szCs w:val="24"/>
          <w:vertAlign w:val="superscript"/>
          <w:lang w:eastAsia="zh-CN"/>
        </w:rPr>
      </w:pPr>
      <w:r w:rsidRPr="00F14AE8">
        <w:rPr>
          <w:rFonts w:ascii="Book Antiqua" w:hAnsi="Book Antiqua"/>
          <w:sz w:val="24"/>
          <w:szCs w:val="24"/>
        </w:rPr>
        <w:t>Trilokesh D</w:t>
      </w:r>
      <w:r w:rsidR="005E2661" w:rsidRPr="00F14AE8">
        <w:rPr>
          <w:rFonts w:ascii="Book Antiqua" w:hAnsi="Book Antiqua"/>
          <w:sz w:val="24"/>
          <w:szCs w:val="24"/>
          <w:lang w:eastAsia="zh-CN"/>
        </w:rPr>
        <w:t xml:space="preserve"> </w:t>
      </w:r>
      <w:r w:rsidR="005E2661" w:rsidRPr="00F14AE8">
        <w:rPr>
          <w:rFonts w:ascii="Book Antiqua" w:hAnsi="Book Antiqua"/>
          <w:sz w:val="24"/>
          <w:szCs w:val="24"/>
        </w:rPr>
        <w:t>Kidambi</w:t>
      </w:r>
      <w:r w:rsidRPr="00F14AE8">
        <w:rPr>
          <w:rFonts w:ascii="Book Antiqua" w:hAnsi="Book Antiqua"/>
          <w:sz w:val="24"/>
          <w:szCs w:val="24"/>
        </w:rPr>
        <w:t xml:space="preserve">, </w:t>
      </w:r>
      <w:r w:rsidR="005E2661" w:rsidRPr="00F14AE8">
        <w:rPr>
          <w:rFonts w:ascii="Book Antiqua" w:hAnsi="Book Antiqua"/>
          <w:sz w:val="24"/>
          <w:szCs w:val="24"/>
        </w:rPr>
        <w:t>Gabriela Schmajuk</w:t>
      </w:r>
      <w:r w:rsidR="008C74B7" w:rsidRPr="00F14AE8">
        <w:rPr>
          <w:rFonts w:ascii="Book Antiqua" w:hAnsi="Book Antiqua"/>
          <w:sz w:val="24"/>
          <w:szCs w:val="24"/>
        </w:rPr>
        <w:t>, Andrew J</w:t>
      </w:r>
      <w:r w:rsidR="005E2661" w:rsidRPr="00F14AE8">
        <w:rPr>
          <w:rFonts w:ascii="Book Antiqua" w:hAnsi="Book Antiqua"/>
          <w:sz w:val="24"/>
          <w:szCs w:val="24"/>
          <w:lang w:eastAsia="zh-CN"/>
        </w:rPr>
        <w:t xml:space="preserve"> </w:t>
      </w:r>
      <w:r w:rsidR="005E2661" w:rsidRPr="00F14AE8">
        <w:rPr>
          <w:rFonts w:ascii="Book Antiqua" w:hAnsi="Book Antiqua"/>
          <w:sz w:val="24"/>
          <w:szCs w:val="24"/>
        </w:rPr>
        <w:t>Gross</w:t>
      </w:r>
      <w:r w:rsidR="008C74B7" w:rsidRPr="00F14AE8">
        <w:rPr>
          <w:rFonts w:ascii="Book Antiqua" w:hAnsi="Book Antiqua"/>
          <w:sz w:val="24"/>
          <w:szCs w:val="24"/>
        </w:rPr>
        <w:t xml:space="preserve">, </w:t>
      </w:r>
      <w:r w:rsidR="00564634" w:rsidRPr="00F14AE8">
        <w:rPr>
          <w:rFonts w:ascii="Book Antiqua" w:hAnsi="Book Antiqua"/>
          <w:sz w:val="24"/>
          <w:szCs w:val="24"/>
        </w:rPr>
        <w:t>James W</w:t>
      </w:r>
      <w:r w:rsidR="005E2661" w:rsidRPr="00F14AE8">
        <w:rPr>
          <w:rFonts w:ascii="Book Antiqua" w:hAnsi="Book Antiqua"/>
          <w:sz w:val="24"/>
          <w:szCs w:val="24"/>
          <w:lang w:eastAsia="zh-CN"/>
        </w:rPr>
        <w:t xml:space="preserve"> </w:t>
      </w:r>
      <w:r w:rsidR="005E2661" w:rsidRPr="00F14AE8">
        <w:rPr>
          <w:rFonts w:ascii="Book Antiqua" w:hAnsi="Book Antiqua"/>
          <w:sz w:val="24"/>
          <w:szCs w:val="24"/>
        </w:rPr>
        <w:t>Ostroff</w:t>
      </w:r>
      <w:r w:rsidR="00564634" w:rsidRPr="00F14AE8">
        <w:rPr>
          <w:rFonts w:ascii="Book Antiqua" w:hAnsi="Book Antiqua"/>
          <w:sz w:val="24"/>
          <w:szCs w:val="24"/>
        </w:rPr>
        <w:t xml:space="preserve">, </w:t>
      </w:r>
      <w:r w:rsidRPr="00F14AE8">
        <w:rPr>
          <w:rFonts w:ascii="Book Antiqua" w:hAnsi="Book Antiqua"/>
          <w:sz w:val="24"/>
          <w:szCs w:val="24"/>
        </w:rPr>
        <w:t>Jonathan P</w:t>
      </w:r>
      <w:r w:rsidR="005E2661" w:rsidRPr="00F14AE8">
        <w:rPr>
          <w:rFonts w:ascii="Book Antiqua" w:hAnsi="Book Antiqua"/>
          <w:sz w:val="24"/>
          <w:szCs w:val="24"/>
          <w:lang w:eastAsia="zh-CN"/>
        </w:rPr>
        <w:t xml:space="preserve"> </w:t>
      </w:r>
      <w:r w:rsidR="005E2661" w:rsidRPr="00F14AE8">
        <w:rPr>
          <w:rFonts w:ascii="Book Antiqua" w:hAnsi="Book Antiqua"/>
          <w:sz w:val="24"/>
          <w:szCs w:val="24"/>
        </w:rPr>
        <w:t>Terdiman</w:t>
      </w:r>
      <w:r w:rsidRPr="00F14AE8">
        <w:rPr>
          <w:rFonts w:ascii="Book Antiqua" w:hAnsi="Book Antiqua"/>
          <w:sz w:val="24"/>
          <w:szCs w:val="24"/>
        </w:rPr>
        <w:t>, Jeffrey K</w:t>
      </w:r>
      <w:r w:rsidR="005E2661" w:rsidRPr="00F14AE8">
        <w:rPr>
          <w:rFonts w:ascii="Book Antiqua" w:hAnsi="Book Antiqua"/>
          <w:sz w:val="24"/>
          <w:szCs w:val="24"/>
          <w:lang w:eastAsia="zh-CN"/>
        </w:rPr>
        <w:t xml:space="preserve"> </w:t>
      </w:r>
      <w:r w:rsidRPr="00F14AE8">
        <w:rPr>
          <w:rFonts w:ascii="Book Antiqua" w:hAnsi="Book Antiqua"/>
          <w:sz w:val="24"/>
          <w:szCs w:val="24"/>
        </w:rPr>
        <w:t xml:space="preserve">Lee </w:t>
      </w:r>
    </w:p>
    <w:p w:rsidR="005E2661" w:rsidRPr="00F14AE8" w:rsidRDefault="005E2661" w:rsidP="00F14AE8">
      <w:pPr>
        <w:spacing w:after="0" w:line="360" w:lineRule="auto"/>
        <w:jc w:val="both"/>
        <w:rPr>
          <w:rFonts w:ascii="Book Antiqua" w:hAnsi="Book Antiqua"/>
          <w:sz w:val="24"/>
          <w:szCs w:val="24"/>
          <w:lang w:eastAsia="zh-CN"/>
        </w:rPr>
      </w:pPr>
    </w:p>
    <w:p w:rsidR="008C3E4D" w:rsidRPr="00F14AE8" w:rsidRDefault="005E2661" w:rsidP="00F14AE8">
      <w:pPr>
        <w:spacing w:after="0" w:line="360" w:lineRule="auto"/>
        <w:jc w:val="both"/>
        <w:rPr>
          <w:rFonts w:ascii="Book Antiqua" w:hAnsi="Book Antiqua"/>
          <w:sz w:val="24"/>
          <w:szCs w:val="24"/>
          <w:lang w:eastAsia="zh-CN"/>
        </w:rPr>
      </w:pPr>
      <w:r w:rsidRPr="00F14AE8">
        <w:rPr>
          <w:rFonts w:ascii="Book Antiqua" w:hAnsi="Book Antiqua"/>
          <w:b/>
          <w:sz w:val="24"/>
          <w:szCs w:val="24"/>
        </w:rPr>
        <w:t>Trilokesh D</w:t>
      </w:r>
      <w:r w:rsidRPr="00F14AE8">
        <w:rPr>
          <w:rFonts w:ascii="Book Antiqua" w:hAnsi="Book Antiqua"/>
          <w:b/>
          <w:sz w:val="24"/>
          <w:szCs w:val="24"/>
          <w:lang w:eastAsia="zh-CN"/>
        </w:rPr>
        <w:t xml:space="preserve"> </w:t>
      </w:r>
      <w:r w:rsidRPr="00F14AE8">
        <w:rPr>
          <w:rFonts w:ascii="Book Antiqua" w:hAnsi="Book Antiqua"/>
          <w:b/>
          <w:sz w:val="24"/>
          <w:szCs w:val="24"/>
        </w:rPr>
        <w:t>Kidambi, ames W</w:t>
      </w:r>
      <w:r w:rsidRPr="00F14AE8">
        <w:rPr>
          <w:rFonts w:ascii="Book Antiqua" w:hAnsi="Book Antiqua"/>
          <w:b/>
          <w:sz w:val="24"/>
          <w:szCs w:val="24"/>
          <w:lang w:eastAsia="zh-CN"/>
        </w:rPr>
        <w:t xml:space="preserve"> </w:t>
      </w:r>
      <w:r w:rsidRPr="00F14AE8">
        <w:rPr>
          <w:rFonts w:ascii="Book Antiqua" w:hAnsi="Book Antiqua"/>
          <w:b/>
          <w:sz w:val="24"/>
          <w:szCs w:val="24"/>
        </w:rPr>
        <w:t>Ostroff, Jonathan P</w:t>
      </w:r>
      <w:r w:rsidRPr="00F14AE8">
        <w:rPr>
          <w:rFonts w:ascii="Book Antiqua" w:hAnsi="Book Antiqua"/>
          <w:b/>
          <w:sz w:val="24"/>
          <w:szCs w:val="24"/>
          <w:lang w:eastAsia="zh-CN"/>
        </w:rPr>
        <w:t xml:space="preserve"> </w:t>
      </w:r>
      <w:r w:rsidRPr="00F14AE8">
        <w:rPr>
          <w:rFonts w:ascii="Book Antiqua" w:hAnsi="Book Antiqua"/>
          <w:b/>
          <w:sz w:val="24"/>
          <w:szCs w:val="24"/>
        </w:rPr>
        <w:t>Terdiman, Jeffrey K</w:t>
      </w:r>
      <w:r w:rsidRPr="00F14AE8">
        <w:rPr>
          <w:rFonts w:ascii="Book Antiqua" w:hAnsi="Book Antiqua"/>
          <w:b/>
          <w:sz w:val="24"/>
          <w:szCs w:val="24"/>
          <w:lang w:eastAsia="zh-CN"/>
        </w:rPr>
        <w:t xml:space="preserve"> </w:t>
      </w:r>
      <w:r w:rsidRPr="00F14AE8">
        <w:rPr>
          <w:rFonts w:ascii="Book Antiqua" w:hAnsi="Book Antiqua"/>
          <w:b/>
          <w:sz w:val="24"/>
          <w:szCs w:val="24"/>
        </w:rPr>
        <w:t>Lee</w:t>
      </w:r>
      <w:r w:rsidRPr="00F14AE8">
        <w:rPr>
          <w:rFonts w:ascii="Book Antiqua" w:hAnsi="Book Antiqua"/>
          <w:b/>
          <w:sz w:val="24"/>
          <w:szCs w:val="24"/>
          <w:lang w:eastAsia="zh-CN"/>
        </w:rPr>
        <w:t xml:space="preserve">, </w:t>
      </w:r>
      <w:r w:rsidRPr="00F14AE8">
        <w:rPr>
          <w:rFonts w:ascii="Book Antiqua" w:hAnsi="Book Antiqua"/>
          <w:sz w:val="24"/>
          <w:szCs w:val="24"/>
          <w:lang w:eastAsia="zh-CN"/>
        </w:rPr>
        <w:t xml:space="preserve"> </w:t>
      </w:r>
      <w:r w:rsidR="008C3E4D" w:rsidRPr="00F14AE8">
        <w:rPr>
          <w:rFonts w:ascii="Book Antiqua" w:hAnsi="Book Antiqua"/>
          <w:sz w:val="24"/>
          <w:szCs w:val="24"/>
        </w:rPr>
        <w:t xml:space="preserve">Division of Gastroenterology, University of California, </w:t>
      </w:r>
      <w:r w:rsidRPr="00F14AE8">
        <w:rPr>
          <w:rFonts w:ascii="Book Antiqua" w:hAnsi="Book Antiqua"/>
          <w:sz w:val="24"/>
          <w:szCs w:val="24"/>
          <w:lang w:eastAsia="zh-CN"/>
        </w:rPr>
        <w:t xml:space="preserve"> </w:t>
      </w:r>
      <w:r w:rsidR="008C3E4D" w:rsidRPr="00F14AE8">
        <w:rPr>
          <w:rFonts w:ascii="Book Antiqua" w:hAnsi="Book Antiqua"/>
          <w:sz w:val="24"/>
          <w:szCs w:val="24"/>
        </w:rPr>
        <w:t xml:space="preserve">San Francisco, </w:t>
      </w:r>
      <w:r w:rsidRPr="00F14AE8">
        <w:rPr>
          <w:rFonts w:ascii="Book Antiqua" w:hAnsi="Book Antiqua"/>
          <w:sz w:val="24"/>
          <w:szCs w:val="24"/>
          <w:lang w:eastAsia="zh-CN"/>
        </w:rPr>
        <w:t xml:space="preserve">CA </w:t>
      </w:r>
      <w:r w:rsidRPr="00F14AE8">
        <w:rPr>
          <w:rFonts w:ascii="Book Antiqua" w:hAnsi="Book Antiqua"/>
          <w:color w:val="000000"/>
          <w:sz w:val="24"/>
          <w:szCs w:val="24"/>
        </w:rPr>
        <w:t>94115</w:t>
      </w:r>
      <w:r w:rsidR="008C3E4D" w:rsidRPr="00F14AE8">
        <w:rPr>
          <w:rFonts w:ascii="Book Antiqua" w:hAnsi="Book Antiqua"/>
          <w:sz w:val="24"/>
          <w:szCs w:val="24"/>
        </w:rPr>
        <w:t xml:space="preserve">, </w:t>
      </w:r>
      <w:r w:rsidRPr="00F14AE8">
        <w:rPr>
          <w:rFonts w:ascii="Book Antiqua" w:hAnsi="Book Antiqua"/>
          <w:sz w:val="24"/>
          <w:szCs w:val="24"/>
        </w:rPr>
        <w:t>United States</w:t>
      </w:r>
    </w:p>
    <w:p w:rsidR="005E2661" w:rsidRPr="00F14AE8" w:rsidRDefault="005E2661" w:rsidP="00F14AE8">
      <w:pPr>
        <w:spacing w:after="0" w:line="360" w:lineRule="auto"/>
        <w:jc w:val="both"/>
        <w:rPr>
          <w:rFonts w:ascii="Book Antiqua" w:hAnsi="Book Antiqua"/>
          <w:b/>
          <w:sz w:val="24"/>
          <w:szCs w:val="24"/>
          <w:lang w:eastAsia="zh-CN"/>
        </w:rPr>
      </w:pPr>
    </w:p>
    <w:p w:rsidR="005E2661" w:rsidRPr="00F14AE8" w:rsidRDefault="005E2661" w:rsidP="00F14AE8">
      <w:pPr>
        <w:spacing w:after="0" w:line="360" w:lineRule="auto"/>
        <w:jc w:val="both"/>
        <w:rPr>
          <w:rFonts w:ascii="Book Antiqua" w:hAnsi="Book Antiqua"/>
          <w:sz w:val="24"/>
          <w:szCs w:val="24"/>
          <w:lang w:eastAsia="zh-CN"/>
        </w:rPr>
      </w:pPr>
      <w:r w:rsidRPr="00F14AE8">
        <w:rPr>
          <w:rFonts w:ascii="Book Antiqua" w:hAnsi="Book Antiqua"/>
          <w:b/>
          <w:sz w:val="24"/>
          <w:szCs w:val="24"/>
        </w:rPr>
        <w:t>Gabriela Schmajuk, Andrew J</w:t>
      </w:r>
      <w:r w:rsidRPr="00F14AE8">
        <w:rPr>
          <w:rFonts w:ascii="Book Antiqua" w:hAnsi="Book Antiqua"/>
          <w:b/>
          <w:sz w:val="24"/>
          <w:szCs w:val="24"/>
          <w:lang w:eastAsia="zh-CN"/>
        </w:rPr>
        <w:t xml:space="preserve"> </w:t>
      </w:r>
      <w:r w:rsidRPr="00F14AE8">
        <w:rPr>
          <w:rFonts w:ascii="Book Antiqua" w:hAnsi="Book Antiqua"/>
          <w:b/>
          <w:sz w:val="24"/>
          <w:szCs w:val="24"/>
        </w:rPr>
        <w:t>Gross,</w:t>
      </w:r>
      <w:r w:rsidRPr="00F14AE8">
        <w:rPr>
          <w:rFonts w:ascii="Book Antiqua" w:hAnsi="Book Antiqua"/>
          <w:b/>
          <w:sz w:val="24"/>
          <w:szCs w:val="24"/>
          <w:lang w:eastAsia="zh-CN"/>
        </w:rPr>
        <w:t xml:space="preserve"> </w:t>
      </w:r>
      <w:r w:rsidR="008C74B7" w:rsidRPr="00F14AE8">
        <w:rPr>
          <w:rFonts w:ascii="Book Antiqua" w:hAnsi="Book Antiqua"/>
          <w:sz w:val="24"/>
          <w:szCs w:val="24"/>
        </w:rPr>
        <w:t xml:space="preserve">Division of Rheumatology, University of California, San Francisco, San Francisco, </w:t>
      </w:r>
      <w:r w:rsidRPr="00F14AE8">
        <w:rPr>
          <w:rFonts w:ascii="Book Antiqua" w:hAnsi="Book Antiqua"/>
          <w:sz w:val="24"/>
          <w:szCs w:val="24"/>
          <w:lang w:eastAsia="zh-CN"/>
        </w:rPr>
        <w:t xml:space="preserve">CA </w:t>
      </w:r>
      <w:r w:rsidRPr="00F14AE8">
        <w:rPr>
          <w:rFonts w:ascii="Book Antiqua" w:hAnsi="Book Antiqua"/>
          <w:color w:val="000000"/>
          <w:sz w:val="24"/>
          <w:szCs w:val="24"/>
        </w:rPr>
        <w:t>94115</w:t>
      </w:r>
      <w:r w:rsidR="008C74B7" w:rsidRPr="00F14AE8">
        <w:rPr>
          <w:rFonts w:ascii="Book Antiqua" w:hAnsi="Book Antiqua"/>
          <w:sz w:val="24"/>
          <w:szCs w:val="24"/>
        </w:rPr>
        <w:t>,</w:t>
      </w:r>
      <w:r w:rsidRPr="00F14AE8">
        <w:rPr>
          <w:rFonts w:ascii="Book Antiqua" w:hAnsi="Book Antiqua"/>
          <w:sz w:val="24"/>
          <w:szCs w:val="24"/>
        </w:rPr>
        <w:t xml:space="preserve"> United States</w:t>
      </w:r>
    </w:p>
    <w:p w:rsidR="008C3E4D" w:rsidRPr="00F14AE8" w:rsidRDefault="008C74B7"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br/>
      </w:r>
      <w:r w:rsidR="005E2661" w:rsidRPr="00F14AE8">
        <w:rPr>
          <w:rFonts w:ascii="Book Antiqua" w:hAnsi="Book Antiqua"/>
          <w:b/>
          <w:sz w:val="24"/>
          <w:szCs w:val="24"/>
        </w:rPr>
        <w:t>Andrew J</w:t>
      </w:r>
      <w:r w:rsidR="005E2661" w:rsidRPr="00F14AE8">
        <w:rPr>
          <w:rFonts w:ascii="Book Antiqua" w:hAnsi="Book Antiqua"/>
          <w:b/>
          <w:sz w:val="24"/>
          <w:szCs w:val="24"/>
          <w:lang w:eastAsia="zh-CN"/>
        </w:rPr>
        <w:t xml:space="preserve"> </w:t>
      </w:r>
      <w:r w:rsidR="005E2661" w:rsidRPr="00F14AE8">
        <w:rPr>
          <w:rFonts w:ascii="Book Antiqua" w:hAnsi="Book Antiqua"/>
          <w:b/>
          <w:sz w:val="24"/>
          <w:szCs w:val="24"/>
        </w:rPr>
        <w:t>Gross,</w:t>
      </w:r>
      <w:r w:rsidR="005E2661" w:rsidRPr="00F14AE8">
        <w:rPr>
          <w:rFonts w:ascii="Book Antiqua" w:hAnsi="Book Antiqua"/>
          <w:sz w:val="24"/>
          <w:szCs w:val="24"/>
        </w:rPr>
        <w:t xml:space="preserve"> </w:t>
      </w:r>
      <w:r w:rsidRPr="00F14AE8">
        <w:rPr>
          <w:rFonts w:ascii="Book Antiqua" w:hAnsi="Book Antiqua"/>
          <w:sz w:val="24"/>
          <w:szCs w:val="24"/>
        </w:rPr>
        <w:t xml:space="preserve">Division of Rheumatology, San Francisco Veterans </w:t>
      </w:r>
      <w:r w:rsidR="005E2661" w:rsidRPr="00F14AE8">
        <w:rPr>
          <w:rFonts w:ascii="Book Antiqua" w:hAnsi="Book Antiqua"/>
          <w:sz w:val="24"/>
          <w:szCs w:val="24"/>
        </w:rPr>
        <w:t>Affairs Medical</w:t>
      </w:r>
      <w:r w:rsidRPr="00F14AE8">
        <w:rPr>
          <w:rFonts w:ascii="Book Antiqua" w:hAnsi="Book Antiqua"/>
          <w:sz w:val="24"/>
          <w:szCs w:val="24"/>
        </w:rPr>
        <w:t xml:space="preserve"> Center, San Francisco, </w:t>
      </w:r>
      <w:r w:rsidR="005E2661" w:rsidRPr="00F14AE8">
        <w:rPr>
          <w:rFonts w:ascii="Book Antiqua" w:hAnsi="Book Antiqua"/>
          <w:sz w:val="24"/>
          <w:szCs w:val="24"/>
          <w:lang w:eastAsia="zh-CN"/>
        </w:rPr>
        <w:t xml:space="preserve">CA </w:t>
      </w:r>
      <w:r w:rsidR="005E2661" w:rsidRPr="00F14AE8">
        <w:rPr>
          <w:rFonts w:ascii="Book Antiqua" w:hAnsi="Book Antiqua"/>
          <w:color w:val="000000"/>
          <w:sz w:val="24"/>
          <w:szCs w:val="24"/>
        </w:rPr>
        <w:t>94115</w:t>
      </w:r>
      <w:r w:rsidRPr="00F14AE8">
        <w:rPr>
          <w:rFonts w:ascii="Book Antiqua" w:hAnsi="Book Antiqua"/>
          <w:sz w:val="24"/>
          <w:szCs w:val="24"/>
        </w:rPr>
        <w:t xml:space="preserve">, </w:t>
      </w:r>
      <w:r w:rsidR="005E2661" w:rsidRPr="00F14AE8">
        <w:rPr>
          <w:rFonts w:ascii="Book Antiqua" w:hAnsi="Book Antiqua"/>
          <w:sz w:val="24"/>
          <w:szCs w:val="24"/>
        </w:rPr>
        <w:t>United States</w:t>
      </w:r>
    </w:p>
    <w:p w:rsidR="005E2661" w:rsidRPr="00F14AE8" w:rsidRDefault="005E2661" w:rsidP="00F14AE8">
      <w:pPr>
        <w:spacing w:after="0" w:line="360" w:lineRule="auto"/>
        <w:jc w:val="both"/>
        <w:rPr>
          <w:rFonts w:ascii="Book Antiqua" w:hAnsi="Book Antiqua"/>
          <w:sz w:val="24"/>
          <w:szCs w:val="24"/>
          <w:lang w:eastAsia="zh-CN"/>
        </w:rPr>
      </w:pPr>
    </w:p>
    <w:p w:rsidR="00AA3EB5" w:rsidRPr="00F14AE8" w:rsidRDefault="0056134A" w:rsidP="00F14AE8">
      <w:pPr>
        <w:pStyle w:val="ListParagraph"/>
        <w:spacing w:after="0" w:line="360" w:lineRule="auto"/>
        <w:ind w:left="0"/>
        <w:jc w:val="both"/>
        <w:rPr>
          <w:rFonts w:ascii="Book Antiqua" w:hAnsi="Book Antiqua"/>
          <w:sz w:val="24"/>
          <w:szCs w:val="24"/>
          <w:lang w:eastAsia="zh-CN"/>
        </w:rPr>
      </w:pPr>
      <w:r w:rsidRPr="00F14AE8">
        <w:rPr>
          <w:rFonts w:ascii="Book Antiqua" w:hAnsi="Book Antiqua"/>
          <w:b/>
          <w:sz w:val="24"/>
          <w:szCs w:val="24"/>
        </w:rPr>
        <w:t>Author contributions:</w:t>
      </w:r>
      <w:r w:rsidR="005E2661" w:rsidRPr="00F14AE8">
        <w:rPr>
          <w:rFonts w:ascii="Book Antiqua" w:hAnsi="Book Antiqua"/>
          <w:sz w:val="24"/>
          <w:szCs w:val="24"/>
          <w:lang w:eastAsia="zh-CN"/>
        </w:rPr>
        <w:t xml:space="preserve"> </w:t>
      </w:r>
      <w:r w:rsidR="00AA3EB5" w:rsidRPr="00F14AE8">
        <w:rPr>
          <w:rFonts w:ascii="Book Antiqua" w:hAnsi="Book Antiqua"/>
          <w:sz w:val="24"/>
          <w:szCs w:val="24"/>
        </w:rPr>
        <w:t>Kidambi</w:t>
      </w:r>
      <w:r w:rsidR="005E2661" w:rsidRPr="00F14AE8">
        <w:rPr>
          <w:rFonts w:ascii="Book Antiqua" w:hAnsi="Book Antiqua"/>
          <w:sz w:val="24"/>
          <w:szCs w:val="24"/>
          <w:lang w:eastAsia="zh-CN"/>
        </w:rPr>
        <w:t xml:space="preserve"> TD </w:t>
      </w:r>
      <w:r w:rsidR="00AA3EB5" w:rsidRPr="00F14AE8">
        <w:rPr>
          <w:rFonts w:ascii="Book Antiqua" w:hAnsi="Book Antiqua"/>
          <w:sz w:val="24"/>
          <w:szCs w:val="24"/>
        </w:rPr>
        <w:t>study concept and design, data acquisition, analysis and interpretation, drafting of manuscript,</w:t>
      </w:r>
      <w:r w:rsidR="003530DE">
        <w:rPr>
          <w:rFonts w:ascii="Book Antiqua" w:hAnsi="Book Antiqua" w:hint="eastAsia"/>
          <w:sz w:val="24"/>
          <w:szCs w:val="24"/>
          <w:lang w:eastAsia="zh-CN"/>
        </w:rPr>
        <w:t xml:space="preserve"> </w:t>
      </w:r>
      <w:r w:rsidR="00AA3EB5" w:rsidRPr="00F14AE8">
        <w:rPr>
          <w:rFonts w:ascii="Book Antiqua" w:hAnsi="Book Antiqua"/>
          <w:sz w:val="24"/>
          <w:szCs w:val="24"/>
        </w:rPr>
        <w:t>critical revision of manuscript</w:t>
      </w:r>
      <w:r w:rsidR="005E2661" w:rsidRPr="00F14AE8">
        <w:rPr>
          <w:rFonts w:ascii="Book Antiqua" w:hAnsi="Book Antiqua"/>
          <w:sz w:val="24"/>
          <w:szCs w:val="24"/>
          <w:lang w:eastAsia="zh-CN"/>
        </w:rPr>
        <w:t>;</w:t>
      </w:r>
      <w:r w:rsidR="00AA3EB5" w:rsidRPr="00F14AE8">
        <w:rPr>
          <w:rFonts w:ascii="Book Antiqua" w:hAnsi="Book Antiqua"/>
          <w:sz w:val="24"/>
          <w:szCs w:val="24"/>
        </w:rPr>
        <w:t xml:space="preserve"> He has approved th</w:t>
      </w:r>
      <w:r w:rsidR="005E2661" w:rsidRPr="00F14AE8">
        <w:rPr>
          <w:rFonts w:ascii="Book Antiqua" w:hAnsi="Book Antiqua"/>
          <w:sz w:val="24"/>
          <w:szCs w:val="24"/>
        </w:rPr>
        <w:t>e final draft of the manuscript</w:t>
      </w:r>
      <w:r w:rsidR="005E2661" w:rsidRPr="00F14AE8">
        <w:rPr>
          <w:rFonts w:ascii="Book Antiqua" w:hAnsi="Book Antiqua"/>
          <w:sz w:val="24"/>
          <w:szCs w:val="24"/>
          <w:lang w:eastAsia="zh-CN"/>
        </w:rPr>
        <w:t xml:space="preserve">; </w:t>
      </w:r>
      <w:r w:rsidR="00AA3EB5" w:rsidRPr="00F14AE8">
        <w:rPr>
          <w:rFonts w:ascii="Book Antiqua" w:hAnsi="Book Antiqua"/>
          <w:sz w:val="24"/>
          <w:szCs w:val="24"/>
        </w:rPr>
        <w:t>Schmajuk</w:t>
      </w:r>
      <w:r w:rsidR="005E2661" w:rsidRPr="00F14AE8">
        <w:rPr>
          <w:rFonts w:ascii="Book Antiqua" w:hAnsi="Book Antiqua"/>
          <w:sz w:val="24"/>
          <w:szCs w:val="24"/>
          <w:lang w:eastAsia="zh-CN"/>
        </w:rPr>
        <w:t xml:space="preserve"> G </w:t>
      </w:r>
      <w:r w:rsidR="00AA3EB5" w:rsidRPr="00F14AE8">
        <w:rPr>
          <w:rFonts w:ascii="Book Antiqua" w:hAnsi="Book Antiqua"/>
          <w:sz w:val="24"/>
          <w:szCs w:val="24"/>
        </w:rPr>
        <w:t>study concept, data acquisition, critical revision of manuscript. She has approved th</w:t>
      </w:r>
      <w:r w:rsidR="005E2661" w:rsidRPr="00F14AE8">
        <w:rPr>
          <w:rFonts w:ascii="Book Antiqua" w:hAnsi="Book Antiqua"/>
          <w:sz w:val="24"/>
          <w:szCs w:val="24"/>
        </w:rPr>
        <w:t>e final draft of the manuscript</w:t>
      </w:r>
      <w:r w:rsidR="005E2661" w:rsidRPr="00F14AE8">
        <w:rPr>
          <w:rFonts w:ascii="Book Antiqua" w:hAnsi="Book Antiqua"/>
          <w:sz w:val="24"/>
          <w:szCs w:val="24"/>
          <w:lang w:eastAsia="zh-CN"/>
        </w:rPr>
        <w:t xml:space="preserve">; </w:t>
      </w:r>
      <w:r w:rsidR="00AA3EB5" w:rsidRPr="00F14AE8">
        <w:rPr>
          <w:rFonts w:ascii="Book Antiqua" w:hAnsi="Book Antiqua"/>
          <w:sz w:val="24"/>
          <w:szCs w:val="24"/>
        </w:rPr>
        <w:t>Gross</w:t>
      </w:r>
      <w:r w:rsidR="005E2661" w:rsidRPr="00F14AE8">
        <w:rPr>
          <w:rFonts w:ascii="Book Antiqua" w:hAnsi="Book Antiqua"/>
          <w:sz w:val="24"/>
          <w:szCs w:val="24"/>
          <w:lang w:eastAsia="zh-CN"/>
        </w:rPr>
        <w:t xml:space="preserve"> AJ </w:t>
      </w:r>
      <w:r w:rsidR="00AA3EB5" w:rsidRPr="00F14AE8">
        <w:rPr>
          <w:rFonts w:ascii="Book Antiqua" w:hAnsi="Book Antiqua"/>
          <w:sz w:val="24"/>
          <w:szCs w:val="24"/>
        </w:rPr>
        <w:t>study concept, critical revision of manuscript. He has approved th</w:t>
      </w:r>
      <w:r w:rsidR="005E2661" w:rsidRPr="00F14AE8">
        <w:rPr>
          <w:rFonts w:ascii="Book Antiqua" w:hAnsi="Book Antiqua"/>
          <w:sz w:val="24"/>
          <w:szCs w:val="24"/>
        </w:rPr>
        <w:t>e final draft of the manuscript</w:t>
      </w:r>
      <w:r w:rsidR="005E2661" w:rsidRPr="00F14AE8">
        <w:rPr>
          <w:rFonts w:ascii="Book Antiqua" w:hAnsi="Book Antiqua"/>
          <w:sz w:val="24"/>
          <w:szCs w:val="24"/>
          <w:lang w:eastAsia="zh-CN"/>
        </w:rPr>
        <w:t xml:space="preserve">; </w:t>
      </w:r>
      <w:r w:rsidR="00AA3EB5" w:rsidRPr="00F14AE8">
        <w:rPr>
          <w:rFonts w:ascii="Book Antiqua" w:hAnsi="Book Antiqua"/>
          <w:sz w:val="24"/>
          <w:szCs w:val="24"/>
        </w:rPr>
        <w:t>Terdiman</w:t>
      </w:r>
      <w:r w:rsidR="005E2661" w:rsidRPr="00F14AE8">
        <w:rPr>
          <w:rFonts w:ascii="Book Antiqua" w:hAnsi="Book Antiqua"/>
          <w:sz w:val="24"/>
          <w:szCs w:val="24"/>
          <w:lang w:eastAsia="zh-CN"/>
        </w:rPr>
        <w:t xml:space="preserve"> JP </w:t>
      </w:r>
      <w:r w:rsidR="005E2661" w:rsidRPr="00F14AE8">
        <w:rPr>
          <w:rFonts w:ascii="Book Antiqua" w:hAnsi="Book Antiqua"/>
          <w:sz w:val="24"/>
          <w:szCs w:val="24"/>
        </w:rPr>
        <w:t>study</w:t>
      </w:r>
      <w:r w:rsidR="005E2661" w:rsidRPr="00F14AE8">
        <w:rPr>
          <w:rFonts w:ascii="Book Antiqua" w:hAnsi="Book Antiqua"/>
          <w:sz w:val="24"/>
          <w:szCs w:val="24"/>
          <w:lang w:eastAsia="zh-CN"/>
        </w:rPr>
        <w:t xml:space="preserve"> </w:t>
      </w:r>
      <w:r w:rsidR="00AA3EB5" w:rsidRPr="00F14AE8">
        <w:rPr>
          <w:rFonts w:ascii="Book Antiqua" w:hAnsi="Book Antiqua"/>
          <w:sz w:val="24"/>
          <w:szCs w:val="24"/>
        </w:rPr>
        <w:t xml:space="preserve">concept, critical revision of manuscript. He has </w:t>
      </w:r>
      <w:r w:rsidR="00AA3EB5" w:rsidRPr="00F14AE8">
        <w:rPr>
          <w:rFonts w:ascii="Book Antiqua" w:hAnsi="Book Antiqua"/>
          <w:sz w:val="24"/>
          <w:szCs w:val="24"/>
        </w:rPr>
        <w:lastRenderedPageBreak/>
        <w:t>approved th</w:t>
      </w:r>
      <w:r w:rsidR="005E2661" w:rsidRPr="00F14AE8">
        <w:rPr>
          <w:rFonts w:ascii="Book Antiqua" w:hAnsi="Book Antiqua"/>
          <w:sz w:val="24"/>
          <w:szCs w:val="24"/>
        </w:rPr>
        <w:t>e final draft of the manuscript</w:t>
      </w:r>
      <w:r w:rsidR="005E2661" w:rsidRPr="00F14AE8">
        <w:rPr>
          <w:rFonts w:ascii="Book Antiqua" w:hAnsi="Book Antiqua"/>
          <w:sz w:val="24"/>
          <w:szCs w:val="24"/>
          <w:lang w:eastAsia="zh-CN"/>
        </w:rPr>
        <w:t xml:space="preserve">; </w:t>
      </w:r>
      <w:r w:rsidR="00AA3EB5" w:rsidRPr="00F14AE8">
        <w:rPr>
          <w:rFonts w:ascii="Book Antiqua" w:hAnsi="Book Antiqua"/>
          <w:sz w:val="24"/>
          <w:szCs w:val="24"/>
        </w:rPr>
        <w:t>Lee</w:t>
      </w:r>
      <w:r w:rsidR="005E2661" w:rsidRPr="00F14AE8">
        <w:rPr>
          <w:rFonts w:ascii="Book Antiqua" w:hAnsi="Book Antiqua"/>
          <w:sz w:val="24"/>
          <w:szCs w:val="24"/>
          <w:lang w:eastAsia="zh-CN"/>
        </w:rPr>
        <w:t xml:space="preserve"> JK </w:t>
      </w:r>
      <w:r w:rsidR="00AA3EB5" w:rsidRPr="00F14AE8">
        <w:rPr>
          <w:rFonts w:ascii="Book Antiqua" w:hAnsi="Book Antiqua"/>
          <w:sz w:val="24"/>
          <w:szCs w:val="24"/>
        </w:rPr>
        <w:t>study concept and design, data interpretation, drafting of manuscript, critical revision of manuscript, study supervision. He has approved the final draft of the manuscript.</w:t>
      </w:r>
    </w:p>
    <w:p w:rsidR="00CF32FA" w:rsidRPr="00F14AE8" w:rsidRDefault="00CF32FA" w:rsidP="00F14AE8">
      <w:pPr>
        <w:spacing w:after="0" w:line="360" w:lineRule="auto"/>
        <w:jc w:val="both"/>
        <w:rPr>
          <w:rFonts w:ascii="Book Antiqua" w:hAnsi="Book Antiqua"/>
          <w:b/>
          <w:sz w:val="24"/>
          <w:szCs w:val="24"/>
          <w:lang w:eastAsia="zh-CN"/>
        </w:rPr>
      </w:pPr>
      <w:bookmarkStart w:id="10" w:name="OLE_LINK208"/>
      <w:bookmarkStart w:id="11" w:name="OLE_LINK209"/>
      <w:bookmarkStart w:id="12" w:name="OLE_LINK86"/>
      <w:bookmarkStart w:id="13" w:name="OLE_LINK589"/>
      <w:bookmarkStart w:id="14" w:name="OLE_LINK590"/>
      <w:r w:rsidRPr="00F14AE8">
        <w:rPr>
          <w:rFonts w:ascii="Book Antiqua" w:hAnsi="Book Antiqua"/>
          <w:b/>
          <w:bCs/>
          <w:iCs/>
          <w:color w:val="000000"/>
          <w:sz w:val="24"/>
          <w:szCs w:val="24"/>
          <w:lang w:eastAsia="zh-CN"/>
        </w:rPr>
        <w:t xml:space="preserve"> </w:t>
      </w:r>
    </w:p>
    <w:bookmarkEnd w:id="10"/>
    <w:bookmarkEnd w:id="11"/>
    <w:bookmarkEnd w:id="12"/>
    <w:bookmarkEnd w:id="13"/>
    <w:bookmarkEnd w:id="14"/>
    <w:p w:rsidR="004C1392" w:rsidRPr="00F14AE8" w:rsidRDefault="004C1392" w:rsidP="00F14AE8">
      <w:pPr>
        <w:spacing w:after="0" w:line="360" w:lineRule="auto"/>
        <w:jc w:val="both"/>
        <w:rPr>
          <w:rFonts w:ascii="Book Antiqua" w:hAnsi="Book Antiqua"/>
          <w:sz w:val="24"/>
          <w:szCs w:val="24"/>
          <w:lang w:eastAsia="zh-CN"/>
        </w:rPr>
      </w:pPr>
      <w:r w:rsidRPr="00F14AE8">
        <w:rPr>
          <w:rFonts w:ascii="Book Antiqua" w:hAnsi="Book Antiqua"/>
          <w:b/>
          <w:sz w:val="24"/>
          <w:szCs w:val="24"/>
        </w:rPr>
        <w:t xml:space="preserve">Institutional review board statement: </w:t>
      </w:r>
      <w:r w:rsidR="00EC0ED3" w:rsidRPr="00F14AE8">
        <w:rPr>
          <w:rFonts w:ascii="Book Antiqua" w:hAnsi="Book Antiqua"/>
          <w:sz w:val="24"/>
          <w:szCs w:val="24"/>
        </w:rPr>
        <w:t>The study was approved by the University of California, San Francisco Institutional Review Board.</w:t>
      </w:r>
    </w:p>
    <w:p w:rsidR="005E2661" w:rsidRPr="00F14AE8" w:rsidRDefault="005E2661" w:rsidP="00F14AE8">
      <w:pPr>
        <w:spacing w:after="0" w:line="360" w:lineRule="auto"/>
        <w:jc w:val="both"/>
        <w:rPr>
          <w:rFonts w:ascii="Book Antiqua" w:hAnsi="Book Antiqua"/>
          <w:sz w:val="24"/>
          <w:szCs w:val="24"/>
          <w:lang w:eastAsia="zh-CN"/>
        </w:rPr>
      </w:pPr>
    </w:p>
    <w:p w:rsidR="00EC0ED3" w:rsidRPr="00F14AE8" w:rsidRDefault="00EC0ED3" w:rsidP="00F14AE8">
      <w:pPr>
        <w:spacing w:after="0" w:line="360" w:lineRule="auto"/>
        <w:jc w:val="both"/>
        <w:rPr>
          <w:rFonts w:ascii="Book Antiqua" w:hAnsi="Book Antiqua"/>
          <w:sz w:val="24"/>
          <w:szCs w:val="24"/>
          <w:lang w:eastAsia="zh-CN"/>
        </w:rPr>
      </w:pPr>
      <w:r w:rsidRPr="00F14AE8">
        <w:rPr>
          <w:rFonts w:ascii="Book Antiqua" w:hAnsi="Book Antiqua"/>
          <w:b/>
          <w:sz w:val="24"/>
          <w:szCs w:val="24"/>
        </w:rPr>
        <w:t>Informed consent statement:</w:t>
      </w:r>
      <w:r w:rsidRPr="00F14AE8">
        <w:rPr>
          <w:rFonts w:ascii="Book Antiqua" w:hAnsi="Book Antiqua"/>
          <w:sz w:val="24"/>
          <w:szCs w:val="24"/>
        </w:rPr>
        <w:t xml:space="preserve"> Waived by institutional review board given retrospective nature of the study.</w:t>
      </w:r>
    </w:p>
    <w:p w:rsidR="005E2661" w:rsidRPr="00F14AE8" w:rsidRDefault="005E2661" w:rsidP="00F14AE8">
      <w:pPr>
        <w:spacing w:after="0" w:line="360" w:lineRule="auto"/>
        <w:jc w:val="both"/>
        <w:rPr>
          <w:rFonts w:ascii="Book Antiqua" w:hAnsi="Book Antiqua"/>
          <w:sz w:val="24"/>
          <w:szCs w:val="24"/>
          <w:lang w:eastAsia="zh-CN"/>
        </w:rPr>
      </w:pPr>
    </w:p>
    <w:p w:rsidR="005E2661" w:rsidRPr="00F14AE8" w:rsidRDefault="005E2661" w:rsidP="00F14AE8">
      <w:pPr>
        <w:autoSpaceDE w:val="0"/>
        <w:autoSpaceDN w:val="0"/>
        <w:adjustRightInd w:val="0"/>
        <w:spacing w:after="0" w:line="360" w:lineRule="auto"/>
        <w:jc w:val="both"/>
        <w:rPr>
          <w:rFonts w:ascii="Book Antiqua" w:hAnsi="Book Antiqua" w:cs="TimesNewRomanPS-BoldItalicMT"/>
          <w:b/>
          <w:bCs/>
          <w:iCs/>
          <w:sz w:val="24"/>
          <w:szCs w:val="24"/>
        </w:rPr>
      </w:pPr>
      <w:r w:rsidRPr="00F14AE8">
        <w:rPr>
          <w:rFonts w:ascii="Book Antiqua" w:hAnsi="Book Antiqua" w:cs="TimesNewRomanPS-BoldItalicMT"/>
          <w:b/>
          <w:bCs/>
          <w:iCs/>
          <w:sz w:val="24"/>
          <w:szCs w:val="24"/>
        </w:rPr>
        <w:t>Conflict-of-interest</w:t>
      </w:r>
      <w:r w:rsidRPr="00F14AE8">
        <w:rPr>
          <w:rFonts w:ascii="Book Antiqua" w:hAnsi="Book Antiqua"/>
          <w:sz w:val="24"/>
          <w:szCs w:val="24"/>
        </w:rPr>
        <w:t xml:space="preserve"> </w:t>
      </w:r>
      <w:r w:rsidRPr="00F14AE8">
        <w:rPr>
          <w:rFonts w:ascii="Book Antiqua" w:hAnsi="Book Antiqua" w:cs="TimesNewRomanPS-BoldItalicMT"/>
          <w:b/>
          <w:bCs/>
          <w:iCs/>
          <w:sz w:val="24"/>
          <w:szCs w:val="24"/>
        </w:rPr>
        <w:t xml:space="preserve">statement: </w:t>
      </w:r>
      <w:r w:rsidRPr="00F14AE8">
        <w:rPr>
          <w:rFonts w:ascii="Book Antiqua" w:hAnsi="Book Antiqua"/>
          <w:sz w:val="24"/>
          <w:szCs w:val="24"/>
        </w:rPr>
        <w:t>No potential conflicts of interest relevant to this article were reported.</w:t>
      </w:r>
    </w:p>
    <w:p w:rsidR="005E2661" w:rsidRPr="00F14AE8" w:rsidRDefault="005E2661" w:rsidP="00F14AE8">
      <w:pPr>
        <w:pStyle w:val="ListParagraph"/>
        <w:spacing w:after="0" w:line="360" w:lineRule="auto"/>
        <w:ind w:left="0"/>
        <w:jc w:val="both"/>
        <w:rPr>
          <w:rFonts w:ascii="Book Antiqua" w:hAnsi="Book Antiqua"/>
          <w:sz w:val="24"/>
          <w:szCs w:val="24"/>
          <w:lang w:eastAsia="zh-CN"/>
        </w:rPr>
      </w:pPr>
    </w:p>
    <w:p w:rsidR="00EC0ED3" w:rsidRPr="00F14AE8" w:rsidRDefault="00EC0ED3" w:rsidP="00F14AE8">
      <w:pPr>
        <w:pStyle w:val="ListParagraph"/>
        <w:spacing w:after="0" w:line="360" w:lineRule="auto"/>
        <w:ind w:left="0"/>
        <w:jc w:val="both"/>
        <w:rPr>
          <w:rFonts w:ascii="Book Antiqua" w:hAnsi="Book Antiqua"/>
          <w:sz w:val="24"/>
          <w:szCs w:val="24"/>
          <w:lang w:eastAsia="zh-CN"/>
        </w:rPr>
      </w:pPr>
      <w:r w:rsidRPr="00F14AE8">
        <w:rPr>
          <w:rFonts w:ascii="Book Antiqua" w:hAnsi="Book Antiqua"/>
          <w:b/>
          <w:sz w:val="24"/>
          <w:szCs w:val="24"/>
        </w:rPr>
        <w:t xml:space="preserve">Data sharing statement: </w:t>
      </w:r>
      <w:r w:rsidRPr="00F14AE8">
        <w:rPr>
          <w:rFonts w:ascii="Book Antiqua" w:hAnsi="Book Antiqua"/>
          <w:sz w:val="24"/>
          <w:szCs w:val="24"/>
        </w:rPr>
        <w:t>No additional data available</w:t>
      </w:r>
      <w:r w:rsidR="005E2661" w:rsidRPr="00F14AE8">
        <w:rPr>
          <w:rFonts w:ascii="Book Antiqua" w:hAnsi="Book Antiqua"/>
          <w:sz w:val="24"/>
          <w:szCs w:val="24"/>
          <w:lang w:eastAsia="zh-CN"/>
        </w:rPr>
        <w:t>.</w:t>
      </w:r>
    </w:p>
    <w:p w:rsidR="005E2661" w:rsidRPr="00F14AE8" w:rsidRDefault="005E2661" w:rsidP="00F14AE8">
      <w:pPr>
        <w:pStyle w:val="ListParagraph"/>
        <w:spacing w:after="0" w:line="360" w:lineRule="auto"/>
        <w:ind w:left="0"/>
        <w:jc w:val="both"/>
        <w:rPr>
          <w:rFonts w:ascii="Book Antiqua" w:hAnsi="Book Antiqua"/>
          <w:sz w:val="24"/>
          <w:szCs w:val="24"/>
          <w:lang w:eastAsia="zh-CN"/>
        </w:rPr>
      </w:pPr>
    </w:p>
    <w:p w:rsidR="00CF32FA" w:rsidRPr="00F14AE8" w:rsidRDefault="00CF32FA" w:rsidP="00F14AE8">
      <w:pPr>
        <w:spacing w:after="0" w:line="360" w:lineRule="auto"/>
        <w:jc w:val="both"/>
        <w:rPr>
          <w:rFonts w:ascii="Book Antiqua" w:hAnsi="Book Antiqua"/>
          <w:b/>
          <w:color w:val="000000"/>
          <w:sz w:val="24"/>
          <w:szCs w:val="24"/>
        </w:rPr>
      </w:pPr>
      <w:bookmarkStart w:id="15" w:name="OLE_LINK155"/>
      <w:bookmarkStart w:id="16" w:name="OLE_LINK183"/>
      <w:bookmarkStart w:id="17" w:name="OLE_LINK441"/>
      <w:r w:rsidRPr="00F14AE8">
        <w:rPr>
          <w:rFonts w:ascii="Book Antiqua" w:hAnsi="Book Antiqua"/>
          <w:b/>
          <w:color w:val="000000"/>
          <w:sz w:val="24"/>
          <w:szCs w:val="24"/>
        </w:rPr>
        <w:t xml:space="preserve">Open-Access: </w:t>
      </w:r>
      <w:r w:rsidRPr="00F14AE8">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bookmarkEnd w:id="17"/>
    <w:p w:rsidR="00CF32FA" w:rsidRPr="00F14AE8" w:rsidRDefault="00CF32FA" w:rsidP="00F14AE8">
      <w:pPr>
        <w:spacing w:after="0" w:line="360" w:lineRule="auto"/>
        <w:jc w:val="both"/>
        <w:rPr>
          <w:rFonts w:ascii="Book Antiqua" w:hAnsi="Book Antiqua" w:cs="Arial Unicode MS"/>
          <w:color w:val="000000"/>
          <w:sz w:val="24"/>
          <w:szCs w:val="24"/>
          <w:lang w:eastAsia="zh-CN"/>
        </w:rPr>
      </w:pPr>
      <w:r w:rsidRPr="00F14AE8">
        <w:rPr>
          <w:rFonts w:ascii="Book Antiqua" w:hAnsi="Book Antiqua" w:cs="Arial Unicode MS"/>
          <w:color w:val="000000"/>
          <w:sz w:val="24"/>
          <w:szCs w:val="24"/>
          <w:lang w:eastAsia="zh-CN"/>
        </w:rPr>
        <w:t xml:space="preserve"> </w:t>
      </w:r>
    </w:p>
    <w:p w:rsidR="00CF32FA" w:rsidRPr="00F14AE8" w:rsidRDefault="00CF32FA" w:rsidP="00F14AE8">
      <w:pPr>
        <w:spacing w:after="0" w:line="360" w:lineRule="auto"/>
        <w:jc w:val="both"/>
        <w:rPr>
          <w:rFonts w:ascii="Book Antiqua" w:hAnsi="Book Antiqua" w:cs="Arial Unicode MS"/>
          <w:color w:val="000000"/>
          <w:sz w:val="24"/>
          <w:szCs w:val="24"/>
          <w:lang w:eastAsia="zh-CN"/>
        </w:rPr>
      </w:pPr>
      <w:r w:rsidRPr="00F14AE8">
        <w:rPr>
          <w:rFonts w:ascii="Book Antiqua" w:hAnsi="Book Antiqua" w:cs="Arial Unicode MS"/>
          <w:b/>
          <w:color w:val="000000"/>
          <w:sz w:val="24"/>
          <w:szCs w:val="24"/>
        </w:rPr>
        <w:t xml:space="preserve">Manuscript source: </w:t>
      </w:r>
      <w:r w:rsidR="00803163" w:rsidRPr="00803163">
        <w:rPr>
          <w:rFonts w:ascii="Book Antiqua" w:hAnsi="Book Antiqua" w:cs="Arial Unicode MS"/>
          <w:color w:val="000000"/>
          <w:sz w:val="24"/>
          <w:szCs w:val="24"/>
        </w:rPr>
        <w:t>Invited Manuscript</w:t>
      </w:r>
    </w:p>
    <w:p w:rsidR="00CF32FA" w:rsidRPr="00F14AE8" w:rsidRDefault="00CF32FA" w:rsidP="00F14AE8">
      <w:pPr>
        <w:spacing w:after="0" w:line="360" w:lineRule="auto"/>
        <w:jc w:val="both"/>
        <w:rPr>
          <w:rFonts w:ascii="Book Antiqua" w:hAnsi="Book Antiqua" w:cs="Arial Unicode MS"/>
          <w:color w:val="000000"/>
          <w:sz w:val="24"/>
          <w:szCs w:val="24"/>
          <w:lang w:eastAsia="zh-CN"/>
        </w:rPr>
      </w:pPr>
    </w:p>
    <w:p w:rsidR="00EC0ED3" w:rsidRPr="00F14AE8" w:rsidRDefault="00EC0ED3" w:rsidP="00F14AE8">
      <w:pPr>
        <w:spacing w:after="0" w:line="360" w:lineRule="auto"/>
        <w:jc w:val="both"/>
        <w:rPr>
          <w:rFonts w:ascii="Book Antiqua" w:hAnsi="Book Antiqua"/>
          <w:sz w:val="24"/>
          <w:szCs w:val="24"/>
          <w:lang w:eastAsia="zh-CN"/>
        </w:rPr>
      </w:pPr>
      <w:r w:rsidRPr="00F14AE8">
        <w:rPr>
          <w:rFonts w:ascii="Book Antiqua" w:hAnsi="Book Antiqua"/>
          <w:b/>
          <w:sz w:val="24"/>
          <w:szCs w:val="24"/>
        </w:rPr>
        <w:t>Correspondence to:</w:t>
      </w:r>
      <w:r w:rsidRPr="00F14AE8">
        <w:rPr>
          <w:rFonts w:ascii="Book Antiqua" w:hAnsi="Book Antiqua"/>
          <w:sz w:val="24"/>
          <w:szCs w:val="24"/>
        </w:rPr>
        <w:t xml:space="preserve"> </w:t>
      </w:r>
      <w:r w:rsidR="007A70B6" w:rsidRPr="00F14AE8">
        <w:rPr>
          <w:rFonts w:ascii="Book Antiqua" w:hAnsi="Book Antiqua"/>
          <w:b/>
          <w:sz w:val="24"/>
          <w:szCs w:val="24"/>
        </w:rPr>
        <w:t>Jeffrey K</w:t>
      </w:r>
      <w:r w:rsidR="005E2661" w:rsidRPr="00F14AE8">
        <w:rPr>
          <w:rFonts w:ascii="Book Antiqua" w:hAnsi="Book Antiqua"/>
          <w:b/>
          <w:sz w:val="24"/>
          <w:szCs w:val="24"/>
          <w:lang w:eastAsia="zh-CN"/>
        </w:rPr>
        <w:t xml:space="preserve"> </w:t>
      </w:r>
      <w:r w:rsidR="007A70B6" w:rsidRPr="00F14AE8">
        <w:rPr>
          <w:rFonts w:ascii="Book Antiqua" w:hAnsi="Book Antiqua"/>
          <w:b/>
          <w:sz w:val="24"/>
          <w:szCs w:val="24"/>
        </w:rPr>
        <w:t>Lee</w:t>
      </w:r>
      <w:r w:rsidR="005E2661" w:rsidRPr="00F14AE8">
        <w:rPr>
          <w:rFonts w:ascii="Book Antiqua" w:hAnsi="Book Antiqua"/>
          <w:b/>
          <w:sz w:val="24"/>
          <w:szCs w:val="24"/>
          <w:lang w:eastAsia="zh-CN"/>
        </w:rPr>
        <w:t>,</w:t>
      </w:r>
      <w:r w:rsidR="007A70B6" w:rsidRPr="00F14AE8">
        <w:rPr>
          <w:rFonts w:ascii="Book Antiqua" w:hAnsi="Book Antiqua"/>
          <w:b/>
          <w:sz w:val="24"/>
          <w:szCs w:val="24"/>
        </w:rPr>
        <w:t xml:space="preserve"> MD, MAS</w:t>
      </w:r>
      <w:r w:rsidR="007A70B6" w:rsidRPr="00F14AE8">
        <w:rPr>
          <w:rFonts w:ascii="Book Antiqua" w:hAnsi="Book Antiqua"/>
          <w:b/>
          <w:color w:val="000000"/>
          <w:sz w:val="24"/>
          <w:szCs w:val="24"/>
        </w:rPr>
        <w:t xml:space="preserve">, </w:t>
      </w:r>
      <w:r w:rsidR="005E2661" w:rsidRPr="00F14AE8">
        <w:rPr>
          <w:rFonts w:ascii="Book Antiqua" w:hAnsi="Book Antiqua"/>
          <w:sz w:val="24"/>
          <w:szCs w:val="24"/>
        </w:rPr>
        <w:t>Division of Gastroenterology,</w:t>
      </w:r>
      <w:r w:rsidR="005E2661" w:rsidRPr="00F14AE8">
        <w:rPr>
          <w:rFonts w:ascii="Book Antiqua" w:hAnsi="Book Antiqua"/>
          <w:sz w:val="24"/>
          <w:szCs w:val="24"/>
          <w:lang w:eastAsia="zh-CN"/>
        </w:rPr>
        <w:t xml:space="preserve"> </w:t>
      </w:r>
      <w:r w:rsidR="007A70B6" w:rsidRPr="00F14AE8">
        <w:rPr>
          <w:rFonts w:ascii="Book Antiqua" w:hAnsi="Book Antiqua"/>
          <w:color w:val="000000"/>
          <w:sz w:val="24"/>
          <w:szCs w:val="24"/>
        </w:rPr>
        <w:t xml:space="preserve">University of California, </w:t>
      </w:r>
      <w:r w:rsidR="005E2661" w:rsidRPr="00F14AE8">
        <w:rPr>
          <w:rFonts w:ascii="Book Antiqua" w:hAnsi="Book Antiqua"/>
          <w:color w:val="000000"/>
          <w:sz w:val="24"/>
          <w:szCs w:val="24"/>
          <w:lang w:eastAsia="zh-CN"/>
        </w:rPr>
        <w:t xml:space="preserve"> </w:t>
      </w:r>
      <w:r w:rsidR="007A70B6" w:rsidRPr="00F14AE8">
        <w:rPr>
          <w:rFonts w:ascii="Book Antiqua" w:hAnsi="Book Antiqua"/>
          <w:color w:val="000000"/>
          <w:sz w:val="24"/>
          <w:szCs w:val="24"/>
        </w:rPr>
        <w:t>1701 Divisadero, San Francisco, CA 94115</w:t>
      </w:r>
      <w:r w:rsidR="005E2661" w:rsidRPr="00F14AE8">
        <w:rPr>
          <w:rFonts w:ascii="Book Antiqua" w:hAnsi="Book Antiqua"/>
          <w:color w:val="000000"/>
          <w:sz w:val="24"/>
          <w:szCs w:val="24"/>
          <w:lang w:eastAsia="zh-CN"/>
        </w:rPr>
        <w:t xml:space="preserve">, </w:t>
      </w:r>
      <w:r w:rsidR="005E2661" w:rsidRPr="00F14AE8">
        <w:rPr>
          <w:rFonts w:ascii="Book Antiqua" w:hAnsi="Book Antiqua"/>
          <w:sz w:val="24"/>
          <w:szCs w:val="24"/>
        </w:rPr>
        <w:t>United States</w:t>
      </w:r>
      <w:r w:rsidR="005E2661" w:rsidRPr="00F14AE8">
        <w:rPr>
          <w:rFonts w:ascii="Book Antiqua" w:hAnsi="Book Antiqua"/>
          <w:color w:val="000000"/>
          <w:sz w:val="24"/>
          <w:szCs w:val="24"/>
          <w:lang w:eastAsia="zh-CN"/>
        </w:rPr>
        <w:t xml:space="preserve">. </w:t>
      </w:r>
      <w:hyperlink r:id="rId7" w:history="1">
        <w:r w:rsidR="005E2661" w:rsidRPr="003530DE">
          <w:rPr>
            <w:rStyle w:val="Hyperlink"/>
            <w:rFonts w:ascii="Book Antiqua" w:hAnsi="Book Antiqua"/>
            <w:color w:val="auto"/>
            <w:sz w:val="24"/>
            <w:szCs w:val="24"/>
            <w:u w:val="none"/>
          </w:rPr>
          <w:t>jeff.lee@ucsf.edu</w:t>
        </w:r>
      </w:hyperlink>
    </w:p>
    <w:p w:rsidR="00CF32FA" w:rsidRPr="00F14AE8" w:rsidRDefault="005E2661" w:rsidP="00F14AE8">
      <w:pPr>
        <w:spacing w:after="0" w:line="360" w:lineRule="auto"/>
        <w:jc w:val="both"/>
        <w:rPr>
          <w:rFonts w:ascii="Book Antiqua" w:hAnsi="Book Antiqua"/>
          <w:color w:val="000000"/>
          <w:sz w:val="24"/>
          <w:szCs w:val="24"/>
          <w:lang w:eastAsia="zh-CN"/>
        </w:rPr>
      </w:pPr>
      <w:r w:rsidRPr="00F14AE8">
        <w:rPr>
          <w:rFonts w:ascii="Book Antiqua" w:hAnsi="Book Antiqua"/>
          <w:b/>
          <w:color w:val="000000"/>
          <w:sz w:val="24"/>
          <w:szCs w:val="24"/>
          <w:lang w:eastAsia="zh-CN"/>
        </w:rPr>
        <w:t>Tele</w:t>
      </w:r>
      <w:r w:rsidRPr="00F14AE8">
        <w:rPr>
          <w:rFonts w:ascii="Book Antiqua" w:hAnsi="Book Antiqua"/>
          <w:b/>
          <w:color w:val="000000"/>
          <w:sz w:val="24"/>
          <w:szCs w:val="24"/>
        </w:rPr>
        <w:t>phone</w:t>
      </w:r>
      <w:r w:rsidRPr="00F14AE8">
        <w:rPr>
          <w:rFonts w:ascii="Book Antiqua" w:hAnsi="Book Antiqua"/>
          <w:color w:val="000000"/>
          <w:sz w:val="24"/>
          <w:szCs w:val="24"/>
        </w:rPr>
        <w:t xml:space="preserve">: </w:t>
      </w:r>
      <w:r w:rsidRPr="00F14AE8">
        <w:rPr>
          <w:rFonts w:ascii="Book Antiqua" w:hAnsi="Book Antiqua"/>
          <w:color w:val="000000"/>
          <w:sz w:val="24"/>
          <w:szCs w:val="24"/>
          <w:lang w:eastAsia="zh-CN"/>
        </w:rPr>
        <w:t>+1-</w:t>
      </w:r>
      <w:r w:rsidRPr="00F14AE8">
        <w:rPr>
          <w:rFonts w:ascii="Book Antiqua" w:hAnsi="Book Antiqua"/>
          <w:color w:val="000000"/>
          <w:sz w:val="24"/>
          <w:szCs w:val="24"/>
        </w:rPr>
        <w:t>415-5024444</w:t>
      </w:r>
    </w:p>
    <w:p w:rsidR="005E2661" w:rsidRPr="00F14AE8" w:rsidRDefault="005E2661" w:rsidP="00F14AE8">
      <w:pPr>
        <w:spacing w:after="0" w:line="360" w:lineRule="auto"/>
        <w:jc w:val="both"/>
        <w:rPr>
          <w:rFonts w:ascii="Book Antiqua" w:hAnsi="Book Antiqua"/>
          <w:sz w:val="24"/>
          <w:szCs w:val="24"/>
          <w:lang w:eastAsia="zh-CN"/>
        </w:rPr>
      </w:pPr>
    </w:p>
    <w:p w:rsidR="00CF32FA" w:rsidRPr="00F14AE8" w:rsidRDefault="00CF32FA" w:rsidP="00F14AE8">
      <w:pPr>
        <w:spacing w:after="0" w:line="360" w:lineRule="auto"/>
        <w:jc w:val="both"/>
        <w:rPr>
          <w:rFonts w:ascii="Book Antiqua" w:hAnsi="Book Antiqua"/>
          <w:sz w:val="24"/>
          <w:szCs w:val="24"/>
          <w:lang w:eastAsia="zh-CN"/>
        </w:rPr>
      </w:pPr>
      <w:bookmarkStart w:id="18" w:name="OLE_LINK476"/>
      <w:bookmarkStart w:id="19" w:name="OLE_LINK477"/>
      <w:bookmarkStart w:id="20" w:name="OLE_LINK117"/>
      <w:bookmarkStart w:id="21" w:name="OLE_LINK528"/>
      <w:bookmarkStart w:id="22" w:name="OLE_LINK557"/>
      <w:r w:rsidRPr="00F14AE8">
        <w:rPr>
          <w:rFonts w:ascii="Book Antiqua" w:hAnsi="Book Antiqua"/>
          <w:b/>
          <w:sz w:val="24"/>
          <w:szCs w:val="24"/>
        </w:rPr>
        <w:t>Received:</w:t>
      </w:r>
      <w:r w:rsidR="001D2353" w:rsidRPr="00F14AE8">
        <w:rPr>
          <w:rFonts w:ascii="Book Antiqua" w:hAnsi="Book Antiqua"/>
          <w:b/>
          <w:sz w:val="24"/>
          <w:szCs w:val="24"/>
          <w:lang w:eastAsia="zh-CN"/>
        </w:rPr>
        <w:t xml:space="preserve"> </w:t>
      </w:r>
      <w:r w:rsidR="001D2353" w:rsidRPr="00F14AE8">
        <w:rPr>
          <w:rFonts w:ascii="Book Antiqua" w:hAnsi="Book Antiqua"/>
          <w:sz w:val="24"/>
          <w:szCs w:val="24"/>
          <w:lang w:eastAsia="zh-CN"/>
        </w:rPr>
        <w:t>March 23, 2017</w:t>
      </w:r>
    </w:p>
    <w:p w:rsidR="00CF32FA" w:rsidRPr="00F14AE8" w:rsidRDefault="00CF32FA" w:rsidP="00F14AE8">
      <w:pPr>
        <w:spacing w:after="0" w:line="360" w:lineRule="auto"/>
        <w:jc w:val="both"/>
        <w:rPr>
          <w:rFonts w:ascii="Book Antiqua" w:hAnsi="Book Antiqua"/>
          <w:sz w:val="24"/>
          <w:szCs w:val="24"/>
          <w:lang w:eastAsia="zh-CN"/>
        </w:rPr>
      </w:pPr>
      <w:r w:rsidRPr="00F14AE8">
        <w:rPr>
          <w:rFonts w:ascii="Book Antiqua" w:hAnsi="Book Antiqua"/>
          <w:b/>
          <w:sz w:val="24"/>
          <w:szCs w:val="24"/>
        </w:rPr>
        <w:t>Peer-review started:</w:t>
      </w:r>
      <w:r w:rsidR="001D2353" w:rsidRPr="00F14AE8">
        <w:rPr>
          <w:rFonts w:ascii="Book Antiqua" w:hAnsi="Book Antiqua"/>
          <w:sz w:val="24"/>
          <w:szCs w:val="24"/>
          <w:lang w:eastAsia="zh-CN"/>
        </w:rPr>
        <w:t xml:space="preserve"> March 28, 2017</w:t>
      </w:r>
    </w:p>
    <w:p w:rsidR="00CF32FA" w:rsidRPr="00F14AE8" w:rsidRDefault="00CF32FA" w:rsidP="00F14AE8">
      <w:pPr>
        <w:spacing w:after="0" w:line="360" w:lineRule="auto"/>
        <w:jc w:val="both"/>
        <w:rPr>
          <w:rFonts w:ascii="Book Antiqua" w:hAnsi="Book Antiqua"/>
          <w:b/>
          <w:sz w:val="24"/>
          <w:szCs w:val="24"/>
          <w:lang w:eastAsia="zh-CN"/>
        </w:rPr>
      </w:pPr>
      <w:r w:rsidRPr="00F14AE8">
        <w:rPr>
          <w:rFonts w:ascii="Book Antiqua" w:hAnsi="Book Antiqua"/>
          <w:b/>
          <w:sz w:val="24"/>
          <w:szCs w:val="24"/>
        </w:rPr>
        <w:t>First decision:</w:t>
      </w:r>
      <w:r w:rsidR="001D2353" w:rsidRPr="00F14AE8">
        <w:rPr>
          <w:rFonts w:ascii="Book Antiqua" w:hAnsi="Book Antiqua"/>
          <w:b/>
          <w:sz w:val="24"/>
          <w:szCs w:val="24"/>
          <w:lang w:eastAsia="zh-CN"/>
        </w:rPr>
        <w:t xml:space="preserve"> </w:t>
      </w:r>
      <w:r w:rsidR="001D2353" w:rsidRPr="00F14AE8">
        <w:rPr>
          <w:rFonts w:ascii="Book Antiqua" w:hAnsi="Book Antiqua"/>
          <w:sz w:val="24"/>
          <w:szCs w:val="24"/>
          <w:lang w:eastAsia="zh-CN"/>
        </w:rPr>
        <w:t>May 10, 2017</w:t>
      </w:r>
    </w:p>
    <w:p w:rsidR="00CF32FA" w:rsidRPr="00F14AE8" w:rsidRDefault="00CF32FA" w:rsidP="00F14AE8">
      <w:pPr>
        <w:spacing w:after="0" w:line="360" w:lineRule="auto"/>
        <w:jc w:val="both"/>
        <w:rPr>
          <w:rFonts w:ascii="Book Antiqua" w:hAnsi="Book Antiqua"/>
          <w:b/>
          <w:sz w:val="24"/>
          <w:szCs w:val="24"/>
        </w:rPr>
      </w:pPr>
      <w:r w:rsidRPr="00F14AE8">
        <w:rPr>
          <w:rFonts w:ascii="Book Antiqua" w:hAnsi="Book Antiqua"/>
          <w:b/>
          <w:sz w:val="24"/>
          <w:szCs w:val="24"/>
        </w:rPr>
        <w:t>Revised:</w:t>
      </w:r>
      <w:r w:rsidR="001D2353" w:rsidRPr="00F14AE8">
        <w:rPr>
          <w:rFonts w:ascii="Book Antiqua" w:hAnsi="Book Antiqua"/>
          <w:sz w:val="24"/>
          <w:szCs w:val="24"/>
          <w:lang w:eastAsia="zh-CN"/>
        </w:rPr>
        <w:t xml:space="preserve"> May 16, 2017</w:t>
      </w:r>
    </w:p>
    <w:p w:rsidR="00CF32FA" w:rsidRPr="001E3B55" w:rsidRDefault="00CF32FA" w:rsidP="001E3B55">
      <w:pPr>
        <w:spacing w:line="360" w:lineRule="auto"/>
        <w:rPr>
          <w:rFonts w:ascii="Book Antiqua" w:hAnsi="Book Antiqua"/>
          <w:color w:val="000000"/>
          <w:sz w:val="24"/>
        </w:rPr>
      </w:pPr>
      <w:r w:rsidRPr="00F14AE8">
        <w:rPr>
          <w:rFonts w:ascii="Book Antiqua" w:hAnsi="Book Antiqua"/>
          <w:b/>
          <w:sz w:val="24"/>
          <w:szCs w:val="24"/>
        </w:rPr>
        <w:t>Accepted:</w:t>
      </w:r>
      <w:bookmarkStart w:id="23" w:name="OLE_LINK118"/>
      <w:bookmarkStart w:id="24" w:name="OLE_LINK125"/>
      <w:bookmarkStart w:id="25" w:name="OLE_LINK122"/>
      <w:bookmarkStart w:id="26" w:name="OLE_LINK126"/>
      <w:bookmarkStart w:id="27" w:name="OLE_LINK127"/>
      <w:r w:rsidR="001E3B55" w:rsidRPr="001E3B55">
        <w:rPr>
          <w:rFonts w:ascii="Book Antiqua" w:hAnsi="Book Antiqua"/>
          <w:color w:val="000000"/>
          <w:sz w:val="24"/>
        </w:rPr>
        <w:t xml:space="preserve"> </w:t>
      </w:r>
      <w:r w:rsidR="001E3B55">
        <w:rPr>
          <w:rFonts w:ascii="Book Antiqua" w:hAnsi="Book Antiqua"/>
          <w:color w:val="000000"/>
          <w:sz w:val="24"/>
        </w:rPr>
        <w:t>June 9, 2017</w:t>
      </w:r>
      <w:bookmarkStart w:id="28" w:name="_GoBack"/>
      <w:bookmarkEnd w:id="23"/>
      <w:bookmarkEnd w:id="24"/>
      <w:bookmarkEnd w:id="25"/>
      <w:bookmarkEnd w:id="26"/>
      <w:bookmarkEnd w:id="27"/>
      <w:bookmarkEnd w:id="28"/>
      <w:r w:rsidRPr="00F14AE8">
        <w:rPr>
          <w:rFonts w:ascii="Book Antiqua" w:hAnsi="Book Antiqua"/>
          <w:b/>
          <w:sz w:val="24"/>
          <w:szCs w:val="24"/>
        </w:rPr>
        <w:t xml:space="preserve">  </w:t>
      </w:r>
    </w:p>
    <w:p w:rsidR="00CF32FA" w:rsidRPr="00F14AE8" w:rsidRDefault="00CF32FA" w:rsidP="00F14AE8">
      <w:pPr>
        <w:spacing w:after="0" w:line="360" w:lineRule="auto"/>
        <w:jc w:val="both"/>
        <w:rPr>
          <w:rFonts w:ascii="Book Antiqua" w:hAnsi="Book Antiqua"/>
          <w:b/>
          <w:sz w:val="24"/>
          <w:szCs w:val="24"/>
        </w:rPr>
      </w:pPr>
      <w:r w:rsidRPr="00F14AE8">
        <w:rPr>
          <w:rFonts w:ascii="Book Antiqua" w:hAnsi="Book Antiqua"/>
          <w:b/>
          <w:sz w:val="24"/>
          <w:szCs w:val="24"/>
        </w:rPr>
        <w:t>Article in press:</w:t>
      </w:r>
    </w:p>
    <w:p w:rsidR="00CF32FA" w:rsidRPr="00F14AE8" w:rsidRDefault="00CF32FA" w:rsidP="00F14AE8">
      <w:pPr>
        <w:spacing w:after="0" w:line="360" w:lineRule="auto"/>
        <w:jc w:val="both"/>
        <w:rPr>
          <w:rFonts w:ascii="Book Antiqua" w:hAnsi="Book Antiqua"/>
          <w:b/>
          <w:sz w:val="24"/>
          <w:szCs w:val="24"/>
        </w:rPr>
      </w:pPr>
      <w:r w:rsidRPr="00F14AE8">
        <w:rPr>
          <w:rFonts w:ascii="Book Antiqua" w:hAnsi="Book Antiqua"/>
          <w:b/>
          <w:sz w:val="24"/>
          <w:szCs w:val="24"/>
        </w:rPr>
        <w:t>Published online:</w:t>
      </w:r>
    </w:p>
    <w:bookmarkEnd w:id="18"/>
    <w:bookmarkEnd w:id="19"/>
    <w:bookmarkEnd w:id="20"/>
    <w:bookmarkEnd w:id="21"/>
    <w:bookmarkEnd w:id="22"/>
    <w:p w:rsidR="007A70B6" w:rsidRPr="00F14AE8" w:rsidRDefault="007A70B6" w:rsidP="00F14AE8">
      <w:pPr>
        <w:spacing w:after="0" w:line="360" w:lineRule="auto"/>
        <w:jc w:val="both"/>
        <w:rPr>
          <w:rFonts w:ascii="Book Antiqua" w:hAnsi="Book Antiqua"/>
          <w:sz w:val="24"/>
          <w:szCs w:val="24"/>
        </w:rPr>
      </w:pPr>
    </w:p>
    <w:p w:rsidR="001D2353" w:rsidRPr="00F14AE8" w:rsidRDefault="003530DE" w:rsidP="00F14AE8">
      <w:pPr>
        <w:spacing w:after="0" w:line="360" w:lineRule="auto"/>
        <w:jc w:val="both"/>
        <w:rPr>
          <w:rFonts w:ascii="Book Antiqua" w:hAnsi="Book Antiqua"/>
          <w:sz w:val="24"/>
          <w:szCs w:val="24"/>
          <w:lang w:eastAsia="zh-CN"/>
        </w:rPr>
      </w:pPr>
      <w:r>
        <w:rPr>
          <w:rFonts w:ascii="Book Antiqua" w:hAnsi="Book Antiqua"/>
          <w:b/>
          <w:sz w:val="24"/>
          <w:szCs w:val="24"/>
        </w:rPr>
        <w:br w:type="page"/>
      </w:r>
      <w:r w:rsidR="00D76EF0" w:rsidRPr="00F14AE8">
        <w:rPr>
          <w:rFonts w:ascii="Book Antiqua" w:hAnsi="Book Antiqua"/>
          <w:b/>
          <w:sz w:val="24"/>
          <w:szCs w:val="24"/>
        </w:rPr>
        <w:lastRenderedPageBreak/>
        <w:t>Abstract</w:t>
      </w:r>
      <w:r w:rsidR="00FC0A03" w:rsidRPr="00F14AE8">
        <w:rPr>
          <w:rFonts w:ascii="Book Antiqua" w:hAnsi="Book Antiqua"/>
          <w:b/>
          <w:sz w:val="24"/>
          <w:szCs w:val="24"/>
        </w:rPr>
        <w:br/>
      </w:r>
      <w:r w:rsidR="001D2353" w:rsidRPr="00F14AE8">
        <w:rPr>
          <w:rFonts w:ascii="Book Antiqua" w:hAnsi="Book Antiqua"/>
          <w:b/>
          <w:i/>
          <w:sz w:val="24"/>
          <w:szCs w:val="24"/>
        </w:rPr>
        <w:t>AIM</w:t>
      </w:r>
    </w:p>
    <w:p w:rsidR="001D2353" w:rsidRPr="00F14AE8" w:rsidRDefault="00A00A0F"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 xml:space="preserve">To determine the prevalence of </w:t>
      </w:r>
      <w:r w:rsidR="001D2353" w:rsidRPr="00F14AE8">
        <w:rPr>
          <w:rFonts w:ascii="Book Antiqua" w:hAnsi="Book Antiqua"/>
          <w:sz w:val="24"/>
          <w:szCs w:val="24"/>
        </w:rPr>
        <w:t>gastrointestinal</w:t>
      </w:r>
      <w:r w:rsidR="003530DE">
        <w:rPr>
          <w:rFonts w:ascii="Book Antiqua" w:hAnsi="Book Antiqua" w:hint="eastAsia"/>
          <w:sz w:val="24"/>
          <w:szCs w:val="24"/>
          <w:lang w:eastAsia="zh-CN"/>
        </w:rPr>
        <w:t xml:space="preserve"> </w:t>
      </w:r>
      <w:r w:rsidRPr="00F14AE8">
        <w:rPr>
          <w:rFonts w:ascii="Book Antiqua" w:hAnsi="Book Antiqua"/>
          <w:sz w:val="24"/>
          <w:szCs w:val="24"/>
        </w:rPr>
        <w:t xml:space="preserve">neoplasia among dermatomyositis patients who underwent an </w:t>
      </w:r>
      <w:r w:rsidR="001D2353" w:rsidRPr="00F14AE8">
        <w:rPr>
          <w:rFonts w:ascii="Book Antiqua" w:hAnsi="Book Antiqua"/>
          <w:sz w:val="24"/>
          <w:szCs w:val="24"/>
        </w:rPr>
        <w:t>esophagogastroduodenoscopy</w:t>
      </w:r>
      <w:r w:rsidR="001D2353" w:rsidRPr="00F14AE8">
        <w:rPr>
          <w:rFonts w:ascii="Book Antiqua" w:hAnsi="Book Antiqua"/>
          <w:sz w:val="24"/>
          <w:szCs w:val="24"/>
          <w:lang w:eastAsia="zh-CN"/>
        </w:rPr>
        <w:t xml:space="preserve"> </w:t>
      </w:r>
      <w:r w:rsidRPr="00F14AE8">
        <w:rPr>
          <w:rFonts w:ascii="Book Antiqua" w:hAnsi="Book Antiqua"/>
          <w:sz w:val="24"/>
          <w:szCs w:val="24"/>
        </w:rPr>
        <w:t>and/or colonoscopy.</w:t>
      </w:r>
    </w:p>
    <w:p w:rsidR="001D2353" w:rsidRPr="00F14AE8" w:rsidRDefault="001D2353" w:rsidP="00F14AE8">
      <w:pPr>
        <w:spacing w:after="0" w:line="360" w:lineRule="auto"/>
        <w:jc w:val="both"/>
        <w:rPr>
          <w:rFonts w:ascii="Book Antiqua" w:hAnsi="Book Antiqua"/>
          <w:b/>
          <w:i/>
          <w:sz w:val="24"/>
          <w:szCs w:val="24"/>
          <w:lang w:eastAsia="zh-CN"/>
        </w:rPr>
      </w:pPr>
      <w:r w:rsidRPr="00F14AE8">
        <w:rPr>
          <w:rFonts w:ascii="Book Antiqua" w:hAnsi="Book Antiqua"/>
          <w:sz w:val="24"/>
          <w:szCs w:val="24"/>
        </w:rPr>
        <w:br/>
      </w:r>
      <w:r w:rsidRPr="00F14AE8">
        <w:rPr>
          <w:rFonts w:ascii="Book Antiqua" w:hAnsi="Book Antiqua"/>
          <w:b/>
          <w:i/>
          <w:sz w:val="24"/>
          <w:szCs w:val="24"/>
        </w:rPr>
        <w:t>METHODS</w:t>
      </w:r>
    </w:p>
    <w:p w:rsidR="001D2353" w:rsidRPr="00F14AE8" w:rsidRDefault="00F67EA6"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A cross-</w:t>
      </w:r>
      <w:r w:rsidR="00AA1AB0" w:rsidRPr="00F14AE8">
        <w:rPr>
          <w:rFonts w:ascii="Book Antiqua" w:hAnsi="Book Antiqua"/>
          <w:sz w:val="24"/>
          <w:szCs w:val="24"/>
        </w:rPr>
        <w:t xml:space="preserve">sectional study examining the results of upper endoscopy and colonoscopy in adults with dermatomyositis </w:t>
      </w:r>
      <w:r w:rsidRPr="00F14AE8">
        <w:rPr>
          <w:rFonts w:ascii="Book Antiqua" w:hAnsi="Book Antiqua"/>
          <w:sz w:val="24"/>
          <w:szCs w:val="24"/>
        </w:rPr>
        <w:t>at an urban, university hospital over a ten year period was performed.</w:t>
      </w:r>
      <w:r w:rsidR="00A00A0F" w:rsidRPr="00F14AE8">
        <w:rPr>
          <w:rFonts w:ascii="Book Antiqua" w:hAnsi="Book Antiqua"/>
          <w:sz w:val="24"/>
          <w:szCs w:val="24"/>
        </w:rPr>
        <w:t xml:space="preserve"> Chart review </w:t>
      </w:r>
      <w:r w:rsidRPr="00F14AE8">
        <w:rPr>
          <w:rFonts w:ascii="Book Antiqua" w:hAnsi="Book Antiqua"/>
          <w:sz w:val="24"/>
          <w:szCs w:val="24"/>
        </w:rPr>
        <w:t xml:space="preserve">was performed </w:t>
      </w:r>
      <w:r w:rsidR="008075B5" w:rsidRPr="00F14AE8">
        <w:rPr>
          <w:rFonts w:ascii="Book Antiqua" w:hAnsi="Book Antiqua"/>
          <w:sz w:val="24"/>
          <w:szCs w:val="24"/>
        </w:rPr>
        <w:t>to confirm the diagnosis of dermatomyositis</w:t>
      </w:r>
      <w:r w:rsidRPr="00F14AE8">
        <w:rPr>
          <w:rFonts w:ascii="Book Antiqua" w:hAnsi="Book Antiqua"/>
          <w:sz w:val="24"/>
          <w:szCs w:val="24"/>
        </w:rPr>
        <w:t>. Findi</w:t>
      </w:r>
      <w:r w:rsidR="00B46D19" w:rsidRPr="00F14AE8">
        <w:rPr>
          <w:rFonts w:ascii="Book Antiqua" w:hAnsi="Book Antiqua"/>
          <w:sz w:val="24"/>
          <w:szCs w:val="24"/>
        </w:rPr>
        <w:t xml:space="preserve">ngs on endoscopy were collected </w:t>
      </w:r>
      <w:r w:rsidRPr="00F14AE8">
        <w:rPr>
          <w:rFonts w:ascii="Book Antiqua" w:hAnsi="Book Antiqua"/>
          <w:sz w:val="24"/>
          <w:szCs w:val="24"/>
        </w:rPr>
        <w:t>and statistical analyses stratified by age</w:t>
      </w:r>
      <w:r w:rsidR="00040FE6" w:rsidRPr="00F14AE8">
        <w:rPr>
          <w:rFonts w:ascii="Book Antiqua" w:hAnsi="Book Antiqua"/>
          <w:sz w:val="24"/>
          <w:szCs w:val="24"/>
        </w:rPr>
        <w:t xml:space="preserve"> and presence of symptoms</w:t>
      </w:r>
      <w:r w:rsidRPr="00F14AE8">
        <w:rPr>
          <w:rFonts w:ascii="Book Antiqua" w:hAnsi="Book Antiqua"/>
          <w:sz w:val="24"/>
          <w:szCs w:val="24"/>
        </w:rPr>
        <w:t xml:space="preserve"> were performed.</w:t>
      </w:r>
    </w:p>
    <w:p w:rsidR="001D2353" w:rsidRPr="00F14AE8" w:rsidRDefault="001D2353" w:rsidP="00F14AE8">
      <w:pPr>
        <w:spacing w:after="0" w:line="360" w:lineRule="auto"/>
        <w:jc w:val="both"/>
        <w:rPr>
          <w:rFonts w:ascii="Book Antiqua" w:hAnsi="Book Antiqua"/>
          <w:b/>
          <w:i/>
          <w:sz w:val="24"/>
          <w:szCs w:val="24"/>
          <w:lang w:eastAsia="zh-CN"/>
        </w:rPr>
      </w:pPr>
      <w:r w:rsidRPr="00F14AE8">
        <w:rPr>
          <w:rFonts w:ascii="Book Antiqua" w:hAnsi="Book Antiqua"/>
          <w:sz w:val="24"/>
          <w:szCs w:val="24"/>
        </w:rPr>
        <w:br/>
      </w:r>
      <w:r w:rsidRPr="00F14AE8">
        <w:rPr>
          <w:rFonts w:ascii="Book Antiqua" w:hAnsi="Book Antiqua"/>
          <w:b/>
          <w:i/>
          <w:sz w:val="24"/>
          <w:szCs w:val="24"/>
        </w:rPr>
        <w:t>RESULTS</w:t>
      </w:r>
    </w:p>
    <w:p w:rsidR="001D2353" w:rsidRPr="00F14AE8" w:rsidRDefault="00A12996"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Among 373 adult</w:t>
      </w:r>
      <w:r w:rsidR="00B46D19" w:rsidRPr="00F14AE8">
        <w:rPr>
          <w:rFonts w:ascii="Book Antiqua" w:hAnsi="Book Antiqua"/>
          <w:sz w:val="24"/>
          <w:szCs w:val="24"/>
        </w:rPr>
        <w:t xml:space="preserve"> patients identified through a code based search strategy, </w:t>
      </w:r>
      <w:r w:rsidR="001F7E11" w:rsidRPr="00F14AE8">
        <w:rPr>
          <w:rFonts w:ascii="Book Antiqua" w:hAnsi="Book Antiqua"/>
          <w:sz w:val="24"/>
          <w:szCs w:val="24"/>
        </w:rPr>
        <w:t xml:space="preserve">only </w:t>
      </w:r>
      <w:r w:rsidRPr="00F14AE8">
        <w:rPr>
          <w:rFonts w:ascii="Book Antiqua" w:hAnsi="Book Antiqua"/>
          <w:sz w:val="24"/>
          <w:szCs w:val="24"/>
        </w:rPr>
        <w:t>163</w:t>
      </w:r>
      <w:r w:rsidR="00B46D19" w:rsidRPr="00F14AE8">
        <w:rPr>
          <w:rFonts w:ascii="Book Antiqua" w:hAnsi="Book Antiqua"/>
          <w:sz w:val="24"/>
          <w:szCs w:val="24"/>
        </w:rPr>
        <w:t xml:space="preserve"> patients had dermatomyositis confir</w:t>
      </w:r>
      <w:r w:rsidR="005858E1" w:rsidRPr="00F14AE8">
        <w:rPr>
          <w:rFonts w:ascii="Book Antiqua" w:hAnsi="Book Antiqua"/>
          <w:sz w:val="24"/>
          <w:szCs w:val="24"/>
        </w:rPr>
        <w:t>med by chart review</w:t>
      </w:r>
      <w:r w:rsidR="00D712BE" w:rsidRPr="00F14AE8">
        <w:rPr>
          <w:rFonts w:ascii="Book Antiqua" w:hAnsi="Book Antiqua"/>
          <w:sz w:val="24"/>
          <w:szCs w:val="24"/>
        </w:rPr>
        <w:t>.</w:t>
      </w:r>
      <w:r w:rsidRPr="00F14AE8">
        <w:rPr>
          <w:rFonts w:ascii="Book Antiqua" w:hAnsi="Book Antiqua"/>
          <w:sz w:val="24"/>
          <w:szCs w:val="24"/>
        </w:rPr>
        <w:t xml:space="preserve"> </w:t>
      </w:r>
      <w:r w:rsidR="00854B84" w:rsidRPr="00F14AE8">
        <w:rPr>
          <w:rFonts w:ascii="Book Antiqua" w:hAnsi="Book Antiqua"/>
          <w:sz w:val="24"/>
          <w:szCs w:val="24"/>
        </w:rPr>
        <w:t>Of the 47</w:t>
      </w:r>
      <w:r w:rsidR="00E33705" w:rsidRPr="00F14AE8">
        <w:rPr>
          <w:rFonts w:ascii="Book Antiqua" w:hAnsi="Book Antiqua"/>
          <w:sz w:val="24"/>
          <w:szCs w:val="24"/>
        </w:rPr>
        <w:t xml:space="preserve"> patients who underwent upper endoscopy, </w:t>
      </w:r>
      <w:r w:rsidR="00D712BE" w:rsidRPr="00F14AE8">
        <w:rPr>
          <w:rFonts w:ascii="Book Antiqua" w:hAnsi="Book Antiqua"/>
          <w:sz w:val="24"/>
          <w:szCs w:val="24"/>
        </w:rPr>
        <w:t>two cases of</w:t>
      </w:r>
      <w:r w:rsidR="00E33705" w:rsidRPr="00F14AE8">
        <w:rPr>
          <w:rFonts w:ascii="Book Antiqua" w:hAnsi="Book Antiqua"/>
          <w:sz w:val="24"/>
          <w:szCs w:val="24"/>
        </w:rPr>
        <w:t xml:space="preserve"> Barrett’s</w:t>
      </w:r>
      <w:r w:rsidR="00854B84" w:rsidRPr="00F14AE8">
        <w:rPr>
          <w:rFonts w:ascii="Book Antiqua" w:hAnsi="Book Antiqua"/>
          <w:sz w:val="24"/>
          <w:szCs w:val="24"/>
        </w:rPr>
        <w:t xml:space="preserve"> esophagus without dysplasia were</w:t>
      </w:r>
      <w:r w:rsidR="00E33705" w:rsidRPr="00F14AE8">
        <w:rPr>
          <w:rFonts w:ascii="Book Antiqua" w:hAnsi="Book Antiqua"/>
          <w:sz w:val="24"/>
          <w:szCs w:val="24"/>
        </w:rPr>
        <w:t xml:space="preserve"> identified and there were no cases of malignancy. Of the 67 patients who underwent colonoscopy, no cases of malignancy were identified and</w:t>
      </w:r>
      <w:r w:rsidR="00573955" w:rsidRPr="00F14AE8">
        <w:rPr>
          <w:rFonts w:ascii="Book Antiqua" w:hAnsi="Book Antiqua"/>
          <w:sz w:val="24"/>
          <w:szCs w:val="24"/>
        </w:rPr>
        <w:t xml:space="preserve"> an adenoma was identified in 15</w:t>
      </w:r>
      <w:r w:rsidR="00E33705" w:rsidRPr="00F14AE8">
        <w:rPr>
          <w:rFonts w:ascii="Book Antiqua" w:hAnsi="Book Antiqua"/>
          <w:sz w:val="24"/>
          <w:szCs w:val="24"/>
        </w:rPr>
        <w:t xml:space="preserve">% of cases. No significant differences were identified </w:t>
      </w:r>
      <w:r w:rsidR="00E5603C" w:rsidRPr="00F14AE8">
        <w:rPr>
          <w:rFonts w:ascii="Book Antiqua" w:hAnsi="Book Antiqua"/>
          <w:sz w:val="24"/>
          <w:szCs w:val="24"/>
        </w:rPr>
        <w:t>in the yield of endoscopy when stratified by age or presence of symptoms.</w:t>
      </w:r>
    </w:p>
    <w:p w:rsidR="001D2353" w:rsidRPr="00F14AE8" w:rsidRDefault="007A28E5" w:rsidP="00F14AE8">
      <w:pPr>
        <w:spacing w:after="0" w:line="360" w:lineRule="auto"/>
        <w:jc w:val="both"/>
        <w:rPr>
          <w:rFonts w:ascii="Book Antiqua" w:hAnsi="Book Antiqua"/>
          <w:b/>
          <w:i/>
          <w:sz w:val="24"/>
          <w:szCs w:val="24"/>
          <w:lang w:eastAsia="zh-CN"/>
        </w:rPr>
      </w:pPr>
      <w:r w:rsidRPr="00F14AE8">
        <w:rPr>
          <w:rFonts w:ascii="Book Antiqua" w:hAnsi="Book Antiqua"/>
          <w:sz w:val="24"/>
          <w:szCs w:val="24"/>
        </w:rPr>
        <w:br/>
      </w:r>
      <w:r w:rsidR="001D2353" w:rsidRPr="00F14AE8">
        <w:rPr>
          <w:rFonts w:ascii="Book Antiqua" w:hAnsi="Book Antiqua"/>
          <w:b/>
          <w:i/>
          <w:sz w:val="24"/>
          <w:szCs w:val="24"/>
        </w:rPr>
        <w:t>CONCLUSION</w:t>
      </w:r>
    </w:p>
    <w:p w:rsidR="00E5603C" w:rsidRPr="00F14AE8" w:rsidRDefault="00CB2F94" w:rsidP="00F14AE8">
      <w:pPr>
        <w:spacing w:after="0" w:line="360" w:lineRule="auto"/>
        <w:jc w:val="both"/>
        <w:rPr>
          <w:rFonts w:ascii="Book Antiqua" w:hAnsi="Book Antiqua"/>
          <w:sz w:val="24"/>
          <w:szCs w:val="24"/>
        </w:rPr>
      </w:pPr>
      <w:r w:rsidRPr="00F14AE8">
        <w:rPr>
          <w:rFonts w:ascii="Book Antiqua" w:hAnsi="Book Antiqua"/>
          <w:sz w:val="24"/>
          <w:szCs w:val="24"/>
        </w:rPr>
        <w:t>The yield of endoscopy is low in patients with dermatomyositis and is likely similar to the general population</w:t>
      </w:r>
      <w:r w:rsidR="00E5603C" w:rsidRPr="00F14AE8">
        <w:rPr>
          <w:rFonts w:ascii="Book Antiqua" w:hAnsi="Book Antiqua"/>
          <w:sz w:val="24"/>
          <w:szCs w:val="24"/>
        </w:rPr>
        <w:t>; we identified no cases of malignancy</w:t>
      </w:r>
      <w:r w:rsidRPr="00F14AE8">
        <w:rPr>
          <w:rFonts w:ascii="Book Antiqua" w:hAnsi="Book Antiqua"/>
          <w:sz w:val="24"/>
          <w:szCs w:val="24"/>
        </w:rPr>
        <w:t xml:space="preserve">. A code based </w:t>
      </w:r>
      <w:r w:rsidR="00040FE6" w:rsidRPr="00F14AE8">
        <w:rPr>
          <w:rFonts w:ascii="Book Antiqua" w:hAnsi="Book Antiqua"/>
          <w:sz w:val="24"/>
          <w:szCs w:val="24"/>
        </w:rPr>
        <w:t xml:space="preserve">search </w:t>
      </w:r>
      <w:r w:rsidRPr="00F14AE8">
        <w:rPr>
          <w:rFonts w:ascii="Book Antiqua" w:hAnsi="Book Antiqua"/>
          <w:sz w:val="24"/>
          <w:szCs w:val="24"/>
        </w:rPr>
        <w:t>strategy is inaccurate for the diagnosis of dermatomyositis, calling into question the results of prior population-based studies. Larger studies with rigorously validated search strategies are necessary to understand the risk of gastrointestinal malignancy in patients with dermatomyositis.</w:t>
      </w:r>
    </w:p>
    <w:p w:rsidR="00707744" w:rsidRPr="00F14AE8" w:rsidRDefault="00707744" w:rsidP="00F14AE8">
      <w:pPr>
        <w:spacing w:after="0" w:line="360" w:lineRule="auto"/>
        <w:jc w:val="both"/>
        <w:rPr>
          <w:rFonts w:ascii="Book Antiqua" w:hAnsi="Book Antiqua"/>
          <w:sz w:val="24"/>
          <w:szCs w:val="24"/>
          <w:lang w:eastAsia="zh-CN"/>
        </w:rPr>
      </w:pPr>
      <w:r w:rsidRPr="00F14AE8">
        <w:rPr>
          <w:rFonts w:ascii="Book Antiqua" w:hAnsi="Book Antiqua"/>
          <w:b/>
          <w:sz w:val="24"/>
          <w:szCs w:val="24"/>
        </w:rPr>
        <w:lastRenderedPageBreak/>
        <w:t>Key</w:t>
      </w:r>
      <w:r w:rsidR="00E133FE" w:rsidRPr="00F14AE8">
        <w:rPr>
          <w:rFonts w:ascii="Book Antiqua" w:hAnsi="Book Antiqua"/>
          <w:b/>
          <w:sz w:val="24"/>
          <w:szCs w:val="24"/>
          <w:lang w:eastAsia="zh-CN"/>
        </w:rPr>
        <w:t xml:space="preserve"> </w:t>
      </w:r>
      <w:r w:rsidRPr="00F14AE8">
        <w:rPr>
          <w:rFonts w:ascii="Book Antiqua" w:hAnsi="Book Antiqua"/>
          <w:b/>
          <w:sz w:val="24"/>
          <w:szCs w:val="24"/>
        </w:rPr>
        <w:t xml:space="preserve">words: </w:t>
      </w:r>
      <w:r w:rsidR="00057EBC" w:rsidRPr="00F14AE8">
        <w:rPr>
          <w:rFonts w:ascii="Book Antiqua" w:hAnsi="Book Antiqua"/>
          <w:sz w:val="24"/>
          <w:szCs w:val="24"/>
        </w:rPr>
        <w:t xml:space="preserve">Endoscopy; </w:t>
      </w:r>
      <w:r w:rsidR="00CF32FA" w:rsidRPr="00F14AE8">
        <w:rPr>
          <w:rFonts w:ascii="Book Antiqua" w:hAnsi="Book Antiqua"/>
          <w:sz w:val="24"/>
          <w:szCs w:val="24"/>
        </w:rPr>
        <w:t>Dermatomyositis</w:t>
      </w:r>
      <w:r w:rsidR="00057EBC" w:rsidRPr="00F14AE8">
        <w:rPr>
          <w:rFonts w:ascii="Book Antiqua" w:hAnsi="Book Antiqua"/>
          <w:sz w:val="24"/>
          <w:szCs w:val="24"/>
        </w:rPr>
        <w:t>;</w:t>
      </w:r>
      <w:r w:rsidRPr="00F14AE8">
        <w:rPr>
          <w:rFonts w:ascii="Book Antiqua" w:hAnsi="Book Antiqua"/>
          <w:sz w:val="24"/>
          <w:szCs w:val="24"/>
        </w:rPr>
        <w:t xml:space="preserve"> </w:t>
      </w:r>
      <w:r w:rsidR="00CF32FA" w:rsidRPr="00F14AE8">
        <w:rPr>
          <w:rFonts w:ascii="Book Antiqua" w:hAnsi="Book Antiqua"/>
          <w:sz w:val="24"/>
          <w:szCs w:val="24"/>
        </w:rPr>
        <w:t xml:space="preserve">Colon </w:t>
      </w:r>
      <w:r w:rsidRPr="00F14AE8">
        <w:rPr>
          <w:rFonts w:ascii="Book Antiqua" w:hAnsi="Book Antiqua"/>
          <w:sz w:val="24"/>
          <w:szCs w:val="24"/>
        </w:rPr>
        <w:t>cancer</w:t>
      </w:r>
      <w:r w:rsidR="00057EBC" w:rsidRPr="00F14AE8">
        <w:rPr>
          <w:rFonts w:ascii="Book Antiqua" w:hAnsi="Book Antiqua"/>
          <w:sz w:val="24"/>
          <w:szCs w:val="24"/>
        </w:rPr>
        <w:t>;</w:t>
      </w:r>
      <w:r w:rsidR="00FC0A03" w:rsidRPr="00F14AE8">
        <w:rPr>
          <w:rFonts w:ascii="Book Antiqua" w:hAnsi="Book Antiqua"/>
          <w:sz w:val="24"/>
          <w:szCs w:val="24"/>
        </w:rPr>
        <w:t xml:space="preserve"> </w:t>
      </w:r>
      <w:r w:rsidR="00CF32FA" w:rsidRPr="00F14AE8">
        <w:rPr>
          <w:rFonts w:ascii="Book Antiqua" w:hAnsi="Book Antiqua"/>
          <w:sz w:val="24"/>
          <w:szCs w:val="24"/>
        </w:rPr>
        <w:t>Screening</w:t>
      </w:r>
    </w:p>
    <w:p w:rsidR="001D2353" w:rsidRPr="00F14AE8" w:rsidRDefault="001D2353" w:rsidP="00F14AE8">
      <w:pPr>
        <w:spacing w:after="0" w:line="360" w:lineRule="auto"/>
        <w:jc w:val="both"/>
        <w:rPr>
          <w:rFonts w:ascii="Book Antiqua" w:hAnsi="Book Antiqua"/>
          <w:sz w:val="24"/>
          <w:szCs w:val="24"/>
          <w:lang w:eastAsia="zh-CN"/>
        </w:rPr>
      </w:pPr>
    </w:p>
    <w:p w:rsidR="00CF32FA" w:rsidRPr="00F14AE8" w:rsidRDefault="00CF32FA" w:rsidP="00F14AE8">
      <w:pPr>
        <w:spacing w:after="0" w:line="360" w:lineRule="auto"/>
        <w:jc w:val="both"/>
        <w:rPr>
          <w:rFonts w:ascii="Book Antiqua" w:hAnsi="Book Antiqua" w:cs="Arial"/>
          <w:sz w:val="24"/>
          <w:szCs w:val="24"/>
        </w:rPr>
      </w:pPr>
      <w:bookmarkStart w:id="29" w:name="OLE_LINK55"/>
      <w:bookmarkStart w:id="30" w:name="OLE_LINK56"/>
      <w:bookmarkStart w:id="31" w:name="OLE_LINK105"/>
      <w:bookmarkStart w:id="32" w:name="OLE_LINK116"/>
      <w:bookmarkStart w:id="33" w:name="OLE_LINK89"/>
      <w:r w:rsidRPr="00F14AE8">
        <w:rPr>
          <w:rFonts w:ascii="Book Antiqua" w:hAnsi="Book Antiqua"/>
          <w:b/>
          <w:sz w:val="24"/>
          <w:szCs w:val="24"/>
        </w:rPr>
        <w:t>©</w:t>
      </w:r>
      <w:bookmarkEnd w:id="29"/>
      <w:bookmarkEnd w:id="30"/>
      <w:r w:rsidRPr="00F14AE8">
        <w:rPr>
          <w:rFonts w:ascii="Book Antiqua" w:hAnsi="Book Antiqua"/>
          <w:b/>
          <w:sz w:val="24"/>
          <w:szCs w:val="24"/>
        </w:rPr>
        <w:t xml:space="preserve"> </w:t>
      </w:r>
      <w:r w:rsidRPr="00F14AE8">
        <w:rPr>
          <w:rFonts w:ascii="Book Antiqua" w:hAnsi="Book Antiqua" w:cs="Arial"/>
          <w:b/>
          <w:sz w:val="24"/>
          <w:szCs w:val="24"/>
        </w:rPr>
        <w:t xml:space="preserve">The Author(s) 2017. </w:t>
      </w:r>
      <w:r w:rsidRPr="00F14AE8">
        <w:rPr>
          <w:rFonts w:ascii="Book Antiqua" w:hAnsi="Book Antiqua" w:cs="Arial"/>
          <w:sz w:val="24"/>
          <w:szCs w:val="24"/>
        </w:rPr>
        <w:t>Published by Baishideng Publishing Group Inc. All rights reserved.</w:t>
      </w:r>
    </w:p>
    <w:bookmarkEnd w:id="31"/>
    <w:bookmarkEnd w:id="32"/>
    <w:bookmarkEnd w:id="33"/>
    <w:p w:rsidR="00CF32FA" w:rsidRPr="00F14AE8" w:rsidRDefault="00CF32FA" w:rsidP="00F14AE8">
      <w:pPr>
        <w:spacing w:after="0" w:line="360" w:lineRule="auto"/>
        <w:jc w:val="both"/>
        <w:rPr>
          <w:rFonts w:ascii="Book Antiqua" w:hAnsi="Book Antiqua"/>
          <w:b/>
          <w:sz w:val="24"/>
          <w:szCs w:val="24"/>
          <w:lang w:eastAsia="zh-CN"/>
        </w:rPr>
      </w:pPr>
    </w:p>
    <w:p w:rsidR="009B4226" w:rsidRPr="00F14AE8" w:rsidRDefault="009B4226" w:rsidP="00F14AE8">
      <w:pPr>
        <w:spacing w:after="0" w:line="360" w:lineRule="auto"/>
        <w:jc w:val="both"/>
        <w:rPr>
          <w:rFonts w:ascii="Book Antiqua" w:hAnsi="Book Antiqua"/>
          <w:sz w:val="24"/>
          <w:szCs w:val="24"/>
        </w:rPr>
      </w:pPr>
      <w:r w:rsidRPr="00F14AE8">
        <w:rPr>
          <w:rFonts w:ascii="Book Antiqua" w:hAnsi="Book Antiqua"/>
          <w:b/>
          <w:sz w:val="24"/>
          <w:szCs w:val="24"/>
        </w:rPr>
        <w:t>Core tip:</w:t>
      </w:r>
      <w:r w:rsidRPr="00F14AE8">
        <w:rPr>
          <w:rFonts w:ascii="Book Antiqua" w:hAnsi="Book Antiqua"/>
          <w:sz w:val="24"/>
          <w:szCs w:val="24"/>
        </w:rPr>
        <w:t xml:space="preserve"> Dermatomyositis is associated with an increased risk of gastrointestinal (GI) malignancies based on large-population based studies. These prior studies utilized code-based search strategies and did not perform individual chart review. The yield of endoscopy in this patient population is not known. In this study, endoscopy identified no cases of malignancy and was of low yield, likely similar to the general population, in the identification of pre-malignant findings.</w:t>
      </w:r>
      <w:r w:rsidR="003530DE">
        <w:rPr>
          <w:rFonts w:ascii="Book Antiqua" w:hAnsi="Book Antiqua" w:hint="eastAsia"/>
          <w:sz w:val="24"/>
          <w:szCs w:val="24"/>
          <w:lang w:eastAsia="zh-CN"/>
        </w:rPr>
        <w:t xml:space="preserve"> </w:t>
      </w:r>
      <w:r w:rsidRPr="00F14AE8">
        <w:rPr>
          <w:rFonts w:ascii="Book Antiqua" w:hAnsi="Book Antiqua"/>
          <w:sz w:val="24"/>
          <w:szCs w:val="24"/>
        </w:rPr>
        <w:t>Code-based searched strategies were inaccurate in the identification of dermatomyositis, calling into question the results of prior population-based studies. The association between increased GI malignancy and dermatomyositis may be lower than previously reported.</w:t>
      </w:r>
    </w:p>
    <w:p w:rsidR="009B4226" w:rsidRPr="00F14AE8" w:rsidRDefault="009B4226" w:rsidP="00F14AE8">
      <w:pPr>
        <w:spacing w:after="0" w:line="360" w:lineRule="auto"/>
        <w:jc w:val="both"/>
        <w:rPr>
          <w:rFonts w:ascii="Book Antiqua" w:hAnsi="Book Antiqua"/>
          <w:sz w:val="24"/>
          <w:szCs w:val="24"/>
        </w:rPr>
      </w:pPr>
    </w:p>
    <w:p w:rsidR="00CF32FA" w:rsidRPr="00F14AE8" w:rsidRDefault="009B4226" w:rsidP="00F14AE8">
      <w:pPr>
        <w:adjustRightInd w:val="0"/>
        <w:snapToGrid w:val="0"/>
        <w:spacing w:after="0" w:line="360" w:lineRule="auto"/>
        <w:jc w:val="both"/>
        <w:rPr>
          <w:rFonts w:ascii="Book Antiqua" w:hAnsi="Book Antiqua"/>
          <w:sz w:val="24"/>
          <w:szCs w:val="24"/>
        </w:rPr>
      </w:pPr>
      <w:r w:rsidRPr="00F14AE8">
        <w:rPr>
          <w:rFonts w:ascii="Book Antiqua" w:hAnsi="Book Antiqua"/>
          <w:sz w:val="24"/>
          <w:szCs w:val="24"/>
        </w:rPr>
        <w:t>Kidambi TD, Schmajuk G, Gross AJ, Ostroff JW, Terdiman JP, Lee JK. Endoscopy is of low yield in the identification of gastrointestinal neoplasia in patients with dermatomyositis: A cross-sectional study</w:t>
      </w:r>
      <w:r w:rsidR="00CF32FA" w:rsidRPr="00F14AE8">
        <w:rPr>
          <w:rFonts w:ascii="Book Antiqua" w:hAnsi="Book Antiqua"/>
          <w:sz w:val="24"/>
          <w:szCs w:val="24"/>
          <w:lang w:eastAsia="zh-CN"/>
        </w:rPr>
        <w:t xml:space="preserve">. </w:t>
      </w:r>
      <w:bookmarkStart w:id="34" w:name="OLE_LINK424"/>
      <w:bookmarkStart w:id="35" w:name="OLE_LINK425"/>
      <w:r w:rsidR="00CF32FA" w:rsidRPr="00F14AE8">
        <w:rPr>
          <w:rFonts w:ascii="Book Antiqua" w:hAnsi="Book Antiqua"/>
          <w:i/>
          <w:sz w:val="24"/>
          <w:szCs w:val="24"/>
        </w:rPr>
        <w:t>World J Gastroenterol</w:t>
      </w:r>
      <w:r w:rsidR="00CF32FA" w:rsidRPr="00F14AE8">
        <w:rPr>
          <w:rFonts w:ascii="Book Antiqua" w:hAnsi="Book Antiqua"/>
          <w:sz w:val="24"/>
          <w:szCs w:val="24"/>
        </w:rPr>
        <w:t xml:space="preserve"> 2017; </w:t>
      </w:r>
      <w:bookmarkStart w:id="36" w:name="OLE_LINK1689"/>
      <w:bookmarkStart w:id="37" w:name="OLE_LINK1298"/>
      <w:bookmarkStart w:id="38" w:name="OLE_LINK1297"/>
      <w:r w:rsidR="00CF32FA" w:rsidRPr="00F14AE8">
        <w:rPr>
          <w:rFonts w:ascii="Book Antiqua" w:hAnsi="Book Antiqua"/>
          <w:sz w:val="24"/>
          <w:szCs w:val="24"/>
        </w:rPr>
        <w:t>In press</w:t>
      </w:r>
      <w:bookmarkEnd w:id="36"/>
      <w:bookmarkEnd w:id="37"/>
      <w:bookmarkEnd w:id="38"/>
    </w:p>
    <w:bookmarkEnd w:id="34"/>
    <w:bookmarkEnd w:id="35"/>
    <w:p w:rsidR="009B4226" w:rsidRPr="00F14AE8" w:rsidRDefault="009B4226" w:rsidP="00F14AE8">
      <w:pPr>
        <w:spacing w:after="0" w:line="360" w:lineRule="auto"/>
        <w:jc w:val="both"/>
        <w:rPr>
          <w:rFonts w:ascii="Book Antiqua" w:hAnsi="Book Antiqua"/>
          <w:sz w:val="24"/>
          <w:szCs w:val="24"/>
          <w:lang w:eastAsia="zh-CN"/>
        </w:rPr>
      </w:pPr>
    </w:p>
    <w:p w:rsidR="009B4226" w:rsidRPr="00F14AE8" w:rsidRDefault="009B4226" w:rsidP="00F14AE8">
      <w:pPr>
        <w:spacing w:after="0" w:line="360" w:lineRule="auto"/>
        <w:jc w:val="both"/>
        <w:rPr>
          <w:rFonts w:ascii="Book Antiqua" w:hAnsi="Book Antiqua"/>
          <w:sz w:val="24"/>
          <w:szCs w:val="24"/>
        </w:rPr>
      </w:pPr>
    </w:p>
    <w:p w:rsidR="009B4226" w:rsidRPr="00F14AE8" w:rsidRDefault="009B4226" w:rsidP="00F14AE8">
      <w:pPr>
        <w:spacing w:after="0" w:line="360" w:lineRule="auto"/>
        <w:jc w:val="both"/>
        <w:rPr>
          <w:rFonts w:ascii="Book Antiqua" w:hAnsi="Book Antiqua"/>
          <w:sz w:val="24"/>
          <w:szCs w:val="24"/>
        </w:rPr>
      </w:pPr>
    </w:p>
    <w:p w:rsidR="009B4226" w:rsidRPr="00F14AE8" w:rsidRDefault="009B4226" w:rsidP="00F14AE8">
      <w:pPr>
        <w:spacing w:after="0" w:line="360" w:lineRule="auto"/>
        <w:jc w:val="both"/>
        <w:rPr>
          <w:rFonts w:ascii="Book Antiqua" w:hAnsi="Book Antiqua"/>
          <w:sz w:val="24"/>
          <w:szCs w:val="24"/>
        </w:rPr>
      </w:pPr>
    </w:p>
    <w:p w:rsidR="009B4226" w:rsidRPr="00F14AE8" w:rsidRDefault="009B4226" w:rsidP="00F14AE8">
      <w:pPr>
        <w:spacing w:after="0" w:line="360" w:lineRule="auto"/>
        <w:jc w:val="both"/>
        <w:rPr>
          <w:rFonts w:ascii="Book Antiqua" w:hAnsi="Book Antiqua"/>
          <w:b/>
          <w:sz w:val="24"/>
          <w:szCs w:val="24"/>
        </w:rPr>
      </w:pPr>
    </w:p>
    <w:p w:rsidR="009B4226" w:rsidRPr="00F14AE8" w:rsidRDefault="009B4226" w:rsidP="00F14AE8">
      <w:pPr>
        <w:spacing w:after="0" w:line="360" w:lineRule="auto"/>
        <w:jc w:val="both"/>
        <w:rPr>
          <w:rFonts w:ascii="Book Antiqua" w:hAnsi="Book Antiqua"/>
          <w:b/>
          <w:sz w:val="24"/>
          <w:szCs w:val="24"/>
        </w:rPr>
      </w:pPr>
    </w:p>
    <w:p w:rsidR="009B4226" w:rsidRPr="00F14AE8" w:rsidRDefault="009B4226" w:rsidP="00F14AE8">
      <w:pPr>
        <w:spacing w:after="0" w:line="360" w:lineRule="auto"/>
        <w:jc w:val="both"/>
        <w:rPr>
          <w:rFonts w:ascii="Book Antiqua" w:hAnsi="Book Antiqua"/>
          <w:b/>
          <w:sz w:val="24"/>
          <w:szCs w:val="24"/>
        </w:rPr>
      </w:pPr>
    </w:p>
    <w:p w:rsidR="00F37465" w:rsidRPr="00F14AE8" w:rsidRDefault="001D2353" w:rsidP="00F14AE8">
      <w:pPr>
        <w:spacing w:after="0" w:line="360" w:lineRule="auto"/>
        <w:jc w:val="both"/>
        <w:rPr>
          <w:rFonts w:ascii="Book Antiqua" w:hAnsi="Book Antiqua"/>
          <w:sz w:val="24"/>
          <w:szCs w:val="24"/>
        </w:rPr>
      </w:pPr>
      <w:r w:rsidRPr="00F14AE8">
        <w:rPr>
          <w:rFonts w:ascii="Book Antiqua" w:hAnsi="Book Antiqua"/>
          <w:b/>
          <w:sz w:val="24"/>
          <w:szCs w:val="24"/>
        </w:rPr>
        <w:br w:type="page"/>
      </w:r>
      <w:r w:rsidR="002544BE" w:rsidRPr="00F14AE8">
        <w:rPr>
          <w:rFonts w:ascii="Book Antiqua" w:hAnsi="Book Antiqua"/>
          <w:b/>
          <w:sz w:val="24"/>
          <w:szCs w:val="24"/>
        </w:rPr>
        <w:lastRenderedPageBreak/>
        <w:t>INTRODUCTION</w:t>
      </w:r>
      <w:r w:rsidR="00F37465" w:rsidRPr="00F14AE8">
        <w:rPr>
          <w:rFonts w:ascii="Book Antiqua" w:hAnsi="Book Antiqua"/>
          <w:sz w:val="24"/>
          <w:szCs w:val="24"/>
        </w:rPr>
        <w:br/>
      </w:r>
      <w:r w:rsidR="000E5D73" w:rsidRPr="00F14AE8">
        <w:rPr>
          <w:rFonts w:ascii="Book Antiqua" w:hAnsi="Book Antiqua"/>
          <w:sz w:val="24"/>
          <w:szCs w:val="24"/>
        </w:rPr>
        <w:t>Patients with dermatomyositis, a common i</w:t>
      </w:r>
      <w:r w:rsidR="009C7493" w:rsidRPr="00F14AE8">
        <w:rPr>
          <w:rFonts w:ascii="Book Antiqua" w:hAnsi="Book Antiqua"/>
          <w:sz w:val="24"/>
          <w:szCs w:val="24"/>
        </w:rPr>
        <w:t>diopathic</w:t>
      </w:r>
      <w:r w:rsidR="000E5D73" w:rsidRPr="00F14AE8">
        <w:rPr>
          <w:rFonts w:ascii="Book Antiqua" w:hAnsi="Book Antiqua"/>
          <w:sz w:val="24"/>
          <w:szCs w:val="24"/>
        </w:rPr>
        <w:t xml:space="preserve"> inflammatory myopathy characterized by muscle weakness and cutaneous</w:t>
      </w:r>
      <w:r w:rsidR="009C7493" w:rsidRPr="00F14AE8">
        <w:rPr>
          <w:rFonts w:ascii="Book Antiqua" w:hAnsi="Book Antiqua"/>
          <w:sz w:val="24"/>
          <w:szCs w:val="24"/>
        </w:rPr>
        <w:t xml:space="preserve"> findings</w:t>
      </w:r>
      <w:r w:rsidR="00BC5701" w:rsidRPr="00F14AE8">
        <w:rPr>
          <w:rFonts w:ascii="Book Antiqua" w:hAnsi="Book Antiqua"/>
          <w:sz w:val="24"/>
          <w:szCs w:val="24"/>
        </w:rPr>
        <w:t xml:space="preserve"> af</w:t>
      </w:r>
      <w:r w:rsidRPr="00F14AE8">
        <w:rPr>
          <w:rFonts w:ascii="Book Antiqua" w:hAnsi="Book Antiqua"/>
          <w:sz w:val="24"/>
          <w:szCs w:val="24"/>
        </w:rPr>
        <w:t>fecting approximately 1 per 100</w:t>
      </w:r>
      <w:r w:rsidR="00BC5701" w:rsidRPr="00F14AE8">
        <w:rPr>
          <w:rFonts w:ascii="Book Antiqua" w:hAnsi="Book Antiqua"/>
          <w:sz w:val="24"/>
          <w:szCs w:val="24"/>
        </w:rPr>
        <w:t>000 people</w:t>
      </w:r>
      <w:r w:rsidR="000E5D73" w:rsidRPr="00F14AE8">
        <w:rPr>
          <w:rFonts w:ascii="Book Antiqua" w:hAnsi="Book Antiqua"/>
          <w:sz w:val="24"/>
          <w:szCs w:val="24"/>
        </w:rPr>
        <w:t xml:space="preserve"> are generally considered to have </w:t>
      </w:r>
      <w:r w:rsidR="00F37465" w:rsidRPr="00F14AE8">
        <w:rPr>
          <w:rFonts w:ascii="Book Antiqua" w:hAnsi="Book Antiqua"/>
          <w:sz w:val="24"/>
          <w:szCs w:val="24"/>
        </w:rPr>
        <w:t xml:space="preserve">an increased prevalence </w:t>
      </w:r>
      <w:r w:rsidR="000E5D73" w:rsidRPr="00F14AE8">
        <w:rPr>
          <w:rFonts w:ascii="Book Antiqua" w:hAnsi="Book Antiqua"/>
          <w:sz w:val="24"/>
          <w:szCs w:val="24"/>
        </w:rPr>
        <w:t xml:space="preserve">of </w:t>
      </w:r>
      <w:r w:rsidR="0048147A" w:rsidRPr="00F14AE8">
        <w:rPr>
          <w:rFonts w:ascii="Book Antiqua" w:hAnsi="Book Antiqua"/>
          <w:sz w:val="24"/>
          <w:szCs w:val="24"/>
        </w:rPr>
        <w:t>gastrointestinal (</w:t>
      </w:r>
      <w:r w:rsidR="000E5D73" w:rsidRPr="00F14AE8">
        <w:rPr>
          <w:rFonts w:ascii="Book Antiqua" w:hAnsi="Book Antiqua"/>
          <w:sz w:val="24"/>
          <w:szCs w:val="24"/>
        </w:rPr>
        <w:t>GI</w:t>
      </w:r>
      <w:r w:rsidR="0048147A" w:rsidRPr="00F14AE8">
        <w:rPr>
          <w:rFonts w:ascii="Book Antiqua" w:hAnsi="Book Antiqua"/>
          <w:sz w:val="24"/>
          <w:szCs w:val="24"/>
        </w:rPr>
        <w:t>)</w:t>
      </w:r>
      <w:r w:rsidR="000E5D73" w:rsidRPr="00F14AE8">
        <w:rPr>
          <w:rFonts w:ascii="Book Antiqua" w:hAnsi="Book Antiqua"/>
          <w:sz w:val="24"/>
          <w:szCs w:val="24"/>
        </w:rPr>
        <w:t xml:space="preserve"> malignancy</w:t>
      </w:r>
      <w:r w:rsidRPr="00F14AE8">
        <w:rPr>
          <w:rFonts w:ascii="Book Antiqua" w:hAnsi="Book Antiqua"/>
          <w:sz w:val="24"/>
          <w:szCs w:val="24"/>
          <w:vertAlign w:val="superscript"/>
        </w:rPr>
        <w:t>[</w:t>
      </w:r>
      <w:r w:rsidR="00CF32FA" w:rsidRPr="00F14AE8">
        <w:rPr>
          <w:rFonts w:ascii="Book Antiqua" w:hAnsi="Book Antiqua"/>
          <w:sz w:val="24"/>
          <w:szCs w:val="24"/>
          <w:vertAlign w:val="superscript"/>
        </w:rPr>
        <w:t>1,</w:t>
      </w:r>
      <w:r w:rsidR="00DE16F7" w:rsidRPr="00F14AE8">
        <w:rPr>
          <w:rFonts w:ascii="Book Antiqua" w:hAnsi="Book Antiqua"/>
          <w:sz w:val="24"/>
          <w:szCs w:val="24"/>
          <w:vertAlign w:val="superscript"/>
        </w:rPr>
        <w:t>2]</w:t>
      </w:r>
      <w:r w:rsidR="0048147A" w:rsidRPr="00F14AE8">
        <w:rPr>
          <w:rFonts w:ascii="Book Antiqua" w:hAnsi="Book Antiqua"/>
          <w:sz w:val="24"/>
          <w:szCs w:val="24"/>
        </w:rPr>
        <w:t xml:space="preserve">. </w:t>
      </w:r>
      <w:r w:rsidR="008608CE" w:rsidRPr="00F14AE8">
        <w:rPr>
          <w:rFonts w:ascii="Book Antiqua" w:hAnsi="Book Antiqua"/>
          <w:sz w:val="24"/>
          <w:szCs w:val="24"/>
        </w:rPr>
        <w:t xml:space="preserve">However, the reported prevalence of GI malignancy </w:t>
      </w:r>
      <w:r w:rsidR="00034D19" w:rsidRPr="00F14AE8">
        <w:rPr>
          <w:rFonts w:ascii="Book Antiqua" w:hAnsi="Book Antiqua"/>
          <w:sz w:val="24"/>
          <w:szCs w:val="24"/>
        </w:rPr>
        <w:t>varies</w:t>
      </w:r>
      <w:r w:rsidR="008608CE" w:rsidRPr="00F14AE8">
        <w:rPr>
          <w:rFonts w:ascii="Book Antiqua" w:hAnsi="Book Antiqua"/>
          <w:sz w:val="24"/>
          <w:szCs w:val="24"/>
        </w:rPr>
        <w:t xml:space="preserve"> depending on the level of chart review </w:t>
      </w:r>
      <w:r w:rsidR="00B749A7" w:rsidRPr="00F14AE8">
        <w:rPr>
          <w:rFonts w:ascii="Book Antiqua" w:hAnsi="Book Antiqua"/>
          <w:sz w:val="24"/>
          <w:szCs w:val="24"/>
        </w:rPr>
        <w:t xml:space="preserve">or diagnostic codes </w:t>
      </w:r>
      <w:r w:rsidR="008608CE" w:rsidRPr="00F14AE8">
        <w:rPr>
          <w:rFonts w:ascii="Book Antiqua" w:hAnsi="Book Antiqua"/>
          <w:sz w:val="24"/>
          <w:szCs w:val="24"/>
        </w:rPr>
        <w:t>used to verify the diagnoses</w:t>
      </w:r>
      <w:r w:rsidRPr="00F14AE8">
        <w:rPr>
          <w:rFonts w:ascii="Book Antiqua" w:hAnsi="Book Antiqua"/>
          <w:sz w:val="24"/>
          <w:szCs w:val="24"/>
          <w:vertAlign w:val="superscript"/>
        </w:rPr>
        <w:t>[</w:t>
      </w:r>
      <w:r w:rsidR="00DE16F7" w:rsidRPr="00F14AE8">
        <w:rPr>
          <w:rFonts w:ascii="Book Antiqua" w:hAnsi="Book Antiqua"/>
          <w:sz w:val="24"/>
          <w:szCs w:val="24"/>
          <w:vertAlign w:val="superscript"/>
        </w:rPr>
        <w:t>5-9]</w:t>
      </w:r>
      <w:r w:rsidR="008608CE" w:rsidRPr="00F14AE8">
        <w:rPr>
          <w:rFonts w:ascii="Book Antiqua" w:hAnsi="Book Antiqua"/>
          <w:sz w:val="24"/>
          <w:szCs w:val="24"/>
        </w:rPr>
        <w:t xml:space="preserve">. </w:t>
      </w:r>
      <w:r w:rsidR="00B749A7" w:rsidRPr="00F14AE8">
        <w:rPr>
          <w:rFonts w:ascii="Book Antiqua" w:hAnsi="Book Antiqua"/>
          <w:sz w:val="24"/>
          <w:szCs w:val="24"/>
        </w:rPr>
        <w:t>Large populatio</w:t>
      </w:r>
      <w:r w:rsidR="008334D1" w:rsidRPr="00F14AE8">
        <w:rPr>
          <w:rFonts w:ascii="Book Antiqua" w:hAnsi="Book Antiqua"/>
          <w:sz w:val="24"/>
          <w:szCs w:val="24"/>
        </w:rPr>
        <w:t>n-based</w:t>
      </w:r>
      <w:r w:rsidR="00B749A7" w:rsidRPr="00F14AE8">
        <w:rPr>
          <w:rFonts w:ascii="Book Antiqua" w:hAnsi="Book Antiqua"/>
          <w:sz w:val="24"/>
          <w:szCs w:val="24"/>
        </w:rPr>
        <w:t xml:space="preserve"> studies</w:t>
      </w:r>
      <w:r w:rsidRPr="00F14AE8">
        <w:rPr>
          <w:rFonts w:ascii="Book Antiqua" w:hAnsi="Book Antiqua"/>
          <w:sz w:val="24"/>
          <w:szCs w:val="24"/>
          <w:vertAlign w:val="superscript"/>
        </w:rPr>
        <w:t>[</w:t>
      </w:r>
      <w:r w:rsidR="00DE16F7" w:rsidRPr="00F14AE8">
        <w:rPr>
          <w:rFonts w:ascii="Book Antiqua" w:hAnsi="Book Antiqua"/>
          <w:sz w:val="24"/>
          <w:szCs w:val="24"/>
          <w:vertAlign w:val="superscript"/>
        </w:rPr>
        <w:t>3-5]</w:t>
      </w:r>
      <w:r w:rsidR="00B749A7" w:rsidRPr="00F14AE8">
        <w:rPr>
          <w:rFonts w:ascii="Book Antiqua" w:hAnsi="Book Antiqua"/>
          <w:sz w:val="24"/>
          <w:szCs w:val="24"/>
        </w:rPr>
        <w:t xml:space="preserve"> </w:t>
      </w:r>
      <w:r w:rsidR="007A28E5" w:rsidRPr="00F14AE8">
        <w:rPr>
          <w:rFonts w:ascii="Book Antiqua" w:hAnsi="Book Antiqua"/>
          <w:sz w:val="24"/>
          <w:szCs w:val="24"/>
        </w:rPr>
        <w:t xml:space="preserve">utilizing </w:t>
      </w:r>
      <w:r w:rsidR="008608CE" w:rsidRPr="00F14AE8">
        <w:rPr>
          <w:rFonts w:ascii="Book Antiqua" w:hAnsi="Book Antiqua"/>
          <w:sz w:val="24"/>
          <w:szCs w:val="24"/>
        </w:rPr>
        <w:t xml:space="preserve">diagnostic codes </w:t>
      </w:r>
      <w:r w:rsidR="00B749A7" w:rsidRPr="00F14AE8">
        <w:rPr>
          <w:rFonts w:ascii="Book Antiqua" w:hAnsi="Book Antiqua"/>
          <w:sz w:val="24"/>
          <w:szCs w:val="24"/>
        </w:rPr>
        <w:t>for identifying dermatomyositis patient</w:t>
      </w:r>
      <w:r w:rsidR="0072431C" w:rsidRPr="00F14AE8">
        <w:rPr>
          <w:rFonts w:ascii="Book Antiqua" w:hAnsi="Book Antiqua"/>
          <w:sz w:val="24"/>
          <w:szCs w:val="24"/>
        </w:rPr>
        <w:t>s</w:t>
      </w:r>
      <w:r w:rsidR="008608CE" w:rsidRPr="00F14AE8">
        <w:rPr>
          <w:rFonts w:ascii="Book Antiqua" w:hAnsi="Book Antiqua"/>
          <w:sz w:val="24"/>
          <w:szCs w:val="24"/>
        </w:rPr>
        <w:t xml:space="preserve"> have reported a prevalence of GI</w:t>
      </w:r>
      <w:r w:rsidR="00B749A7" w:rsidRPr="00F14AE8">
        <w:rPr>
          <w:rFonts w:ascii="Book Antiqua" w:hAnsi="Book Antiqua"/>
          <w:sz w:val="24"/>
          <w:szCs w:val="24"/>
        </w:rPr>
        <w:t xml:space="preserve"> malignancy </w:t>
      </w:r>
      <w:r w:rsidR="0045432F" w:rsidRPr="00F14AE8">
        <w:rPr>
          <w:rFonts w:ascii="Book Antiqua" w:hAnsi="Book Antiqua"/>
          <w:sz w:val="24"/>
          <w:szCs w:val="24"/>
        </w:rPr>
        <w:t>as high as five percent</w:t>
      </w:r>
      <w:r w:rsidR="007B0337" w:rsidRPr="00F14AE8">
        <w:rPr>
          <w:rFonts w:ascii="Book Antiqua" w:hAnsi="Book Antiqua"/>
          <w:sz w:val="24"/>
          <w:szCs w:val="24"/>
        </w:rPr>
        <w:t xml:space="preserve">. </w:t>
      </w:r>
      <w:r w:rsidR="008334D1" w:rsidRPr="00F14AE8">
        <w:rPr>
          <w:rFonts w:ascii="Book Antiqua" w:hAnsi="Book Antiqua"/>
          <w:sz w:val="24"/>
          <w:szCs w:val="24"/>
        </w:rPr>
        <w:t xml:space="preserve">Additionally, </w:t>
      </w:r>
      <w:r w:rsidR="00946472" w:rsidRPr="00F14AE8">
        <w:rPr>
          <w:rFonts w:ascii="Book Antiqua" w:hAnsi="Book Antiqua"/>
          <w:sz w:val="24"/>
          <w:szCs w:val="24"/>
        </w:rPr>
        <w:t xml:space="preserve">a </w:t>
      </w:r>
      <w:r w:rsidR="008334D1" w:rsidRPr="00F14AE8">
        <w:rPr>
          <w:rFonts w:ascii="Book Antiqua" w:hAnsi="Book Antiqua"/>
          <w:sz w:val="24"/>
          <w:szCs w:val="24"/>
        </w:rPr>
        <w:t xml:space="preserve">study </w:t>
      </w:r>
      <w:r w:rsidR="00946472" w:rsidRPr="00F14AE8">
        <w:rPr>
          <w:rFonts w:ascii="Book Antiqua" w:hAnsi="Book Antiqua"/>
          <w:sz w:val="24"/>
          <w:szCs w:val="24"/>
        </w:rPr>
        <w:t>using</w:t>
      </w:r>
      <w:r w:rsidR="008334D1" w:rsidRPr="00F14AE8">
        <w:rPr>
          <w:rFonts w:ascii="Book Antiqua" w:hAnsi="Book Antiqua"/>
          <w:sz w:val="24"/>
          <w:szCs w:val="24"/>
        </w:rPr>
        <w:t xml:space="preserve"> extensive testing for malignancy in dermat</w:t>
      </w:r>
      <w:r w:rsidR="005D438F" w:rsidRPr="00F14AE8">
        <w:rPr>
          <w:rFonts w:ascii="Book Antiqua" w:hAnsi="Book Antiqua"/>
          <w:sz w:val="24"/>
          <w:szCs w:val="24"/>
        </w:rPr>
        <w:t>omyositis patients reported a 15</w:t>
      </w:r>
      <w:r w:rsidR="008334D1" w:rsidRPr="00F14AE8">
        <w:rPr>
          <w:rFonts w:ascii="Book Antiqua" w:hAnsi="Book Antiqua"/>
          <w:sz w:val="24"/>
          <w:szCs w:val="24"/>
        </w:rPr>
        <w:t>% prevalence of GI malignancy</w:t>
      </w:r>
      <w:r w:rsidRPr="00F14AE8">
        <w:rPr>
          <w:rFonts w:ascii="Book Antiqua" w:hAnsi="Book Antiqua"/>
          <w:sz w:val="24"/>
          <w:szCs w:val="24"/>
          <w:vertAlign w:val="superscript"/>
        </w:rPr>
        <w:t>[</w:t>
      </w:r>
      <w:r w:rsidR="00DE16F7" w:rsidRPr="00F14AE8">
        <w:rPr>
          <w:rFonts w:ascii="Book Antiqua" w:hAnsi="Book Antiqua"/>
          <w:sz w:val="24"/>
          <w:szCs w:val="24"/>
          <w:vertAlign w:val="superscript"/>
        </w:rPr>
        <w:t>6]</w:t>
      </w:r>
      <w:r w:rsidR="008334D1" w:rsidRPr="00F14AE8">
        <w:rPr>
          <w:rFonts w:ascii="Book Antiqua" w:hAnsi="Book Antiqua"/>
          <w:sz w:val="24"/>
          <w:szCs w:val="24"/>
        </w:rPr>
        <w:t xml:space="preserve">. </w:t>
      </w:r>
      <w:r w:rsidR="00B749A7" w:rsidRPr="00F14AE8">
        <w:rPr>
          <w:rFonts w:ascii="Book Antiqua" w:hAnsi="Book Antiqua"/>
          <w:sz w:val="24"/>
          <w:szCs w:val="24"/>
        </w:rPr>
        <w:t xml:space="preserve">In contrast, </w:t>
      </w:r>
      <w:r w:rsidR="00547A89" w:rsidRPr="00F14AE8">
        <w:rPr>
          <w:rFonts w:ascii="Book Antiqua" w:hAnsi="Book Antiqua"/>
          <w:sz w:val="24"/>
          <w:szCs w:val="24"/>
        </w:rPr>
        <w:t xml:space="preserve">small </w:t>
      </w:r>
      <w:r w:rsidR="00B749A7" w:rsidRPr="00F14AE8">
        <w:rPr>
          <w:rFonts w:ascii="Book Antiqua" w:hAnsi="Book Antiqua"/>
          <w:sz w:val="24"/>
          <w:szCs w:val="24"/>
        </w:rPr>
        <w:t>r</w:t>
      </w:r>
      <w:r w:rsidR="0048147A" w:rsidRPr="00F14AE8">
        <w:rPr>
          <w:rFonts w:ascii="Book Antiqua" w:hAnsi="Book Antiqua"/>
          <w:sz w:val="24"/>
          <w:szCs w:val="24"/>
        </w:rPr>
        <w:t>etrospective studies</w:t>
      </w:r>
      <w:r w:rsidRPr="00F14AE8">
        <w:rPr>
          <w:rFonts w:ascii="Book Antiqua" w:hAnsi="Book Antiqua"/>
          <w:sz w:val="24"/>
          <w:szCs w:val="24"/>
          <w:vertAlign w:val="superscript"/>
        </w:rPr>
        <w:t>[</w:t>
      </w:r>
      <w:r w:rsidR="00DE16F7" w:rsidRPr="00F14AE8">
        <w:rPr>
          <w:rFonts w:ascii="Book Antiqua" w:hAnsi="Book Antiqua"/>
          <w:sz w:val="24"/>
          <w:szCs w:val="24"/>
          <w:vertAlign w:val="superscript"/>
        </w:rPr>
        <w:t>7-9]</w:t>
      </w:r>
      <w:r w:rsidR="00F37465" w:rsidRPr="00F14AE8">
        <w:rPr>
          <w:rFonts w:ascii="Book Antiqua" w:hAnsi="Book Antiqua"/>
          <w:sz w:val="24"/>
          <w:szCs w:val="24"/>
        </w:rPr>
        <w:t xml:space="preserve"> utilizing individual lev</w:t>
      </w:r>
      <w:r w:rsidR="00B749A7" w:rsidRPr="00F14AE8">
        <w:rPr>
          <w:rFonts w:ascii="Book Antiqua" w:hAnsi="Book Antiqua"/>
          <w:sz w:val="24"/>
          <w:szCs w:val="24"/>
        </w:rPr>
        <w:t xml:space="preserve">el chart review </w:t>
      </w:r>
      <w:r w:rsidR="008334D1" w:rsidRPr="00F14AE8">
        <w:rPr>
          <w:rFonts w:ascii="Book Antiqua" w:hAnsi="Book Antiqua"/>
          <w:sz w:val="24"/>
          <w:szCs w:val="24"/>
        </w:rPr>
        <w:t xml:space="preserve">have </w:t>
      </w:r>
      <w:r w:rsidR="00B749A7" w:rsidRPr="00F14AE8">
        <w:rPr>
          <w:rFonts w:ascii="Book Antiqua" w:hAnsi="Book Antiqua"/>
          <w:sz w:val="24"/>
          <w:szCs w:val="24"/>
        </w:rPr>
        <w:t>reported</w:t>
      </w:r>
      <w:r w:rsidR="00F37465" w:rsidRPr="00F14AE8">
        <w:rPr>
          <w:rFonts w:ascii="Book Antiqua" w:hAnsi="Book Antiqua"/>
          <w:sz w:val="24"/>
          <w:szCs w:val="24"/>
        </w:rPr>
        <w:t xml:space="preserve"> </w:t>
      </w:r>
      <w:r w:rsidR="0048147A" w:rsidRPr="00F14AE8">
        <w:rPr>
          <w:rFonts w:ascii="Book Antiqua" w:hAnsi="Book Antiqua"/>
          <w:sz w:val="24"/>
          <w:szCs w:val="24"/>
        </w:rPr>
        <w:t xml:space="preserve">the </w:t>
      </w:r>
      <w:r w:rsidR="008608CE" w:rsidRPr="00F14AE8">
        <w:rPr>
          <w:rFonts w:ascii="Book Antiqua" w:hAnsi="Book Antiqua"/>
          <w:sz w:val="24"/>
          <w:szCs w:val="24"/>
        </w:rPr>
        <w:t>prevalence o</w:t>
      </w:r>
      <w:r w:rsidR="00993211" w:rsidRPr="00F14AE8">
        <w:rPr>
          <w:rFonts w:ascii="Book Antiqua" w:hAnsi="Book Antiqua"/>
          <w:sz w:val="24"/>
          <w:szCs w:val="24"/>
        </w:rPr>
        <w:t>f gastric or colorectal cancer (CRC) to be</w:t>
      </w:r>
      <w:r w:rsidR="00D63391" w:rsidRPr="00F14AE8">
        <w:rPr>
          <w:rFonts w:ascii="Book Antiqua" w:hAnsi="Book Antiqua"/>
          <w:sz w:val="24"/>
          <w:szCs w:val="24"/>
        </w:rPr>
        <w:t xml:space="preserve"> </w:t>
      </w:r>
      <w:r w:rsidR="00170131" w:rsidRPr="00F14AE8">
        <w:rPr>
          <w:rFonts w:ascii="Book Antiqua" w:hAnsi="Book Antiqua"/>
          <w:sz w:val="24"/>
          <w:szCs w:val="24"/>
        </w:rPr>
        <w:t xml:space="preserve">closer to </w:t>
      </w:r>
      <w:r w:rsidR="00D63391" w:rsidRPr="00F14AE8">
        <w:rPr>
          <w:rFonts w:ascii="Book Antiqua" w:hAnsi="Book Antiqua"/>
          <w:sz w:val="24"/>
          <w:szCs w:val="24"/>
        </w:rPr>
        <w:t xml:space="preserve">one percent </w:t>
      </w:r>
      <w:r w:rsidR="00B749A7" w:rsidRPr="00F14AE8">
        <w:rPr>
          <w:rFonts w:ascii="Book Antiqua" w:hAnsi="Book Antiqua"/>
          <w:sz w:val="24"/>
          <w:szCs w:val="24"/>
        </w:rPr>
        <w:t>among</w:t>
      </w:r>
      <w:r w:rsidR="008608CE" w:rsidRPr="00F14AE8">
        <w:rPr>
          <w:rFonts w:ascii="Book Antiqua" w:hAnsi="Book Antiqua"/>
          <w:sz w:val="24"/>
          <w:szCs w:val="24"/>
        </w:rPr>
        <w:t xml:space="preserve"> dermatomyositis</w:t>
      </w:r>
      <w:r w:rsidR="007B0337" w:rsidRPr="00F14AE8">
        <w:rPr>
          <w:rFonts w:ascii="Book Antiqua" w:hAnsi="Book Antiqua"/>
          <w:sz w:val="24"/>
          <w:szCs w:val="24"/>
        </w:rPr>
        <w:t xml:space="preserve"> patients</w:t>
      </w:r>
      <w:r w:rsidR="008334D1" w:rsidRPr="00F14AE8">
        <w:rPr>
          <w:rFonts w:ascii="Book Antiqua" w:hAnsi="Book Antiqua"/>
          <w:sz w:val="24"/>
          <w:szCs w:val="24"/>
        </w:rPr>
        <w:t>.</w:t>
      </w:r>
      <w:r w:rsidR="008608CE" w:rsidRPr="00F14AE8">
        <w:rPr>
          <w:rFonts w:ascii="Book Antiqua" w:hAnsi="Book Antiqua"/>
          <w:sz w:val="24"/>
          <w:szCs w:val="24"/>
        </w:rPr>
        <w:t xml:space="preserve"> </w:t>
      </w:r>
    </w:p>
    <w:p w:rsidR="001D2353" w:rsidRPr="00F14AE8" w:rsidRDefault="00034D19" w:rsidP="00F14AE8">
      <w:pPr>
        <w:spacing w:after="0" w:line="360" w:lineRule="auto"/>
        <w:ind w:firstLineChars="100" w:firstLine="240"/>
        <w:jc w:val="both"/>
        <w:rPr>
          <w:rFonts w:ascii="Book Antiqua" w:hAnsi="Book Antiqua"/>
          <w:sz w:val="24"/>
          <w:szCs w:val="24"/>
          <w:lang w:eastAsia="zh-CN"/>
        </w:rPr>
      </w:pPr>
      <w:r w:rsidRPr="00F14AE8">
        <w:rPr>
          <w:rFonts w:ascii="Book Antiqua" w:hAnsi="Book Antiqua"/>
          <w:sz w:val="24"/>
          <w:szCs w:val="24"/>
        </w:rPr>
        <w:t xml:space="preserve">Currently, there are no guidelines that recommend an initial endoscopic workup for </w:t>
      </w:r>
      <w:r w:rsidR="00E85AED" w:rsidRPr="00F14AE8">
        <w:rPr>
          <w:rFonts w:ascii="Book Antiqua" w:hAnsi="Book Antiqua"/>
          <w:sz w:val="24"/>
          <w:szCs w:val="24"/>
        </w:rPr>
        <w:t xml:space="preserve">evaluation of </w:t>
      </w:r>
      <w:r w:rsidRPr="00F14AE8">
        <w:rPr>
          <w:rFonts w:ascii="Book Antiqua" w:hAnsi="Book Antiqua"/>
          <w:sz w:val="24"/>
          <w:szCs w:val="24"/>
        </w:rPr>
        <w:t>an underlying GI malignancy in dermatomyositis patients. However, g</w:t>
      </w:r>
      <w:r w:rsidR="00861099" w:rsidRPr="00F14AE8">
        <w:rPr>
          <w:rFonts w:ascii="Book Antiqua" w:hAnsi="Book Antiqua"/>
          <w:sz w:val="24"/>
          <w:szCs w:val="24"/>
        </w:rPr>
        <w:t xml:space="preserve">iven the </w:t>
      </w:r>
      <w:r w:rsidR="00B749A7" w:rsidRPr="00F14AE8">
        <w:rPr>
          <w:rFonts w:ascii="Book Antiqua" w:hAnsi="Book Antiqua"/>
          <w:sz w:val="24"/>
          <w:szCs w:val="24"/>
        </w:rPr>
        <w:t xml:space="preserve">reported </w:t>
      </w:r>
      <w:r w:rsidR="00861099" w:rsidRPr="00F14AE8">
        <w:rPr>
          <w:rFonts w:ascii="Book Antiqua" w:hAnsi="Book Antiqua"/>
          <w:sz w:val="24"/>
          <w:szCs w:val="24"/>
        </w:rPr>
        <w:t xml:space="preserve">increased prevalence </w:t>
      </w:r>
      <w:r w:rsidR="0048147A" w:rsidRPr="00F14AE8">
        <w:rPr>
          <w:rFonts w:ascii="Book Antiqua" w:hAnsi="Book Antiqua"/>
          <w:sz w:val="24"/>
          <w:szCs w:val="24"/>
        </w:rPr>
        <w:t>of</w:t>
      </w:r>
      <w:r w:rsidR="00861099" w:rsidRPr="00F14AE8">
        <w:rPr>
          <w:rFonts w:ascii="Book Antiqua" w:hAnsi="Book Antiqua"/>
          <w:sz w:val="24"/>
          <w:szCs w:val="24"/>
        </w:rPr>
        <w:t xml:space="preserve"> GI neoplasia, </w:t>
      </w:r>
      <w:r w:rsidR="00F37465" w:rsidRPr="00F14AE8">
        <w:rPr>
          <w:rFonts w:ascii="Book Antiqua" w:hAnsi="Book Antiqua"/>
          <w:sz w:val="24"/>
          <w:szCs w:val="24"/>
        </w:rPr>
        <w:t xml:space="preserve">many providers recommend </w:t>
      </w:r>
      <w:r w:rsidR="0048147A" w:rsidRPr="00F14AE8">
        <w:rPr>
          <w:rFonts w:ascii="Book Antiqua" w:hAnsi="Book Antiqua"/>
          <w:sz w:val="24"/>
          <w:szCs w:val="24"/>
        </w:rPr>
        <w:t xml:space="preserve">an </w:t>
      </w:r>
      <w:r w:rsidR="007426B9" w:rsidRPr="00F14AE8">
        <w:rPr>
          <w:rFonts w:ascii="Book Antiqua" w:hAnsi="Book Antiqua"/>
          <w:sz w:val="24"/>
          <w:szCs w:val="24"/>
        </w:rPr>
        <w:t xml:space="preserve">upper </w:t>
      </w:r>
      <w:r w:rsidR="001D2353" w:rsidRPr="00F14AE8">
        <w:rPr>
          <w:rFonts w:ascii="Book Antiqua" w:hAnsi="Book Antiqua"/>
          <w:sz w:val="24"/>
          <w:szCs w:val="24"/>
        </w:rPr>
        <w:t xml:space="preserve">esophagogastroduodenoscopy </w:t>
      </w:r>
      <w:r w:rsidR="007426B9" w:rsidRPr="00F14AE8">
        <w:rPr>
          <w:rFonts w:ascii="Book Antiqua" w:hAnsi="Book Antiqua"/>
          <w:sz w:val="24"/>
          <w:szCs w:val="24"/>
        </w:rPr>
        <w:t>(</w:t>
      </w:r>
      <w:r w:rsidR="00F37465" w:rsidRPr="00F14AE8">
        <w:rPr>
          <w:rFonts w:ascii="Book Antiqua" w:hAnsi="Book Antiqua"/>
          <w:sz w:val="24"/>
          <w:szCs w:val="24"/>
        </w:rPr>
        <w:t>EGD</w:t>
      </w:r>
      <w:r w:rsidR="007426B9" w:rsidRPr="00F14AE8">
        <w:rPr>
          <w:rFonts w:ascii="Book Antiqua" w:hAnsi="Book Antiqua"/>
          <w:sz w:val="24"/>
          <w:szCs w:val="24"/>
        </w:rPr>
        <w:t>)</w:t>
      </w:r>
      <w:r w:rsidR="00F37465" w:rsidRPr="00F14AE8">
        <w:rPr>
          <w:rFonts w:ascii="Book Antiqua" w:hAnsi="Book Antiqua"/>
          <w:sz w:val="24"/>
          <w:szCs w:val="24"/>
        </w:rPr>
        <w:t xml:space="preserve"> and colonoscopy as part of routine clinical care</w:t>
      </w:r>
      <w:r w:rsidRPr="00F14AE8">
        <w:rPr>
          <w:rFonts w:ascii="Book Antiqua" w:hAnsi="Book Antiqua"/>
          <w:sz w:val="24"/>
          <w:szCs w:val="24"/>
        </w:rPr>
        <w:t xml:space="preserve"> </w:t>
      </w:r>
      <w:r w:rsidR="007B0337" w:rsidRPr="00F14AE8">
        <w:rPr>
          <w:rFonts w:ascii="Book Antiqua" w:hAnsi="Book Antiqua"/>
          <w:sz w:val="24"/>
          <w:szCs w:val="24"/>
        </w:rPr>
        <w:t xml:space="preserve">among dermatomyositis patients </w:t>
      </w:r>
      <w:r w:rsidRPr="00F14AE8">
        <w:rPr>
          <w:rFonts w:ascii="Book Antiqua" w:hAnsi="Book Antiqua"/>
          <w:sz w:val="24"/>
          <w:szCs w:val="24"/>
        </w:rPr>
        <w:t xml:space="preserve">despite the lack of signs, symptoms, or laboratory abnormalities to suggest a </w:t>
      </w:r>
      <w:r w:rsidR="007426B9" w:rsidRPr="00F14AE8">
        <w:rPr>
          <w:rFonts w:ascii="Book Antiqua" w:hAnsi="Book Antiqua"/>
          <w:sz w:val="24"/>
          <w:szCs w:val="24"/>
        </w:rPr>
        <w:t xml:space="preserve">GI </w:t>
      </w:r>
      <w:r w:rsidRPr="00F14AE8">
        <w:rPr>
          <w:rFonts w:ascii="Book Antiqua" w:hAnsi="Book Antiqua"/>
          <w:sz w:val="24"/>
          <w:szCs w:val="24"/>
        </w:rPr>
        <w:t>source. To date</w:t>
      </w:r>
      <w:r w:rsidR="00F37465" w:rsidRPr="00F14AE8">
        <w:rPr>
          <w:rFonts w:ascii="Book Antiqua" w:hAnsi="Book Antiqua"/>
          <w:sz w:val="24"/>
          <w:szCs w:val="24"/>
        </w:rPr>
        <w:t xml:space="preserve">, </w:t>
      </w:r>
      <w:r w:rsidRPr="00F14AE8">
        <w:rPr>
          <w:rFonts w:ascii="Book Antiqua" w:hAnsi="Book Antiqua"/>
          <w:sz w:val="24"/>
          <w:szCs w:val="24"/>
        </w:rPr>
        <w:t xml:space="preserve">there </w:t>
      </w:r>
      <w:r w:rsidR="007426B9" w:rsidRPr="00F14AE8">
        <w:rPr>
          <w:rFonts w:ascii="Book Antiqua" w:hAnsi="Book Antiqua"/>
          <w:sz w:val="24"/>
          <w:szCs w:val="24"/>
        </w:rPr>
        <w:t xml:space="preserve">are no </w:t>
      </w:r>
      <w:r w:rsidRPr="00F14AE8">
        <w:rPr>
          <w:rFonts w:ascii="Book Antiqua" w:hAnsi="Book Antiqua"/>
          <w:sz w:val="24"/>
          <w:szCs w:val="24"/>
        </w:rPr>
        <w:t>data regarding the utility of this practice among dermatomyositis patients</w:t>
      </w:r>
      <w:r w:rsidR="00F37465" w:rsidRPr="00F14AE8">
        <w:rPr>
          <w:rFonts w:ascii="Book Antiqua" w:hAnsi="Book Antiqua"/>
          <w:sz w:val="24"/>
          <w:szCs w:val="24"/>
        </w:rPr>
        <w:t>.</w:t>
      </w:r>
      <w:r w:rsidR="00861099" w:rsidRPr="00F14AE8">
        <w:rPr>
          <w:rFonts w:ascii="Book Antiqua" w:hAnsi="Book Antiqua"/>
          <w:sz w:val="24"/>
          <w:szCs w:val="24"/>
        </w:rPr>
        <w:t xml:space="preserve"> Therefore, t</w:t>
      </w:r>
      <w:r w:rsidR="00F37465" w:rsidRPr="00F14AE8">
        <w:rPr>
          <w:rFonts w:ascii="Book Antiqua" w:hAnsi="Book Antiqua"/>
          <w:sz w:val="24"/>
          <w:szCs w:val="24"/>
        </w:rPr>
        <w:t xml:space="preserve">he aim of this study was to </w:t>
      </w:r>
      <w:r w:rsidR="00596AF1" w:rsidRPr="00F14AE8">
        <w:rPr>
          <w:rFonts w:ascii="Book Antiqua" w:hAnsi="Book Antiqua"/>
          <w:sz w:val="24"/>
          <w:szCs w:val="24"/>
        </w:rPr>
        <w:t xml:space="preserve">determine the prevalence of GI </w:t>
      </w:r>
      <w:r w:rsidR="0048147A" w:rsidRPr="00F14AE8">
        <w:rPr>
          <w:rFonts w:ascii="Book Antiqua" w:hAnsi="Book Antiqua"/>
          <w:sz w:val="24"/>
          <w:szCs w:val="24"/>
        </w:rPr>
        <w:t>neoplasia among dermatomyositis</w:t>
      </w:r>
      <w:r w:rsidR="00596AF1" w:rsidRPr="00F14AE8">
        <w:rPr>
          <w:rFonts w:ascii="Book Antiqua" w:hAnsi="Book Antiqua"/>
          <w:sz w:val="24"/>
          <w:szCs w:val="24"/>
        </w:rPr>
        <w:t xml:space="preserve"> </w:t>
      </w:r>
      <w:r w:rsidRPr="00F14AE8">
        <w:rPr>
          <w:rFonts w:ascii="Book Antiqua" w:hAnsi="Book Antiqua"/>
          <w:sz w:val="24"/>
          <w:szCs w:val="24"/>
        </w:rPr>
        <w:t xml:space="preserve">patients </w:t>
      </w:r>
      <w:r w:rsidR="00596AF1" w:rsidRPr="00F14AE8">
        <w:rPr>
          <w:rFonts w:ascii="Book Antiqua" w:hAnsi="Book Antiqua"/>
          <w:sz w:val="24"/>
          <w:szCs w:val="24"/>
        </w:rPr>
        <w:t xml:space="preserve">who underwent an EGD </w:t>
      </w:r>
      <w:r w:rsidR="0048147A" w:rsidRPr="00F14AE8">
        <w:rPr>
          <w:rFonts w:ascii="Book Antiqua" w:hAnsi="Book Antiqua"/>
          <w:sz w:val="24"/>
          <w:szCs w:val="24"/>
        </w:rPr>
        <w:t>and/</w:t>
      </w:r>
      <w:r w:rsidR="00596AF1" w:rsidRPr="00F14AE8">
        <w:rPr>
          <w:rFonts w:ascii="Book Antiqua" w:hAnsi="Book Antiqua"/>
          <w:sz w:val="24"/>
          <w:szCs w:val="24"/>
        </w:rPr>
        <w:t>or colonoscopy</w:t>
      </w:r>
      <w:r w:rsidR="00547A89" w:rsidRPr="00F14AE8">
        <w:rPr>
          <w:rFonts w:ascii="Book Antiqua" w:hAnsi="Book Antiqua"/>
          <w:sz w:val="24"/>
          <w:szCs w:val="24"/>
        </w:rPr>
        <w:t>.</w:t>
      </w:r>
    </w:p>
    <w:p w:rsidR="00F37465" w:rsidRPr="00F14AE8" w:rsidRDefault="00547A89" w:rsidP="00F14AE8">
      <w:pPr>
        <w:spacing w:after="0" w:line="360" w:lineRule="auto"/>
        <w:ind w:firstLineChars="100" w:firstLine="240"/>
        <w:jc w:val="both"/>
        <w:rPr>
          <w:rFonts w:ascii="Book Antiqua" w:hAnsi="Book Antiqua"/>
          <w:b/>
          <w:sz w:val="24"/>
          <w:szCs w:val="24"/>
        </w:rPr>
      </w:pPr>
      <w:r w:rsidRPr="00F14AE8">
        <w:rPr>
          <w:rFonts w:ascii="Book Antiqua" w:hAnsi="Book Antiqua"/>
          <w:sz w:val="24"/>
          <w:szCs w:val="24"/>
        </w:rPr>
        <w:br/>
      </w:r>
      <w:r w:rsidR="00A00A0F" w:rsidRPr="00F14AE8">
        <w:rPr>
          <w:rFonts w:ascii="Book Antiqua" w:hAnsi="Book Antiqua"/>
          <w:b/>
          <w:sz w:val="24"/>
          <w:szCs w:val="24"/>
        </w:rPr>
        <w:t xml:space="preserve">MATERIALS AND </w:t>
      </w:r>
      <w:r w:rsidR="008060A3" w:rsidRPr="00F14AE8">
        <w:rPr>
          <w:rFonts w:ascii="Book Antiqua" w:hAnsi="Book Antiqua"/>
          <w:b/>
          <w:sz w:val="24"/>
          <w:szCs w:val="24"/>
        </w:rPr>
        <w:t>METHODS</w:t>
      </w:r>
    </w:p>
    <w:p w:rsidR="008060A3" w:rsidRPr="00F14AE8" w:rsidRDefault="001C1B4D" w:rsidP="00F14AE8">
      <w:pPr>
        <w:spacing w:after="0" w:line="360" w:lineRule="auto"/>
        <w:jc w:val="both"/>
        <w:rPr>
          <w:rFonts w:ascii="Book Antiqua" w:hAnsi="Book Antiqua"/>
          <w:b/>
          <w:i/>
          <w:sz w:val="24"/>
          <w:szCs w:val="24"/>
        </w:rPr>
      </w:pPr>
      <w:r w:rsidRPr="00F14AE8">
        <w:rPr>
          <w:rFonts w:ascii="Book Antiqua" w:hAnsi="Book Antiqua"/>
          <w:b/>
          <w:i/>
          <w:sz w:val="24"/>
          <w:szCs w:val="24"/>
        </w:rPr>
        <w:t xml:space="preserve">Study </w:t>
      </w:r>
      <w:r w:rsidR="001D2353" w:rsidRPr="00F14AE8">
        <w:rPr>
          <w:rFonts w:ascii="Book Antiqua" w:hAnsi="Book Antiqua"/>
          <w:b/>
          <w:i/>
          <w:sz w:val="24"/>
          <w:szCs w:val="24"/>
        </w:rPr>
        <w:t>population</w:t>
      </w:r>
    </w:p>
    <w:p w:rsidR="008060A3" w:rsidRPr="00F14AE8" w:rsidRDefault="008060A3"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 xml:space="preserve">This retrospective, cross-sectional study was conducted at the University of California, San Francisco (UCSF), an academic, tertiary care medical center serving </w:t>
      </w:r>
      <w:r w:rsidR="00C85C86" w:rsidRPr="00F14AE8">
        <w:rPr>
          <w:rFonts w:ascii="Book Antiqua" w:hAnsi="Book Antiqua"/>
          <w:sz w:val="24"/>
          <w:szCs w:val="24"/>
        </w:rPr>
        <w:t>over 1.2</w:t>
      </w:r>
      <w:r w:rsidRPr="00F14AE8">
        <w:rPr>
          <w:rFonts w:ascii="Book Antiqua" w:hAnsi="Book Antiqua"/>
          <w:sz w:val="24"/>
          <w:szCs w:val="24"/>
        </w:rPr>
        <w:t xml:space="preserve"> million </w:t>
      </w:r>
      <w:r w:rsidRPr="00F14AE8">
        <w:rPr>
          <w:rFonts w:ascii="Book Antiqua" w:hAnsi="Book Antiqua"/>
          <w:sz w:val="24"/>
          <w:szCs w:val="24"/>
        </w:rPr>
        <w:lastRenderedPageBreak/>
        <w:t xml:space="preserve">people in the San Francisco Bay Area. Patients with dermatomyositis were referred to either UCSF’s rheumatology, dermatology, or gastroenterology clinics. </w:t>
      </w:r>
    </w:p>
    <w:p w:rsidR="001D2353" w:rsidRPr="00F14AE8" w:rsidRDefault="001D2353" w:rsidP="00F14AE8">
      <w:pPr>
        <w:spacing w:after="0" w:line="360" w:lineRule="auto"/>
        <w:jc w:val="both"/>
        <w:rPr>
          <w:rFonts w:ascii="Book Antiqua" w:hAnsi="Book Antiqua"/>
          <w:i/>
          <w:sz w:val="24"/>
          <w:szCs w:val="24"/>
          <w:lang w:eastAsia="zh-CN"/>
        </w:rPr>
      </w:pPr>
    </w:p>
    <w:p w:rsidR="008060A3" w:rsidRPr="00F14AE8" w:rsidRDefault="001C1B4D" w:rsidP="00F14AE8">
      <w:pPr>
        <w:spacing w:after="0" w:line="360" w:lineRule="auto"/>
        <w:jc w:val="both"/>
        <w:rPr>
          <w:rFonts w:ascii="Book Antiqua" w:hAnsi="Book Antiqua"/>
          <w:b/>
          <w:i/>
          <w:sz w:val="24"/>
          <w:szCs w:val="24"/>
        </w:rPr>
      </w:pPr>
      <w:r w:rsidRPr="00F14AE8">
        <w:rPr>
          <w:rFonts w:ascii="Book Antiqua" w:hAnsi="Book Antiqua"/>
          <w:b/>
          <w:i/>
          <w:sz w:val="24"/>
          <w:szCs w:val="24"/>
        </w:rPr>
        <w:t xml:space="preserve">Study </w:t>
      </w:r>
      <w:r w:rsidR="001D2353" w:rsidRPr="00F14AE8">
        <w:rPr>
          <w:rFonts w:ascii="Book Antiqua" w:hAnsi="Book Antiqua"/>
          <w:b/>
          <w:i/>
          <w:sz w:val="24"/>
          <w:szCs w:val="24"/>
        </w:rPr>
        <w:t>oversight</w:t>
      </w:r>
    </w:p>
    <w:p w:rsidR="008060A3" w:rsidRPr="00F14AE8" w:rsidRDefault="008060A3" w:rsidP="00F14AE8">
      <w:pPr>
        <w:spacing w:after="0" w:line="360" w:lineRule="auto"/>
        <w:jc w:val="both"/>
        <w:rPr>
          <w:rFonts w:ascii="Book Antiqua" w:hAnsi="Book Antiqua" w:cs="Arial"/>
          <w:sz w:val="24"/>
          <w:szCs w:val="24"/>
          <w:lang w:eastAsia="zh-CN"/>
        </w:rPr>
      </w:pPr>
      <w:r w:rsidRPr="00F14AE8">
        <w:rPr>
          <w:rFonts w:ascii="Book Antiqua" w:hAnsi="Book Antiqua"/>
          <w:sz w:val="24"/>
          <w:szCs w:val="24"/>
        </w:rPr>
        <w:t xml:space="preserve">The study was approved by the UCSF </w:t>
      </w:r>
      <w:r w:rsidR="0075184B" w:rsidRPr="00F14AE8">
        <w:rPr>
          <w:rFonts w:ascii="Book Antiqua" w:hAnsi="Book Antiqua"/>
          <w:sz w:val="24"/>
          <w:szCs w:val="24"/>
        </w:rPr>
        <w:t>institutional review board</w:t>
      </w:r>
      <w:r w:rsidRPr="00F14AE8">
        <w:rPr>
          <w:rFonts w:ascii="Book Antiqua" w:hAnsi="Book Antiqua"/>
          <w:sz w:val="24"/>
          <w:szCs w:val="24"/>
        </w:rPr>
        <w:t xml:space="preserve">, which waived the requirement for informed consent. </w:t>
      </w:r>
      <w:r w:rsidRPr="00F14AE8">
        <w:rPr>
          <w:rFonts w:ascii="Book Antiqua" w:hAnsi="Book Antiqua" w:cs="Arial"/>
          <w:sz w:val="24"/>
          <w:szCs w:val="24"/>
        </w:rPr>
        <w:t xml:space="preserve">The listed authors had sole responsibility for the study design, data collection, decision to submit the manuscript for publication, and drafting of the manuscript. </w:t>
      </w:r>
    </w:p>
    <w:p w:rsidR="001D2353" w:rsidRPr="00F14AE8" w:rsidRDefault="001D2353" w:rsidP="00F14AE8">
      <w:pPr>
        <w:spacing w:after="0" w:line="360" w:lineRule="auto"/>
        <w:jc w:val="both"/>
        <w:rPr>
          <w:rFonts w:ascii="Book Antiqua" w:hAnsi="Book Antiqua" w:cs="Arial"/>
          <w:sz w:val="24"/>
          <w:szCs w:val="24"/>
          <w:lang w:eastAsia="zh-CN"/>
        </w:rPr>
      </w:pPr>
    </w:p>
    <w:p w:rsidR="008060A3" w:rsidRPr="00F14AE8" w:rsidRDefault="00F71586" w:rsidP="00F14AE8">
      <w:pPr>
        <w:spacing w:after="0" w:line="360" w:lineRule="auto"/>
        <w:jc w:val="both"/>
        <w:rPr>
          <w:rFonts w:ascii="Book Antiqua" w:hAnsi="Book Antiqua" w:cs="Arial"/>
          <w:b/>
          <w:i/>
          <w:sz w:val="24"/>
          <w:szCs w:val="24"/>
        </w:rPr>
      </w:pPr>
      <w:r w:rsidRPr="00F14AE8">
        <w:rPr>
          <w:rFonts w:ascii="Book Antiqua" w:hAnsi="Book Antiqua" w:cs="Arial"/>
          <w:b/>
          <w:i/>
          <w:sz w:val="24"/>
          <w:szCs w:val="24"/>
        </w:rPr>
        <w:t xml:space="preserve">Study </w:t>
      </w:r>
      <w:r w:rsidR="001D2353" w:rsidRPr="00F14AE8">
        <w:rPr>
          <w:rFonts w:ascii="Book Antiqua" w:hAnsi="Book Antiqua" w:cs="Arial"/>
          <w:b/>
          <w:i/>
          <w:sz w:val="24"/>
          <w:szCs w:val="24"/>
        </w:rPr>
        <w:t>eligibility criteria</w:t>
      </w:r>
    </w:p>
    <w:p w:rsidR="008060A3" w:rsidRPr="00F14AE8" w:rsidRDefault="008060A3" w:rsidP="00F14AE8">
      <w:pPr>
        <w:spacing w:after="0" w:line="360" w:lineRule="auto"/>
        <w:jc w:val="both"/>
        <w:rPr>
          <w:rFonts w:ascii="Book Antiqua" w:hAnsi="Book Antiqua"/>
          <w:sz w:val="24"/>
          <w:szCs w:val="24"/>
        </w:rPr>
      </w:pPr>
      <w:r w:rsidRPr="00F14AE8">
        <w:rPr>
          <w:rFonts w:ascii="Book Antiqua" w:hAnsi="Book Antiqua" w:cs="Arial"/>
          <w:sz w:val="24"/>
          <w:szCs w:val="24"/>
        </w:rPr>
        <w:t>We included all dermatomyositis patients 18 years of age and above seen at UCSF</w:t>
      </w:r>
      <w:r w:rsidR="006F2361" w:rsidRPr="00F14AE8">
        <w:rPr>
          <w:rFonts w:ascii="Book Antiqua" w:hAnsi="Book Antiqua" w:cs="Arial"/>
          <w:sz w:val="24"/>
          <w:szCs w:val="24"/>
        </w:rPr>
        <w:t xml:space="preserve"> between </w:t>
      </w:r>
      <w:r w:rsidR="00FF1CB8" w:rsidRPr="00F14AE8">
        <w:rPr>
          <w:rFonts w:ascii="Book Antiqua" w:hAnsi="Book Antiqua" w:cs="Arial"/>
          <w:sz w:val="24"/>
          <w:szCs w:val="24"/>
        </w:rPr>
        <w:t xml:space="preserve">January </w:t>
      </w:r>
      <w:r w:rsidR="006F2361" w:rsidRPr="00F14AE8">
        <w:rPr>
          <w:rFonts w:ascii="Book Antiqua" w:hAnsi="Book Antiqua" w:cs="Arial"/>
          <w:sz w:val="24"/>
          <w:szCs w:val="24"/>
        </w:rPr>
        <w:t>2005</w:t>
      </w:r>
      <w:r w:rsidR="003530DE">
        <w:rPr>
          <w:rFonts w:ascii="Book Antiqua" w:hAnsi="Book Antiqua" w:cs="Arial" w:hint="eastAsia"/>
          <w:sz w:val="24"/>
          <w:szCs w:val="24"/>
          <w:lang w:eastAsia="zh-CN"/>
        </w:rPr>
        <w:t>-</w:t>
      </w:r>
      <w:r w:rsidR="00FF1CB8" w:rsidRPr="00F14AE8">
        <w:rPr>
          <w:rFonts w:ascii="Book Antiqua" w:hAnsi="Book Antiqua" w:cs="Arial"/>
          <w:sz w:val="24"/>
          <w:szCs w:val="24"/>
        </w:rPr>
        <w:t xml:space="preserve">February </w:t>
      </w:r>
      <w:r w:rsidR="006F2361" w:rsidRPr="00F14AE8">
        <w:rPr>
          <w:rFonts w:ascii="Book Antiqua" w:hAnsi="Book Antiqua" w:cs="Arial"/>
          <w:sz w:val="24"/>
          <w:szCs w:val="24"/>
        </w:rPr>
        <w:t>2016</w:t>
      </w:r>
      <w:r w:rsidRPr="00F14AE8">
        <w:rPr>
          <w:rFonts w:ascii="Book Antiqua" w:hAnsi="Book Antiqua" w:cs="Arial"/>
          <w:sz w:val="24"/>
          <w:szCs w:val="24"/>
        </w:rPr>
        <w:t xml:space="preserve">, who had an </w:t>
      </w:r>
      <w:r w:rsidR="00333816" w:rsidRPr="00F14AE8">
        <w:rPr>
          <w:rFonts w:ascii="Book Antiqua" w:hAnsi="Book Antiqua" w:cs="Arial"/>
          <w:sz w:val="24"/>
          <w:szCs w:val="24"/>
        </w:rPr>
        <w:t>endoscopy (</w:t>
      </w:r>
      <w:r w:rsidR="0060202C" w:rsidRPr="00F14AE8">
        <w:rPr>
          <w:rFonts w:ascii="Book Antiqua" w:hAnsi="Book Antiqua" w:cs="Arial"/>
          <w:sz w:val="24"/>
          <w:szCs w:val="24"/>
        </w:rPr>
        <w:t>EGD</w:t>
      </w:r>
      <w:r w:rsidRPr="00F14AE8">
        <w:rPr>
          <w:rFonts w:ascii="Book Antiqua" w:hAnsi="Book Antiqua" w:cs="Arial"/>
          <w:sz w:val="24"/>
          <w:szCs w:val="24"/>
        </w:rPr>
        <w:t xml:space="preserve"> and/or colonoscopy</w:t>
      </w:r>
      <w:r w:rsidR="00333816" w:rsidRPr="00F14AE8">
        <w:rPr>
          <w:rFonts w:ascii="Book Antiqua" w:hAnsi="Book Antiqua" w:cs="Arial"/>
          <w:sz w:val="24"/>
          <w:szCs w:val="24"/>
        </w:rPr>
        <w:t>)</w:t>
      </w:r>
      <w:r w:rsidRPr="00F14AE8">
        <w:rPr>
          <w:rFonts w:ascii="Book Antiqua" w:hAnsi="Book Antiqua" w:cs="Arial"/>
          <w:sz w:val="24"/>
          <w:szCs w:val="24"/>
        </w:rPr>
        <w:t xml:space="preserve"> at or after their dermatomyositis diagnosis. </w:t>
      </w:r>
      <w:r w:rsidR="006F2361" w:rsidRPr="00F14AE8">
        <w:rPr>
          <w:rFonts w:ascii="Book Antiqua" w:hAnsi="Book Antiqua" w:cs="Arial"/>
          <w:sz w:val="24"/>
          <w:szCs w:val="24"/>
        </w:rPr>
        <w:t>We selected this time period because of the availability of electronic health records</w:t>
      </w:r>
      <w:r w:rsidR="0072431C" w:rsidRPr="00F14AE8">
        <w:rPr>
          <w:rFonts w:ascii="Book Antiqua" w:hAnsi="Book Antiqua" w:cs="Arial"/>
          <w:sz w:val="24"/>
          <w:szCs w:val="24"/>
        </w:rPr>
        <w:t xml:space="preserve">. </w:t>
      </w:r>
      <w:r w:rsidRPr="00F14AE8">
        <w:rPr>
          <w:rFonts w:ascii="Book Antiqua" w:hAnsi="Book Antiqua" w:cs="Arial"/>
          <w:sz w:val="24"/>
          <w:szCs w:val="24"/>
        </w:rPr>
        <w:t>To identify patients with dermatomyositis seen at UCSF, we performed a comprehensive search o</w:t>
      </w:r>
      <w:r w:rsidR="00BA7DD2" w:rsidRPr="00F14AE8">
        <w:rPr>
          <w:rFonts w:ascii="Book Antiqua" w:hAnsi="Book Antiqua" w:cs="Arial"/>
          <w:sz w:val="24"/>
          <w:szCs w:val="24"/>
        </w:rPr>
        <w:t>f our electronic medical record</w:t>
      </w:r>
      <w:r w:rsidRPr="00F14AE8">
        <w:rPr>
          <w:rFonts w:ascii="Book Antiqua" w:hAnsi="Book Antiqua" w:cs="Arial"/>
          <w:sz w:val="24"/>
          <w:szCs w:val="24"/>
        </w:rPr>
        <w:t xml:space="preserve"> using </w:t>
      </w:r>
      <w:r w:rsidR="00410C8E" w:rsidRPr="00F14AE8">
        <w:rPr>
          <w:rFonts w:ascii="Book Antiqua" w:hAnsi="Book Antiqua" w:cs="Arial"/>
          <w:sz w:val="24"/>
          <w:szCs w:val="24"/>
        </w:rPr>
        <w:t>International Classification of Diseases (</w:t>
      </w:r>
      <w:r w:rsidRPr="00F14AE8">
        <w:rPr>
          <w:rFonts w:ascii="Book Antiqua" w:hAnsi="Book Antiqua" w:cs="Arial"/>
          <w:sz w:val="24"/>
          <w:szCs w:val="24"/>
        </w:rPr>
        <w:t>ICD</w:t>
      </w:r>
      <w:r w:rsidR="00410C8E" w:rsidRPr="00F14AE8">
        <w:rPr>
          <w:rFonts w:ascii="Book Antiqua" w:hAnsi="Book Antiqua" w:cs="Arial"/>
          <w:sz w:val="24"/>
          <w:szCs w:val="24"/>
        </w:rPr>
        <w:t>)</w:t>
      </w:r>
      <w:r w:rsidRPr="00F14AE8">
        <w:rPr>
          <w:rFonts w:ascii="Book Antiqua" w:hAnsi="Book Antiqua" w:cs="Arial"/>
          <w:sz w:val="24"/>
          <w:szCs w:val="24"/>
        </w:rPr>
        <w:t>-9 and ICD-10 diagnoses codes</w:t>
      </w:r>
      <w:r w:rsidR="00123D0C" w:rsidRPr="00F14AE8">
        <w:rPr>
          <w:rFonts w:ascii="Book Antiqua" w:hAnsi="Book Antiqua" w:cs="Arial"/>
          <w:sz w:val="24"/>
          <w:szCs w:val="24"/>
        </w:rPr>
        <w:t xml:space="preserve"> (Supplementary Table 1). We also reviewed</w:t>
      </w:r>
      <w:r w:rsidR="0083797C" w:rsidRPr="00F14AE8">
        <w:rPr>
          <w:rFonts w:ascii="Book Antiqua" w:hAnsi="Book Antiqua" w:cs="Arial"/>
          <w:sz w:val="24"/>
          <w:szCs w:val="24"/>
        </w:rPr>
        <w:t xml:space="preserve"> a separate query of the electronic medical record initiated by </w:t>
      </w:r>
      <w:r w:rsidR="00123D0C" w:rsidRPr="00F14AE8">
        <w:rPr>
          <w:rFonts w:ascii="Book Antiqua" w:hAnsi="Book Antiqua" w:cs="Arial"/>
          <w:sz w:val="24"/>
          <w:szCs w:val="24"/>
        </w:rPr>
        <w:t xml:space="preserve">UCSF’s rheumatology </w:t>
      </w:r>
      <w:r w:rsidR="0083797C" w:rsidRPr="00F14AE8">
        <w:rPr>
          <w:rFonts w:ascii="Book Antiqua" w:hAnsi="Book Antiqua" w:cs="Arial"/>
          <w:sz w:val="24"/>
          <w:szCs w:val="24"/>
        </w:rPr>
        <w:t>division, which utilized a combination of ICD-9 and ICD-10 codes as well as clinic modifiers used for research purposes by the rheumatology clinic, to identify any additional dermatomyositis patients that may have been missed by our diagnostic code search</w:t>
      </w:r>
      <w:r w:rsidR="00123D0C" w:rsidRPr="00F14AE8">
        <w:rPr>
          <w:rFonts w:ascii="Book Antiqua" w:hAnsi="Book Antiqua" w:cs="Arial"/>
          <w:sz w:val="24"/>
          <w:szCs w:val="24"/>
        </w:rPr>
        <w:t>. After the initial search, two</w:t>
      </w:r>
      <w:r w:rsidRPr="00F14AE8">
        <w:rPr>
          <w:rFonts w:ascii="Book Antiqua" w:hAnsi="Book Antiqua" w:cs="Arial"/>
          <w:sz w:val="24"/>
          <w:szCs w:val="24"/>
        </w:rPr>
        <w:t xml:space="preserve"> </w:t>
      </w:r>
      <w:r w:rsidR="007C77CB" w:rsidRPr="00F14AE8">
        <w:rPr>
          <w:rFonts w:ascii="Book Antiqua" w:hAnsi="Book Antiqua" w:cs="Arial"/>
          <w:sz w:val="24"/>
          <w:szCs w:val="24"/>
        </w:rPr>
        <w:t>reviewers</w:t>
      </w:r>
      <w:r w:rsidRPr="00F14AE8">
        <w:rPr>
          <w:rFonts w:ascii="Book Antiqua" w:hAnsi="Book Antiqua" w:cs="Arial"/>
          <w:sz w:val="24"/>
          <w:szCs w:val="24"/>
        </w:rPr>
        <w:t xml:space="preserve"> </w:t>
      </w:r>
      <w:r w:rsidR="00946472" w:rsidRPr="00F14AE8">
        <w:rPr>
          <w:rFonts w:ascii="Book Antiqua" w:hAnsi="Book Antiqua" w:cs="Arial"/>
          <w:sz w:val="24"/>
          <w:szCs w:val="24"/>
        </w:rPr>
        <w:t>(T</w:t>
      </w:r>
      <w:r w:rsidR="00D95162" w:rsidRPr="00F14AE8">
        <w:rPr>
          <w:rFonts w:ascii="Book Antiqua" w:hAnsi="Book Antiqua" w:cs="Arial"/>
          <w:sz w:val="24"/>
          <w:szCs w:val="24"/>
        </w:rPr>
        <w:t>D</w:t>
      </w:r>
      <w:r w:rsidR="00946472" w:rsidRPr="00F14AE8">
        <w:rPr>
          <w:rFonts w:ascii="Book Antiqua" w:hAnsi="Book Antiqua" w:cs="Arial"/>
          <w:sz w:val="24"/>
          <w:szCs w:val="24"/>
        </w:rPr>
        <w:t xml:space="preserve">K, JKL) </w:t>
      </w:r>
      <w:r w:rsidR="008D7C56" w:rsidRPr="00F14AE8">
        <w:rPr>
          <w:rFonts w:ascii="Book Antiqua" w:hAnsi="Book Antiqua" w:cs="Arial"/>
          <w:sz w:val="24"/>
          <w:szCs w:val="24"/>
        </w:rPr>
        <w:t xml:space="preserve">manually </w:t>
      </w:r>
      <w:r w:rsidR="007C77CB" w:rsidRPr="00F14AE8">
        <w:rPr>
          <w:rFonts w:ascii="Book Antiqua" w:hAnsi="Book Antiqua" w:cs="Arial"/>
          <w:sz w:val="24"/>
          <w:szCs w:val="24"/>
        </w:rPr>
        <w:t>reviewed each</w:t>
      </w:r>
      <w:r w:rsidRPr="00F14AE8">
        <w:rPr>
          <w:rFonts w:ascii="Book Antiqua" w:hAnsi="Book Antiqua" w:cs="Arial"/>
          <w:sz w:val="24"/>
          <w:szCs w:val="24"/>
        </w:rPr>
        <w:t xml:space="preserve"> chart </w:t>
      </w:r>
      <w:r w:rsidR="008D7C56" w:rsidRPr="00F14AE8">
        <w:rPr>
          <w:rFonts w:ascii="Book Antiqua" w:hAnsi="Book Antiqua" w:cs="Arial"/>
          <w:sz w:val="24"/>
          <w:szCs w:val="24"/>
        </w:rPr>
        <w:t>to confirm the d</w:t>
      </w:r>
      <w:r w:rsidR="007C77CB" w:rsidRPr="00F14AE8">
        <w:rPr>
          <w:rFonts w:ascii="Book Antiqua" w:hAnsi="Book Antiqua" w:cs="Arial"/>
          <w:sz w:val="24"/>
          <w:szCs w:val="24"/>
        </w:rPr>
        <w:t>iagnosis of dermatomyositis</w:t>
      </w:r>
      <w:r w:rsidR="008D7C56" w:rsidRPr="00F14AE8">
        <w:rPr>
          <w:rFonts w:ascii="Book Antiqua" w:hAnsi="Book Antiqua" w:cs="Arial"/>
          <w:sz w:val="24"/>
          <w:szCs w:val="24"/>
        </w:rPr>
        <w:t xml:space="preserve">. </w:t>
      </w:r>
      <w:r w:rsidR="007C77CB" w:rsidRPr="00F14AE8">
        <w:rPr>
          <w:rFonts w:ascii="Book Antiqua" w:hAnsi="Book Antiqua" w:cs="Arial"/>
          <w:sz w:val="24"/>
          <w:szCs w:val="24"/>
        </w:rPr>
        <w:t>We defined a dermatomyosi</w:t>
      </w:r>
      <w:r w:rsidR="00333816" w:rsidRPr="00F14AE8">
        <w:rPr>
          <w:rFonts w:ascii="Book Antiqua" w:hAnsi="Book Antiqua" w:cs="Arial"/>
          <w:sz w:val="24"/>
          <w:szCs w:val="24"/>
        </w:rPr>
        <w:t xml:space="preserve">tis diagnosis as any patient </w:t>
      </w:r>
      <w:r w:rsidR="00547A89" w:rsidRPr="00F14AE8">
        <w:rPr>
          <w:rFonts w:ascii="Book Antiqua" w:hAnsi="Book Antiqua" w:cs="Arial"/>
          <w:sz w:val="24"/>
          <w:szCs w:val="24"/>
        </w:rPr>
        <w:t>seen in either rheumatology and</w:t>
      </w:r>
      <w:r w:rsidR="003530DE">
        <w:rPr>
          <w:rFonts w:ascii="Book Antiqua" w:hAnsi="Book Antiqua" w:cs="Arial" w:hint="eastAsia"/>
          <w:sz w:val="24"/>
          <w:szCs w:val="24"/>
          <w:lang w:eastAsia="zh-CN"/>
        </w:rPr>
        <w:t>/</w:t>
      </w:r>
      <w:r w:rsidR="00547A89" w:rsidRPr="00F14AE8">
        <w:rPr>
          <w:rFonts w:ascii="Book Antiqua" w:hAnsi="Book Antiqua" w:cs="Arial"/>
          <w:sz w:val="24"/>
          <w:szCs w:val="24"/>
        </w:rPr>
        <w:t>or dermatology clinic with a diagnosis of dermatomyositis made by histological and</w:t>
      </w:r>
      <w:r w:rsidR="0083797C" w:rsidRPr="00F14AE8">
        <w:rPr>
          <w:rFonts w:ascii="Book Antiqua" w:hAnsi="Book Antiqua" w:cs="Arial"/>
          <w:sz w:val="24"/>
          <w:szCs w:val="24"/>
        </w:rPr>
        <w:t>/</w:t>
      </w:r>
      <w:r w:rsidR="00216BD7" w:rsidRPr="00F14AE8">
        <w:rPr>
          <w:rFonts w:ascii="Book Antiqua" w:hAnsi="Book Antiqua" w:cs="Arial"/>
          <w:sz w:val="24"/>
          <w:szCs w:val="24"/>
        </w:rPr>
        <w:t>or</w:t>
      </w:r>
      <w:r w:rsidR="00547A89" w:rsidRPr="00F14AE8">
        <w:rPr>
          <w:rFonts w:ascii="Book Antiqua" w:hAnsi="Book Antiqua" w:cs="Arial"/>
          <w:sz w:val="24"/>
          <w:szCs w:val="24"/>
        </w:rPr>
        <w:t xml:space="preserve"> clinical criteria</w:t>
      </w:r>
      <w:r w:rsidR="00082573" w:rsidRPr="00F14AE8">
        <w:rPr>
          <w:rFonts w:ascii="Book Antiqua" w:hAnsi="Book Antiqua" w:cs="Arial"/>
          <w:sz w:val="24"/>
          <w:szCs w:val="24"/>
        </w:rPr>
        <w:t>; patients with an overlap rheumatologic condition that included dermatomyositis were included</w:t>
      </w:r>
      <w:r w:rsidR="00547A89" w:rsidRPr="00F14AE8">
        <w:rPr>
          <w:rFonts w:ascii="Book Antiqua" w:hAnsi="Book Antiqua" w:cs="Arial"/>
          <w:sz w:val="24"/>
          <w:szCs w:val="24"/>
        </w:rPr>
        <w:t>.</w:t>
      </w:r>
      <w:r w:rsidR="00333816" w:rsidRPr="00F14AE8">
        <w:rPr>
          <w:rFonts w:ascii="Book Antiqua" w:hAnsi="Book Antiqua" w:cs="Arial"/>
          <w:sz w:val="24"/>
          <w:szCs w:val="24"/>
        </w:rPr>
        <w:t xml:space="preserve"> </w:t>
      </w:r>
      <w:r w:rsidR="007C77CB" w:rsidRPr="00F14AE8">
        <w:rPr>
          <w:rFonts w:ascii="Book Antiqua" w:hAnsi="Book Antiqua" w:cs="Arial"/>
          <w:sz w:val="24"/>
          <w:szCs w:val="24"/>
        </w:rPr>
        <w:t>For any charts where the diagnosis of dermatomyositis was unclear or with discordant results by the two reviewers, a rheumatologist was used for adjudication.</w:t>
      </w:r>
    </w:p>
    <w:p w:rsidR="008D7C56" w:rsidRPr="00F14AE8" w:rsidRDefault="00353889" w:rsidP="00F14AE8">
      <w:pPr>
        <w:spacing w:after="0" w:line="360" w:lineRule="auto"/>
        <w:jc w:val="both"/>
        <w:rPr>
          <w:rFonts w:ascii="Book Antiqua" w:hAnsi="Book Antiqua"/>
          <w:b/>
          <w:i/>
          <w:sz w:val="24"/>
          <w:szCs w:val="24"/>
        </w:rPr>
      </w:pPr>
      <w:r w:rsidRPr="00F14AE8">
        <w:rPr>
          <w:rFonts w:ascii="Book Antiqua" w:hAnsi="Book Antiqua"/>
          <w:b/>
          <w:i/>
          <w:sz w:val="24"/>
          <w:szCs w:val="24"/>
        </w:rPr>
        <w:lastRenderedPageBreak/>
        <w:t>Data</w:t>
      </w:r>
      <w:r w:rsidR="001D2353" w:rsidRPr="00F14AE8">
        <w:rPr>
          <w:rFonts w:ascii="Book Antiqua" w:hAnsi="Book Antiqua"/>
          <w:b/>
          <w:i/>
          <w:sz w:val="24"/>
          <w:szCs w:val="24"/>
        </w:rPr>
        <w:t xml:space="preserve"> sources and variables</w:t>
      </w:r>
    </w:p>
    <w:p w:rsidR="00F37465" w:rsidRPr="00F14AE8" w:rsidRDefault="008D7C56" w:rsidP="00F14AE8">
      <w:pPr>
        <w:spacing w:after="0" w:line="360" w:lineRule="auto"/>
        <w:jc w:val="both"/>
        <w:rPr>
          <w:rFonts w:ascii="Book Antiqua" w:hAnsi="Book Antiqua"/>
          <w:sz w:val="24"/>
          <w:szCs w:val="24"/>
        </w:rPr>
      </w:pPr>
      <w:r w:rsidRPr="00F14AE8">
        <w:rPr>
          <w:rFonts w:ascii="Book Antiqua" w:hAnsi="Book Antiqua"/>
          <w:sz w:val="24"/>
          <w:szCs w:val="24"/>
        </w:rPr>
        <w:t>We obtained patient d</w:t>
      </w:r>
      <w:r w:rsidR="00F37465" w:rsidRPr="00F14AE8">
        <w:rPr>
          <w:rFonts w:ascii="Book Antiqua" w:hAnsi="Book Antiqua"/>
          <w:sz w:val="24"/>
          <w:szCs w:val="24"/>
        </w:rPr>
        <w:t xml:space="preserve">emographic </w:t>
      </w:r>
      <w:r w:rsidRPr="00F14AE8">
        <w:rPr>
          <w:rFonts w:ascii="Book Antiqua" w:hAnsi="Book Antiqua"/>
          <w:sz w:val="24"/>
          <w:szCs w:val="24"/>
        </w:rPr>
        <w:t>an</w:t>
      </w:r>
      <w:r w:rsidR="00333816" w:rsidRPr="00F14AE8">
        <w:rPr>
          <w:rFonts w:ascii="Book Antiqua" w:hAnsi="Book Antiqua"/>
          <w:sz w:val="24"/>
          <w:szCs w:val="24"/>
        </w:rPr>
        <w:t>d clinical information for each</w:t>
      </w:r>
      <w:r w:rsidRPr="00F14AE8">
        <w:rPr>
          <w:rFonts w:ascii="Book Antiqua" w:hAnsi="Book Antiqua"/>
          <w:sz w:val="24"/>
          <w:szCs w:val="24"/>
        </w:rPr>
        <w:t xml:space="preserve"> dermatomyositis</w:t>
      </w:r>
      <w:r w:rsidR="00333816" w:rsidRPr="00F14AE8">
        <w:rPr>
          <w:rFonts w:ascii="Book Antiqua" w:hAnsi="Book Antiqua"/>
          <w:sz w:val="24"/>
          <w:szCs w:val="24"/>
        </w:rPr>
        <w:t xml:space="preserve"> patient</w:t>
      </w:r>
      <w:r w:rsidRPr="00F14AE8">
        <w:rPr>
          <w:rFonts w:ascii="Book Antiqua" w:hAnsi="Book Antiqua"/>
          <w:sz w:val="24"/>
          <w:szCs w:val="24"/>
        </w:rPr>
        <w:t xml:space="preserve"> included in this study from o</w:t>
      </w:r>
      <w:r w:rsidR="00FB78FB" w:rsidRPr="00F14AE8">
        <w:rPr>
          <w:rFonts w:ascii="Book Antiqua" w:hAnsi="Book Antiqua"/>
          <w:sz w:val="24"/>
          <w:szCs w:val="24"/>
        </w:rPr>
        <w:t>ur electronic medical records, wh</w:t>
      </w:r>
      <w:r w:rsidR="00381F8B" w:rsidRPr="00F14AE8">
        <w:rPr>
          <w:rFonts w:ascii="Book Antiqua" w:hAnsi="Book Antiqua"/>
          <w:sz w:val="24"/>
          <w:szCs w:val="24"/>
        </w:rPr>
        <w:t>ich included</w:t>
      </w:r>
      <w:r w:rsidR="00FB78FB" w:rsidRPr="00F14AE8">
        <w:rPr>
          <w:rFonts w:ascii="Book Antiqua" w:hAnsi="Book Antiqua"/>
          <w:sz w:val="24"/>
          <w:szCs w:val="24"/>
        </w:rPr>
        <w:t xml:space="preserve"> clinic notes, consultation notes, endoscopy reports, pathology reports, radiology reports, and cancer diagnoses. </w:t>
      </w:r>
      <w:r w:rsidR="00F37465" w:rsidRPr="00F14AE8">
        <w:rPr>
          <w:rFonts w:ascii="Book Antiqua" w:hAnsi="Book Antiqua"/>
          <w:sz w:val="24"/>
          <w:szCs w:val="24"/>
        </w:rPr>
        <w:t xml:space="preserve">Age and disease duration were defined as the age at the end of the study period or the difference in years between the patients’ date of birth and the end of the study period (February 2016), respectively. For patients who </w:t>
      </w:r>
      <w:r w:rsidRPr="00F14AE8">
        <w:rPr>
          <w:rFonts w:ascii="Book Antiqua" w:hAnsi="Book Antiqua"/>
          <w:sz w:val="24"/>
          <w:szCs w:val="24"/>
        </w:rPr>
        <w:t>underwent an</w:t>
      </w:r>
      <w:r w:rsidR="00F37465" w:rsidRPr="00F14AE8">
        <w:rPr>
          <w:rFonts w:ascii="Book Antiqua" w:hAnsi="Book Antiqua"/>
          <w:sz w:val="24"/>
          <w:szCs w:val="24"/>
        </w:rPr>
        <w:t xml:space="preserve"> endoscopy, data on age and disease duration at the time of endoscopy was collected.</w:t>
      </w:r>
      <w:r w:rsidRPr="00F14AE8">
        <w:rPr>
          <w:rFonts w:ascii="Book Antiqua" w:hAnsi="Book Antiqua"/>
          <w:sz w:val="24"/>
          <w:szCs w:val="24"/>
        </w:rPr>
        <w:t xml:space="preserve"> </w:t>
      </w:r>
      <w:r w:rsidR="00F37465" w:rsidRPr="00F14AE8">
        <w:rPr>
          <w:rFonts w:ascii="Book Antiqua" w:hAnsi="Book Antiqua"/>
          <w:sz w:val="24"/>
          <w:szCs w:val="24"/>
        </w:rPr>
        <w:t>Findings on EGD were categorized as normal, pre-malignant, malignant, or non-malignant. Gastric and duodenal erosions with non-specific inflammation on histology were included as normal. Pre-malignant findings on EGD included Barrett’s esophagus (with or without dysplasia), gastric intestinal metaplasia (with or without dysplasia) and duodenal adenoma. Malignant findings on EGD included carcinoma of the esophagus, stomach or duodenum. Non-malignant findings included erosive esophagitis, infectious esophagitis (such as candidiasis or cytomegalovirus infection) and helicobacter pylori infection, all of which were confirmed on histology, as well as esophago-gastric varices. If subsequent EGDs were performed after the initial endoscop</w:t>
      </w:r>
      <w:r w:rsidR="00D9346D" w:rsidRPr="00F14AE8">
        <w:rPr>
          <w:rFonts w:ascii="Book Antiqua" w:hAnsi="Book Antiqua"/>
          <w:sz w:val="24"/>
          <w:szCs w:val="24"/>
        </w:rPr>
        <w:t>y, the findings were collected and the highest risk finding was recorded.</w:t>
      </w:r>
    </w:p>
    <w:p w:rsidR="008D7C56" w:rsidRPr="00F14AE8" w:rsidRDefault="00F37465"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 xml:space="preserve">Findings on colonoscopy were categorized as normal, pre-malignant, malignant, or non-malignant. Diverticulosis, </w:t>
      </w:r>
      <w:r w:rsidR="00E27D71" w:rsidRPr="00F14AE8">
        <w:rPr>
          <w:rFonts w:ascii="Book Antiqua" w:hAnsi="Book Antiqua"/>
          <w:sz w:val="24"/>
          <w:szCs w:val="24"/>
        </w:rPr>
        <w:t xml:space="preserve">distal </w:t>
      </w:r>
      <w:r w:rsidRPr="00F14AE8">
        <w:rPr>
          <w:rFonts w:ascii="Book Antiqua" w:hAnsi="Book Antiqua"/>
          <w:sz w:val="24"/>
          <w:szCs w:val="24"/>
        </w:rPr>
        <w:t>hyperplastic polyps and non-specific findings on endoscopy with normal histology (such as “thickened folds” or “nodules”) were included as normal. Pre-malignant findings included any colonic adenoma</w:t>
      </w:r>
      <w:r w:rsidR="00E27D71" w:rsidRPr="00F14AE8">
        <w:rPr>
          <w:rFonts w:ascii="Book Antiqua" w:hAnsi="Book Antiqua"/>
          <w:sz w:val="24"/>
          <w:szCs w:val="24"/>
        </w:rPr>
        <w:t>, proximal serrated lesions,</w:t>
      </w:r>
      <w:r w:rsidRPr="00F14AE8">
        <w:rPr>
          <w:rFonts w:ascii="Book Antiqua" w:hAnsi="Book Antiqua"/>
          <w:sz w:val="24"/>
          <w:szCs w:val="24"/>
        </w:rPr>
        <w:t xml:space="preserve"> and were further categorized as advanced adenomas</w:t>
      </w:r>
      <w:r w:rsidR="00025907" w:rsidRPr="00F14AE8">
        <w:rPr>
          <w:rFonts w:ascii="Book Antiqua" w:hAnsi="Book Antiqua"/>
          <w:sz w:val="24"/>
          <w:szCs w:val="24"/>
        </w:rPr>
        <w:t xml:space="preserve"> or low-risk adenomas. We</w:t>
      </w:r>
      <w:r w:rsidRPr="00F14AE8">
        <w:rPr>
          <w:rFonts w:ascii="Book Antiqua" w:hAnsi="Book Antiqua"/>
          <w:sz w:val="24"/>
          <w:szCs w:val="24"/>
        </w:rPr>
        <w:t xml:space="preserve"> de</w:t>
      </w:r>
      <w:r w:rsidR="00025907" w:rsidRPr="00F14AE8">
        <w:rPr>
          <w:rFonts w:ascii="Book Antiqua" w:hAnsi="Book Antiqua"/>
          <w:sz w:val="24"/>
          <w:szCs w:val="24"/>
        </w:rPr>
        <w:t xml:space="preserve">fined an advanced adenoma </w:t>
      </w:r>
      <w:r w:rsidRPr="00F14AE8">
        <w:rPr>
          <w:rFonts w:ascii="Book Antiqua" w:hAnsi="Book Antiqua"/>
          <w:sz w:val="24"/>
          <w:szCs w:val="24"/>
        </w:rPr>
        <w:t>as an</w:t>
      </w:r>
      <w:r w:rsidR="00025907" w:rsidRPr="00F14AE8">
        <w:rPr>
          <w:rFonts w:ascii="Book Antiqua" w:hAnsi="Book Antiqua"/>
          <w:sz w:val="24"/>
          <w:szCs w:val="24"/>
        </w:rPr>
        <w:t>y</w:t>
      </w:r>
      <w:r w:rsidRPr="00F14AE8">
        <w:rPr>
          <w:rFonts w:ascii="Book Antiqua" w:hAnsi="Book Antiqua"/>
          <w:sz w:val="24"/>
          <w:szCs w:val="24"/>
        </w:rPr>
        <w:t xml:space="preserve"> adenoma of any size with high grade dysplasia or a villous component or an adenoma greater than ten millimeters in size, low risk tubular adenomas, defined as less than three adenomas not meeting criteria for an advanced adenoma, or higher risk tubular adenomas, defined as three of more tubular adenomas found on a single colonoscopy. Malignancy was defined as </w:t>
      </w:r>
      <w:r w:rsidRPr="00F14AE8">
        <w:rPr>
          <w:rFonts w:ascii="Book Antiqua" w:hAnsi="Book Antiqua"/>
          <w:sz w:val="24"/>
          <w:szCs w:val="24"/>
        </w:rPr>
        <w:lastRenderedPageBreak/>
        <w:t>carcinoma of the colon, including adenocarcinoma and neuroendocrine neoplasms. Non-malignant findings included inflammatory bowel disease and microscopic colitis. If subsequent colonoscopies were performed after the initial colonoscopy, the findings were collected</w:t>
      </w:r>
      <w:r w:rsidR="00D9346D" w:rsidRPr="00F14AE8">
        <w:rPr>
          <w:rFonts w:ascii="Book Antiqua" w:hAnsi="Book Antiqua"/>
          <w:sz w:val="24"/>
          <w:szCs w:val="24"/>
        </w:rPr>
        <w:t xml:space="preserve"> and the highest risk finding was recorded.</w:t>
      </w:r>
      <w:r w:rsidR="002A3985" w:rsidRPr="00F14AE8">
        <w:rPr>
          <w:rFonts w:ascii="Book Antiqua" w:hAnsi="Book Antiqua"/>
          <w:sz w:val="24"/>
          <w:szCs w:val="24"/>
        </w:rPr>
        <w:t xml:space="preserve"> </w:t>
      </w:r>
    </w:p>
    <w:p w:rsidR="001D2353" w:rsidRPr="00F14AE8" w:rsidRDefault="001D2353" w:rsidP="00F14AE8">
      <w:pPr>
        <w:spacing w:after="0" w:line="360" w:lineRule="auto"/>
        <w:jc w:val="both"/>
        <w:rPr>
          <w:rFonts w:ascii="Book Antiqua" w:hAnsi="Book Antiqua"/>
          <w:sz w:val="24"/>
          <w:szCs w:val="24"/>
          <w:lang w:eastAsia="zh-CN"/>
        </w:rPr>
      </w:pPr>
    </w:p>
    <w:p w:rsidR="00F37465" w:rsidRPr="00F14AE8" w:rsidRDefault="008D7C56" w:rsidP="00F14AE8">
      <w:pPr>
        <w:spacing w:after="0" w:line="360" w:lineRule="auto"/>
        <w:jc w:val="both"/>
        <w:rPr>
          <w:rFonts w:ascii="Book Antiqua" w:hAnsi="Book Antiqua"/>
          <w:b/>
          <w:i/>
          <w:sz w:val="24"/>
          <w:szCs w:val="24"/>
        </w:rPr>
      </w:pPr>
      <w:r w:rsidRPr="00F14AE8">
        <w:rPr>
          <w:rFonts w:ascii="Book Antiqua" w:hAnsi="Book Antiqua"/>
          <w:b/>
          <w:i/>
          <w:sz w:val="24"/>
          <w:szCs w:val="24"/>
        </w:rPr>
        <w:t xml:space="preserve">Statistical </w:t>
      </w:r>
      <w:r w:rsidR="001D2353" w:rsidRPr="00F14AE8">
        <w:rPr>
          <w:rFonts w:ascii="Book Antiqua" w:hAnsi="Book Antiqua"/>
          <w:b/>
          <w:i/>
          <w:sz w:val="24"/>
          <w:szCs w:val="24"/>
        </w:rPr>
        <w:t>analyses</w:t>
      </w:r>
    </w:p>
    <w:p w:rsidR="0075184B" w:rsidRPr="00F14AE8" w:rsidRDefault="0075184B" w:rsidP="00F14AE8">
      <w:pPr>
        <w:spacing w:after="0" w:line="360" w:lineRule="auto"/>
        <w:jc w:val="both"/>
        <w:outlineLvl w:val="0"/>
        <w:rPr>
          <w:rFonts w:ascii="Book Antiqua" w:hAnsi="Book Antiqua"/>
          <w:sz w:val="24"/>
          <w:szCs w:val="24"/>
          <w:lang w:eastAsia="zh-CN"/>
        </w:rPr>
      </w:pPr>
      <w:r w:rsidRPr="00F14AE8">
        <w:rPr>
          <w:rFonts w:ascii="Book Antiqua" w:hAnsi="Book Antiqua"/>
          <w:sz w:val="24"/>
          <w:szCs w:val="24"/>
        </w:rPr>
        <w:t>The primary outcome</w:t>
      </w:r>
      <w:r w:rsidR="008D7C56" w:rsidRPr="00F14AE8">
        <w:rPr>
          <w:rFonts w:ascii="Book Antiqua" w:hAnsi="Book Antiqua"/>
          <w:sz w:val="24"/>
          <w:szCs w:val="24"/>
        </w:rPr>
        <w:t xml:space="preserve"> of the study </w:t>
      </w:r>
      <w:r w:rsidRPr="00F14AE8">
        <w:rPr>
          <w:rFonts w:ascii="Book Antiqua" w:hAnsi="Book Antiqua"/>
          <w:sz w:val="24"/>
          <w:szCs w:val="24"/>
        </w:rPr>
        <w:t xml:space="preserve">was </w:t>
      </w:r>
      <w:r w:rsidR="008D7C56" w:rsidRPr="00F14AE8">
        <w:rPr>
          <w:rFonts w:ascii="Book Antiqua" w:hAnsi="Book Antiqua"/>
          <w:sz w:val="24"/>
          <w:szCs w:val="24"/>
        </w:rPr>
        <w:t xml:space="preserve">the yield of </w:t>
      </w:r>
      <w:r w:rsidR="0013129A" w:rsidRPr="00F14AE8">
        <w:rPr>
          <w:rFonts w:ascii="Book Antiqua" w:hAnsi="Book Antiqua"/>
          <w:sz w:val="24"/>
          <w:szCs w:val="24"/>
        </w:rPr>
        <w:t xml:space="preserve">endoscopy to identify </w:t>
      </w:r>
      <w:r w:rsidR="008D7C56" w:rsidRPr="00F14AE8">
        <w:rPr>
          <w:rFonts w:ascii="Book Antiqua" w:hAnsi="Book Antiqua"/>
          <w:sz w:val="24"/>
          <w:szCs w:val="24"/>
        </w:rPr>
        <w:t>GI neoplasia among d</w:t>
      </w:r>
      <w:r w:rsidR="0013129A" w:rsidRPr="00F14AE8">
        <w:rPr>
          <w:rFonts w:ascii="Book Antiqua" w:hAnsi="Book Antiqua"/>
          <w:sz w:val="24"/>
          <w:szCs w:val="24"/>
        </w:rPr>
        <w:t>ermatomyositis patients. We further stratified the findings on endoscopy by age and whether signs or symptoms were present at the time of endoscopy</w:t>
      </w:r>
      <w:r w:rsidR="008D7C56" w:rsidRPr="00F14AE8">
        <w:rPr>
          <w:rFonts w:ascii="Book Antiqua" w:hAnsi="Book Antiqua"/>
          <w:sz w:val="24"/>
          <w:szCs w:val="24"/>
        </w:rPr>
        <w:t xml:space="preserve">. </w:t>
      </w:r>
      <w:r w:rsidR="00F37465" w:rsidRPr="00F14AE8">
        <w:rPr>
          <w:rFonts w:ascii="Book Antiqua" w:hAnsi="Book Antiqua"/>
          <w:sz w:val="24"/>
          <w:szCs w:val="24"/>
        </w:rPr>
        <w:t>Statistical analyses comparing differences amongst the patients who underw</w:t>
      </w:r>
      <w:r w:rsidRPr="00F14AE8">
        <w:rPr>
          <w:rFonts w:ascii="Book Antiqua" w:hAnsi="Book Antiqua"/>
          <w:sz w:val="24"/>
          <w:szCs w:val="24"/>
        </w:rPr>
        <w:t>ent endoscopy</w:t>
      </w:r>
      <w:r w:rsidR="00F37465" w:rsidRPr="00F14AE8">
        <w:rPr>
          <w:rFonts w:ascii="Book Antiqua" w:hAnsi="Book Antiqua"/>
          <w:sz w:val="24"/>
          <w:szCs w:val="24"/>
        </w:rPr>
        <w:t xml:space="preserve"> stratified by age</w:t>
      </w:r>
      <w:r w:rsidR="0013129A" w:rsidRPr="00F14AE8">
        <w:rPr>
          <w:rFonts w:ascii="Book Antiqua" w:hAnsi="Book Antiqua"/>
          <w:sz w:val="24"/>
          <w:szCs w:val="24"/>
        </w:rPr>
        <w:t xml:space="preserve"> or presence of symptoms</w:t>
      </w:r>
      <w:r w:rsidR="001C5974" w:rsidRPr="00F14AE8">
        <w:rPr>
          <w:rFonts w:ascii="Book Antiqua" w:hAnsi="Book Antiqua"/>
          <w:sz w:val="24"/>
          <w:szCs w:val="24"/>
        </w:rPr>
        <w:t xml:space="preserve"> </w:t>
      </w:r>
      <w:r w:rsidR="00F37465" w:rsidRPr="00F14AE8">
        <w:rPr>
          <w:rFonts w:ascii="Book Antiqua" w:hAnsi="Book Antiqua"/>
          <w:sz w:val="24"/>
          <w:szCs w:val="24"/>
        </w:rPr>
        <w:t xml:space="preserve">was performed using </w:t>
      </w:r>
      <w:r w:rsidR="00F37465" w:rsidRPr="00F14AE8">
        <w:rPr>
          <w:rFonts w:ascii="Book Antiqua" w:hAnsi="Book Antiqua"/>
          <w:i/>
          <w:sz w:val="24"/>
          <w:szCs w:val="24"/>
        </w:rPr>
        <w:t>χ</w:t>
      </w:r>
      <w:r w:rsidR="00F37465" w:rsidRPr="00F14AE8">
        <w:rPr>
          <w:rFonts w:ascii="Book Antiqua" w:hAnsi="Book Antiqua"/>
          <w:sz w:val="24"/>
          <w:szCs w:val="24"/>
          <w:vertAlign w:val="superscript"/>
        </w:rPr>
        <w:t>2</w:t>
      </w:r>
      <w:r w:rsidR="0013129A" w:rsidRPr="00F14AE8">
        <w:rPr>
          <w:rFonts w:ascii="Book Antiqua" w:hAnsi="Book Antiqua"/>
          <w:sz w:val="24"/>
          <w:szCs w:val="24"/>
        </w:rPr>
        <w:t xml:space="preserve"> test and</w:t>
      </w:r>
      <w:r w:rsidR="00F37465" w:rsidRPr="00F14AE8">
        <w:rPr>
          <w:rFonts w:ascii="Book Antiqua" w:hAnsi="Book Antiqua"/>
          <w:sz w:val="24"/>
          <w:szCs w:val="24"/>
        </w:rPr>
        <w:t xml:space="preserve"> Fisher’s exact test was used for categorical variables with less than five outcomes. Results were displayed as either mean (standard deviation, SD) or the number of outcomes (percentage who underwent endoscopy). </w:t>
      </w:r>
      <w:r w:rsidR="00D5435F" w:rsidRPr="00F14AE8">
        <w:rPr>
          <w:rFonts w:ascii="Book Antiqua" w:hAnsi="Book Antiqua"/>
          <w:sz w:val="24"/>
          <w:szCs w:val="24"/>
        </w:rPr>
        <w:t>All analyses were performed using SPSS (</w:t>
      </w:r>
      <w:r w:rsidR="0013129A" w:rsidRPr="00F14AE8">
        <w:rPr>
          <w:rFonts w:ascii="Book Antiqua" w:hAnsi="Book Antiqua"/>
          <w:sz w:val="24"/>
          <w:szCs w:val="24"/>
        </w:rPr>
        <w:t>IBM version 23)</w:t>
      </w:r>
      <w:r w:rsidR="00D16091" w:rsidRPr="00F14AE8">
        <w:rPr>
          <w:rFonts w:ascii="Book Antiqua" w:hAnsi="Book Antiqua"/>
          <w:sz w:val="24"/>
          <w:szCs w:val="24"/>
        </w:rPr>
        <w:t xml:space="preserve"> and a two-tailed </w:t>
      </w:r>
      <w:r w:rsidR="001D2353" w:rsidRPr="00F14AE8">
        <w:rPr>
          <w:rFonts w:ascii="Book Antiqua" w:hAnsi="Book Antiqua"/>
          <w:i/>
          <w:sz w:val="24"/>
          <w:szCs w:val="24"/>
        </w:rPr>
        <w:t>P</w:t>
      </w:r>
      <w:r w:rsidR="00D5435F" w:rsidRPr="00F14AE8">
        <w:rPr>
          <w:rFonts w:ascii="Book Antiqua" w:hAnsi="Book Antiqua"/>
          <w:sz w:val="24"/>
          <w:szCs w:val="24"/>
        </w:rPr>
        <w:t>-value of &lt;</w:t>
      </w:r>
      <w:r w:rsidR="00D16091" w:rsidRPr="00F14AE8">
        <w:rPr>
          <w:rFonts w:ascii="Book Antiqua" w:hAnsi="Book Antiqua"/>
          <w:sz w:val="24"/>
          <w:szCs w:val="24"/>
        </w:rPr>
        <w:t xml:space="preserve"> </w:t>
      </w:r>
      <w:r w:rsidR="00D5435F" w:rsidRPr="00F14AE8">
        <w:rPr>
          <w:rFonts w:ascii="Book Antiqua" w:hAnsi="Book Antiqua"/>
          <w:sz w:val="24"/>
          <w:szCs w:val="24"/>
        </w:rPr>
        <w:t xml:space="preserve">0.05 was considered statistically significant.  </w:t>
      </w:r>
    </w:p>
    <w:p w:rsidR="001D2353" w:rsidRPr="00F14AE8" w:rsidRDefault="001D2353" w:rsidP="00F14AE8">
      <w:pPr>
        <w:spacing w:after="0" w:line="360" w:lineRule="auto"/>
        <w:jc w:val="both"/>
        <w:outlineLvl w:val="0"/>
        <w:rPr>
          <w:rFonts w:ascii="Book Antiqua" w:hAnsi="Book Antiqua"/>
          <w:sz w:val="24"/>
          <w:szCs w:val="24"/>
          <w:lang w:eastAsia="zh-CN"/>
        </w:rPr>
      </w:pPr>
    </w:p>
    <w:p w:rsidR="00F37465" w:rsidRPr="00F14AE8" w:rsidRDefault="00F33AC7" w:rsidP="00F14AE8">
      <w:pPr>
        <w:spacing w:after="0" w:line="360" w:lineRule="auto"/>
        <w:jc w:val="both"/>
        <w:rPr>
          <w:rFonts w:ascii="Book Antiqua" w:hAnsi="Book Antiqua"/>
          <w:b/>
          <w:sz w:val="24"/>
          <w:szCs w:val="24"/>
        </w:rPr>
      </w:pPr>
      <w:r w:rsidRPr="00F14AE8">
        <w:rPr>
          <w:rFonts w:ascii="Book Antiqua" w:hAnsi="Book Antiqua"/>
          <w:b/>
          <w:sz w:val="24"/>
          <w:szCs w:val="24"/>
        </w:rPr>
        <w:t>RESULTS</w:t>
      </w:r>
    </w:p>
    <w:p w:rsidR="00F33AC7" w:rsidRPr="00F14AE8" w:rsidRDefault="00B15814" w:rsidP="00F14AE8">
      <w:pPr>
        <w:spacing w:after="0" w:line="360" w:lineRule="auto"/>
        <w:jc w:val="both"/>
        <w:rPr>
          <w:rFonts w:ascii="Book Antiqua" w:hAnsi="Book Antiqua"/>
          <w:b/>
          <w:i/>
          <w:sz w:val="24"/>
          <w:szCs w:val="24"/>
        </w:rPr>
      </w:pPr>
      <w:r w:rsidRPr="00F14AE8">
        <w:rPr>
          <w:rFonts w:ascii="Book Antiqua" w:hAnsi="Book Antiqua"/>
          <w:b/>
          <w:i/>
          <w:sz w:val="24"/>
          <w:szCs w:val="24"/>
        </w:rPr>
        <w:t>Identification of study cohort</w:t>
      </w:r>
    </w:p>
    <w:p w:rsidR="00F37465" w:rsidRPr="00F14AE8" w:rsidRDefault="00F37465"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A total of 458 patients wer</w:t>
      </w:r>
      <w:r w:rsidR="000A26C2" w:rsidRPr="00F14AE8">
        <w:rPr>
          <w:rFonts w:ascii="Book Antiqua" w:hAnsi="Book Antiqua"/>
          <w:sz w:val="24"/>
          <w:szCs w:val="24"/>
        </w:rPr>
        <w:t>e identified by querying the electronic medical records</w:t>
      </w:r>
      <w:r w:rsidRPr="00F14AE8">
        <w:rPr>
          <w:rFonts w:ascii="Book Antiqua" w:hAnsi="Book Antiqua"/>
          <w:sz w:val="24"/>
          <w:szCs w:val="24"/>
        </w:rPr>
        <w:t xml:space="preserve"> for ICD-9 and </w:t>
      </w:r>
      <w:r w:rsidR="0048005F" w:rsidRPr="00F14AE8">
        <w:rPr>
          <w:rFonts w:ascii="Book Antiqua" w:hAnsi="Book Antiqua"/>
          <w:sz w:val="24"/>
          <w:szCs w:val="24"/>
        </w:rPr>
        <w:t>ICD-</w:t>
      </w:r>
      <w:r w:rsidRPr="00F14AE8">
        <w:rPr>
          <w:rFonts w:ascii="Book Antiqua" w:hAnsi="Book Antiqua"/>
          <w:sz w:val="24"/>
          <w:szCs w:val="24"/>
        </w:rPr>
        <w:t xml:space="preserve">10 codes </w:t>
      </w:r>
      <w:r w:rsidR="000A26C2" w:rsidRPr="00F14AE8">
        <w:rPr>
          <w:rFonts w:ascii="Book Antiqua" w:hAnsi="Book Antiqua"/>
          <w:sz w:val="24"/>
          <w:szCs w:val="24"/>
        </w:rPr>
        <w:t>of dermatomyositis</w:t>
      </w:r>
      <w:r w:rsidRPr="00F14AE8">
        <w:rPr>
          <w:rFonts w:ascii="Book Antiqua" w:hAnsi="Book Antiqua"/>
          <w:sz w:val="24"/>
          <w:szCs w:val="24"/>
        </w:rPr>
        <w:t xml:space="preserve"> between January 2005 and February 2016. </w:t>
      </w:r>
      <w:r w:rsidR="00FB7F9D" w:rsidRPr="00F14AE8">
        <w:rPr>
          <w:rFonts w:ascii="Book Antiqua" w:hAnsi="Book Antiqua"/>
          <w:sz w:val="24"/>
          <w:szCs w:val="24"/>
        </w:rPr>
        <w:t xml:space="preserve">We did not identify any additional dermatomyositis </w:t>
      </w:r>
      <w:r w:rsidR="00961B19" w:rsidRPr="00F14AE8">
        <w:rPr>
          <w:rFonts w:ascii="Book Antiqua" w:hAnsi="Book Antiqua"/>
          <w:sz w:val="24"/>
          <w:szCs w:val="24"/>
        </w:rPr>
        <w:t xml:space="preserve">patients </w:t>
      </w:r>
      <w:r w:rsidR="00FB7F9D" w:rsidRPr="00F14AE8">
        <w:rPr>
          <w:rFonts w:ascii="Book Antiqua" w:hAnsi="Book Antiqua"/>
          <w:sz w:val="24"/>
          <w:szCs w:val="24"/>
        </w:rPr>
        <w:t xml:space="preserve">after reviewing the rheumatology </w:t>
      </w:r>
      <w:r w:rsidR="005A6E31" w:rsidRPr="00F14AE8">
        <w:rPr>
          <w:rFonts w:ascii="Book Antiqua" w:hAnsi="Book Antiqua"/>
          <w:sz w:val="24"/>
          <w:szCs w:val="24"/>
        </w:rPr>
        <w:t>initiated query of the electronic medical record</w:t>
      </w:r>
      <w:r w:rsidR="00FB7F9D" w:rsidRPr="00F14AE8">
        <w:rPr>
          <w:rFonts w:ascii="Book Antiqua" w:hAnsi="Book Antiqua"/>
          <w:sz w:val="24"/>
          <w:szCs w:val="24"/>
        </w:rPr>
        <w:t xml:space="preserve">. </w:t>
      </w:r>
      <w:r w:rsidRPr="00F14AE8">
        <w:rPr>
          <w:rFonts w:ascii="Book Antiqua" w:hAnsi="Book Antiqua"/>
          <w:sz w:val="24"/>
          <w:szCs w:val="24"/>
        </w:rPr>
        <w:t>After chart review</w:t>
      </w:r>
      <w:r w:rsidR="00961B19" w:rsidRPr="00F14AE8">
        <w:rPr>
          <w:rFonts w:ascii="Book Antiqua" w:hAnsi="Book Antiqua"/>
          <w:sz w:val="24"/>
          <w:szCs w:val="24"/>
        </w:rPr>
        <w:t xml:space="preserve"> of the 458 patients</w:t>
      </w:r>
      <w:r w:rsidRPr="00F14AE8">
        <w:rPr>
          <w:rFonts w:ascii="Book Antiqua" w:hAnsi="Book Antiqua"/>
          <w:sz w:val="24"/>
          <w:szCs w:val="24"/>
        </w:rPr>
        <w:t xml:space="preserve">, 295 of these patients (64%) were excluded because they either </w:t>
      </w:r>
      <w:r w:rsidR="004B6079" w:rsidRPr="00F14AE8">
        <w:rPr>
          <w:rFonts w:ascii="Book Antiqua" w:hAnsi="Book Antiqua"/>
          <w:sz w:val="24"/>
          <w:szCs w:val="24"/>
        </w:rPr>
        <w:t>had</w:t>
      </w:r>
      <w:r w:rsidRPr="00F14AE8">
        <w:rPr>
          <w:rFonts w:ascii="Book Antiqua" w:hAnsi="Book Antiqua"/>
          <w:sz w:val="24"/>
          <w:szCs w:val="24"/>
        </w:rPr>
        <w:t xml:space="preserve"> dermatomyositis</w:t>
      </w:r>
      <w:r w:rsidR="004B6079" w:rsidRPr="00F14AE8">
        <w:rPr>
          <w:rFonts w:ascii="Book Antiqua" w:hAnsi="Book Antiqua"/>
          <w:sz w:val="24"/>
          <w:szCs w:val="24"/>
        </w:rPr>
        <w:t xml:space="preserve"> incorrectly coded</w:t>
      </w:r>
      <w:r w:rsidRPr="00F14AE8">
        <w:rPr>
          <w:rFonts w:ascii="Book Antiqua" w:hAnsi="Book Antiqua"/>
          <w:sz w:val="24"/>
          <w:szCs w:val="24"/>
        </w:rPr>
        <w:t xml:space="preserve"> (</w:t>
      </w:r>
      <w:r w:rsidRPr="00F14AE8">
        <w:rPr>
          <w:rFonts w:ascii="Book Antiqua" w:hAnsi="Book Antiqua"/>
          <w:i/>
          <w:sz w:val="24"/>
          <w:szCs w:val="24"/>
        </w:rPr>
        <w:t>n</w:t>
      </w:r>
      <w:r w:rsidR="001D2353" w:rsidRPr="00F14AE8">
        <w:rPr>
          <w:rFonts w:ascii="Book Antiqua" w:hAnsi="Book Antiqua"/>
          <w:sz w:val="24"/>
          <w:szCs w:val="24"/>
          <w:lang w:eastAsia="zh-CN"/>
        </w:rPr>
        <w:t xml:space="preserve"> </w:t>
      </w:r>
      <w:r w:rsidRPr="00F14AE8">
        <w:rPr>
          <w:rFonts w:ascii="Book Antiqua" w:hAnsi="Book Antiqua"/>
          <w:sz w:val="24"/>
          <w:szCs w:val="24"/>
        </w:rPr>
        <w:t>=</w:t>
      </w:r>
      <w:r w:rsidR="001D2353" w:rsidRPr="00F14AE8">
        <w:rPr>
          <w:rFonts w:ascii="Book Antiqua" w:hAnsi="Book Antiqua"/>
          <w:sz w:val="24"/>
          <w:szCs w:val="24"/>
          <w:lang w:eastAsia="zh-CN"/>
        </w:rPr>
        <w:t xml:space="preserve"> </w:t>
      </w:r>
      <w:r w:rsidRPr="00F14AE8">
        <w:rPr>
          <w:rFonts w:ascii="Book Antiqua" w:hAnsi="Book Antiqua"/>
          <w:sz w:val="24"/>
          <w:szCs w:val="24"/>
        </w:rPr>
        <w:t>210, 46%) or they were younger than 18 years of age (</w:t>
      </w:r>
      <w:r w:rsidR="001D2353" w:rsidRPr="00F14AE8">
        <w:rPr>
          <w:rFonts w:ascii="Book Antiqua" w:hAnsi="Book Antiqua"/>
          <w:i/>
          <w:sz w:val="24"/>
          <w:szCs w:val="24"/>
        </w:rPr>
        <w:t>n</w:t>
      </w:r>
      <w:r w:rsidR="001D2353" w:rsidRPr="00F14AE8">
        <w:rPr>
          <w:rFonts w:ascii="Book Antiqua" w:hAnsi="Book Antiqua"/>
          <w:sz w:val="24"/>
          <w:szCs w:val="24"/>
        </w:rPr>
        <w:t xml:space="preserve"> </w:t>
      </w:r>
      <w:r w:rsidRPr="00F14AE8">
        <w:rPr>
          <w:rFonts w:ascii="Book Antiqua" w:hAnsi="Book Antiqua"/>
          <w:sz w:val="24"/>
          <w:szCs w:val="24"/>
        </w:rPr>
        <w:t>=</w:t>
      </w:r>
      <w:r w:rsidR="001D2353" w:rsidRPr="00F14AE8">
        <w:rPr>
          <w:rFonts w:ascii="Book Antiqua" w:hAnsi="Book Antiqua"/>
          <w:sz w:val="24"/>
          <w:szCs w:val="24"/>
          <w:lang w:eastAsia="zh-CN"/>
        </w:rPr>
        <w:t xml:space="preserve"> </w:t>
      </w:r>
      <w:r w:rsidRPr="00F14AE8">
        <w:rPr>
          <w:rFonts w:ascii="Book Antiqua" w:hAnsi="Book Antiqua"/>
          <w:sz w:val="24"/>
          <w:szCs w:val="24"/>
        </w:rPr>
        <w:t xml:space="preserve">85, 18%). </w:t>
      </w:r>
      <w:r w:rsidR="000B6D33" w:rsidRPr="00F14AE8">
        <w:rPr>
          <w:rFonts w:ascii="Book Antiqua" w:hAnsi="Book Antiqua"/>
          <w:sz w:val="24"/>
          <w:szCs w:val="24"/>
        </w:rPr>
        <w:t>Thus, a total of 163</w:t>
      </w:r>
      <w:r w:rsidR="00B0475D" w:rsidRPr="00F14AE8">
        <w:rPr>
          <w:rFonts w:ascii="Book Antiqua" w:hAnsi="Book Antiqua"/>
          <w:sz w:val="24"/>
          <w:szCs w:val="24"/>
        </w:rPr>
        <w:t xml:space="preserve"> patients with dermatomyositis</w:t>
      </w:r>
      <w:r w:rsidRPr="00F14AE8">
        <w:rPr>
          <w:rFonts w:ascii="Book Antiqua" w:hAnsi="Book Antiqua"/>
          <w:sz w:val="24"/>
          <w:szCs w:val="24"/>
        </w:rPr>
        <w:t xml:space="preserve"> were included and, of these, 79 patients </w:t>
      </w:r>
      <w:r w:rsidR="00942384" w:rsidRPr="00F14AE8">
        <w:rPr>
          <w:rFonts w:ascii="Book Antiqua" w:hAnsi="Book Antiqua"/>
          <w:sz w:val="24"/>
          <w:szCs w:val="24"/>
        </w:rPr>
        <w:t xml:space="preserve">had </w:t>
      </w:r>
      <w:r w:rsidR="00422F9F" w:rsidRPr="00F14AE8">
        <w:rPr>
          <w:rFonts w:ascii="Book Antiqua" w:hAnsi="Book Antiqua"/>
          <w:sz w:val="24"/>
          <w:szCs w:val="24"/>
        </w:rPr>
        <w:t>an</w:t>
      </w:r>
      <w:r w:rsidR="00365AAA" w:rsidRPr="00F14AE8">
        <w:rPr>
          <w:rFonts w:ascii="Book Antiqua" w:hAnsi="Book Antiqua"/>
          <w:sz w:val="24"/>
          <w:szCs w:val="24"/>
        </w:rPr>
        <w:t xml:space="preserve"> </w:t>
      </w:r>
      <w:r w:rsidR="00942384" w:rsidRPr="00F14AE8">
        <w:rPr>
          <w:rFonts w:ascii="Book Antiqua" w:hAnsi="Book Antiqua"/>
          <w:sz w:val="24"/>
          <w:szCs w:val="24"/>
        </w:rPr>
        <w:t>endoscopy documented within the electronic medical record</w:t>
      </w:r>
      <w:r w:rsidRPr="00F14AE8">
        <w:rPr>
          <w:rFonts w:ascii="Book Antiqua" w:hAnsi="Book Antiqua"/>
          <w:sz w:val="24"/>
          <w:szCs w:val="24"/>
        </w:rPr>
        <w:t xml:space="preserve"> (EGD and/or colonoscopy) as shown in </w:t>
      </w:r>
      <w:r w:rsidR="00B15814" w:rsidRPr="00F14AE8">
        <w:rPr>
          <w:rFonts w:ascii="Book Antiqua" w:hAnsi="Book Antiqua"/>
          <w:sz w:val="24"/>
          <w:szCs w:val="24"/>
        </w:rPr>
        <w:t>Figure 1</w:t>
      </w:r>
      <w:r w:rsidR="00191793" w:rsidRPr="00F14AE8">
        <w:rPr>
          <w:rFonts w:ascii="Book Antiqua" w:hAnsi="Book Antiqua"/>
          <w:sz w:val="24"/>
          <w:szCs w:val="24"/>
        </w:rPr>
        <w:t>.</w:t>
      </w:r>
    </w:p>
    <w:p w:rsidR="001D2353" w:rsidRPr="00F14AE8" w:rsidRDefault="001D2353" w:rsidP="00F14AE8">
      <w:pPr>
        <w:spacing w:after="0" w:line="360" w:lineRule="auto"/>
        <w:jc w:val="both"/>
        <w:rPr>
          <w:rFonts w:ascii="Book Antiqua" w:hAnsi="Book Antiqua"/>
          <w:sz w:val="24"/>
          <w:szCs w:val="24"/>
          <w:lang w:eastAsia="zh-CN"/>
        </w:rPr>
      </w:pPr>
    </w:p>
    <w:p w:rsidR="00F33AC7" w:rsidRPr="00F14AE8" w:rsidRDefault="00B15814" w:rsidP="00F14AE8">
      <w:pPr>
        <w:spacing w:after="0" w:line="360" w:lineRule="auto"/>
        <w:jc w:val="both"/>
        <w:rPr>
          <w:rFonts w:ascii="Book Antiqua" w:hAnsi="Book Antiqua"/>
          <w:b/>
          <w:i/>
          <w:sz w:val="24"/>
          <w:szCs w:val="24"/>
        </w:rPr>
      </w:pPr>
      <w:r w:rsidRPr="00F14AE8">
        <w:rPr>
          <w:rFonts w:ascii="Book Antiqua" w:hAnsi="Book Antiqua"/>
          <w:b/>
          <w:i/>
          <w:sz w:val="24"/>
          <w:szCs w:val="24"/>
        </w:rPr>
        <w:lastRenderedPageBreak/>
        <w:t>Patient characteristics</w:t>
      </w:r>
    </w:p>
    <w:p w:rsidR="007F434C" w:rsidRPr="00F14AE8" w:rsidRDefault="00F80EFC" w:rsidP="00F14AE8">
      <w:pPr>
        <w:spacing w:after="0" w:line="360" w:lineRule="auto"/>
        <w:jc w:val="both"/>
        <w:rPr>
          <w:rFonts w:ascii="Book Antiqua" w:hAnsi="Book Antiqua"/>
          <w:sz w:val="24"/>
          <w:szCs w:val="24"/>
        </w:rPr>
      </w:pPr>
      <w:r w:rsidRPr="00F14AE8">
        <w:rPr>
          <w:rFonts w:ascii="Book Antiqua" w:hAnsi="Book Antiqua"/>
          <w:sz w:val="24"/>
          <w:szCs w:val="24"/>
        </w:rPr>
        <w:t xml:space="preserve">Baseline demographic data for the patients who underwent endoscopy is shown in </w:t>
      </w:r>
      <w:r w:rsidR="00B15814" w:rsidRPr="00F14AE8">
        <w:rPr>
          <w:rFonts w:ascii="Book Antiqua" w:hAnsi="Book Antiqua"/>
          <w:sz w:val="24"/>
          <w:szCs w:val="24"/>
        </w:rPr>
        <w:t>Table 1</w:t>
      </w:r>
      <w:r w:rsidRPr="00F14AE8">
        <w:rPr>
          <w:rFonts w:ascii="Book Antiqua" w:hAnsi="Book Antiqua"/>
          <w:sz w:val="24"/>
          <w:szCs w:val="24"/>
        </w:rPr>
        <w:t xml:space="preserve">. </w:t>
      </w:r>
      <w:r w:rsidR="009C557E" w:rsidRPr="00F14AE8">
        <w:rPr>
          <w:rFonts w:ascii="Book Antiqua" w:hAnsi="Book Antiqua"/>
          <w:sz w:val="24"/>
          <w:szCs w:val="24"/>
        </w:rPr>
        <w:t xml:space="preserve">The </w:t>
      </w:r>
      <w:r w:rsidR="00835D31" w:rsidRPr="00F14AE8">
        <w:rPr>
          <w:rFonts w:ascii="Book Antiqua" w:hAnsi="Book Antiqua"/>
          <w:sz w:val="24"/>
          <w:szCs w:val="24"/>
        </w:rPr>
        <w:t>mean</w:t>
      </w:r>
      <w:r w:rsidR="009C557E" w:rsidRPr="00F14AE8">
        <w:rPr>
          <w:rFonts w:ascii="Book Antiqua" w:hAnsi="Book Antiqua"/>
          <w:sz w:val="24"/>
          <w:szCs w:val="24"/>
        </w:rPr>
        <w:t xml:space="preserve"> age of patients at the time of endoscopy was 56.7 years </w:t>
      </w:r>
      <w:r w:rsidR="00835D31" w:rsidRPr="00F14AE8">
        <w:rPr>
          <w:rFonts w:ascii="Book Antiqua" w:hAnsi="Book Antiqua"/>
          <w:sz w:val="24"/>
          <w:szCs w:val="24"/>
        </w:rPr>
        <w:t xml:space="preserve">with a range from 21 to </w:t>
      </w:r>
      <w:r w:rsidR="00CF2878" w:rsidRPr="00F14AE8">
        <w:rPr>
          <w:rFonts w:ascii="Book Antiqua" w:hAnsi="Book Antiqua"/>
          <w:sz w:val="24"/>
          <w:szCs w:val="24"/>
        </w:rPr>
        <w:t xml:space="preserve">88 years and a SD of 14.4 years; </w:t>
      </w:r>
      <w:r w:rsidR="009C557E" w:rsidRPr="00F14AE8">
        <w:rPr>
          <w:rFonts w:ascii="Book Antiqua" w:hAnsi="Book Antiqua"/>
          <w:sz w:val="24"/>
          <w:szCs w:val="24"/>
        </w:rPr>
        <w:t xml:space="preserve">73% were women. On average, patients had dermatomyositis for 6.8 years at the </w:t>
      </w:r>
      <w:r w:rsidR="00740D5C" w:rsidRPr="00F14AE8">
        <w:rPr>
          <w:rFonts w:ascii="Book Antiqua" w:hAnsi="Book Antiqua"/>
          <w:sz w:val="24"/>
          <w:szCs w:val="24"/>
        </w:rPr>
        <w:t>time of</w:t>
      </w:r>
      <w:r w:rsidR="009C557E" w:rsidRPr="00F14AE8">
        <w:rPr>
          <w:rFonts w:ascii="Book Antiqua" w:hAnsi="Book Antiqua"/>
          <w:sz w:val="24"/>
          <w:szCs w:val="24"/>
        </w:rPr>
        <w:t xml:space="preserve"> endoscopy with a SD of 6.6 years</w:t>
      </w:r>
      <w:r w:rsidR="003253D2" w:rsidRPr="00F14AE8">
        <w:rPr>
          <w:rFonts w:ascii="Book Antiqua" w:hAnsi="Book Antiqua"/>
          <w:sz w:val="24"/>
          <w:szCs w:val="24"/>
        </w:rPr>
        <w:t>; 39 patients (49%) had endoscopy within 5 years of their diagnosis</w:t>
      </w:r>
      <w:r w:rsidR="009C557E" w:rsidRPr="00F14AE8">
        <w:rPr>
          <w:rFonts w:ascii="Book Antiqua" w:hAnsi="Book Antiqua"/>
          <w:sz w:val="24"/>
          <w:szCs w:val="24"/>
        </w:rPr>
        <w:t xml:space="preserve">. </w:t>
      </w:r>
      <w:r w:rsidRPr="00F14AE8">
        <w:rPr>
          <w:rFonts w:ascii="Book Antiqua" w:hAnsi="Book Antiqua"/>
          <w:sz w:val="24"/>
          <w:szCs w:val="24"/>
        </w:rPr>
        <w:t xml:space="preserve">Of the two patients with an adenocarcinoma of unknown origin, one of these patients was diagnosed based on biopsy of a large lymph node found on cross sectional imaging while the other patient’s diagnosis was made based on biopsy of a liver lesion, with genome sequencing of the tumor suggestive of a lung primary. The most </w:t>
      </w:r>
      <w:r w:rsidR="00B74848" w:rsidRPr="00F14AE8">
        <w:rPr>
          <w:rFonts w:ascii="Book Antiqua" w:hAnsi="Book Antiqua"/>
          <w:sz w:val="24"/>
          <w:szCs w:val="24"/>
        </w:rPr>
        <w:t>common indication</w:t>
      </w:r>
      <w:r w:rsidRPr="00F14AE8">
        <w:rPr>
          <w:rFonts w:ascii="Book Antiqua" w:hAnsi="Book Antiqua"/>
          <w:sz w:val="24"/>
          <w:szCs w:val="24"/>
        </w:rPr>
        <w:t xml:space="preserve"> for EGD and colonoscopy was screening in an otherwise asymptomatic patient (40.4% and 73.1%, respectively); dysphagia was the most common symptom present at time of EGD (27.7%)</w:t>
      </w:r>
      <w:r w:rsidR="00410973" w:rsidRPr="00F14AE8">
        <w:rPr>
          <w:rFonts w:ascii="Book Antiqua" w:hAnsi="Book Antiqua"/>
          <w:sz w:val="24"/>
          <w:szCs w:val="24"/>
        </w:rPr>
        <w:t xml:space="preserve"> and diarrhea and abdominal pain were the most common symptoms prompting colonoscopy (16.5%)</w:t>
      </w:r>
      <w:r w:rsidRPr="00F14AE8">
        <w:rPr>
          <w:rFonts w:ascii="Book Antiqua" w:hAnsi="Book Antiqua"/>
          <w:sz w:val="24"/>
          <w:szCs w:val="24"/>
        </w:rPr>
        <w:t>.</w:t>
      </w:r>
    </w:p>
    <w:p w:rsidR="00BA51A7" w:rsidRPr="00F14AE8" w:rsidRDefault="00B3252C" w:rsidP="00F14AE8">
      <w:pPr>
        <w:spacing w:after="0" w:line="360" w:lineRule="auto"/>
        <w:ind w:firstLineChars="100" w:firstLine="240"/>
        <w:jc w:val="both"/>
        <w:rPr>
          <w:rFonts w:ascii="Book Antiqua" w:hAnsi="Book Antiqua"/>
          <w:sz w:val="24"/>
          <w:szCs w:val="24"/>
          <w:lang w:eastAsia="zh-CN"/>
        </w:rPr>
      </w:pPr>
      <w:r w:rsidRPr="00F14AE8">
        <w:rPr>
          <w:rFonts w:ascii="Book Antiqua" w:hAnsi="Book Antiqua"/>
          <w:sz w:val="24"/>
          <w:szCs w:val="24"/>
        </w:rPr>
        <w:t>Chart review was performed on the patients with a diagnosis of dermatomyositis who did not undergo endoscopy and the results comparing demographic data for these patients compared to those who did undergo endoscopy is shown in Supplementary Table 2.</w:t>
      </w:r>
      <w:r w:rsidRPr="00F14AE8">
        <w:rPr>
          <w:rFonts w:ascii="Book Antiqua" w:hAnsi="Book Antiqua"/>
          <w:b/>
          <w:sz w:val="24"/>
          <w:szCs w:val="24"/>
        </w:rPr>
        <w:t xml:space="preserve"> </w:t>
      </w:r>
      <w:r w:rsidR="00610E2D" w:rsidRPr="00F14AE8">
        <w:rPr>
          <w:rFonts w:ascii="Book Antiqua" w:hAnsi="Book Antiqua"/>
          <w:sz w:val="24"/>
          <w:szCs w:val="24"/>
        </w:rPr>
        <w:t>Patients who underwent endoscopic evaluation were significantly older at the time of their dermatomyositis diagnosis than those who did not (50.1</w:t>
      </w:r>
      <w:r w:rsidR="001D2353" w:rsidRPr="00F14AE8">
        <w:rPr>
          <w:rFonts w:ascii="Book Antiqua" w:hAnsi="Book Antiqua"/>
          <w:sz w:val="24"/>
          <w:szCs w:val="24"/>
        </w:rPr>
        <w:sym w:font="Symbol" w:char="F0B1"/>
      </w:r>
      <w:r w:rsidR="001D2353" w:rsidRPr="00F14AE8">
        <w:rPr>
          <w:rFonts w:ascii="Book Antiqua" w:hAnsi="Book Antiqua"/>
          <w:sz w:val="24"/>
          <w:szCs w:val="24"/>
          <w:lang w:eastAsia="zh-CN"/>
        </w:rPr>
        <w:t xml:space="preserve"> </w:t>
      </w:r>
      <w:r w:rsidR="00610E2D" w:rsidRPr="00F14AE8">
        <w:rPr>
          <w:rFonts w:ascii="Book Antiqua" w:hAnsi="Book Antiqua"/>
          <w:sz w:val="24"/>
          <w:szCs w:val="24"/>
        </w:rPr>
        <w:t xml:space="preserve">15.9 </w:t>
      </w:r>
      <w:r w:rsidR="001D2353" w:rsidRPr="00F14AE8">
        <w:rPr>
          <w:rFonts w:ascii="Book Antiqua" w:hAnsi="Book Antiqua"/>
          <w:i/>
          <w:sz w:val="24"/>
          <w:szCs w:val="24"/>
          <w:lang w:eastAsia="zh-CN"/>
        </w:rPr>
        <w:t xml:space="preserve">vs </w:t>
      </w:r>
      <w:r w:rsidR="00610E2D" w:rsidRPr="00F14AE8">
        <w:rPr>
          <w:rFonts w:ascii="Book Antiqua" w:hAnsi="Book Antiqua"/>
          <w:sz w:val="24"/>
          <w:szCs w:val="24"/>
        </w:rPr>
        <w:t>40.6</w:t>
      </w:r>
      <w:r w:rsidR="001D2353" w:rsidRPr="00F14AE8">
        <w:rPr>
          <w:rFonts w:ascii="Book Antiqua" w:hAnsi="Book Antiqua"/>
          <w:sz w:val="24"/>
          <w:szCs w:val="24"/>
          <w:lang w:eastAsia="zh-CN"/>
        </w:rPr>
        <w:t xml:space="preserve"> </w:t>
      </w:r>
      <w:r w:rsidR="001D2353" w:rsidRPr="00F14AE8">
        <w:rPr>
          <w:rFonts w:ascii="Book Antiqua" w:hAnsi="Book Antiqua"/>
          <w:sz w:val="24"/>
          <w:szCs w:val="24"/>
        </w:rPr>
        <w:sym w:font="Symbol" w:char="F0B1"/>
      </w:r>
      <w:r w:rsidR="001D2353" w:rsidRPr="00F14AE8">
        <w:rPr>
          <w:rFonts w:ascii="Book Antiqua" w:hAnsi="Book Antiqua"/>
          <w:sz w:val="24"/>
          <w:szCs w:val="24"/>
          <w:lang w:eastAsia="zh-CN"/>
        </w:rPr>
        <w:t xml:space="preserve"> </w:t>
      </w:r>
      <w:r w:rsidR="00610E2D" w:rsidRPr="00F14AE8">
        <w:rPr>
          <w:rFonts w:ascii="Book Antiqua" w:hAnsi="Book Antiqua"/>
          <w:sz w:val="24"/>
          <w:szCs w:val="24"/>
        </w:rPr>
        <w:t>15.9, respectively</w:t>
      </w:r>
      <w:r w:rsidR="001D2353" w:rsidRPr="00F14AE8">
        <w:rPr>
          <w:rFonts w:ascii="Book Antiqua" w:hAnsi="Book Antiqua"/>
          <w:sz w:val="24"/>
          <w:szCs w:val="24"/>
          <w:lang w:eastAsia="zh-CN"/>
        </w:rPr>
        <w:t>,</w:t>
      </w:r>
      <w:r w:rsidR="00610E2D" w:rsidRPr="00F14AE8">
        <w:rPr>
          <w:rFonts w:ascii="Book Antiqua" w:hAnsi="Book Antiqua"/>
          <w:sz w:val="24"/>
          <w:szCs w:val="24"/>
        </w:rPr>
        <w:t xml:space="preserve"> </w:t>
      </w:r>
      <w:r w:rsidR="001D2353" w:rsidRPr="00F14AE8">
        <w:rPr>
          <w:rFonts w:ascii="Book Antiqua" w:hAnsi="Book Antiqua"/>
          <w:i/>
          <w:sz w:val="24"/>
          <w:szCs w:val="24"/>
        </w:rPr>
        <w:t>P</w:t>
      </w:r>
      <w:r w:rsidR="00610E2D" w:rsidRPr="00F14AE8">
        <w:rPr>
          <w:rFonts w:ascii="Book Antiqua" w:hAnsi="Book Antiqua"/>
          <w:sz w:val="24"/>
          <w:szCs w:val="24"/>
        </w:rPr>
        <w:t xml:space="preserve"> &lt; 0.01).  No significant differences were identified in any of the other variables, including personal history of cancer. The single patient with CRC who did not undergo endoscopy was diagnosed with CRC 10 years prior to her dermatomyositis diagnosis and no records of the initial or subsequent surveillance colonos</w:t>
      </w:r>
      <w:r w:rsidR="00BA4BC8" w:rsidRPr="00F14AE8">
        <w:rPr>
          <w:rFonts w:ascii="Book Antiqua" w:hAnsi="Book Antiqua"/>
          <w:sz w:val="24"/>
          <w:szCs w:val="24"/>
        </w:rPr>
        <w:t>copies were available in the electronic medical record.</w:t>
      </w:r>
    </w:p>
    <w:p w:rsidR="001D2353" w:rsidRPr="00F14AE8" w:rsidRDefault="001D2353" w:rsidP="00F14AE8">
      <w:pPr>
        <w:spacing w:after="0" w:line="360" w:lineRule="auto"/>
        <w:ind w:firstLineChars="100" w:firstLine="240"/>
        <w:jc w:val="both"/>
        <w:rPr>
          <w:rFonts w:ascii="Book Antiqua" w:hAnsi="Book Antiqua"/>
          <w:sz w:val="24"/>
          <w:szCs w:val="24"/>
          <w:lang w:eastAsia="zh-CN"/>
        </w:rPr>
      </w:pPr>
    </w:p>
    <w:p w:rsidR="00F33AC7" w:rsidRPr="00F14AE8" w:rsidRDefault="00B15814" w:rsidP="00F14AE8">
      <w:pPr>
        <w:spacing w:after="0" w:line="360" w:lineRule="auto"/>
        <w:jc w:val="both"/>
        <w:rPr>
          <w:rFonts w:ascii="Book Antiqua" w:hAnsi="Book Antiqua"/>
          <w:b/>
          <w:i/>
          <w:sz w:val="24"/>
          <w:szCs w:val="24"/>
        </w:rPr>
      </w:pPr>
      <w:r w:rsidRPr="00F14AE8">
        <w:rPr>
          <w:rFonts w:ascii="Book Antiqua" w:hAnsi="Book Antiqua"/>
          <w:b/>
          <w:i/>
          <w:sz w:val="24"/>
          <w:szCs w:val="24"/>
        </w:rPr>
        <w:t>Yield of endoscopy</w:t>
      </w:r>
    </w:p>
    <w:p w:rsidR="00F37465" w:rsidRPr="00F14AE8" w:rsidRDefault="00B74848" w:rsidP="00F14AE8">
      <w:pPr>
        <w:spacing w:after="0" w:line="360" w:lineRule="auto"/>
        <w:jc w:val="both"/>
        <w:rPr>
          <w:rFonts w:ascii="Book Antiqua" w:hAnsi="Book Antiqua"/>
          <w:sz w:val="24"/>
          <w:szCs w:val="24"/>
        </w:rPr>
      </w:pPr>
      <w:r w:rsidRPr="00F14AE8">
        <w:rPr>
          <w:rFonts w:ascii="Book Antiqua" w:hAnsi="Book Antiqua"/>
          <w:sz w:val="24"/>
          <w:szCs w:val="24"/>
        </w:rPr>
        <w:t>Of the 47</w:t>
      </w:r>
      <w:r w:rsidR="00F37465" w:rsidRPr="00F14AE8">
        <w:rPr>
          <w:rFonts w:ascii="Book Antiqua" w:hAnsi="Book Antiqua"/>
          <w:sz w:val="24"/>
          <w:szCs w:val="24"/>
        </w:rPr>
        <w:t xml:space="preserve"> patients who underwent EGD, no cases of malignancy were identified on either the initial exam, or i</w:t>
      </w:r>
      <w:r w:rsidR="00D22A42" w:rsidRPr="00F14AE8">
        <w:rPr>
          <w:rFonts w:ascii="Book Antiqua" w:hAnsi="Book Antiqua"/>
          <w:sz w:val="24"/>
          <w:szCs w:val="24"/>
        </w:rPr>
        <w:t xml:space="preserve">f performed, on subsequent exams as shown in </w:t>
      </w:r>
      <w:r w:rsidR="00B15814" w:rsidRPr="00F14AE8">
        <w:rPr>
          <w:rFonts w:ascii="Book Antiqua" w:hAnsi="Book Antiqua"/>
          <w:sz w:val="24"/>
          <w:szCs w:val="24"/>
        </w:rPr>
        <w:t>Table 2</w:t>
      </w:r>
      <w:r w:rsidR="00D22A42" w:rsidRPr="00F14AE8">
        <w:rPr>
          <w:rFonts w:ascii="Book Antiqua" w:hAnsi="Book Antiqua"/>
          <w:sz w:val="24"/>
          <w:szCs w:val="24"/>
        </w:rPr>
        <w:t xml:space="preserve">. </w:t>
      </w:r>
      <w:r w:rsidR="00F37465" w:rsidRPr="00F14AE8">
        <w:rPr>
          <w:rFonts w:ascii="Book Antiqua" w:hAnsi="Book Antiqua"/>
          <w:sz w:val="24"/>
          <w:szCs w:val="24"/>
        </w:rPr>
        <w:t xml:space="preserve">EGD </w:t>
      </w:r>
      <w:r w:rsidR="00F37465" w:rsidRPr="00F14AE8">
        <w:rPr>
          <w:rFonts w:ascii="Book Antiqua" w:hAnsi="Book Antiqua"/>
          <w:sz w:val="24"/>
          <w:szCs w:val="24"/>
        </w:rPr>
        <w:lastRenderedPageBreak/>
        <w:t xml:space="preserve">identified </w:t>
      </w:r>
      <w:r w:rsidRPr="00F14AE8">
        <w:rPr>
          <w:rFonts w:ascii="Book Antiqua" w:hAnsi="Book Antiqua"/>
          <w:sz w:val="24"/>
          <w:szCs w:val="24"/>
        </w:rPr>
        <w:t>two</w:t>
      </w:r>
      <w:r w:rsidR="00F37465" w:rsidRPr="00F14AE8">
        <w:rPr>
          <w:rFonts w:ascii="Book Antiqua" w:hAnsi="Book Antiqua"/>
          <w:sz w:val="24"/>
          <w:szCs w:val="24"/>
        </w:rPr>
        <w:t xml:space="preserve"> case</w:t>
      </w:r>
      <w:r w:rsidRPr="00F14AE8">
        <w:rPr>
          <w:rFonts w:ascii="Book Antiqua" w:hAnsi="Book Antiqua"/>
          <w:sz w:val="24"/>
          <w:szCs w:val="24"/>
        </w:rPr>
        <w:t>s</w:t>
      </w:r>
      <w:r w:rsidR="00F37465" w:rsidRPr="00F14AE8">
        <w:rPr>
          <w:rFonts w:ascii="Book Antiqua" w:hAnsi="Book Antiqua"/>
          <w:sz w:val="24"/>
          <w:szCs w:val="24"/>
        </w:rPr>
        <w:t xml:space="preserve"> of Barrett’s esophagus without dysplasia and subsequent EGD at one year identified no progression of the Barrett’s </w:t>
      </w:r>
      <w:r w:rsidRPr="00F14AE8">
        <w:rPr>
          <w:rFonts w:ascii="Book Antiqua" w:hAnsi="Book Antiqua"/>
          <w:sz w:val="24"/>
          <w:szCs w:val="24"/>
        </w:rPr>
        <w:t>in either patients.</w:t>
      </w:r>
      <w:r w:rsidR="00F37465" w:rsidRPr="00F14AE8">
        <w:rPr>
          <w:rFonts w:ascii="Book Antiqua" w:hAnsi="Book Antiqua"/>
          <w:sz w:val="24"/>
          <w:szCs w:val="24"/>
        </w:rPr>
        <w:t xml:space="preserve"> In another patient, gastric intestinal metaplasia without dysplasia on random gastric biops</w:t>
      </w:r>
      <w:r w:rsidRPr="00F14AE8">
        <w:rPr>
          <w:rFonts w:ascii="Book Antiqua" w:hAnsi="Book Antiqua"/>
          <w:sz w:val="24"/>
          <w:szCs w:val="24"/>
        </w:rPr>
        <w:t>ies was identified on EGD and the patient</w:t>
      </w:r>
      <w:r w:rsidR="00F37465" w:rsidRPr="00F14AE8">
        <w:rPr>
          <w:rFonts w:ascii="Book Antiqua" w:hAnsi="Book Antiqua"/>
          <w:sz w:val="24"/>
          <w:szCs w:val="24"/>
        </w:rPr>
        <w:t xml:space="preserve"> underwent a total of seven subsequent surveillance EGDs over ten years without progression of the gastric intestinal metaplasia. </w:t>
      </w:r>
    </w:p>
    <w:p w:rsidR="00F37465" w:rsidRPr="00F14AE8" w:rsidRDefault="00F37465" w:rsidP="00F14AE8">
      <w:pPr>
        <w:spacing w:after="0" w:line="360" w:lineRule="auto"/>
        <w:ind w:firstLineChars="100" w:firstLine="240"/>
        <w:jc w:val="both"/>
        <w:rPr>
          <w:rFonts w:ascii="Book Antiqua" w:hAnsi="Book Antiqua"/>
          <w:sz w:val="24"/>
          <w:szCs w:val="24"/>
          <w:lang w:eastAsia="zh-CN"/>
        </w:rPr>
      </w:pPr>
      <w:r w:rsidRPr="00F14AE8">
        <w:rPr>
          <w:rFonts w:ascii="Book Antiqua" w:hAnsi="Book Antiqua"/>
          <w:sz w:val="24"/>
          <w:szCs w:val="24"/>
        </w:rPr>
        <w:t>There were no cases of malignancy detected in the 67 patients who underwent colonoscopy</w:t>
      </w:r>
      <w:r w:rsidR="00D22A42" w:rsidRPr="00F14AE8">
        <w:rPr>
          <w:rFonts w:ascii="Book Antiqua" w:hAnsi="Book Antiqua"/>
          <w:sz w:val="24"/>
          <w:szCs w:val="24"/>
        </w:rPr>
        <w:t xml:space="preserve"> as shown in </w:t>
      </w:r>
      <w:r w:rsidR="00B15814" w:rsidRPr="00F14AE8">
        <w:rPr>
          <w:rFonts w:ascii="Book Antiqua" w:hAnsi="Book Antiqua"/>
          <w:sz w:val="24"/>
          <w:szCs w:val="24"/>
        </w:rPr>
        <w:t>Table 2</w:t>
      </w:r>
      <w:r w:rsidRPr="00F14AE8">
        <w:rPr>
          <w:rFonts w:ascii="Book Antiqua" w:hAnsi="Book Antiqua"/>
          <w:sz w:val="24"/>
          <w:szCs w:val="24"/>
        </w:rPr>
        <w:t>. Of the 12 patients who underwent surveillance exams, the majority underwent a single surveillance exam in the study period while one patient underwent three exams over a ten</w:t>
      </w:r>
      <w:r w:rsidR="00025907" w:rsidRPr="00F14AE8">
        <w:rPr>
          <w:rFonts w:ascii="Book Antiqua" w:hAnsi="Book Antiqua"/>
          <w:sz w:val="24"/>
          <w:szCs w:val="24"/>
        </w:rPr>
        <w:t>-</w:t>
      </w:r>
      <w:r w:rsidRPr="00F14AE8">
        <w:rPr>
          <w:rFonts w:ascii="Book Antiqua" w:hAnsi="Book Antiqua"/>
          <w:sz w:val="24"/>
          <w:szCs w:val="24"/>
        </w:rPr>
        <w:t xml:space="preserve">year period </w:t>
      </w:r>
      <w:r w:rsidR="00025907" w:rsidRPr="00F14AE8">
        <w:rPr>
          <w:rFonts w:ascii="Book Antiqua" w:hAnsi="Book Antiqua"/>
          <w:sz w:val="24"/>
          <w:szCs w:val="24"/>
        </w:rPr>
        <w:t xml:space="preserve">for surveillance purposes </w:t>
      </w:r>
      <w:r w:rsidRPr="00F14AE8">
        <w:rPr>
          <w:rFonts w:ascii="Book Antiqua" w:hAnsi="Book Antiqua"/>
          <w:sz w:val="24"/>
          <w:szCs w:val="24"/>
        </w:rPr>
        <w:t xml:space="preserve">because of </w:t>
      </w:r>
      <w:r w:rsidR="00025907" w:rsidRPr="00F14AE8">
        <w:rPr>
          <w:rFonts w:ascii="Book Antiqua" w:hAnsi="Book Antiqua"/>
          <w:sz w:val="24"/>
          <w:szCs w:val="24"/>
        </w:rPr>
        <w:t xml:space="preserve">a previous </w:t>
      </w:r>
      <w:r w:rsidRPr="00F14AE8">
        <w:rPr>
          <w:rFonts w:ascii="Book Antiqua" w:hAnsi="Book Antiqua"/>
          <w:sz w:val="24"/>
          <w:szCs w:val="24"/>
        </w:rPr>
        <w:t xml:space="preserve">finding </w:t>
      </w:r>
      <w:r w:rsidR="00025907" w:rsidRPr="00F14AE8">
        <w:rPr>
          <w:rFonts w:ascii="Book Antiqua" w:hAnsi="Book Antiqua"/>
          <w:sz w:val="24"/>
          <w:szCs w:val="24"/>
        </w:rPr>
        <w:t xml:space="preserve">of </w:t>
      </w:r>
      <w:r w:rsidRPr="00F14AE8">
        <w:rPr>
          <w:rFonts w:ascii="Book Antiqua" w:hAnsi="Book Antiqua"/>
          <w:sz w:val="24"/>
          <w:szCs w:val="24"/>
        </w:rPr>
        <w:t>an advanced adenoma (&gt;</w:t>
      </w:r>
      <w:r w:rsidR="001D2353" w:rsidRPr="00F14AE8">
        <w:rPr>
          <w:rFonts w:ascii="Book Antiqua" w:hAnsi="Book Antiqua"/>
          <w:sz w:val="24"/>
          <w:szCs w:val="24"/>
          <w:lang w:eastAsia="zh-CN"/>
        </w:rPr>
        <w:t xml:space="preserve"> </w:t>
      </w:r>
      <w:r w:rsidRPr="00F14AE8">
        <w:rPr>
          <w:rFonts w:ascii="Book Antiqua" w:hAnsi="Book Antiqua"/>
          <w:sz w:val="24"/>
          <w:szCs w:val="24"/>
        </w:rPr>
        <w:t xml:space="preserve">10 </w:t>
      </w:r>
      <w:r w:rsidR="001D2353" w:rsidRPr="00F14AE8">
        <w:rPr>
          <w:rFonts w:ascii="Book Antiqua" w:hAnsi="Book Antiqua"/>
          <w:sz w:val="24"/>
          <w:szCs w:val="24"/>
          <w:lang w:eastAsia="zh-CN"/>
        </w:rPr>
        <w:t>mm</w:t>
      </w:r>
      <w:r w:rsidRPr="00F14AE8">
        <w:rPr>
          <w:rFonts w:ascii="Book Antiqua" w:hAnsi="Book Antiqua"/>
          <w:sz w:val="24"/>
          <w:szCs w:val="24"/>
        </w:rPr>
        <w:t xml:space="preserve"> sessile serrated adenoma)</w:t>
      </w:r>
      <w:r w:rsidR="00025907" w:rsidRPr="00F14AE8">
        <w:rPr>
          <w:rFonts w:ascii="Book Antiqua" w:hAnsi="Book Antiqua"/>
          <w:sz w:val="24"/>
          <w:szCs w:val="24"/>
        </w:rPr>
        <w:t xml:space="preserve"> and</w:t>
      </w:r>
      <w:r w:rsidRPr="00F14AE8">
        <w:rPr>
          <w:rFonts w:ascii="Book Antiqua" w:hAnsi="Book Antiqua"/>
          <w:sz w:val="24"/>
          <w:szCs w:val="24"/>
        </w:rPr>
        <w:t xml:space="preserve"> a family history of CRC. Seventy-nine percent of the colonoscopies were normal and a</w:t>
      </w:r>
      <w:r w:rsidR="00D15CEF" w:rsidRPr="00F14AE8">
        <w:rPr>
          <w:rFonts w:ascii="Book Antiqua" w:hAnsi="Book Antiqua"/>
          <w:sz w:val="24"/>
          <w:szCs w:val="24"/>
        </w:rPr>
        <w:t>t least one</w:t>
      </w:r>
      <w:r w:rsidRPr="00F14AE8">
        <w:rPr>
          <w:rFonts w:ascii="Book Antiqua" w:hAnsi="Book Antiqua"/>
          <w:sz w:val="24"/>
          <w:szCs w:val="24"/>
        </w:rPr>
        <w:t xml:space="preserve"> adenoma was identified on 1</w:t>
      </w:r>
      <w:r w:rsidR="004D7A2E" w:rsidRPr="00F14AE8">
        <w:rPr>
          <w:rFonts w:ascii="Book Antiqua" w:hAnsi="Book Antiqua"/>
          <w:sz w:val="24"/>
          <w:szCs w:val="24"/>
        </w:rPr>
        <w:t>4.9</w:t>
      </w:r>
      <w:r w:rsidRPr="00F14AE8">
        <w:rPr>
          <w:rFonts w:ascii="Book Antiqua" w:hAnsi="Book Antiqua"/>
          <w:sz w:val="24"/>
          <w:szCs w:val="24"/>
        </w:rPr>
        <w:t xml:space="preserve">% of the initial colonoscopies, with the majority being </w:t>
      </w:r>
      <w:r w:rsidR="0030541C" w:rsidRPr="00F14AE8">
        <w:rPr>
          <w:rFonts w:ascii="Book Antiqua" w:hAnsi="Book Antiqua"/>
          <w:sz w:val="24"/>
          <w:szCs w:val="24"/>
        </w:rPr>
        <w:t>low risk tubular adenomas (9.0</w:t>
      </w:r>
      <w:r w:rsidR="004D7A2E" w:rsidRPr="00F14AE8">
        <w:rPr>
          <w:rFonts w:ascii="Book Antiqua" w:hAnsi="Book Antiqua"/>
          <w:sz w:val="24"/>
          <w:szCs w:val="24"/>
        </w:rPr>
        <w:t>%).</w:t>
      </w:r>
    </w:p>
    <w:p w:rsidR="001D2353" w:rsidRPr="00F14AE8" w:rsidRDefault="001D2353" w:rsidP="00F14AE8">
      <w:pPr>
        <w:spacing w:after="0" w:line="360" w:lineRule="auto"/>
        <w:ind w:firstLineChars="100" w:firstLine="240"/>
        <w:jc w:val="both"/>
        <w:rPr>
          <w:rFonts w:ascii="Book Antiqua" w:hAnsi="Book Antiqua"/>
          <w:sz w:val="24"/>
          <w:szCs w:val="24"/>
          <w:lang w:eastAsia="zh-CN"/>
        </w:rPr>
      </w:pPr>
    </w:p>
    <w:p w:rsidR="00F33AC7" w:rsidRPr="00F14AE8" w:rsidRDefault="00B15814" w:rsidP="00F14AE8">
      <w:pPr>
        <w:spacing w:after="0" w:line="360" w:lineRule="auto"/>
        <w:jc w:val="both"/>
        <w:rPr>
          <w:rFonts w:ascii="Book Antiqua" w:hAnsi="Book Antiqua"/>
          <w:b/>
          <w:i/>
          <w:sz w:val="24"/>
          <w:szCs w:val="24"/>
        </w:rPr>
      </w:pPr>
      <w:r w:rsidRPr="00F14AE8">
        <w:rPr>
          <w:rFonts w:ascii="Book Antiqua" w:hAnsi="Book Antiqua"/>
          <w:b/>
          <w:i/>
          <w:sz w:val="24"/>
          <w:szCs w:val="24"/>
        </w:rPr>
        <w:t>Yield of endoscopy stratified by age and symptoms</w:t>
      </w:r>
    </w:p>
    <w:p w:rsidR="00D9346D" w:rsidRPr="00F14AE8" w:rsidRDefault="003927A3" w:rsidP="00F14AE8">
      <w:pPr>
        <w:spacing w:after="0" w:line="360" w:lineRule="auto"/>
        <w:jc w:val="both"/>
        <w:rPr>
          <w:rFonts w:ascii="Book Antiqua" w:hAnsi="Book Antiqua"/>
          <w:sz w:val="24"/>
          <w:szCs w:val="24"/>
        </w:rPr>
      </w:pPr>
      <w:r w:rsidRPr="00F14AE8">
        <w:rPr>
          <w:rFonts w:ascii="Book Antiqua" w:hAnsi="Book Antiqua"/>
          <w:sz w:val="24"/>
          <w:szCs w:val="24"/>
        </w:rPr>
        <w:t xml:space="preserve">The yield of endoscopy, stratified </w:t>
      </w:r>
      <w:r w:rsidR="009F26C0" w:rsidRPr="00F14AE8">
        <w:rPr>
          <w:rFonts w:ascii="Book Antiqua" w:hAnsi="Book Antiqua"/>
          <w:sz w:val="24"/>
          <w:szCs w:val="24"/>
        </w:rPr>
        <w:t>by</w:t>
      </w:r>
      <w:r w:rsidRPr="00F14AE8">
        <w:rPr>
          <w:rFonts w:ascii="Book Antiqua" w:hAnsi="Book Antiqua"/>
          <w:sz w:val="24"/>
          <w:szCs w:val="24"/>
        </w:rPr>
        <w:t xml:space="preserve"> age less than </w:t>
      </w:r>
      <w:r w:rsidR="0048005F" w:rsidRPr="00F14AE8">
        <w:rPr>
          <w:rFonts w:ascii="Book Antiqua" w:hAnsi="Book Antiqua"/>
          <w:sz w:val="24"/>
          <w:szCs w:val="24"/>
        </w:rPr>
        <w:t xml:space="preserve">or greater than </w:t>
      </w:r>
      <w:r w:rsidRPr="00F14AE8">
        <w:rPr>
          <w:rFonts w:ascii="Book Antiqua" w:hAnsi="Book Antiqua"/>
          <w:sz w:val="24"/>
          <w:szCs w:val="24"/>
        </w:rPr>
        <w:t xml:space="preserve">50 years is shown in </w:t>
      </w:r>
      <w:r w:rsidR="00B15814" w:rsidRPr="00F14AE8">
        <w:rPr>
          <w:rFonts w:ascii="Book Antiqua" w:hAnsi="Book Antiqua"/>
          <w:sz w:val="24"/>
          <w:szCs w:val="24"/>
        </w:rPr>
        <w:t>Table 3</w:t>
      </w:r>
      <w:r w:rsidRPr="00F14AE8">
        <w:rPr>
          <w:rFonts w:ascii="Book Antiqua" w:hAnsi="Book Antiqua"/>
          <w:sz w:val="24"/>
          <w:szCs w:val="24"/>
        </w:rPr>
        <w:t xml:space="preserve">. </w:t>
      </w:r>
      <w:r w:rsidR="00D15CEF" w:rsidRPr="00F14AE8">
        <w:rPr>
          <w:rFonts w:ascii="Book Antiqua" w:hAnsi="Book Antiqua"/>
          <w:sz w:val="24"/>
          <w:szCs w:val="24"/>
        </w:rPr>
        <w:t xml:space="preserve">We selected age 50 as the cutoff because many </w:t>
      </w:r>
      <w:r w:rsidR="00942F4A" w:rsidRPr="00F14AE8">
        <w:rPr>
          <w:rFonts w:ascii="Book Antiqua" w:hAnsi="Book Antiqua"/>
          <w:sz w:val="24"/>
          <w:szCs w:val="24"/>
        </w:rPr>
        <w:t>United States</w:t>
      </w:r>
      <w:r w:rsidR="00D15CEF" w:rsidRPr="00F14AE8">
        <w:rPr>
          <w:rFonts w:ascii="Book Antiqua" w:hAnsi="Book Antiqua"/>
          <w:sz w:val="24"/>
          <w:szCs w:val="24"/>
        </w:rPr>
        <w:t xml:space="preserve"> guidelines commonly recommend avera</w:t>
      </w:r>
      <w:r w:rsidR="00F33AC7" w:rsidRPr="00F14AE8">
        <w:rPr>
          <w:rFonts w:ascii="Book Antiqua" w:hAnsi="Book Antiqua"/>
          <w:sz w:val="24"/>
          <w:szCs w:val="24"/>
        </w:rPr>
        <w:t>ge-risk CRC screening at this age</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10]</w:t>
      </w:r>
      <w:r w:rsidR="00F33AC7" w:rsidRPr="00F14AE8">
        <w:rPr>
          <w:rFonts w:ascii="Book Antiqua" w:hAnsi="Book Antiqua"/>
          <w:sz w:val="24"/>
          <w:szCs w:val="24"/>
        </w:rPr>
        <w:t xml:space="preserve">. In addition, multiple gastroenterology societies recommend </w:t>
      </w:r>
      <w:r w:rsidR="00923510" w:rsidRPr="00F14AE8">
        <w:rPr>
          <w:rFonts w:ascii="Book Antiqua" w:hAnsi="Book Antiqua"/>
          <w:sz w:val="24"/>
          <w:szCs w:val="24"/>
        </w:rPr>
        <w:t>esophageal cancer or B</w:t>
      </w:r>
      <w:r w:rsidR="00D15CEF" w:rsidRPr="00F14AE8">
        <w:rPr>
          <w:rFonts w:ascii="Book Antiqua" w:hAnsi="Book Antiqua"/>
          <w:sz w:val="24"/>
          <w:szCs w:val="24"/>
        </w:rPr>
        <w:t>arrett’s esophagus screening for high-risk individuals (</w:t>
      </w:r>
      <w:r w:rsidR="00D15CEF" w:rsidRPr="003530DE">
        <w:rPr>
          <w:rFonts w:ascii="Book Antiqua" w:hAnsi="Book Antiqua"/>
          <w:i/>
          <w:sz w:val="24"/>
          <w:szCs w:val="24"/>
        </w:rPr>
        <w:t xml:space="preserve">i.e., </w:t>
      </w:r>
      <w:r w:rsidR="00D15CEF" w:rsidRPr="00F14AE8">
        <w:rPr>
          <w:rFonts w:ascii="Book Antiqua" w:hAnsi="Book Antiqua"/>
          <w:sz w:val="24"/>
          <w:szCs w:val="24"/>
        </w:rPr>
        <w:t xml:space="preserve">long-standing </w:t>
      </w:r>
      <w:r w:rsidR="00315A64" w:rsidRPr="00F14AE8">
        <w:rPr>
          <w:rFonts w:ascii="Book Antiqua" w:hAnsi="Book Antiqua"/>
          <w:sz w:val="24"/>
          <w:szCs w:val="24"/>
        </w:rPr>
        <w:t>gastro-esophageal reflux disease</w:t>
      </w:r>
      <w:r w:rsidR="00D15CEF" w:rsidRPr="00F14AE8">
        <w:rPr>
          <w:rFonts w:ascii="Book Antiqua" w:hAnsi="Book Antiqua"/>
          <w:sz w:val="24"/>
          <w:szCs w:val="24"/>
        </w:rPr>
        <w:t>, Caucasian</w:t>
      </w:r>
      <w:r w:rsidR="00ED382C" w:rsidRPr="00F14AE8">
        <w:rPr>
          <w:rFonts w:ascii="Book Antiqua" w:hAnsi="Book Antiqua"/>
          <w:sz w:val="24"/>
          <w:szCs w:val="24"/>
        </w:rPr>
        <w:t xml:space="preserve"> race</w:t>
      </w:r>
      <w:r w:rsidR="00D15CEF" w:rsidRPr="00F14AE8">
        <w:rPr>
          <w:rFonts w:ascii="Book Antiqua" w:hAnsi="Book Antiqua"/>
          <w:sz w:val="24"/>
          <w:szCs w:val="24"/>
        </w:rPr>
        <w:t>, obes</w:t>
      </w:r>
      <w:r w:rsidR="00ED382C" w:rsidRPr="00F14AE8">
        <w:rPr>
          <w:rFonts w:ascii="Book Antiqua" w:hAnsi="Book Antiqua"/>
          <w:sz w:val="24"/>
          <w:szCs w:val="24"/>
        </w:rPr>
        <w:t>ity</w:t>
      </w:r>
      <w:r w:rsidR="00D15CEF" w:rsidRPr="00F14AE8">
        <w:rPr>
          <w:rFonts w:ascii="Book Antiqua" w:hAnsi="Book Antiqua"/>
          <w:sz w:val="24"/>
          <w:szCs w:val="24"/>
        </w:rPr>
        <w:t xml:space="preserve">, </w:t>
      </w:r>
      <w:r w:rsidR="00D15CEF" w:rsidRPr="00F14AE8">
        <w:rPr>
          <w:rFonts w:ascii="Book Antiqua" w:hAnsi="Book Antiqua"/>
          <w:i/>
          <w:sz w:val="24"/>
          <w:szCs w:val="24"/>
        </w:rPr>
        <w:t>etc.</w:t>
      </w:r>
      <w:r w:rsidR="00D15CEF" w:rsidRPr="00F14AE8">
        <w:rPr>
          <w:rFonts w:ascii="Book Antiqua" w:hAnsi="Book Antiqua"/>
          <w:sz w:val="24"/>
          <w:szCs w:val="24"/>
        </w:rPr>
        <w:t>)</w:t>
      </w:r>
      <w:r w:rsidR="00F33AC7" w:rsidRPr="00F14AE8">
        <w:rPr>
          <w:rFonts w:ascii="Book Antiqua" w:hAnsi="Book Antiqua"/>
          <w:sz w:val="24"/>
          <w:szCs w:val="24"/>
        </w:rPr>
        <w:t xml:space="preserve"> at age 50</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11]</w:t>
      </w:r>
      <w:r w:rsidR="00D15CEF" w:rsidRPr="00F14AE8">
        <w:rPr>
          <w:rFonts w:ascii="Book Antiqua" w:hAnsi="Book Antiqua"/>
          <w:sz w:val="24"/>
          <w:szCs w:val="24"/>
        </w:rPr>
        <w:t xml:space="preserve">. </w:t>
      </w:r>
      <w:r w:rsidRPr="00F14AE8">
        <w:rPr>
          <w:rFonts w:ascii="Book Antiqua" w:hAnsi="Book Antiqua"/>
          <w:sz w:val="24"/>
          <w:szCs w:val="24"/>
        </w:rPr>
        <w:t>There were no statistical differences in the yield of EGD for pre-malignant conditions</w:t>
      </w:r>
      <w:r w:rsidR="00D15CEF" w:rsidRPr="00F14AE8">
        <w:rPr>
          <w:rFonts w:ascii="Book Antiqua" w:hAnsi="Book Antiqua"/>
          <w:sz w:val="24"/>
          <w:szCs w:val="24"/>
        </w:rPr>
        <w:t xml:space="preserve"> stratified by age</w:t>
      </w:r>
      <w:r w:rsidRPr="00F14AE8">
        <w:rPr>
          <w:rFonts w:ascii="Book Antiqua" w:hAnsi="Book Antiqua"/>
          <w:sz w:val="24"/>
          <w:szCs w:val="24"/>
        </w:rPr>
        <w:t xml:space="preserve">. </w:t>
      </w:r>
    </w:p>
    <w:p w:rsidR="003927A3" w:rsidRPr="00F14AE8" w:rsidRDefault="00730143" w:rsidP="00F14AE8">
      <w:pPr>
        <w:spacing w:after="0" w:line="360" w:lineRule="auto"/>
        <w:ind w:firstLineChars="100" w:firstLine="240"/>
        <w:jc w:val="both"/>
        <w:rPr>
          <w:rFonts w:ascii="Book Antiqua" w:hAnsi="Book Antiqua"/>
          <w:sz w:val="24"/>
          <w:szCs w:val="24"/>
        </w:rPr>
      </w:pPr>
      <w:r w:rsidRPr="00F14AE8">
        <w:rPr>
          <w:rFonts w:ascii="Book Antiqua" w:hAnsi="Book Antiqua"/>
          <w:sz w:val="24"/>
          <w:szCs w:val="24"/>
        </w:rPr>
        <w:t xml:space="preserve">The yield of endoscopy, stratified by the presence of symptoms is shown in </w:t>
      </w:r>
      <w:r w:rsidR="00B15814" w:rsidRPr="00F14AE8">
        <w:rPr>
          <w:rFonts w:ascii="Book Antiqua" w:hAnsi="Book Antiqua"/>
          <w:sz w:val="24"/>
          <w:szCs w:val="24"/>
        </w:rPr>
        <w:t>Table 4</w:t>
      </w:r>
      <w:r w:rsidRPr="00F14AE8">
        <w:rPr>
          <w:rFonts w:ascii="Book Antiqua" w:hAnsi="Book Antiqua"/>
          <w:sz w:val="24"/>
          <w:szCs w:val="24"/>
        </w:rPr>
        <w:t xml:space="preserve">. There were no identified differences in the yield of EGD when symptoms were present. Asymptomatic patients undergoing colonoscopy were more likely to have a normal exam than those with symptoms (86.3% </w:t>
      </w:r>
      <w:r w:rsidR="001D2353" w:rsidRPr="00F14AE8">
        <w:rPr>
          <w:rFonts w:ascii="Book Antiqua" w:hAnsi="Book Antiqua"/>
          <w:i/>
          <w:sz w:val="24"/>
          <w:szCs w:val="24"/>
          <w:lang w:eastAsia="zh-CN"/>
        </w:rPr>
        <w:t>vs</w:t>
      </w:r>
      <w:r w:rsidR="001D2353" w:rsidRPr="00F14AE8">
        <w:rPr>
          <w:rFonts w:ascii="Book Antiqua" w:hAnsi="Book Antiqua"/>
          <w:sz w:val="24"/>
          <w:szCs w:val="24"/>
        </w:rPr>
        <w:t xml:space="preserve"> </w:t>
      </w:r>
      <w:r w:rsidRPr="00F14AE8">
        <w:rPr>
          <w:rFonts w:ascii="Book Antiqua" w:hAnsi="Book Antiqua"/>
          <w:sz w:val="24"/>
          <w:szCs w:val="24"/>
        </w:rPr>
        <w:t xml:space="preserve">56.3%, respectively, </w:t>
      </w:r>
      <w:r w:rsidR="001D2353" w:rsidRPr="00F14AE8">
        <w:rPr>
          <w:rFonts w:ascii="Book Antiqua" w:hAnsi="Book Antiqua"/>
          <w:i/>
          <w:sz w:val="24"/>
          <w:szCs w:val="24"/>
        </w:rPr>
        <w:t xml:space="preserve">P </w:t>
      </w:r>
      <w:r w:rsidRPr="00F14AE8">
        <w:rPr>
          <w:rFonts w:ascii="Book Antiqua" w:hAnsi="Book Antiqua"/>
          <w:sz w:val="24"/>
          <w:szCs w:val="24"/>
        </w:rPr>
        <w:t>= 0.01), which was attributable to the finding of inflammatory bowel disease or microscopic colitis in symptomatic patients (25% compare</w:t>
      </w:r>
      <w:r w:rsidR="009F26C0" w:rsidRPr="00F14AE8">
        <w:rPr>
          <w:rFonts w:ascii="Book Antiqua" w:hAnsi="Book Antiqua"/>
          <w:sz w:val="24"/>
          <w:szCs w:val="24"/>
        </w:rPr>
        <w:t>d</w:t>
      </w:r>
      <w:r w:rsidRPr="00F14AE8">
        <w:rPr>
          <w:rFonts w:ascii="Book Antiqua" w:hAnsi="Book Antiqua"/>
          <w:sz w:val="24"/>
          <w:szCs w:val="24"/>
        </w:rPr>
        <w:t xml:space="preserve"> to 0% in the asymptomatic patients</w:t>
      </w:r>
      <w:r w:rsidR="001D2353" w:rsidRPr="00F14AE8">
        <w:rPr>
          <w:rFonts w:ascii="Book Antiqua" w:hAnsi="Book Antiqua"/>
          <w:sz w:val="24"/>
          <w:szCs w:val="24"/>
          <w:lang w:eastAsia="zh-CN"/>
        </w:rPr>
        <w:t>,</w:t>
      </w:r>
      <w:r w:rsidRPr="00F14AE8">
        <w:rPr>
          <w:rFonts w:ascii="Book Antiqua" w:hAnsi="Book Antiqua"/>
          <w:sz w:val="24"/>
          <w:szCs w:val="24"/>
        </w:rPr>
        <w:t xml:space="preserve"> </w:t>
      </w:r>
      <w:r w:rsidR="001D2353" w:rsidRPr="00F14AE8">
        <w:rPr>
          <w:rFonts w:ascii="Book Antiqua" w:hAnsi="Book Antiqua"/>
          <w:i/>
          <w:sz w:val="24"/>
          <w:szCs w:val="24"/>
        </w:rPr>
        <w:t>P</w:t>
      </w:r>
      <w:r w:rsidR="001D2353" w:rsidRPr="00F14AE8">
        <w:rPr>
          <w:rFonts w:ascii="Book Antiqua" w:hAnsi="Book Antiqua"/>
          <w:i/>
          <w:sz w:val="24"/>
          <w:szCs w:val="24"/>
          <w:lang w:eastAsia="zh-CN"/>
        </w:rPr>
        <w:t xml:space="preserve"> </w:t>
      </w:r>
      <w:r w:rsidRPr="00F14AE8">
        <w:rPr>
          <w:rFonts w:ascii="Book Antiqua" w:hAnsi="Book Antiqua"/>
          <w:sz w:val="24"/>
          <w:szCs w:val="24"/>
        </w:rPr>
        <w:t>&lt;</w:t>
      </w:r>
      <w:r w:rsidR="001D2353" w:rsidRPr="00F14AE8">
        <w:rPr>
          <w:rFonts w:ascii="Book Antiqua" w:hAnsi="Book Antiqua"/>
          <w:sz w:val="24"/>
          <w:szCs w:val="24"/>
          <w:lang w:eastAsia="zh-CN"/>
        </w:rPr>
        <w:t xml:space="preserve"> </w:t>
      </w:r>
      <w:r w:rsidRPr="00F14AE8">
        <w:rPr>
          <w:rFonts w:ascii="Book Antiqua" w:hAnsi="Book Antiqua"/>
          <w:sz w:val="24"/>
          <w:szCs w:val="24"/>
        </w:rPr>
        <w:t>0.01).</w:t>
      </w:r>
    </w:p>
    <w:p w:rsidR="00F37465" w:rsidRPr="00F14AE8" w:rsidRDefault="00F33AC7" w:rsidP="00F14AE8">
      <w:pPr>
        <w:spacing w:after="0" w:line="360" w:lineRule="auto"/>
        <w:jc w:val="both"/>
        <w:rPr>
          <w:rFonts w:ascii="Book Antiqua" w:hAnsi="Book Antiqua"/>
          <w:b/>
          <w:sz w:val="24"/>
          <w:szCs w:val="24"/>
        </w:rPr>
      </w:pPr>
      <w:r w:rsidRPr="00F14AE8">
        <w:rPr>
          <w:rFonts w:ascii="Book Antiqua" w:hAnsi="Book Antiqua"/>
          <w:b/>
          <w:sz w:val="24"/>
          <w:szCs w:val="24"/>
        </w:rPr>
        <w:lastRenderedPageBreak/>
        <w:t>DISCUSSION</w:t>
      </w:r>
    </w:p>
    <w:p w:rsidR="00F37465" w:rsidRPr="00F14AE8" w:rsidRDefault="00F33AC7" w:rsidP="00F14AE8">
      <w:pPr>
        <w:spacing w:after="0" w:line="360" w:lineRule="auto"/>
        <w:jc w:val="both"/>
        <w:rPr>
          <w:rFonts w:ascii="Book Antiqua" w:hAnsi="Book Antiqua"/>
          <w:sz w:val="24"/>
          <w:szCs w:val="24"/>
        </w:rPr>
      </w:pPr>
      <w:r w:rsidRPr="00F14AE8">
        <w:rPr>
          <w:rFonts w:ascii="Book Antiqua" w:hAnsi="Book Antiqua"/>
          <w:sz w:val="24"/>
          <w:szCs w:val="24"/>
        </w:rPr>
        <w:t>Although screening for GI neoplasia is commonly recommended in patients with dermatomyositis, the yi</w:t>
      </w:r>
      <w:r w:rsidR="009179FF" w:rsidRPr="00F14AE8">
        <w:rPr>
          <w:rFonts w:ascii="Book Antiqua" w:hAnsi="Book Antiqua"/>
          <w:sz w:val="24"/>
          <w:szCs w:val="24"/>
        </w:rPr>
        <w:t>eld of endoscopy remains unclear</w:t>
      </w:r>
      <w:r w:rsidRPr="00F14AE8">
        <w:rPr>
          <w:rFonts w:ascii="Book Antiqua" w:hAnsi="Book Antiqua"/>
          <w:sz w:val="24"/>
          <w:szCs w:val="24"/>
        </w:rPr>
        <w:t xml:space="preserve">. </w:t>
      </w:r>
      <w:r w:rsidR="002B142E" w:rsidRPr="00F14AE8">
        <w:rPr>
          <w:rFonts w:ascii="Book Antiqua" w:hAnsi="Book Antiqua"/>
          <w:sz w:val="24"/>
          <w:szCs w:val="24"/>
        </w:rPr>
        <w:t xml:space="preserve">To that end, we report results of the largest study of dermatomyositis patients utilizing individual chart-review and the first to examine the yield of endoscopy on identification of pre-malignant and malignant lesions of the GI tract in the United States. </w:t>
      </w:r>
      <w:r w:rsidR="00A67190" w:rsidRPr="00F14AE8">
        <w:rPr>
          <w:rFonts w:ascii="Book Antiqua" w:hAnsi="Book Antiqua"/>
          <w:sz w:val="24"/>
          <w:szCs w:val="24"/>
        </w:rPr>
        <w:t xml:space="preserve">In our study of 79 </w:t>
      </w:r>
      <w:r w:rsidR="009F26C0" w:rsidRPr="00F14AE8">
        <w:rPr>
          <w:rFonts w:ascii="Book Antiqua" w:hAnsi="Book Antiqua"/>
          <w:sz w:val="24"/>
          <w:szCs w:val="24"/>
        </w:rPr>
        <w:t>physician-</w:t>
      </w:r>
      <w:r w:rsidR="00A67190" w:rsidRPr="00F14AE8">
        <w:rPr>
          <w:rFonts w:ascii="Book Antiqua" w:hAnsi="Book Antiqua"/>
          <w:sz w:val="24"/>
          <w:szCs w:val="24"/>
        </w:rPr>
        <w:t>confirmed dermatomyositis patients, we found the</w:t>
      </w:r>
      <w:r w:rsidR="00F37465" w:rsidRPr="00F14AE8">
        <w:rPr>
          <w:rFonts w:ascii="Book Antiqua" w:hAnsi="Book Antiqua"/>
          <w:sz w:val="24"/>
          <w:szCs w:val="24"/>
        </w:rPr>
        <w:t xml:space="preserve"> yield </w:t>
      </w:r>
      <w:r w:rsidR="00A67190" w:rsidRPr="00F14AE8">
        <w:rPr>
          <w:rFonts w:ascii="Book Antiqua" w:hAnsi="Book Antiqua"/>
          <w:sz w:val="24"/>
          <w:szCs w:val="24"/>
        </w:rPr>
        <w:t xml:space="preserve">of endoscopy </w:t>
      </w:r>
      <w:r w:rsidR="000B298F" w:rsidRPr="00F14AE8">
        <w:rPr>
          <w:rFonts w:ascii="Book Antiqua" w:hAnsi="Book Antiqua"/>
          <w:sz w:val="24"/>
          <w:szCs w:val="24"/>
        </w:rPr>
        <w:t xml:space="preserve">to be </w:t>
      </w:r>
      <w:r w:rsidR="00A67190" w:rsidRPr="00F14AE8">
        <w:rPr>
          <w:rFonts w:ascii="Book Antiqua" w:hAnsi="Book Antiqua"/>
          <w:sz w:val="24"/>
          <w:szCs w:val="24"/>
        </w:rPr>
        <w:t xml:space="preserve">low </w:t>
      </w:r>
      <w:r w:rsidR="00F37465" w:rsidRPr="00F14AE8">
        <w:rPr>
          <w:rFonts w:ascii="Book Antiqua" w:hAnsi="Book Antiqua"/>
          <w:sz w:val="24"/>
          <w:szCs w:val="24"/>
        </w:rPr>
        <w:t xml:space="preserve">for the identification of pre-malignant and malignant GI lesions, even when stratified </w:t>
      </w:r>
      <w:r w:rsidR="009F26C0" w:rsidRPr="00F14AE8">
        <w:rPr>
          <w:rFonts w:ascii="Book Antiqua" w:hAnsi="Book Antiqua"/>
          <w:sz w:val="24"/>
          <w:szCs w:val="24"/>
        </w:rPr>
        <w:t xml:space="preserve">by </w:t>
      </w:r>
      <w:r w:rsidR="00F37465" w:rsidRPr="00F14AE8">
        <w:rPr>
          <w:rFonts w:ascii="Book Antiqua" w:hAnsi="Book Antiqua"/>
          <w:sz w:val="24"/>
          <w:szCs w:val="24"/>
        </w:rPr>
        <w:t>age, in both asympt</w:t>
      </w:r>
      <w:r w:rsidR="000B298F" w:rsidRPr="00F14AE8">
        <w:rPr>
          <w:rFonts w:ascii="Book Antiqua" w:hAnsi="Book Antiqua"/>
          <w:sz w:val="24"/>
          <w:szCs w:val="24"/>
        </w:rPr>
        <w:t>omatic and symptomatic patients</w:t>
      </w:r>
      <w:r w:rsidR="00F37465" w:rsidRPr="00F14AE8">
        <w:rPr>
          <w:rFonts w:ascii="Book Antiqua" w:hAnsi="Book Antiqua"/>
          <w:sz w:val="24"/>
          <w:szCs w:val="24"/>
        </w:rPr>
        <w:t>, calling into question an aggressive diagnostic approach to identify occult malignancy.</w:t>
      </w:r>
      <w:r w:rsidR="00237FC9" w:rsidRPr="00F14AE8">
        <w:rPr>
          <w:rFonts w:ascii="Book Antiqua" w:hAnsi="Book Antiqua"/>
          <w:sz w:val="24"/>
          <w:szCs w:val="24"/>
        </w:rPr>
        <w:t xml:space="preserve"> </w:t>
      </w:r>
      <w:r w:rsidR="00F37465" w:rsidRPr="00F14AE8">
        <w:rPr>
          <w:rFonts w:ascii="Book Antiqua" w:hAnsi="Book Antiqua"/>
          <w:sz w:val="24"/>
          <w:szCs w:val="24"/>
        </w:rPr>
        <w:t>No cases of GI malignancy were identified</w:t>
      </w:r>
      <w:r w:rsidR="00E565C9" w:rsidRPr="00F14AE8">
        <w:rPr>
          <w:rFonts w:ascii="Book Antiqua" w:hAnsi="Book Antiqua"/>
          <w:sz w:val="24"/>
          <w:szCs w:val="24"/>
        </w:rPr>
        <w:t xml:space="preserve">; </w:t>
      </w:r>
      <w:r w:rsidR="00F37465" w:rsidRPr="00F14AE8">
        <w:rPr>
          <w:rFonts w:ascii="Book Antiqua" w:hAnsi="Book Antiqua"/>
          <w:sz w:val="24"/>
          <w:szCs w:val="24"/>
        </w:rPr>
        <w:t xml:space="preserve">EGD was of very low yield in the identification of significant pathology and colonoscopy was only useful in identifying pre-malignant lesions (colonic adenomas) in the screening age population (patients 50 years </w:t>
      </w:r>
      <w:r w:rsidR="000B298F" w:rsidRPr="00F14AE8">
        <w:rPr>
          <w:rFonts w:ascii="Book Antiqua" w:hAnsi="Book Antiqua"/>
          <w:sz w:val="24"/>
          <w:szCs w:val="24"/>
        </w:rPr>
        <w:t>and older</w:t>
      </w:r>
      <w:r w:rsidR="00F37465" w:rsidRPr="00F14AE8">
        <w:rPr>
          <w:rFonts w:ascii="Book Antiqua" w:hAnsi="Book Antiqua"/>
          <w:sz w:val="24"/>
          <w:szCs w:val="24"/>
        </w:rPr>
        <w:t>).</w:t>
      </w:r>
      <w:r w:rsidR="00B54638" w:rsidRPr="00F14AE8">
        <w:rPr>
          <w:rFonts w:ascii="Book Antiqua" w:hAnsi="Book Antiqua"/>
          <w:sz w:val="24"/>
          <w:szCs w:val="24"/>
        </w:rPr>
        <w:t xml:space="preserve"> </w:t>
      </w:r>
    </w:p>
    <w:p w:rsidR="00961B6C" w:rsidRPr="00F14AE8" w:rsidRDefault="00961B6C" w:rsidP="00F14AE8">
      <w:pPr>
        <w:spacing w:after="0" w:line="360" w:lineRule="auto"/>
        <w:ind w:firstLineChars="100" w:firstLine="240"/>
        <w:jc w:val="both"/>
        <w:rPr>
          <w:rFonts w:ascii="Book Antiqua" w:hAnsi="Book Antiqua"/>
          <w:sz w:val="24"/>
          <w:szCs w:val="24"/>
        </w:rPr>
      </w:pPr>
      <w:r w:rsidRPr="00F14AE8">
        <w:rPr>
          <w:rFonts w:ascii="Book Antiqua" w:hAnsi="Book Antiqua"/>
          <w:color w:val="000000"/>
          <w:sz w:val="24"/>
          <w:szCs w:val="24"/>
        </w:rPr>
        <w:t xml:space="preserve">To date, few studies have evaluated the prevalence of GI malignancy in dermatomyositis patients. Previous </w:t>
      </w:r>
      <w:r w:rsidRPr="00F14AE8">
        <w:rPr>
          <w:rFonts w:ascii="Book Antiqua" w:hAnsi="Book Antiqua"/>
          <w:sz w:val="24"/>
          <w:szCs w:val="24"/>
        </w:rPr>
        <w:t>large, population-based studies have found an association between derma</w:t>
      </w:r>
      <w:r w:rsidR="00DE16F7" w:rsidRPr="00F14AE8">
        <w:rPr>
          <w:rFonts w:ascii="Book Antiqua" w:hAnsi="Book Antiqua"/>
          <w:sz w:val="24"/>
          <w:szCs w:val="24"/>
        </w:rPr>
        <w:t>tomyositis and GI malignancies</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3-5]</w:t>
      </w:r>
      <w:r w:rsidRPr="00F14AE8">
        <w:rPr>
          <w:rFonts w:ascii="Book Antiqua" w:hAnsi="Book Antiqua"/>
          <w:sz w:val="24"/>
          <w:szCs w:val="24"/>
        </w:rPr>
        <w:t>. In addition, a single descriptive study</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6]</w:t>
      </w:r>
      <w:r w:rsidRPr="00F14AE8">
        <w:rPr>
          <w:rFonts w:ascii="Book Antiqua" w:hAnsi="Book Antiqua"/>
          <w:sz w:val="24"/>
          <w:szCs w:val="24"/>
          <w:vertAlign w:val="superscript"/>
        </w:rPr>
        <w:t xml:space="preserve"> </w:t>
      </w:r>
      <w:r w:rsidRPr="00F14AE8">
        <w:rPr>
          <w:rFonts w:ascii="Book Antiqua" w:hAnsi="Book Antiqua"/>
          <w:sz w:val="24"/>
          <w:szCs w:val="24"/>
        </w:rPr>
        <w:t xml:space="preserve">of </w:t>
      </w:r>
      <w:r w:rsidR="005D438F" w:rsidRPr="00F14AE8">
        <w:rPr>
          <w:rFonts w:ascii="Book Antiqua" w:hAnsi="Book Antiqua"/>
          <w:sz w:val="24"/>
          <w:szCs w:val="24"/>
        </w:rPr>
        <w:t>40</w:t>
      </w:r>
      <w:r w:rsidRPr="00F14AE8">
        <w:rPr>
          <w:rFonts w:ascii="Book Antiqua" w:hAnsi="Book Antiqua"/>
          <w:sz w:val="24"/>
          <w:szCs w:val="24"/>
        </w:rPr>
        <w:t xml:space="preserve"> patients with dermatomyositis and polymositis at a French hospital over a 20 year period suggested that an extensive search for malignancy with CT scans of the chest, abdomen and pelvis increased the identification of malignancy, when compared to routine malignancy screening</w:t>
      </w:r>
      <w:r w:rsidR="00DE16F7" w:rsidRPr="00F14AE8">
        <w:rPr>
          <w:rFonts w:ascii="Book Antiqua" w:hAnsi="Book Antiqua"/>
          <w:sz w:val="24"/>
          <w:szCs w:val="24"/>
        </w:rPr>
        <w:t>. In contrast, smaller studies</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7-9]</w:t>
      </w:r>
      <w:r w:rsidRPr="00F14AE8">
        <w:rPr>
          <w:rFonts w:ascii="Book Antiqua" w:hAnsi="Book Antiqua"/>
          <w:sz w:val="24"/>
          <w:szCs w:val="24"/>
          <w:vertAlign w:val="superscript"/>
        </w:rPr>
        <w:t xml:space="preserve"> </w:t>
      </w:r>
      <w:r w:rsidRPr="00F14AE8">
        <w:rPr>
          <w:rFonts w:ascii="Book Antiqua" w:hAnsi="Book Antiqua"/>
          <w:sz w:val="24"/>
          <w:szCs w:val="24"/>
        </w:rPr>
        <w:t>have found a low prevalence of GI neoplasia. These studies found gastric cancer in less tha</w:t>
      </w:r>
      <w:r w:rsidR="00DE16F7" w:rsidRPr="00F14AE8">
        <w:rPr>
          <w:rFonts w:ascii="Book Antiqua" w:hAnsi="Book Antiqua"/>
          <w:sz w:val="24"/>
          <w:szCs w:val="24"/>
        </w:rPr>
        <w:t>n 3% of patients</w:t>
      </w:r>
      <w:r w:rsidR="001D2353" w:rsidRPr="00F14AE8">
        <w:rPr>
          <w:rFonts w:ascii="Book Antiqua" w:hAnsi="Book Antiqua"/>
          <w:sz w:val="24"/>
          <w:szCs w:val="24"/>
          <w:vertAlign w:val="superscript"/>
        </w:rPr>
        <w:t>[8,</w:t>
      </w:r>
      <w:r w:rsidR="00DE16F7" w:rsidRPr="00F14AE8">
        <w:rPr>
          <w:rFonts w:ascii="Book Antiqua" w:hAnsi="Book Antiqua"/>
          <w:sz w:val="24"/>
          <w:szCs w:val="24"/>
          <w:vertAlign w:val="superscript"/>
        </w:rPr>
        <w:t>9]</w:t>
      </w:r>
      <w:r w:rsidRPr="00F14AE8">
        <w:rPr>
          <w:rFonts w:ascii="Book Antiqua" w:hAnsi="Book Antiqua"/>
          <w:sz w:val="24"/>
          <w:szCs w:val="24"/>
        </w:rPr>
        <w:t xml:space="preserve"> and C</w:t>
      </w:r>
      <w:r w:rsidR="00DE16F7" w:rsidRPr="00F14AE8">
        <w:rPr>
          <w:rFonts w:ascii="Book Antiqua" w:hAnsi="Book Antiqua"/>
          <w:sz w:val="24"/>
          <w:szCs w:val="24"/>
        </w:rPr>
        <w:t>RC in less than 2% of patients</w:t>
      </w:r>
      <w:r w:rsidR="001D2353" w:rsidRPr="00F14AE8">
        <w:rPr>
          <w:rFonts w:ascii="Book Antiqua" w:hAnsi="Book Antiqua"/>
          <w:sz w:val="24"/>
          <w:szCs w:val="24"/>
          <w:vertAlign w:val="superscript"/>
        </w:rPr>
        <w:t>[7,</w:t>
      </w:r>
      <w:r w:rsidR="00DE16F7" w:rsidRPr="00F14AE8">
        <w:rPr>
          <w:rFonts w:ascii="Book Antiqua" w:hAnsi="Book Antiqua"/>
          <w:sz w:val="24"/>
          <w:szCs w:val="24"/>
          <w:vertAlign w:val="superscript"/>
        </w:rPr>
        <w:t>8]</w:t>
      </w:r>
      <w:r w:rsidRPr="00F14AE8">
        <w:rPr>
          <w:rFonts w:ascii="Book Antiqua" w:hAnsi="Book Antiqua"/>
          <w:sz w:val="24"/>
          <w:szCs w:val="24"/>
          <w:vertAlign w:val="superscript"/>
        </w:rPr>
        <w:t xml:space="preserve"> </w:t>
      </w:r>
      <w:r w:rsidRPr="00F14AE8">
        <w:rPr>
          <w:rFonts w:ascii="Book Antiqua" w:hAnsi="Book Antiqua"/>
          <w:sz w:val="24"/>
          <w:szCs w:val="24"/>
        </w:rPr>
        <w:t xml:space="preserve">with dermatomyositis. In our </w:t>
      </w:r>
      <w:r w:rsidR="009374AE" w:rsidRPr="00F14AE8">
        <w:rPr>
          <w:rFonts w:ascii="Book Antiqua" w:hAnsi="Book Antiqua"/>
          <w:sz w:val="24"/>
          <w:szCs w:val="24"/>
        </w:rPr>
        <w:t>study, we found no GI malignancies</w:t>
      </w:r>
      <w:r w:rsidRPr="00F14AE8">
        <w:rPr>
          <w:rFonts w:ascii="Book Antiqua" w:hAnsi="Book Antiqua"/>
          <w:sz w:val="24"/>
          <w:szCs w:val="24"/>
        </w:rPr>
        <w:t xml:space="preserve"> after an </w:t>
      </w:r>
      <w:r w:rsidR="003E04C6" w:rsidRPr="00F14AE8">
        <w:rPr>
          <w:rFonts w:ascii="Book Antiqua" w:hAnsi="Book Antiqua"/>
          <w:sz w:val="24"/>
          <w:szCs w:val="24"/>
        </w:rPr>
        <w:t xml:space="preserve">extensive endoscopic evaluation. </w:t>
      </w:r>
      <w:r w:rsidRPr="00F14AE8">
        <w:rPr>
          <w:rFonts w:ascii="Book Antiqua" w:hAnsi="Book Antiqua"/>
          <w:sz w:val="24"/>
          <w:szCs w:val="24"/>
        </w:rPr>
        <w:t>One potential explanation for these inconsistent findings could be the identification of dermatomyositis patients. Studies utilizing ICD code based searches</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3, 5]</w:t>
      </w:r>
      <w:r w:rsidRPr="00F14AE8">
        <w:rPr>
          <w:rFonts w:ascii="Book Antiqua" w:hAnsi="Book Antiqua"/>
          <w:sz w:val="24"/>
          <w:szCs w:val="24"/>
        </w:rPr>
        <w:t xml:space="preserve"> and</w:t>
      </w:r>
      <w:r w:rsidR="00DE16F7" w:rsidRPr="00F14AE8">
        <w:rPr>
          <w:rFonts w:ascii="Book Antiqua" w:hAnsi="Book Antiqua"/>
          <w:sz w:val="24"/>
          <w:szCs w:val="24"/>
        </w:rPr>
        <w:t xml:space="preserve"> key-word search criteria</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4]</w:t>
      </w:r>
      <w:r w:rsidRPr="00F14AE8">
        <w:rPr>
          <w:rFonts w:ascii="Book Antiqua" w:hAnsi="Book Antiqua"/>
          <w:sz w:val="24"/>
          <w:szCs w:val="24"/>
        </w:rPr>
        <w:t xml:space="preserve"> </w:t>
      </w:r>
      <w:r w:rsidR="007437F0" w:rsidRPr="00F14AE8">
        <w:rPr>
          <w:rFonts w:ascii="Book Antiqua" w:hAnsi="Book Antiqua"/>
          <w:sz w:val="24"/>
          <w:szCs w:val="24"/>
        </w:rPr>
        <w:t xml:space="preserve">for the diagnosis of dermatomyositis and GI malignancy </w:t>
      </w:r>
      <w:r w:rsidRPr="00F14AE8">
        <w:rPr>
          <w:rFonts w:ascii="Book Antiqua" w:hAnsi="Book Antiqua"/>
          <w:sz w:val="24"/>
          <w:szCs w:val="24"/>
        </w:rPr>
        <w:t>showed higher prevalence for GI malignancy compared to sma</w:t>
      </w:r>
      <w:r w:rsidR="00DE16F7" w:rsidRPr="00F14AE8">
        <w:rPr>
          <w:rFonts w:ascii="Book Antiqua" w:hAnsi="Book Antiqua"/>
          <w:sz w:val="24"/>
          <w:szCs w:val="24"/>
        </w:rPr>
        <w:t>ller studies</w:t>
      </w:r>
      <w:r w:rsidR="001D2353" w:rsidRPr="00F14AE8">
        <w:rPr>
          <w:rFonts w:ascii="Book Antiqua" w:hAnsi="Book Antiqua"/>
          <w:sz w:val="24"/>
          <w:szCs w:val="24"/>
          <w:vertAlign w:val="superscript"/>
        </w:rPr>
        <w:t>[</w:t>
      </w:r>
      <w:r w:rsidR="00DE16F7" w:rsidRPr="00F14AE8">
        <w:rPr>
          <w:rFonts w:ascii="Book Antiqua" w:hAnsi="Book Antiqua"/>
          <w:sz w:val="24"/>
          <w:szCs w:val="24"/>
          <w:vertAlign w:val="superscript"/>
        </w:rPr>
        <w:t>7-9]</w:t>
      </w:r>
      <w:r w:rsidRPr="00F14AE8">
        <w:rPr>
          <w:rFonts w:ascii="Book Antiqua" w:hAnsi="Book Antiqua"/>
          <w:sz w:val="24"/>
          <w:szCs w:val="24"/>
        </w:rPr>
        <w:t xml:space="preserve">, including ours, that utilized individual chart review to confirm the dermatomyositis diagnosis. In our </w:t>
      </w:r>
      <w:r w:rsidRPr="00F14AE8">
        <w:rPr>
          <w:rFonts w:ascii="Book Antiqua" w:hAnsi="Book Antiqua"/>
          <w:sz w:val="24"/>
          <w:szCs w:val="24"/>
        </w:rPr>
        <w:lastRenderedPageBreak/>
        <w:t xml:space="preserve">study, we found ICD coding based diagnosis of dermatomyositis was inaccurate in 46% of the patients; this calls into question the results of these prior studies and suggests that rigorous validation is necessary for any future population-based dermatomyositis studies. </w:t>
      </w:r>
    </w:p>
    <w:p w:rsidR="00961B6C" w:rsidRPr="00F14AE8" w:rsidRDefault="00961B6C" w:rsidP="00F14AE8">
      <w:pPr>
        <w:spacing w:after="0" w:line="360" w:lineRule="auto"/>
        <w:ind w:firstLineChars="100" w:firstLine="240"/>
        <w:jc w:val="both"/>
        <w:rPr>
          <w:rFonts w:ascii="Book Antiqua" w:hAnsi="Book Antiqua"/>
          <w:sz w:val="24"/>
          <w:szCs w:val="24"/>
        </w:rPr>
      </w:pPr>
      <w:r w:rsidRPr="00F14AE8">
        <w:rPr>
          <w:rFonts w:ascii="Book Antiqua" w:hAnsi="Book Antiqua"/>
          <w:sz w:val="24"/>
          <w:szCs w:val="24"/>
        </w:rPr>
        <w:t>Common factors for deciding to pursue endoscopic or cross-sectional imaging workup in the general population include advancing age and symptoms. In our study, there were no significant differences in the yield of endoscopy for pre-malignant conditions stratified by age and symp</w:t>
      </w:r>
      <w:r w:rsidR="005D438F" w:rsidRPr="00F14AE8">
        <w:rPr>
          <w:rFonts w:ascii="Book Antiqua" w:hAnsi="Book Antiqua"/>
          <w:sz w:val="24"/>
          <w:szCs w:val="24"/>
        </w:rPr>
        <w:t xml:space="preserve">toms. In the French cohort of </w:t>
      </w:r>
      <w:r w:rsidR="00E16060" w:rsidRPr="00F14AE8">
        <w:rPr>
          <w:rFonts w:ascii="Book Antiqua" w:hAnsi="Book Antiqua"/>
          <w:sz w:val="24"/>
          <w:szCs w:val="24"/>
        </w:rPr>
        <w:t>40</w:t>
      </w:r>
      <w:r w:rsidR="005D438F" w:rsidRPr="00F14AE8">
        <w:rPr>
          <w:rFonts w:ascii="Book Antiqua" w:hAnsi="Book Antiqua"/>
          <w:sz w:val="24"/>
          <w:szCs w:val="24"/>
        </w:rPr>
        <w:t xml:space="preserve"> dermatomyositis</w:t>
      </w:r>
      <w:r w:rsidR="00E16060" w:rsidRPr="00F14AE8">
        <w:rPr>
          <w:rFonts w:ascii="Book Antiqua" w:hAnsi="Book Antiqua"/>
          <w:sz w:val="24"/>
          <w:szCs w:val="24"/>
        </w:rPr>
        <w:t xml:space="preserve"> and polymositis</w:t>
      </w:r>
      <w:r w:rsidRPr="00F14AE8">
        <w:rPr>
          <w:rFonts w:ascii="Book Antiqua" w:hAnsi="Book Antiqua"/>
          <w:sz w:val="24"/>
          <w:szCs w:val="24"/>
        </w:rPr>
        <w:t xml:space="preserve"> patients</w:t>
      </w:r>
      <w:r w:rsidR="005D438F" w:rsidRPr="00F14AE8">
        <w:rPr>
          <w:rFonts w:ascii="Book Antiqua" w:hAnsi="Book Antiqua"/>
          <w:sz w:val="24"/>
          <w:szCs w:val="24"/>
        </w:rPr>
        <w:t>,</w:t>
      </w:r>
      <w:r w:rsidR="00E16060" w:rsidRPr="00F14AE8">
        <w:rPr>
          <w:rFonts w:ascii="Book Antiqua" w:hAnsi="Book Antiqua"/>
          <w:sz w:val="24"/>
          <w:szCs w:val="24"/>
        </w:rPr>
        <w:t xml:space="preserve"> six</w:t>
      </w:r>
      <w:r w:rsidR="005D438F" w:rsidRPr="00F14AE8">
        <w:rPr>
          <w:rFonts w:ascii="Book Antiqua" w:hAnsi="Book Antiqua"/>
          <w:sz w:val="24"/>
          <w:szCs w:val="24"/>
        </w:rPr>
        <w:t xml:space="preserve"> patients</w:t>
      </w:r>
      <w:r w:rsidR="00E16060" w:rsidRPr="00F14AE8">
        <w:rPr>
          <w:rFonts w:ascii="Book Antiqua" w:hAnsi="Book Antiqua"/>
          <w:sz w:val="24"/>
          <w:szCs w:val="24"/>
        </w:rPr>
        <w:t xml:space="preserve"> (15%)</w:t>
      </w:r>
      <w:r w:rsidRPr="00F14AE8">
        <w:rPr>
          <w:rFonts w:ascii="Book Antiqua" w:hAnsi="Book Antiqua"/>
          <w:sz w:val="24"/>
          <w:szCs w:val="24"/>
        </w:rPr>
        <w:t xml:space="preserve"> were diagnosed with a GI malignancy by endoscopy following an abnormal CT scan. The results of our study are inconsistent with this study, though only two patients in our study had an abnormal CT prior to endoscopy. The presence of concerning clinical symptoms </w:t>
      </w:r>
      <w:r w:rsidR="00E16060" w:rsidRPr="00F14AE8">
        <w:rPr>
          <w:rFonts w:ascii="Book Antiqua" w:hAnsi="Book Antiqua"/>
          <w:sz w:val="24"/>
          <w:szCs w:val="24"/>
        </w:rPr>
        <w:t>(</w:t>
      </w:r>
      <w:r w:rsidR="00E16060" w:rsidRPr="00F14AE8">
        <w:rPr>
          <w:rFonts w:ascii="Book Antiqua" w:hAnsi="Book Antiqua"/>
          <w:i/>
          <w:sz w:val="24"/>
          <w:szCs w:val="24"/>
        </w:rPr>
        <w:t>i</w:t>
      </w:r>
      <w:r w:rsidR="001D2353" w:rsidRPr="00F14AE8">
        <w:rPr>
          <w:rFonts w:ascii="Book Antiqua" w:hAnsi="Book Antiqua"/>
          <w:i/>
          <w:sz w:val="24"/>
          <w:szCs w:val="24"/>
          <w:lang w:eastAsia="zh-CN"/>
        </w:rPr>
        <w:t>.</w:t>
      </w:r>
      <w:r w:rsidR="00E16060" w:rsidRPr="00F14AE8">
        <w:rPr>
          <w:rFonts w:ascii="Book Antiqua" w:hAnsi="Book Antiqua"/>
          <w:i/>
          <w:sz w:val="24"/>
          <w:szCs w:val="24"/>
        </w:rPr>
        <w:t>e</w:t>
      </w:r>
      <w:r w:rsidR="001D2353" w:rsidRPr="00F14AE8">
        <w:rPr>
          <w:rFonts w:ascii="Book Antiqua" w:hAnsi="Book Antiqua"/>
          <w:i/>
          <w:sz w:val="24"/>
          <w:szCs w:val="24"/>
          <w:lang w:eastAsia="zh-CN"/>
        </w:rPr>
        <w:t>.,</w:t>
      </w:r>
      <w:r w:rsidR="00E16060" w:rsidRPr="00F14AE8">
        <w:rPr>
          <w:rFonts w:ascii="Book Antiqua" w:hAnsi="Book Antiqua"/>
          <w:i/>
          <w:sz w:val="24"/>
          <w:szCs w:val="24"/>
        </w:rPr>
        <w:t xml:space="preserve"> </w:t>
      </w:r>
      <w:r w:rsidR="00E16060" w:rsidRPr="00F14AE8">
        <w:rPr>
          <w:rFonts w:ascii="Book Antiqua" w:hAnsi="Book Antiqua"/>
          <w:sz w:val="24"/>
          <w:szCs w:val="24"/>
        </w:rPr>
        <w:t xml:space="preserve">constitutional symptoms, anemia, </w:t>
      </w:r>
      <w:r w:rsidR="00E16060" w:rsidRPr="003530DE">
        <w:rPr>
          <w:rFonts w:ascii="Book Antiqua" w:hAnsi="Book Antiqua"/>
          <w:i/>
          <w:sz w:val="24"/>
          <w:szCs w:val="24"/>
        </w:rPr>
        <w:t>etc</w:t>
      </w:r>
      <w:r w:rsidR="00E16060" w:rsidRPr="00F14AE8">
        <w:rPr>
          <w:rFonts w:ascii="Book Antiqua" w:hAnsi="Book Antiqua"/>
          <w:sz w:val="24"/>
          <w:szCs w:val="24"/>
        </w:rPr>
        <w:t xml:space="preserve">) </w:t>
      </w:r>
      <w:r w:rsidRPr="00F14AE8">
        <w:rPr>
          <w:rFonts w:ascii="Book Antiqua" w:hAnsi="Book Antiqua"/>
          <w:sz w:val="24"/>
          <w:szCs w:val="24"/>
        </w:rPr>
        <w:t>prompting further evaluation with CT scans in all 40 patients, likely accounts for the difference in results when compared to our study, which largely included asymptomatic patients undergoing screening endoscopy. Thus, we conclude red-flag symptoms in dermatomyositis patients, as in any patient, should prompt investigation for an underlying cause, but endoscopy is probably of similar yield in dermatomyositis patients as in age-matched patients without dermatomyositis.</w:t>
      </w:r>
      <w:r w:rsidR="003A4100" w:rsidRPr="00F14AE8">
        <w:rPr>
          <w:rFonts w:ascii="Book Antiqua" w:hAnsi="Book Antiqua"/>
          <w:sz w:val="24"/>
          <w:szCs w:val="24"/>
        </w:rPr>
        <w:t xml:space="preserve"> Unfortunately, given the retrospective nature of the study we were unable to control for all potential confounders including the presence of Epstein-Barr virus which in a prior study was shown to be associated with gastric cancer risk</w:t>
      </w:r>
      <w:r w:rsidR="001D2353" w:rsidRPr="00F14AE8">
        <w:rPr>
          <w:rFonts w:ascii="Book Antiqua" w:hAnsi="Book Antiqua"/>
          <w:sz w:val="24"/>
          <w:szCs w:val="24"/>
          <w:vertAlign w:val="superscript"/>
        </w:rPr>
        <w:t>[</w:t>
      </w:r>
      <w:r w:rsidR="003A4100" w:rsidRPr="00F14AE8">
        <w:rPr>
          <w:rFonts w:ascii="Book Antiqua" w:hAnsi="Book Antiqua"/>
          <w:sz w:val="24"/>
          <w:szCs w:val="24"/>
          <w:vertAlign w:val="superscript"/>
        </w:rPr>
        <w:t xml:space="preserve">12] </w:t>
      </w:r>
      <w:r w:rsidR="003A4100" w:rsidRPr="00F14AE8">
        <w:rPr>
          <w:rFonts w:ascii="Book Antiqua" w:hAnsi="Book Antiqua"/>
          <w:sz w:val="24"/>
          <w:szCs w:val="24"/>
        </w:rPr>
        <w:t>.</w:t>
      </w:r>
    </w:p>
    <w:p w:rsidR="002D54B9" w:rsidRPr="00F14AE8" w:rsidRDefault="00AA7F4F" w:rsidP="00F14AE8">
      <w:pPr>
        <w:spacing w:after="0" w:line="360" w:lineRule="auto"/>
        <w:ind w:firstLineChars="100" w:firstLine="240"/>
        <w:jc w:val="both"/>
        <w:rPr>
          <w:rFonts w:ascii="Book Antiqua" w:hAnsi="Book Antiqua"/>
          <w:sz w:val="24"/>
          <w:szCs w:val="24"/>
        </w:rPr>
      </w:pPr>
      <w:r w:rsidRPr="00F14AE8">
        <w:rPr>
          <w:rFonts w:ascii="Book Antiqua" w:hAnsi="Book Antiqua"/>
          <w:sz w:val="24"/>
          <w:szCs w:val="24"/>
        </w:rPr>
        <w:t>Our study had many strengths</w:t>
      </w:r>
      <w:r w:rsidR="00EB0CF5" w:rsidRPr="00F14AE8">
        <w:rPr>
          <w:rFonts w:ascii="Book Antiqua" w:hAnsi="Book Antiqua"/>
          <w:sz w:val="24"/>
          <w:szCs w:val="24"/>
        </w:rPr>
        <w:t xml:space="preserve">. </w:t>
      </w:r>
      <w:r w:rsidR="00237FC9" w:rsidRPr="00F14AE8">
        <w:rPr>
          <w:rFonts w:ascii="Book Antiqua" w:hAnsi="Book Antiqua"/>
          <w:sz w:val="24"/>
          <w:szCs w:val="24"/>
        </w:rPr>
        <w:t>Because the data were generated from routine clinical</w:t>
      </w:r>
      <w:r w:rsidR="0048194F" w:rsidRPr="00F14AE8">
        <w:rPr>
          <w:rFonts w:ascii="Book Antiqua" w:hAnsi="Book Antiqua"/>
          <w:sz w:val="24"/>
          <w:szCs w:val="24"/>
        </w:rPr>
        <w:t xml:space="preserve"> </w:t>
      </w:r>
      <w:r w:rsidR="005B7E76" w:rsidRPr="00F14AE8">
        <w:rPr>
          <w:rFonts w:ascii="Book Antiqua" w:hAnsi="Book Antiqua"/>
          <w:sz w:val="24"/>
          <w:szCs w:val="24"/>
        </w:rPr>
        <w:t>care</w:t>
      </w:r>
      <w:r w:rsidR="00237FC9" w:rsidRPr="00F14AE8">
        <w:rPr>
          <w:rFonts w:ascii="Book Antiqua" w:hAnsi="Book Antiqua"/>
          <w:sz w:val="24"/>
          <w:szCs w:val="24"/>
        </w:rPr>
        <w:t>, the fin</w:t>
      </w:r>
      <w:r w:rsidR="00D338F2" w:rsidRPr="00F14AE8">
        <w:rPr>
          <w:rFonts w:ascii="Book Antiqua" w:hAnsi="Book Antiqua"/>
          <w:sz w:val="24"/>
          <w:szCs w:val="24"/>
        </w:rPr>
        <w:t>dings are likely to be accurate and generalizable</w:t>
      </w:r>
      <w:r w:rsidR="00237FC9" w:rsidRPr="00F14AE8">
        <w:rPr>
          <w:rFonts w:ascii="Book Antiqua" w:hAnsi="Book Antiqua"/>
          <w:sz w:val="24"/>
          <w:szCs w:val="24"/>
        </w:rPr>
        <w:t xml:space="preserve"> to other clinical centers caring for patients with dermatomyositis</w:t>
      </w:r>
      <w:r w:rsidRPr="00F14AE8">
        <w:rPr>
          <w:rFonts w:ascii="Book Antiqua" w:hAnsi="Book Antiqua"/>
          <w:sz w:val="24"/>
          <w:szCs w:val="24"/>
        </w:rPr>
        <w:t xml:space="preserve">. </w:t>
      </w:r>
      <w:r w:rsidR="00F37465" w:rsidRPr="00F14AE8">
        <w:rPr>
          <w:rFonts w:ascii="Book Antiqua" w:hAnsi="Book Antiqua"/>
          <w:sz w:val="24"/>
          <w:szCs w:val="24"/>
        </w:rPr>
        <w:t>A particular strength of our data is that individual chart review was conducted</w:t>
      </w:r>
      <w:r w:rsidR="00B0475D" w:rsidRPr="00F14AE8">
        <w:rPr>
          <w:rFonts w:ascii="Book Antiqua" w:hAnsi="Book Antiqua"/>
          <w:sz w:val="24"/>
          <w:szCs w:val="24"/>
        </w:rPr>
        <w:t xml:space="preserve"> to verify the diagnosis of dermatomyositis</w:t>
      </w:r>
      <w:r w:rsidR="00F37465" w:rsidRPr="00F14AE8">
        <w:rPr>
          <w:rFonts w:ascii="Book Antiqua" w:hAnsi="Book Antiqua"/>
          <w:sz w:val="24"/>
          <w:szCs w:val="24"/>
        </w:rPr>
        <w:t xml:space="preserve"> as well as the findings on endoscopy and pathologic diagnoses. </w:t>
      </w:r>
      <w:r w:rsidR="009C21DF" w:rsidRPr="00F14AE8">
        <w:rPr>
          <w:rFonts w:ascii="Book Antiqua" w:hAnsi="Book Antiqua"/>
          <w:sz w:val="24"/>
          <w:szCs w:val="24"/>
        </w:rPr>
        <w:t>T</w:t>
      </w:r>
      <w:r w:rsidR="00F37465" w:rsidRPr="00F14AE8">
        <w:rPr>
          <w:rFonts w:ascii="Book Antiqua" w:hAnsi="Book Antiqua"/>
          <w:sz w:val="24"/>
          <w:szCs w:val="24"/>
        </w:rPr>
        <w:t xml:space="preserve">o our knowledge this is the largest sample size of </w:t>
      </w:r>
      <w:r w:rsidR="00B0475D" w:rsidRPr="00F14AE8">
        <w:rPr>
          <w:rFonts w:ascii="Book Antiqua" w:hAnsi="Book Antiqua"/>
          <w:sz w:val="24"/>
          <w:szCs w:val="24"/>
        </w:rPr>
        <w:t>dermatomyositis</w:t>
      </w:r>
      <w:r w:rsidR="00F37465" w:rsidRPr="00F14AE8">
        <w:rPr>
          <w:rFonts w:ascii="Book Antiqua" w:hAnsi="Book Antiqua"/>
          <w:sz w:val="24"/>
          <w:szCs w:val="24"/>
        </w:rPr>
        <w:t xml:space="preserve"> patients in a study utilizing chart review and therefore is a valuable addition to the literature.</w:t>
      </w:r>
      <w:r w:rsidR="002D54B9" w:rsidRPr="00F14AE8">
        <w:rPr>
          <w:rFonts w:ascii="Book Antiqua" w:hAnsi="Book Antiqua"/>
          <w:sz w:val="24"/>
          <w:szCs w:val="24"/>
        </w:rPr>
        <w:t xml:space="preserve"> As this is the only study examining the </w:t>
      </w:r>
      <w:r w:rsidR="002D54B9" w:rsidRPr="00F14AE8">
        <w:rPr>
          <w:rFonts w:ascii="Book Antiqua" w:hAnsi="Book Antiqua"/>
          <w:sz w:val="24"/>
          <w:szCs w:val="24"/>
        </w:rPr>
        <w:lastRenderedPageBreak/>
        <w:t>yield of endoscopy in both symptomatic and asymptomatic dermatomyositis</w:t>
      </w:r>
      <w:r w:rsidR="006A1231" w:rsidRPr="00F14AE8">
        <w:rPr>
          <w:rFonts w:ascii="Book Antiqua" w:hAnsi="Book Antiqua"/>
          <w:sz w:val="24"/>
          <w:szCs w:val="24"/>
        </w:rPr>
        <w:t xml:space="preserve"> patients</w:t>
      </w:r>
      <w:r w:rsidR="002D54B9" w:rsidRPr="00F14AE8">
        <w:rPr>
          <w:rFonts w:ascii="Book Antiqua" w:hAnsi="Book Antiqua"/>
          <w:sz w:val="24"/>
          <w:szCs w:val="24"/>
        </w:rPr>
        <w:t xml:space="preserve">, the results are likely to help inform decisions in </w:t>
      </w:r>
      <w:r w:rsidR="003E04C6" w:rsidRPr="00F14AE8">
        <w:rPr>
          <w:rFonts w:ascii="Book Antiqua" w:hAnsi="Book Antiqua"/>
          <w:sz w:val="24"/>
          <w:szCs w:val="24"/>
        </w:rPr>
        <w:t xml:space="preserve">the </w:t>
      </w:r>
      <w:r w:rsidR="002D54B9" w:rsidRPr="00F14AE8">
        <w:rPr>
          <w:rFonts w:ascii="Book Antiqua" w:hAnsi="Book Antiqua"/>
          <w:sz w:val="24"/>
          <w:szCs w:val="24"/>
        </w:rPr>
        <w:t>routine clinical c</w:t>
      </w:r>
      <w:r w:rsidR="00325E53" w:rsidRPr="00F14AE8">
        <w:rPr>
          <w:rFonts w:ascii="Book Antiqua" w:hAnsi="Book Antiqua"/>
          <w:sz w:val="24"/>
          <w:szCs w:val="24"/>
        </w:rPr>
        <w:t>are of patients.</w:t>
      </w:r>
    </w:p>
    <w:p w:rsidR="00F37465" w:rsidRPr="00F14AE8" w:rsidRDefault="00F37465" w:rsidP="003530DE">
      <w:pPr>
        <w:spacing w:after="0" w:line="360" w:lineRule="auto"/>
        <w:ind w:firstLineChars="100" w:firstLine="240"/>
        <w:jc w:val="both"/>
        <w:rPr>
          <w:rFonts w:ascii="Book Antiqua" w:hAnsi="Book Antiqua"/>
          <w:sz w:val="24"/>
          <w:szCs w:val="24"/>
        </w:rPr>
      </w:pPr>
      <w:r w:rsidRPr="00F14AE8">
        <w:rPr>
          <w:rFonts w:ascii="Book Antiqua" w:hAnsi="Book Antiqua"/>
          <w:sz w:val="24"/>
          <w:szCs w:val="24"/>
        </w:rPr>
        <w:t>There were several limitations to ou</w:t>
      </w:r>
      <w:r w:rsidR="00B0475D" w:rsidRPr="00F14AE8">
        <w:rPr>
          <w:rFonts w:ascii="Book Antiqua" w:hAnsi="Book Antiqua"/>
          <w:sz w:val="24"/>
          <w:szCs w:val="24"/>
        </w:rPr>
        <w:t xml:space="preserve">r study. Because the study was conducted </w:t>
      </w:r>
      <w:r w:rsidRPr="00F14AE8">
        <w:rPr>
          <w:rFonts w:ascii="Book Antiqua" w:hAnsi="Book Antiqua"/>
          <w:sz w:val="24"/>
          <w:szCs w:val="24"/>
        </w:rPr>
        <w:t>in</w:t>
      </w:r>
      <w:r w:rsidR="00C425D7" w:rsidRPr="00F14AE8">
        <w:rPr>
          <w:rFonts w:ascii="Book Antiqua" w:hAnsi="Book Antiqua"/>
          <w:sz w:val="24"/>
          <w:szCs w:val="24"/>
        </w:rPr>
        <w:t xml:space="preserve"> a single tertiary care center, </w:t>
      </w:r>
      <w:r w:rsidRPr="00F14AE8">
        <w:rPr>
          <w:rFonts w:ascii="Book Antiqua" w:hAnsi="Book Antiqua"/>
          <w:sz w:val="24"/>
          <w:szCs w:val="24"/>
        </w:rPr>
        <w:t xml:space="preserve">there was loss to follow-up and it is possible that, despite reviewing the </w:t>
      </w:r>
      <w:r w:rsidR="00A52D0A" w:rsidRPr="00F14AE8">
        <w:rPr>
          <w:rFonts w:ascii="Book Antiqua" w:hAnsi="Book Antiqua"/>
          <w:sz w:val="24"/>
          <w:szCs w:val="24"/>
        </w:rPr>
        <w:t>electronic medical record</w:t>
      </w:r>
      <w:r w:rsidRPr="00F14AE8">
        <w:rPr>
          <w:rFonts w:ascii="Book Antiqua" w:hAnsi="Book Antiqua"/>
          <w:sz w:val="24"/>
          <w:szCs w:val="24"/>
        </w:rPr>
        <w:t xml:space="preserve"> including uploaded records from care received outside of UCSF, endoscopies performed elsewhere were not</w:t>
      </w:r>
      <w:r w:rsidR="00652A39" w:rsidRPr="00F14AE8">
        <w:rPr>
          <w:rFonts w:ascii="Book Antiqua" w:hAnsi="Book Antiqua"/>
          <w:sz w:val="24"/>
          <w:szCs w:val="24"/>
        </w:rPr>
        <w:t xml:space="preserve"> captured</w:t>
      </w:r>
      <w:r w:rsidRPr="00F14AE8">
        <w:rPr>
          <w:rFonts w:ascii="Book Antiqua" w:hAnsi="Book Antiqua"/>
          <w:sz w:val="24"/>
          <w:szCs w:val="24"/>
        </w:rPr>
        <w:t xml:space="preserve"> and</w:t>
      </w:r>
      <w:r w:rsidR="00FD4E03" w:rsidRPr="00F14AE8">
        <w:rPr>
          <w:rFonts w:ascii="Book Antiqua" w:hAnsi="Book Antiqua"/>
          <w:sz w:val="24"/>
          <w:szCs w:val="24"/>
        </w:rPr>
        <w:t xml:space="preserve"> as a result</w:t>
      </w:r>
      <w:r w:rsidRPr="00F14AE8">
        <w:rPr>
          <w:rFonts w:ascii="Book Antiqua" w:hAnsi="Book Antiqua"/>
          <w:sz w:val="24"/>
          <w:szCs w:val="24"/>
        </w:rPr>
        <w:t xml:space="preserve"> cases of cancer were missed.</w:t>
      </w:r>
      <w:r w:rsidR="0055229C" w:rsidRPr="00F14AE8">
        <w:rPr>
          <w:rFonts w:ascii="Book Antiqua" w:hAnsi="Book Antiqua"/>
          <w:sz w:val="24"/>
          <w:szCs w:val="24"/>
        </w:rPr>
        <w:t xml:space="preserve"> Furthermore, the age of patients in our study was relatively young which may have reduced the likelihood of identifying malignancy, as older age has been shown to be a risk factor for neoplasia in this patient population</w:t>
      </w:r>
      <w:r w:rsidR="001D2353" w:rsidRPr="00F14AE8">
        <w:rPr>
          <w:rFonts w:ascii="Book Antiqua" w:hAnsi="Book Antiqua"/>
          <w:sz w:val="24"/>
          <w:szCs w:val="24"/>
          <w:vertAlign w:val="superscript"/>
        </w:rPr>
        <w:t>[</w:t>
      </w:r>
      <w:r w:rsidR="0055229C" w:rsidRPr="00F14AE8">
        <w:rPr>
          <w:rFonts w:ascii="Book Antiqua" w:hAnsi="Book Antiqua"/>
          <w:sz w:val="24"/>
          <w:szCs w:val="24"/>
          <w:vertAlign w:val="superscript"/>
        </w:rPr>
        <w:t>13]</w:t>
      </w:r>
      <w:r w:rsidR="0055229C" w:rsidRPr="00F14AE8">
        <w:rPr>
          <w:rFonts w:ascii="Book Antiqua" w:hAnsi="Book Antiqua"/>
          <w:sz w:val="24"/>
          <w:szCs w:val="24"/>
        </w:rPr>
        <w:t>. However, this supports our finding that the risk of neoplasia is likely similar to the general, age-matched population and screening outside of the guideline recommendations may not be needed</w:t>
      </w:r>
      <w:r w:rsidR="00BC5701" w:rsidRPr="00F14AE8">
        <w:rPr>
          <w:rFonts w:ascii="Book Antiqua" w:hAnsi="Book Antiqua"/>
          <w:sz w:val="24"/>
          <w:szCs w:val="24"/>
        </w:rPr>
        <w:t xml:space="preserve"> where an adenoma detection rate of 20</w:t>
      </w:r>
      <w:r w:rsidR="003530DE">
        <w:rPr>
          <w:rFonts w:ascii="Book Antiqua" w:hAnsi="Book Antiqua" w:hint="eastAsia"/>
          <w:sz w:val="24"/>
          <w:szCs w:val="24"/>
          <w:lang w:eastAsia="zh-CN"/>
        </w:rPr>
        <w:t>%</w:t>
      </w:r>
      <w:r w:rsidR="00BC5701" w:rsidRPr="00F14AE8">
        <w:rPr>
          <w:rFonts w:ascii="Book Antiqua" w:hAnsi="Book Antiqua"/>
          <w:sz w:val="24"/>
          <w:szCs w:val="24"/>
        </w:rPr>
        <w:t>-30% is expected in the United States</w:t>
      </w:r>
      <w:r w:rsidR="0055229C" w:rsidRPr="00F14AE8">
        <w:rPr>
          <w:rFonts w:ascii="Book Antiqua" w:hAnsi="Book Antiqua"/>
          <w:sz w:val="24"/>
          <w:szCs w:val="24"/>
        </w:rPr>
        <w:t>.</w:t>
      </w:r>
      <w:r w:rsidR="003530DE">
        <w:rPr>
          <w:rFonts w:ascii="Book Antiqua" w:hAnsi="Book Antiqua" w:hint="eastAsia"/>
          <w:sz w:val="24"/>
          <w:szCs w:val="24"/>
          <w:lang w:eastAsia="zh-CN"/>
        </w:rPr>
        <w:t xml:space="preserve"> </w:t>
      </w:r>
      <w:r w:rsidR="00C425D7" w:rsidRPr="00F14AE8">
        <w:rPr>
          <w:rFonts w:ascii="Book Antiqua" w:hAnsi="Book Antiqua"/>
          <w:sz w:val="24"/>
          <w:szCs w:val="24"/>
        </w:rPr>
        <w:t>Additionally, a large number of patients with dermatomyositis did not undergo endoscopy so cases of cancer could have been missed.</w:t>
      </w:r>
      <w:r w:rsidRPr="00F14AE8">
        <w:rPr>
          <w:rFonts w:ascii="Book Antiqua" w:hAnsi="Book Antiqua"/>
          <w:sz w:val="24"/>
          <w:szCs w:val="24"/>
        </w:rPr>
        <w:t xml:space="preserve"> However, </w:t>
      </w:r>
      <w:r w:rsidR="00E7494D" w:rsidRPr="00F14AE8">
        <w:rPr>
          <w:rFonts w:ascii="Book Antiqua" w:hAnsi="Book Antiqua"/>
          <w:sz w:val="24"/>
          <w:szCs w:val="24"/>
        </w:rPr>
        <w:t>this was</w:t>
      </w:r>
      <w:r w:rsidR="00325E53" w:rsidRPr="00F14AE8">
        <w:rPr>
          <w:rFonts w:ascii="Book Antiqua" w:hAnsi="Book Antiqua"/>
          <w:sz w:val="24"/>
          <w:szCs w:val="24"/>
        </w:rPr>
        <w:t xml:space="preserve"> mitigated by the fact that the</w:t>
      </w:r>
      <w:r w:rsidRPr="00F14AE8">
        <w:rPr>
          <w:rFonts w:ascii="Book Antiqua" w:hAnsi="Book Antiqua"/>
          <w:sz w:val="24"/>
          <w:szCs w:val="24"/>
        </w:rPr>
        <w:t xml:space="preserve"> entire </w:t>
      </w:r>
      <w:r w:rsidR="00541B03" w:rsidRPr="00F14AE8">
        <w:rPr>
          <w:rFonts w:ascii="Book Antiqua" w:hAnsi="Book Antiqua"/>
          <w:sz w:val="24"/>
          <w:szCs w:val="24"/>
        </w:rPr>
        <w:t>medical record</w:t>
      </w:r>
      <w:r w:rsidR="00713925" w:rsidRPr="00F14AE8">
        <w:rPr>
          <w:rFonts w:ascii="Book Antiqua" w:hAnsi="Book Antiqua"/>
          <w:sz w:val="24"/>
          <w:szCs w:val="24"/>
        </w:rPr>
        <w:t xml:space="preserve"> was reviewed, since </w:t>
      </w:r>
      <w:r w:rsidR="00357904" w:rsidRPr="00F14AE8">
        <w:rPr>
          <w:rFonts w:ascii="Book Antiqua" w:hAnsi="Book Antiqua"/>
          <w:sz w:val="24"/>
          <w:szCs w:val="24"/>
        </w:rPr>
        <w:t>a cancer diagnosis</w:t>
      </w:r>
      <w:r w:rsidRPr="00F14AE8">
        <w:rPr>
          <w:rFonts w:ascii="Book Antiqua" w:hAnsi="Book Antiqua"/>
          <w:sz w:val="24"/>
          <w:szCs w:val="24"/>
        </w:rPr>
        <w:t xml:space="preserve"> </w:t>
      </w:r>
      <w:r w:rsidR="00713925" w:rsidRPr="00F14AE8">
        <w:rPr>
          <w:rFonts w:ascii="Book Antiqua" w:hAnsi="Book Antiqua"/>
          <w:sz w:val="24"/>
          <w:szCs w:val="24"/>
        </w:rPr>
        <w:t xml:space="preserve">likely </w:t>
      </w:r>
      <w:r w:rsidRPr="00F14AE8">
        <w:rPr>
          <w:rFonts w:ascii="Book Antiqua" w:hAnsi="Book Antiqua"/>
          <w:sz w:val="24"/>
          <w:szCs w:val="24"/>
        </w:rPr>
        <w:t>would have been mentioned in clinic notes</w:t>
      </w:r>
      <w:r w:rsidR="00495BA4" w:rsidRPr="00F14AE8">
        <w:rPr>
          <w:rFonts w:ascii="Book Antiqua" w:hAnsi="Book Antiqua"/>
          <w:sz w:val="24"/>
          <w:szCs w:val="24"/>
        </w:rPr>
        <w:t xml:space="preserve"> or within the </w:t>
      </w:r>
      <w:r w:rsidR="00A67190" w:rsidRPr="00F14AE8">
        <w:rPr>
          <w:rFonts w:ascii="Book Antiqua" w:hAnsi="Book Antiqua"/>
          <w:sz w:val="24"/>
          <w:szCs w:val="24"/>
        </w:rPr>
        <w:t>problem lists</w:t>
      </w:r>
      <w:r w:rsidRPr="00F14AE8">
        <w:rPr>
          <w:rFonts w:ascii="Book Antiqua" w:hAnsi="Book Antiqua"/>
          <w:sz w:val="24"/>
          <w:szCs w:val="24"/>
        </w:rPr>
        <w:t>.</w:t>
      </w:r>
      <w:r w:rsidR="00536F1F" w:rsidRPr="00F14AE8">
        <w:rPr>
          <w:rFonts w:ascii="Book Antiqua" w:hAnsi="Book Antiqua"/>
          <w:sz w:val="24"/>
          <w:szCs w:val="24"/>
        </w:rPr>
        <w:t xml:space="preserve"> Furthermore, because there is wide variation in practice it is possible that patients who underwent endoscopy may have been perceived by their physicians to be at higher risk for malignancy but this would have biased our study towards an overestimate of the prevalence of malignancy</w:t>
      </w:r>
      <w:r w:rsidR="002F39FF" w:rsidRPr="00F14AE8">
        <w:rPr>
          <w:rFonts w:ascii="Book Antiqua" w:hAnsi="Book Antiqua"/>
          <w:sz w:val="24"/>
          <w:szCs w:val="24"/>
        </w:rPr>
        <w:t>, which is less of a concern given the negative findings of our study</w:t>
      </w:r>
      <w:r w:rsidR="00536F1F" w:rsidRPr="00F14AE8">
        <w:rPr>
          <w:rFonts w:ascii="Book Antiqua" w:hAnsi="Book Antiqua"/>
          <w:sz w:val="24"/>
          <w:szCs w:val="24"/>
        </w:rPr>
        <w:t>.</w:t>
      </w:r>
      <w:r w:rsidRPr="00F14AE8">
        <w:rPr>
          <w:rFonts w:ascii="Book Antiqua" w:hAnsi="Book Antiqua"/>
          <w:sz w:val="24"/>
          <w:szCs w:val="24"/>
        </w:rPr>
        <w:t xml:space="preserve"> While this was the largest study of its kind, the power to identify differences in endoscopy yield stratified by age was low. For example, to detect a 5% difference in the prevalence of colonic adenomas assuming a prevalence 25% would require over 1000 patients 5</w:t>
      </w:r>
      <w:r w:rsidR="001D2353" w:rsidRPr="00F14AE8">
        <w:rPr>
          <w:rFonts w:ascii="Book Antiqua" w:hAnsi="Book Antiqua"/>
          <w:sz w:val="24"/>
          <w:szCs w:val="24"/>
        </w:rPr>
        <w:t>0 years and older and another 1</w:t>
      </w:r>
      <w:r w:rsidRPr="00F14AE8">
        <w:rPr>
          <w:rFonts w:ascii="Book Antiqua" w:hAnsi="Book Antiqua"/>
          <w:sz w:val="24"/>
          <w:szCs w:val="24"/>
        </w:rPr>
        <w:t xml:space="preserve">000 patients younger than 50. Given </w:t>
      </w:r>
      <w:r w:rsidR="00B0475D" w:rsidRPr="00F14AE8">
        <w:rPr>
          <w:rFonts w:ascii="Book Antiqua" w:hAnsi="Book Antiqua"/>
          <w:sz w:val="24"/>
          <w:szCs w:val="24"/>
        </w:rPr>
        <w:t>dermatomyositis</w:t>
      </w:r>
      <w:r w:rsidRPr="00F14AE8">
        <w:rPr>
          <w:rFonts w:ascii="Book Antiqua" w:hAnsi="Book Antiqua"/>
          <w:sz w:val="24"/>
          <w:szCs w:val="24"/>
        </w:rPr>
        <w:t xml:space="preserve"> is a rare disease</w:t>
      </w:r>
      <w:r w:rsidR="00DA40B5" w:rsidRPr="00F14AE8">
        <w:rPr>
          <w:rFonts w:ascii="Book Antiqua" w:hAnsi="Book Antiqua"/>
          <w:sz w:val="24"/>
          <w:szCs w:val="24"/>
        </w:rPr>
        <w:t>, an adequately powered study wa</w:t>
      </w:r>
      <w:r w:rsidRPr="00F14AE8">
        <w:rPr>
          <w:rFonts w:ascii="Book Antiqua" w:hAnsi="Book Antiqua"/>
          <w:sz w:val="24"/>
          <w:szCs w:val="24"/>
        </w:rPr>
        <w:t xml:space="preserve">s not feasible. </w:t>
      </w:r>
      <w:r w:rsidR="002E7E67" w:rsidRPr="00F14AE8">
        <w:rPr>
          <w:rFonts w:ascii="Book Antiqua" w:hAnsi="Book Antiqua"/>
          <w:sz w:val="24"/>
          <w:szCs w:val="24"/>
        </w:rPr>
        <w:t>Nevertheless,</w:t>
      </w:r>
      <w:r w:rsidRPr="00F14AE8">
        <w:rPr>
          <w:rFonts w:ascii="Book Antiqua" w:hAnsi="Book Antiqua"/>
          <w:sz w:val="24"/>
          <w:szCs w:val="24"/>
        </w:rPr>
        <w:t xml:space="preserve"> the absolute values and findings in our study are </w:t>
      </w:r>
      <w:r w:rsidR="007A4FDC" w:rsidRPr="00F14AE8">
        <w:rPr>
          <w:rFonts w:ascii="Book Antiqua" w:hAnsi="Book Antiqua"/>
          <w:sz w:val="24"/>
          <w:szCs w:val="24"/>
        </w:rPr>
        <w:t xml:space="preserve">still </w:t>
      </w:r>
      <w:r w:rsidR="008F61E7" w:rsidRPr="00F14AE8">
        <w:rPr>
          <w:rFonts w:ascii="Book Antiqua" w:hAnsi="Book Antiqua"/>
          <w:sz w:val="24"/>
          <w:szCs w:val="24"/>
        </w:rPr>
        <w:t xml:space="preserve">meaningful, </w:t>
      </w:r>
      <w:r w:rsidRPr="00F14AE8">
        <w:rPr>
          <w:rFonts w:ascii="Book Antiqua" w:hAnsi="Book Antiqua"/>
          <w:sz w:val="24"/>
          <w:szCs w:val="24"/>
        </w:rPr>
        <w:t>interpretable</w:t>
      </w:r>
      <w:r w:rsidR="007A4FDC" w:rsidRPr="00F14AE8">
        <w:rPr>
          <w:rFonts w:ascii="Book Antiqua" w:hAnsi="Book Antiqua"/>
          <w:sz w:val="24"/>
          <w:szCs w:val="24"/>
        </w:rPr>
        <w:t xml:space="preserve"> and may be more applicable</w:t>
      </w:r>
      <w:r w:rsidRPr="00F14AE8">
        <w:rPr>
          <w:rFonts w:ascii="Book Antiqua" w:hAnsi="Book Antiqua"/>
          <w:sz w:val="24"/>
          <w:szCs w:val="24"/>
        </w:rPr>
        <w:t xml:space="preserve"> to the clinician </w:t>
      </w:r>
      <w:r w:rsidRPr="00F14AE8">
        <w:rPr>
          <w:rFonts w:ascii="Book Antiqua" w:hAnsi="Book Antiqua"/>
          <w:sz w:val="24"/>
          <w:szCs w:val="24"/>
        </w:rPr>
        <w:lastRenderedPageBreak/>
        <w:t xml:space="preserve">caring for </w:t>
      </w:r>
      <w:r w:rsidR="00B0475D" w:rsidRPr="00F14AE8">
        <w:rPr>
          <w:rFonts w:ascii="Book Antiqua" w:hAnsi="Book Antiqua"/>
          <w:sz w:val="24"/>
          <w:szCs w:val="24"/>
        </w:rPr>
        <w:t>dermatomyositis</w:t>
      </w:r>
      <w:r w:rsidRPr="00F14AE8">
        <w:rPr>
          <w:rFonts w:ascii="Book Antiqua" w:hAnsi="Book Antiqua"/>
          <w:sz w:val="24"/>
          <w:szCs w:val="24"/>
        </w:rPr>
        <w:t xml:space="preserve"> </w:t>
      </w:r>
      <w:r w:rsidR="007A4FDC" w:rsidRPr="00F14AE8">
        <w:rPr>
          <w:rFonts w:ascii="Book Antiqua" w:hAnsi="Book Antiqua"/>
          <w:sz w:val="24"/>
          <w:szCs w:val="24"/>
        </w:rPr>
        <w:t xml:space="preserve">than </w:t>
      </w:r>
      <w:r w:rsidR="009F4701" w:rsidRPr="00F14AE8">
        <w:rPr>
          <w:rFonts w:ascii="Book Antiqua" w:hAnsi="Book Antiqua"/>
          <w:sz w:val="24"/>
          <w:szCs w:val="24"/>
        </w:rPr>
        <w:t xml:space="preserve">the </w:t>
      </w:r>
      <w:r w:rsidR="006130C6" w:rsidRPr="00F14AE8">
        <w:rPr>
          <w:rFonts w:ascii="Book Antiqua" w:hAnsi="Book Antiqua"/>
          <w:sz w:val="24"/>
          <w:szCs w:val="24"/>
        </w:rPr>
        <w:t xml:space="preserve">previous </w:t>
      </w:r>
      <w:r w:rsidR="007A4FDC" w:rsidRPr="00F14AE8">
        <w:rPr>
          <w:rFonts w:ascii="Book Antiqua" w:hAnsi="Book Antiqua"/>
          <w:sz w:val="24"/>
          <w:szCs w:val="24"/>
        </w:rPr>
        <w:t xml:space="preserve">larger population based studies </w:t>
      </w:r>
      <w:r w:rsidR="009F4701" w:rsidRPr="00F14AE8">
        <w:rPr>
          <w:rFonts w:ascii="Book Antiqua" w:hAnsi="Book Antiqua"/>
          <w:sz w:val="24"/>
          <w:szCs w:val="24"/>
        </w:rPr>
        <w:t>that did not utilize</w:t>
      </w:r>
      <w:r w:rsidR="007A4FDC" w:rsidRPr="00F14AE8">
        <w:rPr>
          <w:rFonts w:ascii="Book Antiqua" w:hAnsi="Book Antiqua"/>
          <w:sz w:val="24"/>
          <w:szCs w:val="24"/>
        </w:rPr>
        <w:t xml:space="preserve"> individual level chart review.</w:t>
      </w:r>
    </w:p>
    <w:p w:rsidR="005F7B6D" w:rsidRPr="00F14AE8" w:rsidRDefault="00F37465" w:rsidP="00F14AE8">
      <w:pPr>
        <w:spacing w:after="0" w:line="360" w:lineRule="auto"/>
        <w:ind w:firstLineChars="100" w:firstLine="240"/>
        <w:jc w:val="both"/>
        <w:rPr>
          <w:rFonts w:ascii="Book Antiqua" w:hAnsi="Book Antiqua"/>
          <w:sz w:val="24"/>
          <w:szCs w:val="24"/>
        </w:rPr>
      </w:pPr>
      <w:r w:rsidRPr="00F14AE8">
        <w:rPr>
          <w:rFonts w:ascii="Book Antiqua" w:hAnsi="Book Antiqua"/>
          <w:sz w:val="24"/>
          <w:szCs w:val="24"/>
        </w:rPr>
        <w:t xml:space="preserve">In conclusion, this study suggests that the yield of endoscopy in </w:t>
      </w:r>
      <w:r w:rsidR="00B0475D" w:rsidRPr="00F14AE8">
        <w:rPr>
          <w:rFonts w:ascii="Book Antiqua" w:hAnsi="Book Antiqua"/>
          <w:sz w:val="24"/>
          <w:szCs w:val="24"/>
        </w:rPr>
        <w:t>dermatomyositis</w:t>
      </w:r>
      <w:r w:rsidRPr="00F14AE8">
        <w:rPr>
          <w:rFonts w:ascii="Book Antiqua" w:hAnsi="Book Antiqua"/>
          <w:sz w:val="24"/>
          <w:szCs w:val="24"/>
        </w:rPr>
        <w:t xml:space="preserve"> for the identification of pre-malignant and malig</w:t>
      </w:r>
      <w:r w:rsidR="00C81969" w:rsidRPr="00F14AE8">
        <w:rPr>
          <w:rFonts w:ascii="Book Antiqua" w:hAnsi="Book Antiqua"/>
          <w:sz w:val="24"/>
          <w:szCs w:val="24"/>
        </w:rPr>
        <w:t>nant GI lesions is low in the United States.</w:t>
      </w:r>
      <w:r w:rsidRPr="00F14AE8">
        <w:rPr>
          <w:rFonts w:ascii="Book Antiqua" w:hAnsi="Book Antiqua"/>
          <w:sz w:val="24"/>
          <w:szCs w:val="24"/>
        </w:rPr>
        <w:t xml:space="preserve"> </w:t>
      </w:r>
      <w:r w:rsidR="00C81969" w:rsidRPr="00F14AE8">
        <w:rPr>
          <w:rFonts w:ascii="Book Antiqua" w:hAnsi="Book Antiqua"/>
          <w:sz w:val="24"/>
          <w:szCs w:val="24"/>
        </w:rPr>
        <w:t xml:space="preserve">In fact, our study identified no cases of upper GI or colon cancers. </w:t>
      </w:r>
      <w:r w:rsidR="002E63C0" w:rsidRPr="00F14AE8">
        <w:rPr>
          <w:rFonts w:ascii="Book Antiqua" w:hAnsi="Book Antiqua"/>
          <w:sz w:val="24"/>
          <w:szCs w:val="24"/>
        </w:rPr>
        <w:t>Moreover, e</w:t>
      </w:r>
      <w:r w:rsidR="00C81969" w:rsidRPr="00F14AE8">
        <w:rPr>
          <w:rFonts w:ascii="Book Antiqua" w:hAnsi="Book Antiqua"/>
          <w:sz w:val="24"/>
          <w:szCs w:val="24"/>
        </w:rPr>
        <w:t xml:space="preserve">ven when stratified by age or the presence of symptoms, endoscopy was of low yield, raising the question of whether routine use of aggressive screening for GI malignancy is necessary and justified. </w:t>
      </w:r>
      <w:r w:rsidR="00AD702D" w:rsidRPr="00F14AE8">
        <w:rPr>
          <w:rFonts w:ascii="Book Antiqua" w:hAnsi="Book Antiqua"/>
          <w:sz w:val="24"/>
          <w:szCs w:val="24"/>
        </w:rPr>
        <w:t>F</w:t>
      </w:r>
      <w:r w:rsidR="0021259E" w:rsidRPr="00F14AE8">
        <w:rPr>
          <w:rFonts w:ascii="Book Antiqua" w:hAnsi="Book Antiqua"/>
          <w:sz w:val="24"/>
          <w:szCs w:val="24"/>
        </w:rPr>
        <w:t>urther studies utilizing</w:t>
      </w:r>
      <w:r w:rsidR="00C81969" w:rsidRPr="00F14AE8">
        <w:rPr>
          <w:rFonts w:ascii="Book Antiqua" w:hAnsi="Book Antiqua"/>
          <w:sz w:val="24"/>
          <w:szCs w:val="24"/>
        </w:rPr>
        <w:t xml:space="preserve"> rigo</w:t>
      </w:r>
      <w:r w:rsidR="0021259E" w:rsidRPr="00F14AE8">
        <w:rPr>
          <w:rFonts w:ascii="Book Antiqua" w:hAnsi="Book Antiqua"/>
          <w:sz w:val="24"/>
          <w:szCs w:val="24"/>
        </w:rPr>
        <w:t>rously validated search strategies are necessary to determine the absolute risk of GI malignancy in patients with dermatomyositis to inform whether aggressive surveillance is needed beyond what is recommended in the average-risk screening population.</w:t>
      </w:r>
    </w:p>
    <w:p w:rsidR="00FC0A03" w:rsidRPr="00F14AE8" w:rsidRDefault="001D2353" w:rsidP="00F14AE8">
      <w:pPr>
        <w:spacing w:after="0" w:line="360" w:lineRule="auto"/>
        <w:jc w:val="both"/>
        <w:rPr>
          <w:rFonts w:ascii="Book Antiqua" w:hAnsi="Book Antiqua"/>
          <w:sz w:val="24"/>
          <w:szCs w:val="24"/>
          <w:lang w:eastAsia="zh-CN"/>
        </w:rPr>
      </w:pPr>
      <w:r w:rsidRPr="00F14AE8">
        <w:rPr>
          <w:rFonts w:ascii="Book Antiqua" w:hAnsi="Book Antiqua"/>
          <w:b/>
          <w:sz w:val="24"/>
          <w:szCs w:val="24"/>
          <w:lang w:eastAsia="zh-CN"/>
        </w:rPr>
        <w:t xml:space="preserve"> </w:t>
      </w:r>
    </w:p>
    <w:p w:rsidR="00CF32FA" w:rsidRPr="00F14AE8" w:rsidRDefault="00CF32FA" w:rsidP="00F14AE8">
      <w:pPr>
        <w:spacing w:after="0" w:line="360" w:lineRule="auto"/>
        <w:jc w:val="both"/>
        <w:rPr>
          <w:rFonts w:ascii="Book Antiqua" w:hAnsi="Book Antiqua"/>
          <w:b/>
          <w:sz w:val="24"/>
          <w:szCs w:val="24"/>
        </w:rPr>
      </w:pPr>
      <w:bookmarkStart w:id="39" w:name="OLE_LINK595"/>
      <w:bookmarkStart w:id="40" w:name="OLE_LINK596"/>
      <w:r w:rsidRPr="00F14AE8">
        <w:rPr>
          <w:rFonts w:ascii="Book Antiqua" w:hAnsi="Book Antiqua"/>
          <w:b/>
          <w:sz w:val="24"/>
          <w:szCs w:val="24"/>
        </w:rPr>
        <w:t>COMMENTS</w:t>
      </w:r>
    </w:p>
    <w:p w:rsidR="00CF32FA" w:rsidRPr="00F14AE8" w:rsidRDefault="00CF32FA" w:rsidP="00F14AE8">
      <w:pPr>
        <w:spacing w:after="0" w:line="360" w:lineRule="auto"/>
        <w:jc w:val="both"/>
        <w:rPr>
          <w:rFonts w:ascii="Book Antiqua" w:hAnsi="Book Antiqua"/>
          <w:b/>
          <w:bCs/>
          <w:sz w:val="24"/>
          <w:szCs w:val="24"/>
        </w:rPr>
      </w:pPr>
      <w:r w:rsidRPr="00F14AE8">
        <w:rPr>
          <w:rFonts w:ascii="Book Antiqua" w:hAnsi="Book Antiqua"/>
          <w:b/>
          <w:bCs/>
          <w:i/>
          <w:sz w:val="24"/>
          <w:szCs w:val="24"/>
        </w:rPr>
        <w:t>Background</w:t>
      </w:r>
    </w:p>
    <w:p w:rsidR="00CF32FA" w:rsidRPr="00F14AE8" w:rsidRDefault="00BE0847"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 xml:space="preserve">Dermatomyositis is associated with an increased risk of gastrointestinal (GI) malignancies based on large-population based studies. These prior studies utilized code-based search strategies and did not perform individual chart review. </w:t>
      </w:r>
    </w:p>
    <w:p w:rsidR="001D2353" w:rsidRPr="00F14AE8" w:rsidRDefault="001D2353" w:rsidP="00F14AE8">
      <w:pPr>
        <w:spacing w:after="0" w:line="360" w:lineRule="auto"/>
        <w:jc w:val="both"/>
        <w:rPr>
          <w:rFonts w:ascii="Book Antiqua" w:hAnsi="Book Antiqua"/>
          <w:b/>
          <w:bCs/>
          <w:sz w:val="24"/>
          <w:szCs w:val="24"/>
          <w:lang w:eastAsia="zh-CN"/>
        </w:rPr>
      </w:pPr>
    </w:p>
    <w:p w:rsidR="00CF32FA" w:rsidRPr="00F14AE8" w:rsidRDefault="00CF32FA" w:rsidP="00F14AE8">
      <w:pPr>
        <w:spacing w:after="0" w:line="360" w:lineRule="auto"/>
        <w:jc w:val="both"/>
        <w:rPr>
          <w:rFonts w:ascii="Book Antiqua" w:hAnsi="Book Antiqua"/>
          <w:b/>
          <w:bCs/>
          <w:i/>
          <w:sz w:val="24"/>
          <w:szCs w:val="24"/>
        </w:rPr>
      </w:pPr>
      <w:r w:rsidRPr="00F14AE8">
        <w:rPr>
          <w:rFonts w:ascii="Book Antiqua" w:hAnsi="Book Antiqua"/>
          <w:b/>
          <w:bCs/>
          <w:i/>
          <w:sz w:val="24"/>
          <w:szCs w:val="24"/>
        </w:rPr>
        <w:t>Research frontiers</w:t>
      </w:r>
    </w:p>
    <w:p w:rsidR="00CF32FA" w:rsidRPr="00F14AE8" w:rsidRDefault="00BE0847"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Endoscopy is now used to screen for GI neoplasias, but the yield of endoscopy in this patient population with dermatomyositis is not known. Understanding the yield of endoscopy could help inform clinical care of these patients.</w:t>
      </w:r>
    </w:p>
    <w:p w:rsidR="001D2353" w:rsidRPr="00F14AE8" w:rsidRDefault="001D2353" w:rsidP="00F14AE8">
      <w:pPr>
        <w:spacing w:after="0" w:line="360" w:lineRule="auto"/>
        <w:jc w:val="both"/>
        <w:rPr>
          <w:rFonts w:ascii="Book Antiqua" w:hAnsi="Book Antiqua"/>
          <w:b/>
          <w:bCs/>
          <w:sz w:val="24"/>
          <w:szCs w:val="24"/>
          <w:lang w:eastAsia="zh-CN"/>
        </w:rPr>
      </w:pPr>
    </w:p>
    <w:p w:rsidR="00CF32FA" w:rsidRPr="00F14AE8" w:rsidRDefault="00CF32FA" w:rsidP="00F14AE8">
      <w:pPr>
        <w:spacing w:after="0" w:line="360" w:lineRule="auto"/>
        <w:jc w:val="both"/>
        <w:rPr>
          <w:rFonts w:ascii="Book Antiqua" w:hAnsi="Book Antiqua"/>
          <w:b/>
          <w:bCs/>
          <w:sz w:val="24"/>
          <w:szCs w:val="24"/>
        </w:rPr>
      </w:pPr>
      <w:r w:rsidRPr="00F14AE8">
        <w:rPr>
          <w:rFonts w:ascii="Book Antiqua" w:hAnsi="Book Antiqua"/>
          <w:b/>
          <w:bCs/>
          <w:i/>
          <w:sz w:val="24"/>
          <w:szCs w:val="24"/>
        </w:rPr>
        <w:t>Innovations and breakthroughs</w:t>
      </w:r>
    </w:p>
    <w:p w:rsidR="00633516" w:rsidRPr="00F14AE8" w:rsidRDefault="00633516" w:rsidP="00F14AE8">
      <w:pPr>
        <w:spacing w:after="0" w:line="360" w:lineRule="auto"/>
        <w:jc w:val="both"/>
        <w:rPr>
          <w:rFonts w:ascii="Book Antiqua" w:hAnsi="Book Antiqua"/>
          <w:sz w:val="24"/>
          <w:szCs w:val="24"/>
        </w:rPr>
      </w:pPr>
      <w:r w:rsidRPr="00F14AE8">
        <w:rPr>
          <w:rFonts w:ascii="Book Antiqua" w:hAnsi="Book Antiqua"/>
          <w:sz w:val="24"/>
          <w:szCs w:val="24"/>
        </w:rPr>
        <w:t xml:space="preserve">By utilizing individual chart review, we provided an accurate estimate of prevalence of GI neoplasia in this population. </w:t>
      </w:r>
      <w:r w:rsidR="003530DE">
        <w:rPr>
          <w:rFonts w:ascii="Book Antiqua" w:hAnsi="Book Antiqua" w:hint="eastAsia"/>
          <w:sz w:val="24"/>
          <w:szCs w:val="24"/>
          <w:lang w:eastAsia="zh-CN"/>
        </w:rPr>
        <w:t>They</w:t>
      </w:r>
      <w:r w:rsidRPr="00F14AE8">
        <w:rPr>
          <w:rFonts w:ascii="Book Antiqua" w:hAnsi="Book Antiqua"/>
          <w:sz w:val="24"/>
          <w:szCs w:val="24"/>
        </w:rPr>
        <w:t xml:space="preserve"> found that endoscopy identified no cases of malignancy and was of low yield, likely similar to the general population, in the identification of pre-malignant findings.</w:t>
      </w:r>
      <w:r w:rsidR="003530DE">
        <w:rPr>
          <w:rFonts w:ascii="Book Antiqua" w:hAnsi="Book Antiqua" w:hint="eastAsia"/>
          <w:sz w:val="24"/>
          <w:szCs w:val="24"/>
          <w:lang w:eastAsia="zh-CN"/>
        </w:rPr>
        <w:t xml:space="preserve"> </w:t>
      </w:r>
      <w:r w:rsidRPr="00F14AE8">
        <w:rPr>
          <w:rFonts w:ascii="Book Antiqua" w:hAnsi="Book Antiqua"/>
          <w:sz w:val="24"/>
          <w:szCs w:val="24"/>
        </w:rPr>
        <w:t xml:space="preserve">Code-based searched strategies were </w:t>
      </w:r>
      <w:r w:rsidRPr="00F14AE8">
        <w:rPr>
          <w:rFonts w:ascii="Book Antiqua" w:hAnsi="Book Antiqua"/>
          <w:sz w:val="24"/>
          <w:szCs w:val="24"/>
        </w:rPr>
        <w:lastRenderedPageBreak/>
        <w:t xml:space="preserve">inaccurate in the identification of dermatomyositis, calling into question the results of prior population-based studies. </w:t>
      </w:r>
    </w:p>
    <w:p w:rsidR="00CF32FA" w:rsidRPr="00F14AE8" w:rsidRDefault="00CF32FA" w:rsidP="00F14AE8">
      <w:pPr>
        <w:spacing w:after="0" w:line="360" w:lineRule="auto"/>
        <w:jc w:val="both"/>
        <w:rPr>
          <w:rFonts w:ascii="Book Antiqua" w:hAnsi="Book Antiqua"/>
          <w:b/>
          <w:sz w:val="24"/>
          <w:szCs w:val="24"/>
        </w:rPr>
      </w:pPr>
    </w:p>
    <w:p w:rsidR="00CF32FA" w:rsidRPr="00F14AE8" w:rsidRDefault="00CF32FA" w:rsidP="00F14AE8">
      <w:pPr>
        <w:spacing w:after="0" w:line="360" w:lineRule="auto"/>
        <w:jc w:val="both"/>
        <w:rPr>
          <w:rFonts w:ascii="Book Antiqua" w:hAnsi="Book Antiqua"/>
          <w:b/>
          <w:bCs/>
          <w:sz w:val="24"/>
          <w:szCs w:val="24"/>
        </w:rPr>
      </w:pPr>
      <w:r w:rsidRPr="00F14AE8">
        <w:rPr>
          <w:rFonts w:ascii="Book Antiqua" w:hAnsi="Book Antiqua"/>
          <w:b/>
          <w:bCs/>
          <w:i/>
          <w:sz w:val="24"/>
          <w:szCs w:val="24"/>
        </w:rPr>
        <w:t>Applications</w:t>
      </w:r>
    </w:p>
    <w:p w:rsidR="00CF32FA" w:rsidRPr="00F14AE8" w:rsidRDefault="00633516" w:rsidP="00F14AE8">
      <w:pPr>
        <w:spacing w:after="0" w:line="360" w:lineRule="auto"/>
        <w:jc w:val="both"/>
        <w:rPr>
          <w:rFonts w:ascii="Book Antiqua" w:hAnsi="Book Antiqua"/>
          <w:sz w:val="24"/>
          <w:szCs w:val="24"/>
          <w:lang w:eastAsia="zh-CN"/>
        </w:rPr>
      </w:pPr>
      <w:r w:rsidRPr="00F14AE8">
        <w:rPr>
          <w:rFonts w:ascii="Book Antiqua" w:hAnsi="Book Antiqua"/>
          <w:sz w:val="24"/>
          <w:szCs w:val="24"/>
        </w:rPr>
        <w:t>The association between increased GI malignancy and dermatomyositis may be lower than previously reported.</w:t>
      </w:r>
    </w:p>
    <w:p w:rsidR="001D2353" w:rsidRPr="00F14AE8" w:rsidRDefault="001D2353" w:rsidP="00F14AE8">
      <w:pPr>
        <w:spacing w:after="0" w:line="360" w:lineRule="auto"/>
        <w:jc w:val="both"/>
        <w:rPr>
          <w:rFonts w:ascii="Book Antiqua" w:hAnsi="Book Antiqua" w:cs="Arial"/>
          <w:b/>
          <w:bCs/>
          <w:sz w:val="24"/>
          <w:szCs w:val="24"/>
          <w:lang w:eastAsia="zh-CN"/>
        </w:rPr>
      </w:pPr>
    </w:p>
    <w:p w:rsidR="00CF32FA" w:rsidRPr="00F14AE8" w:rsidRDefault="00CF32FA" w:rsidP="00F14AE8">
      <w:pPr>
        <w:spacing w:after="0" w:line="360" w:lineRule="auto"/>
        <w:jc w:val="both"/>
        <w:rPr>
          <w:rFonts w:ascii="Book Antiqua" w:hAnsi="Book Antiqua"/>
          <w:b/>
          <w:i/>
          <w:sz w:val="24"/>
          <w:szCs w:val="24"/>
        </w:rPr>
      </w:pPr>
      <w:bookmarkStart w:id="41" w:name="OLE_LINK13"/>
      <w:bookmarkStart w:id="42" w:name="OLE_LINK323"/>
      <w:bookmarkStart w:id="43" w:name="OLE_LINK349"/>
      <w:bookmarkStart w:id="44" w:name="OLE_LINK377"/>
      <w:bookmarkStart w:id="45" w:name="OLE_LINK386"/>
      <w:bookmarkStart w:id="46" w:name="OLE_LINK400"/>
      <w:bookmarkStart w:id="47" w:name="OLE_LINK416"/>
      <w:bookmarkStart w:id="48" w:name="OLE_LINK512"/>
      <w:bookmarkStart w:id="49" w:name="OLE_LINK598"/>
      <w:bookmarkStart w:id="50" w:name="OLE_LINK599"/>
      <w:r w:rsidRPr="00F14AE8">
        <w:rPr>
          <w:rFonts w:ascii="Book Antiqua" w:hAnsi="Book Antiqua"/>
          <w:b/>
          <w:i/>
          <w:sz w:val="24"/>
          <w:szCs w:val="24"/>
        </w:rPr>
        <w:t>Peer-review</w:t>
      </w:r>
    </w:p>
    <w:bookmarkEnd w:id="39"/>
    <w:bookmarkEnd w:id="40"/>
    <w:bookmarkEnd w:id="41"/>
    <w:bookmarkEnd w:id="42"/>
    <w:bookmarkEnd w:id="43"/>
    <w:bookmarkEnd w:id="44"/>
    <w:bookmarkEnd w:id="45"/>
    <w:bookmarkEnd w:id="46"/>
    <w:bookmarkEnd w:id="47"/>
    <w:bookmarkEnd w:id="48"/>
    <w:bookmarkEnd w:id="49"/>
    <w:bookmarkEnd w:id="50"/>
    <w:p w:rsidR="00FC0A03" w:rsidRPr="00F14AE8" w:rsidRDefault="00004186" w:rsidP="00F14AE8">
      <w:pPr>
        <w:spacing w:after="0" w:line="360" w:lineRule="auto"/>
        <w:jc w:val="both"/>
        <w:rPr>
          <w:rFonts w:ascii="Book Antiqua" w:hAnsi="Book Antiqua"/>
          <w:b/>
          <w:sz w:val="24"/>
          <w:szCs w:val="24"/>
          <w:lang w:eastAsia="zh-CN"/>
        </w:rPr>
      </w:pPr>
      <w:r w:rsidRPr="00F14AE8">
        <w:rPr>
          <w:rFonts w:ascii="Book Antiqua" w:hAnsi="Book Antiqua" w:cs="Tahoma"/>
          <w:color w:val="000000"/>
          <w:sz w:val="24"/>
          <w:szCs w:val="24"/>
          <w:shd w:val="clear" w:color="auto" w:fill="F8F8F8"/>
        </w:rPr>
        <w:t>This is an observational study attempting to quantify the actual risk of GI malignancy in patients with dermatomyositis and the yield of routine screening endoscopy in this population. The study is performed by retrospective chart review after identifying patients with dermatomyositis and reviewing endoscopy results. The paper is well written with good numbers and a thorough search method and provides evidence for management of a rare condition.</w:t>
      </w:r>
      <w:r w:rsidRPr="00F14AE8">
        <w:rPr>
          <w:rFonts w:ascii="Book Antiqua" w:hAnsi="Book Antiqua" w:cs="Tahoma"/>
          <w:color w:val="000000"/>
          <w:sz w:val="24"/>
          <w:szCs w:val="24"/>
          <w:shd w:val="clear" w:color="auto" w:fill="F8F8F8"/>
          <w:lang w:eastAsia="zh-CN"/>
        </w:rPr>
        <w:t xml:space="preserve"> </w:t>
      </w:r>
    </w:p>
    <w:p w:rsidR="00FC0A03" w:rsidRPr="00F14AE8" w:rsidRDefault="00FC0A03" w:rsidP="00F14AE8">
      <w:pPr>
        <w:spacing w:after="0" w:line="360" w:lineRule="auto"/>
        <w:jc w:val="both"/>
        <w:rPr>
          <w:rFonts w:ascii="Book Antiqua" w:hAnsi="Book Antiqua"/>
          <w:b/>
          <w:sz w:val="24"/>
          <w:szCs w:val="24"/>
        </w:rPr>
      </w:pPr>
    </w:p>
    <w:p w:rsidR="00FC0A03" w:rsidRPr="00F14AE8" w:rsidRDefault="00FC0A03" w:rsidP="00F14AE8">
      <w:pPr>
        <w:spacing w:after="0" w:line="360" w:lineRule="auto"/>
        <w:jc w:val="both"/>
        <w:rPr>
          <w:rFonts w:ascii="Book Antiqua" w:hAnsi="Book Antiqua"/>
          <w:b/>
          <w:sz w:val="24"/>
          <w:szCs w:val="24"/>
        </w:rPr>
      </w:pPr>
    </w:p>
    <w:p w:rsidR="00FC0A03" w:rsidRPr="00F14AE8" w:rsidRDefault="00FC0A03" w:rsidP="00F14AE8">
      <w:pPr>
        <w:spacing w:after="0" w:line="360" w:lineRule="auto"/>
        <w:jc w:val="both"/>
        <w:rPr>
          <w:rFonts w:ascii="Book Antiqua" w:hAnsi="Book Antiqua"/>
          <w:b/>
          <w:sz w:val="24"/>
          <w:szCs w:val="24"/>
        </w:rPr>
      </w:pPr>
    </w:p>
    <w:p w:rsidR="00FC0A03" w:rsidRPr="00F14AE8" w:rsidRDefault="00FC0A03" w:rsidP="00F14AE8">
      <w:pPr>
        <w:spacing w:after="0" w:line="360" w:lineRule="auto"/>
        <w:jc w:val="both"/>
        <w:rPr>
          <w:rFonts w:ascii="Book Antiqua" w:hAnsi="Book Antiqua"/>
          <w:b/>
          <w:sz w:val="24"/>
          <w:szCs w:val="24"/>
        </w:rPr>
      </w:pPr>
    </w:p>
    <w:p w:rsidR="00F14AE8" w:rsidRPr="006D0CCD" w:rsidRDefault="00004186" w:rsidP="00F14AE8">
      <w:pPr>
        <w:spacing w:after="0" w:line="360" w:lineRule="auto"/>
        <w:jc w:val="both"/>
        <w:rPr>
          <w:rFonts w:ascii="Book Antiqua" w:hAnsi="Book Antiqua" w:cs="SimSun"/>
          <w:sz w:val="24"/>
          <w:szCs w:val="24"/>
        </w:rPr>
      </w:pPr>
      <w:r w:rsidRPr="00F14AE8">
        <w:rPr>
          <w:rFonts w:ascii="Book Antiqua" w:hAnsi="Book Antiqua"/>
          <w:b/>
          <w:sz w:val="24"/>
          <w:szCs w:val="24"/>
        </w:rPr>
        <w:br w:type="page"/>
      </w:r>
      <w:r w:rsidR="00F37465" w:rsidRPr="00F14AE8">
        <w:rPr>
          <w:rFonts w:ascii="Book Antiqua" w:hAnsi="Book Antiqua"/>
          <w:b/>
          <w:sz w:val="24"/>
          <w:szCs w:val="24"/>
        </w:rPr>
        <w:lastRenderedPageBreak/>
        <w:t>R</w:t>
      </w:r>
      <w:r w:rsidR="00FA6CFA" w:rsidRPr="00F14AE8">
        <w:rPr>
          <w:rFonts w:ascii="Book Antiqua" w:hAnsi="Book Antiqua"/>
          <w:b/>
          <w:sz w:val="24"/>
          <w:szCs w:val="24"/>
        </w:rPr>
        <w:t>EFERENCES</w:t>
      </w:r>
      <w:r w:rsidR="00F37465" w:rsidRPr="00F14AE8">
        <w:rPr>
          <w:rFonts w:ascii="Book Antiqua" w:hAnsi="Book Antiqua"/>
          <w:b/>
          <w:sz w:val="24"/>
          <w:szCs w:val="24"/>
        </w:rPr>
        <w:br/>
      </w:r>
      <w:r w:rsidR="00F14AE8" w:rsidRPr="006D0CCD">
        <w:rPr>
          <w:rFonts w:ascii="Book Antiqua" w:hAnsi="Book Antiqua" w:cs="SimSun"/>
          <w:sz w:val="24"/>
          <w:szCs w:val="24"/>
        </w:rPr>
        <w:t>1</w:t>
      </w:r>
      <w:r w:rsidR="00F14AE8" w:rsidRPr="00F14AE8">
        <w:rPr>
          <w:rFonts w:ascii="Book Antiqua" w:hAnsi="Book Antiqua" w:cs="SimSun"/>
          <w:sz w:val="24"/>
          <w:szCs w:val="24"/>
        </w:rPr>
        <w:t> </w:t>
      </w:r>
      <w:r w:rsidR="00F14AE8" w:rsidRPr="006D0CCD">
        <w:rPr>
          <w:rFonts w:ascii="Book Antiqua" w:hAnsi="Book Antiqua" w:cs="SimSun"/>
          <w:b/>
          <w:bCs/>
          <w:sz w:val="24"/>
          <w:szCs w:val="24"/>
        </w:rPr>
        <w:t>Dalakas MC</w:t>
      </w:r>
      <w:r w:rsidR="00F14AE8" w:rsidRPr="006D0CCD">
        <w:rPr>
          <w:rFonts w:ascii="Book Antiqua" w:hAnsi="Book Antiqua" w:cs="SimSun"/>
          <w:sz w:val="24"/>
          <w:szCs w:val="24"/>
        </w:rPr>
        <w:t>, Hohlfeld R. Polymyositis and dermatomyositis.</w:t>
      </w:r>
      <w:r w:rsidR="00F14AE8" w:rsidRPr="00F14AE8">
        <w:rPr>
          <w:rFonts w:ascii="Book Antiqua" w:hAnsi="Book Antiqua" w:cs="SimSun"/>
          <w:sz w:val="24"/>
          <w:szCs w:val="24"/>
        </w:rPr>
        <w:t> </w:t>
      </w:r>
      <w:r w:rsidR="00F14AE8" w:rsidRPr="006D0CCD">
        <w:rPr>
          <w:rFonts w:ascii="Book Antiqua" w:hAnsi="Book Antiqua" w:cs="SimSun"/>
          <w:i/>
          <w:iCs/>
          <w:sz w:val="24"/>
          <w:szCs w:val="24"/>
        </w:rPr>
        <w:t>Lancet</w:t>
      </w:r>
      <w:r w:rsidR="00F14AE8" w:rsidRPr="00F14AE8">
        <w:rPr>
          <w:rFonts w:ascii="Book Antiqua" w:hAnsi="Book Antiqua" w:cs="SimSun"/>
          <w:sz w:val="24"/>
          <w:szCs w:val="24"/>
        </w:rPr>
        <w:t> </w:t>
      </w:r>
      <w:r w:rsidR="00F14AE8" w:rsidRPr="006D0CCD">
        <w:rPr>
          <w:rFonts w:ascii="Book Antiqua" w:hAnsi="Book Antiqua" w:cs="SimSun"/>
          <w:sz w:val="24"/>
          <w:szCs w:val="24"/>
        </w:rPr>
        <w:t>2003;</w:t>
      </w:r>
      <w:r w:rsidR="00F14AE8" w:rsidRPr="00F14AE8">
        <w:rPr>
          <w:rFonts w:ascii="Book Antiqua" w:hAnsi="Book Antiqua" w:cs="SimSun"/>
          <w:sz w:val="24"/>
          <w:szCs w:val="24"/>
        </w:rPr>
        <w:t> </w:t>
      </w:r>
      <w:r w:rsidR="00F14AE8" w:rsidRPr="006D0CCD">
        <w:rPr>
          <w:rFonts w:ascii="Book Antiqua" w:hAnsi="Book Antiqua" w:cs="SimSun"/>
          <w:b/>
          <w:bCs/>
          <w:sz w:val="24"/>
          <w:szCs w:val="24"/>
        </w:rPr>
        <w:t>362</w:t>
      </w:r>
      <w:r w:rsidR="00F14AE8" w:rsidRPr="006D0CCD">
        <w:rPr>
          <w:rFonts w:ascii="Book Antiqua" w:hAnsi="Book Antiqua" w:cs="SimSun"/>
          <w:sz w:val="24"/>
          <w:szCs w:val="24"/>
        </w:rPr>
        <w:t>: 971-982 [PMID: 14511932 DOI: 10.1016/S0140-6736(03)14368-1]</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2</w:t>
      </w:r>
      <w:r w:rsidRPr="00F14AE8">
        <w:rPr>
          <w:rFonts w:ascii="Book Antiqua" w:hAnsi="Book Antiqua" w:cs="SimSun"/>
          <w:sz w:val="24"/>
          <w:szCs w:val="24"/>
        </w:rPr>
        <w:t> </w:t>
      </w:r>
      <w:r w:rsidRPr="006D0CCD">
        <w:rPr>
          <w:rFonts w:ascii="Book Antiqua" w:hAnsi="Book Antiqua" w:cs="SimSun"/>
          <w:b/>
          <w:bCs/>
          <w:sz w:val="24"/>
          <w:szCs w:val="24"/>
        </w:rPr>
        <w:t>Dalakas MC</w:t>
      </w:r>
      <w:r w:rsidRPr="006D0CCD">
        <w:rPr>
          <w:rFonts w:ascii="Book Antiqua" w:hAnsi="Book Antiqua" w:cs="SimSun"/>
          <w:sz w:val="24"/>
          <w:szCs w:val="24"/>
        </w:rPr>
        <w:t>. Polymyositis, dermatomyositis and inclusion-body myositis.</w:t>
      </w:r>
      <w:r w:rsidRPr="00F14AE8">
        <w:rPr>
          <w:rFonts w:ascii="Book Antiqua" w:hAnsi="Book Antiqua" w:cs="SimSun"/>
          <w:sz w:val="24"/>
          <w:szCs w:val="24"/>
        </w:rPr>
        <w:t> </w:t>
      </w:r>
      <w:r w:rsidRPr="006D0CCD">
        <w:rPr>
          <w:rFonts w:ascii="Book Antiqua" w:hAnsi="Book Antiqua" w:cs="SimSun"/>
          <w:i/>
          <w:iCs/>
          <w:sz w:val="24"/>
          <w:szCs w:val="24"/>
        </w:rPr>
        <w:t>N Engl J Med</w:t>
      </w:r>
      <w:r w:rsidRPr="00F14AE8">
        <w:rPr>
          <w:rFonts w:ascii="Book Antiqua" w:hAnsi="Book Antiqua" w:cs="SimSun"/>
          <w:sz w:val="24"/>
          <w:szCs w:val="24"/>
        </w:rPr>
        <w:t> </w:t>
      </w:r>
      <w:r w:rsidRPr="006D0CCD">
        <w:rPr>
          <w:rFonts w:ascii="Book Antiqua" w:hAnsi="Book Antiqua" w:cs="SimSun"/>
          <w:sz w:val="24"/>
          <w:szCs w:val="24"/>
        </w:rPr>
        <w:t>1991;</w:t>
      </w:r>
      <w:r w:rsidRPr="00F14AE8">
        <w:rPr>
          <w:rFonts w:ascii="Book Antiqua" w:hAnsi="Book Antiqua" w:cs="SimSun"/>
          <w:sz w:val="24"/>
          <w:szCs w:val="24"/>
        </w:rPr>
        <w:t> </w:t>
      </w:r>
      <w:r w:rsidRPr="006D0CCD">
        <w:rPr>
          <w:rFonts w:ascii="Book Antiqua" w:hAnsi="Book Antiqua" w:cs="SimSun"/>
          <w:b/>
          <w:bCs/>
          <w:sz w:val="24"/>
          <w:szCs w:val="24"/>
        </w:rPr>
        <w:t>325</w:t>
      </w:r>
      <w:r w:rsidRPr="006D0CCD">
        <w:rPr>
          <w:rFonts w:ascii="Book Antiqua" w:hAnsi="Book Antiqua" w:cs="SimSun"/>
          <w:sz w:val="24"/>
          <w:szCs w:val="24"/>
        </w:rPr>
        <w:t>: 1487-1498 [PMID: 1658649 DOI: 10.1056/NEJM199111213252107]</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3</w:t>
      </w:r>
      <w:r w:rsidRPr="00F14AE8">
        <w:rPr>
          <w:rFonts w:ascii="Book Antiqua" w:hAnsi="Book Antiqua" w:cs="SimSun"/>
          <w:sz w:val="24"/>
          <w:szCs w:val="24"/>
        </w:rPr>
        <w:t> </w:t>
      </w:r>
      <w:r w:rsidRPr="006D0CCD">
        <w:rPr>
          <w:rFonts w:ascii="Book Antiqua" w:hAnsi="Book Antiqua" w:cs="SimSun"/>
          <w:b/>
          <w:bCs/>
          <w:sz w:val="24"/>
          <w:szCs w:val="24"/>
        </w:rPr>
        <w:t>Hill CL</w:t>
      </w:r>
      <w:r w:rsidRPr="006D0CCD">
        <w:rPr>
          <w:rFonts w:ascii="Book Antiqua" w:hAnsi="Book Antiqua" w:cs="SimSun"/>
          <w:sz w:val="24"/>
          <w:szCs w:val="24"/>
        </w:rPr>
        <w:t>, Zhang Y, Sigurgeirsson B, Pukkala E, Mellemkjaer L, Airio A, Evans SR, Felson DT. Frequency of specific cancer types in dermatomyositis and polymyositis: a population-based study.</w:t>
      </w:r>
      <w:r w:rsidRPr="00F14AE8">
        <w:rPr>
          <w:rFonts w:ascii="Book Antiqua" w:hAnsi="Book Antiqua" w:cs="SimSun"/>
          <w:sz w:val="24"/>
          <w:szCs w:val="24"/>
        </w:rPr>
        <w:t> </w:t>
      </w:r>
      <w:r w:rsidRPr="006D0CCD">
        <w:rPr>
          <w:rFonts w:ascii="Book Antiqua" w:hAnsi="Book Antiqua" w:cs="SimSun"/>
          <w:i/>
          <w:iCs/>
          <w:sz w:val="24"/>
          <w:szCs w:val="24"/>
        </w:rPr>
        <w:t>Lancet</w:t>
      </w:r>
      <w:r w:rsidRPr="00F14AE8">
        <w:rPr>
          <w:rFonts w:ascii="Book Antiqua" w:hAnsi="Book Antiqua" w:cs="SimSun"/>
          <w:sz w:val="24"/>
          <w:szCs w:val="24"/>
        </w:rPr>
        <w:t> </w:t>
      </w:r>
      <w:r w:rsidRPr="006D0CCD">
        <w:rPr>
          <w:rFonts w:ascii="Book Antiqua" w:hAnsi="Book Antiqua" w:cs="SimSun"/>
          <w:sz w:val="24"/>
          <w:szCs w:val="24"/>
        </w:rPr>
        <w:t>2001;</w:t>
      </w:r>
      <w:r w:rsidRPr="00F14AE8">
        <w:rPr>
          <w:rFonts w:ascii="Book Antiqua" w:hAnsi="Book Antiqua" w:cs="SimSun"/>
          <w:sz w:val="24"/>
          <w:szCs w:val="24"/>
        </w:rPr>
        <w:t> </w:t>
      </w:r>
      <w:r w:rsidRPr="006D0CCD">
        <w:rPr>
          <w:rFonts w:ascii="Book Antiqua" w:hAnsi="Book Antiqua" w:cs="SimSun"/>
          <w:b/>
          <w:bCs/>
          <w:sz w:val="24"/>
          <w:szCs w:val="24"/>
        </w:rPr>
        <w:t>357</w:t>
      </w:r>
      <w:r w:rsidRPr="006D0CCD">
        <w:rPr>
          <w:rFonts w:ascii="Book Antiqua" w:hAnsi="Book Antiqua" w:cs="SimSun"/>
          <w:sz w:val="24"/>
          <w:szCs w:val="24"/>
        </w:rPr>
        <w:t>: 96-100 [PMID: 11197446 DOI: 10.1016/S0140-6736(00)03540-6]</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4</w:t>
      </w:r>
      <w:r w:rsidRPr="00F14AE8">
        <w:rPr>
          <w:rFonts w:ascii="Book Antiqua" w:hAnsi="Book Antiqua" w:cs="SimSun"/>
          <w:sz w:val="24"/>
          <w:szCs w:val="24"/>
        </w:rPr>
        <w:t> </w:t>
      </w:r>
      <w:r w:rsidRPr="006D0CCD">
        <w:rPr>
          <w:rFonts w:ascii="Book Antiqua" w:hAnsi="Book Antiqua" w:cs="SimSun"/>
          <w:b/>
          <w:bCs/>
          <w:sz w:val="24"/>
          <w:szCs w:val="24"/>
        </w:rPr>
        <w:t>Buchbinder R</w:t>
      </w:r>
      <w:r w:rsidRPr="006D0CCD">
        <w:rPr>
          <w:rFonts w:ascii="Book Antiqua" w:hAnsi="Book Antiqua" w:cs="SimSun"/>
          <w:sz w:val="24"/>
          <w:szCs w:val="24"/>
        </w:rPr>
        <w:t>, Forbes A, Hall S, Dennett X, Giles G. Incidence of malignant disease in biopsy-proven inflammatory myopathy. A population-based cohort study.</w:t>
      </w:r>
      <w:r w:rsidRPr="00F14AE8">
        <w:rPr>
          <w:rFonts w:ascii="Book Antiqua" w:hAnsi="Book Antiqua" w:cs="SimSun"/>
          <w:sz w:val="24"/>
          <w:szCs w:val="24"/>
        </w:rPr>
        <w:t> </w:t>
      </w:r>
      <w:r w:rsidRPr="006D0CCD">
        <w:rPr>
          <w:rFonts w:ascii="Book Antiqua" w:hAnsi="Book Antiqua" w:cs="SimSun"/>
          <w:i/>
          <w:iCs/>
          <w:sz w:val="24"/>
          <w:szCs w:val="24"/>
        </w:rPr>
        <w:t>Ann Intern Med</w:t>
      </w:r>
      <w:r w:rsidRPr="00F14AE8">
        <w:rPr>
          <w:rFonts w:ascii="Book Antiqua" w:hAnsi="Book Antiqua" w:cs="SimSun"/>
          <w:sz w:val="24"/>
          <w:szCs w:val="24"/>
        </w:rPr>
        <w:t> </w:t>
      </w:r>
      <w:r w:rsidRPr="006D0CCD">
        <w:rPr>
          <w:rFonts w:ascii="Book Antiqua" w:hAnsi="Book Antiqua" w:cs="SimSun"/>
          <w:sz w:val="24"/>
          <w:szCs w:val="24"/>
        </w:rPr>
        <w:t>2001;</w:t>
      </w:r>
      <w:r w:rsidRPr="00F14AE8">
        <w:rPr>
          <w:rFonts w:ascii="Book Antiqua" w:hAnsi="Book Antiqua" w:cs="SimSun"/>
          <w:sz w:val="24"/>
          <w:szCs w:val="24"/>
        </w:rPr>
        <w:t> </w:t>
      </w:r>
      <w:r w:rsidRPr="006D0CCD">
        <w:rPr>
          <w:rFonts w:ascii="Book Antiqua" w:hAnsi="Book Antiqua" w:cs="SimSun"/>
          <w:b/>
          <w:bCs/>
          <w:sz w:val="24"/>
          <w:szCs w:val="24"/>
        </w:rPr>
        <w:t>134</w:t>
      </w:r>
      <w:r w:rsidRPr="006D0CCD">
        <w:rPr>
          <w:rFonts w:ascii="Book Antiqua" w:hAnsi="Book Antiqua" w:cs="SimSun"/>
          <w:sz w:val="24"/>
          <w:szCs w:val="24"/>
        </w:rPr>
        <w:t>: 1087-1095 [PMID: 11412048]</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5</w:t>
      </w:r>
      <w:r w:rsidRPr="00F14AE8">
        <w:rPr>
          <w:rFonts w:ascii="Book Antiqua" w:hAnsi="Book Antiqua" w:cs="SimSun"/>
          <w:sz w:val="24"/>
          <w:szCs w:val="24"/>
        </w:rPr>
        <w:t> </w:t>
      </w:r>
      <w:r w:rsidRPr="006D0CCD">
        <w:rPr>
          <w:rFonts w:ascii="Book Antiqua" w:hAnsi="Book Antiqua" w:cs="SimSun"/>
          <w:b/>
          <w:bCs/>
          <w:sz w:val="24"/>
          <w:szCs w:val="24"/>
        </w:rPr>
        <w:t>Chen YJ</w:t>
      </w:r>
      <w:r w:rsidRPr="006D0CCD">
        <w:rPr>
          <w:rFonts w:ascii="Book Antiqua" w:hAnsi="Book Antiqua" w:cs="SimSun"/>
          <w:sz w:val="24"/>
          <w:szCs w:val="24"/>
        </w:rPr>
        <w:t>, Wu CY, Huang YL, Wang CB, Shen JL, Chang YT. Cancer risks of dermatomyositis and polymyositis: a nationwide cohort study in Taiwan.</w:t>
      </w:r>
      <w:r w:rsidRPr="00F14AE8">
        <w:rPr>
          <w:rFonts w:ascii="Book Antiqua" w:hAnsi="Book Antiqua" w:cs="SimSun"/>
          <w:sz w:val="24"/>
          <w:szCs w:val="24"/>
        </w:rPr>
        <w:t> </w:t>
      </w:r>
      <w:r w:rsidRPr="006D0CCD">
        <w:rPr>
          <w:rFonts w:ascii="Book Antiqua" w:hAnsi="Book Antiqua" w:cs="SimSun"/>
          <w:i/>
          <w:iCs/>
          <w:sz w:val="24"/>
          <w:szCs w:val="24"/>
        </w:rPr>
        <w:t>Arthritis Res Ther</w:t>
      </w:r>
      <w:r w:rsidRPr="00F14AE8">
        <w:rPr>
          <w:rFonts w:ascii="Book Antiqua" w:hAnsi="Book Antiqua" w:cs="SimSun"/>
          <w:sz w:val="24"/>
          <w:szCs w:val="24"/>
        </w:rPr>
        <w:t> </w:t>
      </w:r>
      <w:r w:rsidRPr="006D0CCD">
        <w:rPr>
          <w:rFonts w:ascii="Book Antiqua" w:hAnsi="Book Antiqua" w:cs="SimSun"/>
          <w:sz w:val="24"/>
          <w:szCs w:val="24"/>
        </w:rPr>
        <w:t>2010;</w:t>
      </w:r>
      <w:r w:rsidRPr="00F14AE8">
        <w:rPr>
          <w:rFonts w:ascii="Book Antiqua" w:hAnsi="Book Antiqua" w:cs="SimSun"/>
          <w:sz w:val="24"/>
          <w:szCs w:val="24"/>
        </w:rPr>
        <w:t> </w:t>
      </w:r>
      <w:r w:rsidRPr="006D0CCD">
        <w:rPr>
          <w:rFonts w:ascii="Book Antiqua" w:hAnsi="Book Antiqua" w:cs="SimSun"/>
          <w:b/>
          <w:bCs/>
          <w:sz w:val="24"/>
          <w:szCs w:val="24"/>
        </w:rPr>
        <w:t>12</w:t>
      </w:r>
      <w:r w:rsidRPr="006D0CCD">
        <w:rPr>
          <w:rFonts w:ascii="Book Antiqua" w:hAnsi="Book Antiqua" w:cs="SimSun"/>
          <w:sz w:val="24"/>
          <w:szCs w:val="24"/>
        </w:rPr>
        <w:t>: R70 [PMID: 20398365 DOI: 10.1186/ar2987]</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6</w:t>
      </w:r>
      <w:r w:rsidRPr="00F14AE8">
        <w:rPr>
          <w:rFonts w:ascii="Book Antiqua" w:hAnsi="Book Antiqua" w:cs="SimSun"/>
          <w:sz w:val="24"/>
          <w:szCs w:val="24"/>
        </w:rPr>
        <w:t> </w:t>
      </w:r>
      <w:r w:rsidRPr="006D0CCD">
        <w:rPr>
          <w:rFonts w:ascii="Book Antiqua" w:hAnsi="Book Antiqua" w:cs="SimSun"/>
          <w:b/>
          <w:bCs/>
          <w:sz w:val="24"/>
          <w:szCs w:val="24"/>
        </w:rPr>
        <w:t>Sparsa A</w:t>
      </w:r>
      <w:r w:rsidRPr="006D0CCD">
        <w:rPr>
          <w:rFonts w:ascii="Book Antiqua" w:hAnsi="Book Antiqua" w:cs="SimSun"/>
          <w:sz w:val="24"/>
          <w:szCs w:val="24"/>
        </w:rPr>
        <w:t>, Liozon E, Herrmann F, Ly K, Lebrun V, Soria P, Loustaud-Ratti V, Bouyssou-Gauthier ML, Boulinguez S, Bédane C, Jauberteau MO, Vidal E, Bonnetblanc JM. Routine vs extensive malignancy search for adult dermatomyositis and polymyositis: a study of 40 patients.</w:t>
      </w:r>
      <w:r w:rsidRPr="00F14AE8">
        <w:rPr>
          <w:rFonts w:ascii="Book Antiqua" w:hAnsi="Book Antiqua" w:cs="SimSun"/>
          <w:sz w:val="24"/>
          <w:szCs w:val="24"/>
        </w:rPr>
        <w:t> </w:t>
      </w:r>
      <w:r w:rsidRPr="006D0CCD">
        <w:rPr>
          <w:rFonts w:ascii="Book Antiqua" w:hAnsi="Book Antiqua" w:cs="SimSun"/>
          <w:i/>
          <w:iCs/>
          <w:sz w:val="24"/>
          <w:szCs w:val="24"/>
        </w:rPr>
        <w:t>Arch Dermatol</w:t>
      </w:r>
      <w:r w:rsidRPr="00F14AE8">
        <w:rPr>
          <w:rFonts w:ascii="Book Antiqua" w:hAnsi="Book Antiqua" w:cs="SimSun"/>
          <w:sz w:val="24"/>
          <w:szCs w:val="24"/>
        </w:rPr>
        <w:t> </w:t>
      </w:r>
      <w:r w:rsidRPr="006D0CCD">
        <w:rPr>
          <w:rFonts w:ascii="Book Antiqua" w:hAnsi="Book Antiqua" w:cs="SimSun"/>
          <w:sz w:val="24"/>
          <w:szCs w:val="24"/>
        </w:rPr>
        <w:t>2002;</w:t>
      </w:r>
      <w:r w:rsidRPr="00F14AE8">
        <w:rPr>
          <w:rFonts w:ascii="Book Antiqua" w:hAnsi="Book Antiqua" w:cs="SimSun"/>
          <w:sz w:val="24"/>
          <w:szCs w:val="24"/>
        </w:rPr>
        <w:t> </w:t>
      </w:r>
      <w:r w:rsidRPr="006D0CCD">
        <w:rPr>
          <w:rFonts w:ascii="Book Antiqua" w:hAnsi="Book Antiqua" w:cs="SimSun"/>
          <w:b/>
          <w:bCs/>
          <w:sz w:val="24"/>
          <w:szCs w:val="24"/>
        </w:rPr>
        <w:t>138</w:t>
      </w:r>
      <w:r w:rsidRPr="006D0CCD">
        <w:rPr>
          <w:rFonts w:ascii="Book Antiqua" w:hAnsi="Book Antiqua" w:cs="SimSun"/>
          <w:sz w:val="24"/>
          <w:szCs w:val="24"/>
        </w:rPr>
        <w:t>: 885-890 [PMID: 12071815]</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7</w:t>
      </w:r>
      <w:r w:rsidRPr="00F14AE8">
        <w:rPr>
          <w:rFonts w:ascii="Book Antiqua" w:hAnsi="Book Antiqua" w:cs="SimSun"/>
          <w:sz w:val="24"/>
          <w:szCs w:val="24"/>
        </w:rPr>
        <w:t> </w:t>
      </w:r>
      <w:r w:rsidRPr="006D0CCD">
        <w:rPr>
          <w:rFonts w:ascii="Book Antiqua" w:hAnsi="Book Antiqua" w:cs="SimSun"/>
          <w:b/>
          <w:bCs/>
          <w:sz w:val="24"/>
          <w:szCs w:val="24"/>
        </w:rPr>
        <w:t>András C</w:t>
      </w:r>
      <w:r w:rsidRPr="006D0CCD">
        <w:rPr>
          <w:rFonts w:ascii="Book Antiqua" w:hAnsi="Book Antiqua" w:cs="SimSun"/>
          <w:sz w:val="24"/>
          <w:szCs w:val="24"/>
        </w:rPr>
        <w:t>, Ponyi A, Constantin T, Csiki Z, Szekanecz E, Szodoray P, Dankó K. Dermatomyositis and polymyositis associated with malignancy: a 21-year retrospective study.</w:t>
      </w:r>
      <w:r w:rsidRPr="00F14AE8">
        <w:rPr>
          <w:rFonts w:ascii="Book Antiqua" w:hAnsi="Book Antiqua" w:cs="SimSun"/>
          <w:sz w:val="24"/>
          <w:szCs w:val="24"/>
        </w:rPr>
        <w:t> </w:t>
      </w:r>
      <w:r w:rsidRPr="006D0CCD">
        <w:rPr>
          <w:rFonts w:ascii="Book Antiqua" w:hAnsi="Book Antiqua" w:cs="SimSun"/>
          <w:i/>
          <w:iCs/>
          <w:sz w:val="24"/>
          <w:szCs w:val="24"/>
        </w:rPr>
        <w:t>J Rheumatol</w:t>
      </w:r>
      <w:r w:rsidRPr="00F14AE8">
        <w:rPr>
          <w:rFonts w:ascii="Book Antiqua" w:hAnsi="Book Antiqua" w:cs="SimSun"/>
          <w:sz w:val="24"/>
          <w:szCs w:val="24"/>
        </w:rPr>
        <w:t> </w:t>
      </w:r>
      <w:r w:rsidRPr="006D0CCD">
        <w:rPr>
          <w:rFonts w:ascii="Book Antiqua" w:hAnsi="Book Antiqua" w:cs="SimSun"/>
          <w:sz w:val="24"/>
          <w:szCs w:val="24"/>
        </w:rPr>
        <w:t>2008;</w:t>
      </w:r>
      <w:r w:rsidRPr="00F14AE8">
        <w:rPr>
          <w:rFonts w:ascii="Book Antiqua" w:hAnsi="Book Antiqua" w:cs="SimSun"/>
          <w:sz w:val="24"/>
          <w:szCs w:val="24"/>
        </w:rPr>
        <w:t> </w:t>
      </w:r>
      <w:r w:rsidRPr="006D0CCD">
        <w:rPr>
          <w:rFonts w:ascii="Book Antiqua" w:hAnsi="Book Antiqua" w:cs="SimSun"/>
          <w:b/>
          <w:bCs/>
          <w:sz w:val="24"/>
          <w:szCs w:val="24"/>
        </w:rPr>
        <w:t>35</w:t>
      </w:r>
      <w:r w:rsidRPr="006D0CCD">
        <w:rPr>
          <w:rFonts w:ascii="Book Antiqua" w:hAnsi="Book Antiqua" w:cs="SimSun"/>
          <w:sz w:val="24"/>
          <w:szCs w:val="24"/>
        </w:rPr>
        <w:t>: 438-444 [PMID: 18203322]</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8</w:t>
      </w:r>
      <w:r w:rsidRPr="00F14AE8">
        <w:rPr>
          <w:rFonts w:ascii="Book Antiqua" w:hAnsi="Book Antiqua" w:cs="SimSun"/>
          <w:sz w:val="24"/>
          <w:szCs w:val="24"/>
        </w:rPr>
        <w:t> </w:t>
      </w:r>
      <w:r w:rsidRPr="006D0CCD">
        <w:rPr>
          <w:rFonts w:ascii="Book Antiqua" w:hAnsi="Book Antiqua" w:cs="SimSun"/>
          <w:b/>
          <w:bCs/>
          <w:sz w:val="24"/>
          <w:szCs w:val="24"/>
        </w:rPr>
        <w:t>Fang YF</w:t>
      </w:r>
      <w:r w:rsidRPr="006D0CCD">
        <w:rPr>
          <w:rFonts w:ascii="Book Antiqua" w:hAnsi="Book Antiqua" w:cs="SimSun"/>
          <w:sz w:val="24"/>
          <w:szCs w:val="24"/>
        </w:rPr>
        <w:t>, Wu YJ, Kuo CF, Luo SF, Yu KH. Malignancy in dermatomyositis and polymyositis: analysis of 192 patients.</w:t>
      </w:r>
      <w:r w:rsidRPr="00F14AE8">
        <w:rPr>
          <w:rFonts w:ascii="Book Antiqua" w:hAnsi="Book Antiqua" w:cs="SimSun"/>
          <w:sz w:val="24"/>
          <w:szCs w:val="24"/>
        </w:rPr>
        <w:t> </w:t>
      </w:r>
      <w:r w:rsidRPr="006D0CCD">
        <w:rPr>
          <w:rFonts w:ascii="Book Antiqua" w:hAnsi="Book Antiqua" w:cs="SimSun"/>
          <w:i/>
          <w:iCs/>
          <w:sz w:val="24"/>
          <w:szCs w:val="24"/>
        </w:rPr>
        <w:t>Clin Rheumatol</w:t>
      </w:r>
      <w:r w:rsidRPr="00F14AE8">
        <w:rPr>
          <w:rFonts w:ascii="Book Antiqua" w:hAnsi="Book Antiqua" w:cs="SimSun"/>
          <w:sz w:val="24"/>
          <w:szCs w:val="24"/>
        </w:rPr>
        <w:t> </w:t>
      </w:r>
      <w:r w:rsidRPr="006D0CCD">
        <w:rPr>
          <w:rFonts w:ascii="Book Antiqua" w:hAnsi="Book Antiqua" w:cs="SimSun"/>
          <w:sz w:val="24"/>
          <w:szCs w:val="24"/>
        </w:rPr>
        <w:t>2016;</w:t>
      </w:r>
      <w:r w:rsidRPr="00F14AE8">
        <w:rPr>
          <w:rFonts w:ascii="Book Antiqua" w:hAnsi="Book Antiqua" w:cs="SimSun"/>
          <w:sz w:val="24"/>
          <w:szCs w:val="24"/>
        </w:rPr>
        <w:t> </w:t>
      </w:r>
      <w:r w:rsidRPr="006D0CCD">
        <w:rPr>
          <w:rFonts w:ascii="Book Antiqua" w:hAnsi="Book Antiqua" w:cs="SimSun"/>
          <w:b/>
          <w:bCs/>
          <w:sz w:val="24"/>
          <w:szCs w:val="24"/>
        </w:rPr>
        <w:t>35</w:t>
      </w:r>
      <w:r w:rsidRPr="006D0CCD">
        <w:rPr>
          <w:rFonts w:ascii="Book Antiqua" w:hAnsi="Book Antiqua" w:cs="SimSun"/>
          <w:sz w:val="24"/>
          <w:szCs w:val="24"/>
        </w:rPr>
        <w:t>: 1977-1984 [PMID: 27210465 DOI: 10.1007/s10067-016-3296-8]</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9</w:t>
      </w:r>
      <w:r w:rsidRPr="00F14AE8">
        <w:rPr>
          <w:rFonts w:ascii="Book Antiqua" w:hAnsi="Book Antiqua" w:cs="SimSun"/>
          <w:sz w:val="24"/>
          <w:szCs w:val="24"/>
        </w:rPr>
        <w:t> </w:t>
      </w:r>
      <w:r w:rsidRPr="006D0CCD">
        <w:rPr>
          <w:rFonts w:ascii="Book Antiqua" w:hAnsi="Book Antiqua" w:cs="SimSun"/>
          <w:b/>
          <w:bCs/>
          <w:sz w:val="24"/>
          <w:szCs w:val="24"/>
        </w:rPr>
        <w:t>Limaye V</w:t>
      </w:r>
      <w:r w:rsidRPr="006D0CCD">
        <w:rPr>
          <w:rFonts w:ascii="Book Antiqua" w:hAnsi="Book Antiqua" w:cs="SimSun"/>
          <w:sz w:val="24"/>
          <w:szCs w:val="24"/>
        </w:rPr>
        <w:t>, Luke C, Tucker G, Hill C, Lester S, Blumbergs P, Roberts-Thomson P. The incidence and associations of malignancy in a large cohort of patients with biopsy-</w:t>
      </w:r>
      <w:r w:rsidRPr="006D0CCD">
        <w:rPr>
          <w:rFonts w:ascii="Book Antiqua" w:hAnsi="Book Antiqua" w:cs="SimSun"/>
          <w:sz w:val="24"/>
          <w:szCs w:val="24"/>
        </w:rPr>
        <w:lastRenderedPageBreak/>
        <w:t>determined idiopathic inflammatory myositis.</w:t>
      </w:r>
      <w:r w:rsidRPr="00F14AE8">
        <w:rPr>
          <w:rFonts w:ascii="Book Antiqua" w:hAnsi="Book Antiqua" w:cs="SimSun"/>
          <w:sz w:val="24"/>
          <w:szCs w:val="24"/>
        </w:rPr>
        <w:t> </w:t>
      </w:r>
      <w:r w:rsidRPr="006D0CCD">
        <w:rPr>
          <w:rFonts w:ascii="Book Antiqua" w:hAnsi="Book Antiqua" w:cs="SimSun"/>
          <w:i/>
          <w:iCs/>
          <w:sz w:val="24"/>
          <w:szCs w:val="24"/>
        </w:rPr>
        <w:t>Rheumatol Int</w:t>
      </w:r>
      <w:r w:rsidRPr="00F14AE8">
        <w:rPr>
          <w:rFonts w:ascii="Book Antiqua" w:hAnsi="Book Antiqua" w:cs="SimSun"/>
          <w:sz w:val="24"/>
          <w:szCs w:val="24"/>
        </w:rPr>
        <w:t> </w:t>
      </w:r>
      <w:r w:rsidRPr="006D0CCD">
        <w:rPr>
          <w:rFonts w:ascii="Book Antiqua" w:hAnsi="Book Antiqua" w:cs="SimSun"/>
          <w:sz w:val="24"/>
          <w:szCs w:val="24"/>
        </w:rPr>
        <w:t>2013;</w:t>
      </w:r>
      <w:r w:rsidRPr="00F14AE8">
        <w:rPr>
          <w:rFonts w:ascii="Book Antiqua" w:hAnsi="Book Antiqua" w:cs="SimSun"/>
          <w:sz w:val="24"/>
          <w:szCs w:val="24"/>
        </w:rPr>
        <w:t> </w:t>
      </w:r>
      <w:r w:rsidRPr="006D0CCD">
        <w:rPr>
          <w:rFonts w:ascii="Book Antiqua" w:hAnsi="Book Antiqua" w:cs="SimSun"/>
          <w:b/>
          <w:bCs/>
          <w:sz w:val="24"/>
          <w:szCs w:val="24"/>
        </w:rPr>
        <w:t>33</w:t>
      </w:r>
      <w:r w:rsidRPr="006D0CCD">
        <w:rPr>
          <w:rFonts w:ascii="Book Antiqua" w:hAnsi="Book Antiqua" w:cs="SimSun"/>
          <w:sz w:val="24"/>
          <w:szCs w:val="24"/>
        </w:rPr>
        <w:t>: 965-971 [PMID: 22833242 DOI: 10.1007/s00296-012-2489-y]</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10</w:t>
      </w:r>
      <w:r w:rsidRPr="00F14AE8">
        <w:rPr>
          <w:rFonts w:ascii="Book Antiqua" w:hAnsi="Book Antiqua" w:cs="SimSun"/>
          <w:sz w:val="24"/>
          <w:szCs w:val="24"/>
        </w:rPr>
        <w:t> </w:t>
      </w:r>
      <w:r w:rsidRPr="006D0CCD">
        <w:rPr>
          <w:rFonts w:ascii="Book Antiqua" w:hAnsi="Book Antiqua" w:cs="SimSun"/>
          <w:b/>
          <w:bCs/>
          <w:sz w:val="24"/>
          <w:szCs w:val="24"/>
        </w:rPr>
        <w:t>Bibbins-Domingo K</w:t>
      </w:r>
      <w:r w:rsidRPr="006D0CCD">
        <w:rPr>
          <w:rFonts w:ascii="Book Antiqua" w:hAnsi="Book Antiqua" w:cs="SimSun"/>
          <w:sz w:val="24"/>
          <w:szCs w:val="24"/>
        </w:rPr>
        <w:t>, Grossman DC, Curry SJ, Davidson KW, Epling JW, García FA, Gillman MW, Harper DM, Kemper AR, Krist AH, Kurth AE, Landefeld CS, Mangione CM, Owens DK, Phillips WR, Phipps MG, Pignone MP, Siu AL. Screening for Colorectal Cancer: US Preventive Services Task Force Recommendation Statement.</w:t>
      </w:r>
      <w:r w:rsidRPr="00F14AE8">
        <w:rPr>
          <w:rFonts w:ascii="Book Antiqua" w:hAnsi="Book Antiqua" w:cs="SimSun"/>
          <w:sz w:val="24"/>
          <w:szCs w:val="24"/>
        </w:rPr>
        <w:t> </w:t>
      </w:r>
      <w:r w:rsidRPr="006D0CCD">
        <w:rPr>
          <w:rFonts w:ascii="Book Antiqua" w:hAnsi="Book Antiqua" w:cs="SimSun"/>
          <w:i/>
          <w:iCs/>
          <w:sz w:val="24"/>
          <w:szCs w:val="24"/>
        </w:rPr>
        <w:t>JAMA</w:t>
      </w:r>
      <w:r w:rsidRPr="00F14AE8">
        <w:rPr>
          <w:rFonts w:ascii="Book Antiqua" w:hAnsi="Book Antiqua" w:cs="SimSun"/>
          <w:sz w:val="24"/>
          <w:szCs w:val="24"/>
        </w:rPr>
        <w:t> </w:t>
      </w:r>
      <w:r w:rsidRPr="006D0CCD">
        <w:rPr>
          <w:rFonts w:ascii="Book Antiqua" w:hAnsi="Book Antiqua" w:cs="SimSun"/>
          <w:sz w:val="24"/>
          <w:szCs w:val="24"/>
        </w:rPr>
        <w:t>2016;</w:t>
      </w:r>
      <w:r w:rsidRPr="00F14AE8">
        <w:rPr>
          <w:rFonts w:ascii="Book Antiqua" w:hAnsi="Book Antiqua" w:cs="SimSun"/>
          <w:sz w:val="24"/>
          <w:szCs w:val="24"/>
        </w:rPr>
        <w:t> </w:t>
      </w:r>
      <w:r w:rsidRPr="006D0CCD">
        <w:rPr>
          <w:rFonts w:ascii="Book Antiqua" w:hAnsi="Book Antiqua" w:cs="SimSun"/>
          <w:b/>
          <w:bCs/>
          <w:sz w:val="24"/>
          <w:szCs w:val="24"/>
        </w:rPr>
        <w:t>315</w:t>
      </w:r>
      <w:r w:rsidRPr="006D0CCD">
        <w:rPr>
          <w:rFonts w:ascii="Book Antiqua" w:hAnsi="Book Antiqua" w:cs="SimSun"/>
          <w:sz w:val="24"/>
          <w:szCs w:val="24"/>
        </w:rPr>
        <w:t>: 2564-2575 [PMID: 27304597]</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11</w:t>
      </w:r>
      <w:r w:rsidRPr="00F14AE8">
        <w:rPr>
          <w:rFonts w:ascii="Book Antiqua" w:hAnsi="Book Antiqua" w:cs="SimSun"/>
          <w:sz w:val="24"/>
          <w:szCs w:val="24"/>
        </w:rPr>
        <w:t> </w:t>
      </w:r>
      <w:r w:rsidRPr="006D0CCD">
        <w:rPr>
          <w:rFonts w:ascii="Book Antiqua" w:hAnsi="Book Antiqua" w:cs="SimSun"/>
          <w:b/>
          <w:bCs/>
          <w:sz w:val="24"/>
          <w:szCs w:val="24"/>
        </w:rPr>
        <w:t>Spechler SJ</w:t>
      </w:r>
      <w:r w:rsidRPr="006D0CCD">
        <w:rPr>
          <w:rFonts w:ascii="Book Antiqua" w:hAnsi="Book Antiqua" w:cs="SimSun"/>
          <w:sz w:val="24"/>
          <w:szCs w:val="24"/>
        </w:rPr>
        <w:t>, Souza RF. Barrett's esophagus.</w:t>
      </w:r>
      <w:r w:rsidRPr="00F14AE8">
        <w:rPr>
          <w:rFonts w:ascii="Book Antiqua" w:hAnsi="Book Antiqua" w:cs="SimSun"/>
          <w:sz w:val="24"/>
          <w:szCs w:val="24"/>
        </w:rPr>
        <w:t> </w:t>
      </w:r>
      <w:r w:rsidRPr="006D0CCD">
        <w:rPr>
          <w:rFonts w:ascii="Book Antiqua" w:hAnsi="Book Antiqua" w:cs="SimSun"/>
          <w:i/>
          <w:iCs/>
          <w:sz w:val="24"/>
          <w:szCs w:val="24"/>
        </w:rPr>
        <w:t>N Engl J Med</w:t>
      </w:r>
      <w:r w:rsidRPr="00F14AE8">
        <w:rPr>
          <w:rFonts w:ascii="Book Antiqua" w:hAnsi="Book Antiqua" w:cs="SimSun"/>
          <w:sz w:val="24"/>
          <w:szCs w:val="24"/>
        </w:rPr>
        <w:t> </w:t>
      </w:r>
      <w:r w:rsidRPr="006D0CCD">
        <w:rPr>
          <w:rFonts w:ascii="Book Antiqua" w:hAnsi="Book Antiqua" w:cs="SimSun"/>
          <w:sz w:val="24"/>
          <w:szCs w:val="24"/>
        </w:rPr>
        <w:t>2014;</w:t>
      </w:r>
      <w:r w:rsidRPr="00F14AE8">
        <w:rPr>
          <w:rFonts w:ascii="Book Antiqua" w:hAnsi="Book Antiqua" w:cs="SimSun"/>
          <w:sz w:val="24"/>
          <w:szCs w:val="24"/>
        </w:rPr>
        <w:t> </w:t>
      </w:r>
      <w:r w:rsidRPr="006D0CCD">
        <w:rPr>
          <w:rFonts w:ascii="Book Antiqua" w:hAnsi="Book Antiqua" w:cs="SimSun"/>
          <w:b/>
          <w:bCs/>
          <w:sz w:val="24"/>
          <w:szCs w:val="24"/>
        </w:rPr>
        <w:t>371</w:t>
      </w:r>
      <w:r w:rsidRPr="006D0CCD">
        <w:rPr>
          <w:rFonts w:ascii="Book Antiqua" w:hAnsi="Book Antiqua" w:cs="SimSun"/>
          <w:sz w:val="24"/>
          <w:szCs w:val="24"/>
        </w:rPr>
        <w:t>: 836-845 [PMID: 25162890 DOI: 10.1056/NEJMra1314704]</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12</w:t>
      </w:r>
      <w:r w:rsidRPr="00F14AE8">
        <w:rPr>
          <w:rFonts w:ascii="Book Antiqua" w:hAnsi="Book Antiqua" w:cs="SimSun"/>
          <w:sz w:val="24"/>
          <w:szCs w:val="24"/>
        </w:rPr>
        <w:t> </w:t>
      </w:r>
      <w:r w:rsidRPr="006D0CCD">
        <w:rPr>
          <w:rFonts w:ascii="Book Antiqua" w:hAnsi="Book Antiqua" w:cs="SimSun"/>
          <w:b/>
          <w:bCs/>
          <w:sz w:val="24"/>
          <w:szCs w:val="24"/>
        </w:rPr>
        <w:t>Yamashita K</w:t>
      </w:r>
      <w:r w:rsidRPr="006D0CCD">
        <w:rPr>
          <w:rFonts w:ascii="Book Antiqua" w:hAnsi="Book Antiqua" w:cs="SimSun"/>
          <w:sz w:val="24"/>
          <w:szCs w:val="24"/>
        </w:rPr>
        <w:t>, Hosokawa M, Hirohashi S, Arimura Y, Endo T, Denno R, Ikeda T, Imai K. Epstein-Barr virus-associated gastric cancer in a patient with dermatomyositis.</w:t>
      </w:r>
      <w:r w:rsidRPr="00F14AE8">
        <w:rPr>
          <w:rFonts w:ascii="Book Antiqua" w:hAnsi="Book Antiqua" w:cs="SimSun"/>
          <w:sz w:val="24"/>
          <w:szCs w:val="24"/>
        </w:rPr>
        <w:t> </w:t>
      </w:r>
      <w:r w:rsidRPr="006D0CCD">
        <w:rPr>
          <w:rFonts w:ascii="Book Antiqua" w:hAnsi="Book Antiqua" w:cs="SimSun"/>
          <w:i/>
          <w:iCs/>
          <w:sz w:val="24"/>
          <w:szCs w:val="24"/>
        </w:rPr>
        <w:t>Intern Med</w:t>
      </w:r>
      <w:r w:rsidRPr="00F14AE8">
        <w:rPr>
          <w:rFonts w:ascii="Book Antiqua" w:hAnsi="Book Antiqua" w:cs="SimSun"/>
          <w:sz w:val="24"/>
          <w:szCs w:val="24"/>
        </w:rPr>
        <w:t> </w:t>
      </w:r>
      <w:r w:rsidRPr="006D0CCD">
        <w:rPr>
          <w:rFonts w:ascii="Book Antiqua" w:hAnsi="Book Antiqua" w:cs="SimSun"/>
          <w:sz w:val="24"/>
          <w:szCs w:val="24"/>
        </w:rPr>
        <w:t>2001;</w:t>
      </w:r>
      <w:r w:rsidRPr="00F14AE8">
        <w:rPr>
          <w:rFonts w:ascii="Book Antiqua" w:hAnsi="Book Antiqua" w:cs="SimSun"/>
          <w:sz w:val="24"/>
          <w:szCs w:val="24"/>
        </w:rPr>
        <w:t> </w:t>
      </w:r>
      <w:r w:rsidRPr="006D0CCD">
        <w:rPr>
          <w:rFonts w:ascii="Book Antiqua" w:hAnsi="Book Antiqua" w:cs="SimSun"/>
          <w:b/>
          <w:bCs/>
          <w:sz w:val="24"/>
          <w:szCs w:val="24"/>
        </w:rPr>
        <w:t>40</w:t>
      </w:r>
      <w:r w:rsidRPr="006D0CCD">
        <w:rPr>
          <w:rFonts w:ascii="Book Antiqua" w:hAnsi="Book Antiqua" w:cs="SimSun"/>
          <w:sz w:val="24"/>
          <w:szCs w:val="24"/>
        </w:rPr>
        <w:t>: 96-99 [PMID: 11300169]</w:t>
      </w:r>
    </w:p>
    <w:p w:rsidR="00F14AE8" w:rsidRPr="006D0CCD" w:rsidRDefault="00F14AE8" w:rsidP="00F14AE8">
      <w:pPr>
        <w:spacing w:after="0" w:line="360" w:lineRule="auto"/>
        <w:jc w:val="both"/>
        <w:rPr>
          <w:rFonts w:ascii="Book Antiqua" w:hAnsi="Book Antiqua" w:cs="SimSun"/>
          <w:sz w:val="24"/>
          <w:szCs w:val="24"/>
        </w:rPr>
      </w:pPr>
      <w:r w:rsidRPr="006D0CCD">
        <w:rPr>
          <w:rFonts w:ascii="Book Antiqua" w:hAnsi="Book Antiqua" w:cs="SimSun"/>
          <w:sz w:val="24"/>
          <w:szCs w:val="24"/>
        </w:rPr>
        <w:t>13</w:t>
      </w:r>
      <w:r w:rsidRPr="00F14AE8">
        <w:rPr>
          <w:rFonts w:ascii="Book Antiqua" w:hAnsi="Book Antiqua" w:cs="SimSun"/>
          <w:sz w:val="24"/>
          <w:szCs w:val="24"/>
        </w:rPr>
        <w:t> </w:t>
      </w:r>
      <w:r w:rsidRPr="006D0CCD">
        <w:rPr>
          <w:rFonts w:ascii="Book Antiqua" w:hAnsi="Book Antiqua" w:cs="SimSun"/>
          <w:b/>
          <w:bCs/>
          <w:sz w:val="24"/>
          <w:szCs w:val="24"/>
        </w:rPr>
        <w:t>Marie I</w:t>
      </w:r>
      <w:r w:rsidRPr="006D0CCD">
        <w:rPr>
          <w:rFonts w:ascii="Book Antiqua" w:hAnsi="Book Antiqua" w:cs="SimSun"/>
          <w:sz w:val="24"/>
          <w:szCs w:val="24"/>
        </w:rPr>
        <w:t>, Hatron PY, Levesque H, Hachulla E, Hellot MF, Michon-Pasturel U, Courtois H, Devulder B. Influence of age on characteristics of polymyositis and dermatomyositis in adults.</w:t>
      </w:r>
      <w:r w:rsidRPr="00F14AE8">
        <w:rPr>
          <w:rFonts w:ascii="Book Antiqua" w:hAnsi="Book Antiqua" w:cs="SimSun"/>
          <w:sz w:val="24"/>
          <w:szCs w:val="24"/>
        </w:rPr>
        <w:t> </w:t>
      </w:r>
      <w:r w:rsidRPr="006D0CCD">
        <w:rPr>
          <w:rFonts w:ascii="Book Antiqua" w:hAnsi="Book Antiqua" w:cs="SimSun"/>
          <w:i/>
          <w:iCs/>
          <w:sz w:val="24"/>
          <w:szCs w:val="24"/>
        </w:rPr>
        <w:t>Medicine (Baltimore)</w:t>
      </w:r>
      <w:r w:rsidRPr="00F14AE8">
        <w:rPr>
          <w:rFonts w:ascii="Book Antiqua" w:hAnsi="Book Antiqua" w:cs="SimSun"/>
          <w:sz w:val="24"/>
          <w:szCs w:val="24"/>
        </w:rPr>
        <w:t> </w:t>
      </w:r>
      <w:r w:rsidRPr="006D0CCD">
        <w:rPr>
          <w:rFonts w:ascii="Book Antiqua" w:hAnsi="Book Antiqua" w:cs="SimSun"/>
          <w:sz w:val="24"/>
          <w:szCs w:val="24"/>
        </w:rPr>
        <w:t>1999;</w:t>
      </w:r>
      <w:r w:rsidRPr="00F14AE8">
        <w:rPr>
          <w:rFonts w:ascii="Book Antiqua" w:hAnsi="Book Antiqua" w:cs="SimSun"/>
          <w:sz w:val="24"/>
          <w:szCs w:val="24"/>
        </w:rPr>
        <w:t> </w:t>
      </w:r>
      <w:r w:rsidRPr="006D0CCD">
        <w:rPr>
          <w:rFonts w:ascii="Book Antiqua" w:hAnsi="Book Antiqua" w:cs="SimSun"/>
          <w:b/>
          <w:bCs/>
          <w:sz w:val="24"/>
          <w:szCs w:val="24"/>
        </w:rPr>
        <w:t>78</w:t>
      </w:r>
      <w:r w:rsidRPr="006D0CCD">
        <w:rPr>
          <w:rFonts w:ascii="Book Antiqua" w:hAnsi="Book Antiqua" w:cs="SimSun"/>
          <w:sz w:val="24"/>
          <w:szCs w:val="24"/>
        </w:rPr>
        <w:t>: 139-147 [PMID: 10352646]</w:t>
      </w:r>
    </w:p>
    <w:p w:rsidR="003A4100" w:rsidRPr="00F14AE8" w:rsidRDefault="003A4100" w:rsidP="00F14AE8">
      <w:pPr>
        <w:spacing w:after="0" w:line="360" w:lineRule="auto"/>
        <w:jc w:val="both"/>
        <w:rPr>
          <w:rFonts w:ascii="Book Antiqua" w:hAnsi="Book Antiqua"/>
          <w:sz w:val="24"/>
          <w:szCs w:val="24"/>
          <w:lang w:eastAsia="zh-CN"/>
        </w:rPr>
      </w:pPr>
    </w:p>
    <w:p w:rsidR="00D46930" w:rsidRPr="00F14AE8" w:rsidRDefault="00D46930" w:rsidP="00F14AE8">
      <w:pPr>
        <w:pStyle w:val="ListParagraph"/>
        <w:spacing w:after="0" w:line="360" w:lineRule="auto"/>
        <w:ind w:left="0"/>
        <w:rPr>
          <w:rFonts w:ascii="Book Antiqua" w:hAnsi="Book Antiqua"/>
          <w:b/>
          <w:bCs/>
          <w:color w:val="000000"/>
          <w:sz w:val="24"/>
          <w:szCs w:val="24"/>
          <w:lang w:eastAsia="zh-CN"/>
        </w:rPr>
      </w:pPr>
      <w:r w:rsidRPr="00F14AE8">
        <w:rPr>
          <w:rStyle w:val="Strong"/>
          <w:rFonts w:ascii="Book Antiqua" w:hAnsi="Book Antiqua" w:cs="Arial"/>
          <w:bCs w:val="0"/>
          <w:noProof/>
          <w:color w:val="000000"/>
          <w:sz w:val="24"/>
          <w:szCs w:val="24"/>
        </w:rPr>
        <w:t>P-Reviewer</w:t>
      </w:r>
      <w:r w:rsidRPr="00F14AE8">
        <w:rPr>
          <w:rStyle w:val="Strong"/>
          <w:rFonts w:ascii="Book Antiqua" w:hAnsi="Book Antiqua" w:cs="Arial"/>
          <w:bCs w:val="0"/>
          <w:noProof/>
          <w:color w:val="000000"/>
          <w:sz w:val="24"/>
          <w:szCs w:val="24"/>
          <w:lang w:eastAsia="zh-CN"/>
        </w:rPr>
        <w:t>:</w:t>
      </w:r>
      <w:r w:rsidRPr="00F14AE8">
        <w:rPr>
          <w:rFonts w:ascii="Book Antiqua" w:hAnsi="Book Antiqua"/>
          <w:bCs/>
          <w:color w:val="000000"/>
          <w:sz w:val="24"/>
          <w:szCs w:val="24"/>
        </w:rPr>
        <w:t xml:space="preserve">  Chow</w:t>
      </w:r>
      <w:r w:rsidRPr="00F14AE8">
        <w:rPr>
          <w:rFonts w:ascii="Book Antiqua" w:hAnsi="Book Antiqua"/>
          <w:bCs/>
          <w:color w:val="000000"/>
          <w:sz w:val="24"/>
          <w:szCs w:val="24"/>
          <w:lang w:eastAsia="zh-CN"/>
        </w:rPr>
        <w:t xml:space="preserve"> </w:t>
      </w:r>
      <w:r w:rsidRPr="00F14AE8">
        <w:rPr>
          <w:rFonts w:ascii="Book Antiqua" w:hAnsi="Book Antiqua"/>
          <w:bCs/>
          <w:color w:val="000000"/>
          <w:sz w:val="24"/>
          <w:szCs w:val="24"/>
        </w:rPr>
        <w:t>CFK</w:t>
      </w:r>
      <w:r w:rsidRPr="00F14AE8">
        <w:rPr>
          <w:rFonts w:ascii="Book Antiqua" w:hAnsi="Book Antiqua"/>
          <w:bCs/>
          <w:color w:val="000000"/>
          <w:sz w:val="24"/>
          <w:szCs w:val="24"/>
          <w:lang w:eastAsia="zh-CN"/>
        </w:rPr>
        <w:t>,</w:t>
      </w:r>
      <w:r w:rsidRPr="00F14AE8">
        <w:rPr>
          <w:rFonts w:ascii="Book Antiqua" w:hAnsi="Book Antiqua"/>
          <w:bCs/>
          <w:color w:val="000000"/>
          <w:sz w:val="24"/>
          <w:szCs w:val="24"/>
        </w:rPr>
        <w:t xml:space="preserve"> Treeprasertsuk</w:t>
      </w:r>
      <w:r w:rsidRPr="00F14AE8">
        <w:rPr>
          <w:rFonts w:ascii="Book Antiqua" w:hAnsi="Book Antiqua"/>
          <w:bCs/>
          <w:color w:val="000000"/>
          <w:sz w:val="24"/>
          <w:szCs w:val="24"/>
          <w:lang w:eastAsia="zh-CN"/>
        </w:rPr>
        <w:t xml:space="preserve"> S</w:t>
      </w:r>
      <w:r w:rsidRPr="00F14AE8">
        <w:rPr>
          <w:rFonts w:ascii="Book Antiqua" w:hAnsi="Book Antiqua"/>
          <w:bCs/>
          <w:color w:val="000000"/>
          <w:sz w:val="24"/>
          <w:szCs w:val="24"/>
        </w:rPr>
        <w:t xml:space="preserve"> </w:t>
      </w:r>
      <w:r w:rsidRPr="00F14AE8">
        <w:rPr>
          <w:rFonts w:ascii="Book Antiqua" w:hAnsi="Book Antiqua"/>
          <w:b/>
          <w:bCs/>
          <w:color w:val="000000"/>
          <w:sz w:val="24"/>
          <w:szCs w:val="24"/>
        </w:rPr>
        <w:t>S-Editor</w:t>
      </w:r>
      <w:r w:rsidRPr="00F14AE8">
        <w:rPr>
          <w:rFonts w:ascii="Book Antiqua" w:hAnsi="Book Antiqua"/>
          <w:b/>
          <w:bCs/>
          <w:color w:val="000000"/>
          <w:sz w:val="24"/>
          <w:szCs w:val="24"/>
          <w:lang w:eastAsia="zh-CN"/>
        </w:rPr>
        <w:t>:</w:t>
      </w:r>
      <w:r w:rsidRPr="00F14AE8">
        <w:rPr>
          <w:rFonts w:ascii="Book Antiqua" w:hAnsi="Book Antiqua"/>
          <w:bCs/>
          <w:color w:val="000000"/>
          <w:sz w:val="24"/>
          <w:szCs w:val="24"/>
        </w:rPr>
        <w:t xml:space="preserve"> </w:t>
      </w:r>
      <w:r w:rsidRPr="00F14AE8">
        <w:rPr>
          <w:rFonts w:ascii="Book Antiqua" w:hAnsi="Book Antiqua"/>
          <w:bCs/>
          <w:color w:val="000000"/>
          <w:sz w:val="24"/>
          <w:szCs w:val="24"/>
          <w:lang w:eastAsia="zh-CN"/>
        </w:rPr>
        <w:t>Qi Y</w:t>
      </w:r>
      <w:r w:rsidRPr="00F14AE8">
        <w:rPr>
          <w:rFonts w:ascii="Book Antiqua" w:hAnsi="Book Antiqua"/>
          <w:b/>
          <w:bCs/>
          <w:color w:val="000000"/>
          <w:sz w:val="24"/>
          <w:szCs w:val="24"/>
        </w:rPr>
        <w:t xml:space="preserve">   L-Editor</w:t>
      </w:r>
      <w:r w:rsidRPr="00F14AE8">
        <w:rPr>
          <w:rFonts w:ascii="Book Antiqua" w:hAnsi="Book Antiqua"/>
          <w:b/>
          <w:bCs/>
          <w:color w:val="000000"/>
          <w:sz w:val="24"/>
          <w:szCs w:val="24"/>
          <w:lang w:eastAsia="zh-CN"/>
        </w:rPr>
        <w:t>:</w:t>
      </w:r>
      <w:r w:rsidRPr="00F14AE8">
        <w:rPr>
          <w:rFonts w:ascii="Book Antiqua" w:hAnsi="Book Antiqua"/>
          <w:b/>
          <w:bCs/>
          <w:color w:val="000000"/>
          <w:sz w:val="24"/>
          <w:szCs w:val="24"/>
        </w:rPr>
        <w:t xml:space="preserve">   E-Editor</w:t>
      </w:r>
      <w:r w:rsidRPr="00F14AE8">
        <w:rPr>
          <w:rFonts w:ascii="Book Antiqua" w:hAnsi="Book Antiqua"/>
          <w:b/>
          <w:bCs/>
          <w:color w:val="000000"/>
          <w:sz w:val="24"/>
          <w:szCs w:val="24"/>
          <w:lang w:eastAsia="zh-CN"/>
        </w:rPr>
        <w:t>:</w:t>
      </w:r>
    </w:p>
    <w:p w:rsidR="00D46930" w:rsidRPr="00F14AE8" w:rsidRDefault="00D46930" w:rsidP="00F14AE8">
      <w:pPr>
        <w:shd w:val="clear" w:color="auto" w:fill="FFFFFF"/>
        <w:snapToGrid w:val="0"/>
        <w:spacing w:after="0" w:line="360" w:lineRule="auto"/>
        <w:rPr>
          <w:rFonts w:ascii="Book Antiqua" w:hAnsi="Book Antiqua" w:cs="Helvetica"/>
          <w:b/>
          <w:sz w:val="24"/>
          <w:szCs w:val="24"/>
        </w:rPr>
      </w:pPr>
      <w:r w:rsidRPr="00F14AE8">
        <w:rPr>
          <w:rFonts w:ascii="Book Antiqua" w:hAnsi="Book Antiqua" w:cs="Helvetica"/>
          <w:b/>
          <w:sz w:val="24"/>
          <w:szCs w:val="24"/>
        </w:rPr>
        <w:t xml:space="preserve">Specialty type: </w:t>
      </w:r>
      <w:r w:rsidRPr="00F14AE8">
        <w:rPr>
          <w:rFonts w:ascii="Book Antiqua" w:hAnsi="Book Antiqua" w:cs="Helvetica"/>
          <w:sz w:val="24"/>
          <w:szCs w:val="24"/>
        </w:rPr>
        <w:t>Gastroenterology and hepatology</w:t>
      </w:r>
    </w:p>
    <w:p w:rsidR="00D46930" w:rsidRPr="00F14AE8" w:rsidRDefault="00D46930" w:rsidP="00F14AE8">
      <w:pPr>
        <w:shd w:val="clear" w:color="auto" w:fill="FFFFFF"/>
        <w:snapToGrid w:val="0"/>
        <w:spacing w:after="0" w:line="360" w:lineRule="auto"/>
        <w:rPr>
          <w:rFonts w:ascii="Book Antiqua" w:hAnsi="Book Antiqua" w:cs="Helvetica"/>
          <w:sz w:val="24"/>
          <w:szCs w:val="24"/>
        </w:rPr>
      </w:pPr>
      <w:r w:rsidRPr="00F14AE8">
        <w:rPr>
          <w:rFonts w:ascii="Book Antiqua" w:hAnsi="Book Antiqua" w:cs="Helvetica"/>
          <w:b/>
          <w:sz w:val="24"/>
          <w:szCs w:val="24"/>
        </w:rPr>
        <w:t xml:space="preserve">Country of origin: </w:t>
      </w:r>
      <w:r w:rsidRPr="00F14AE8">
        <w:rPr>
          <w:rFonts w:ascii="Book Antiqua" w:hAnsi="Book Antiqua" w:cs="Helvetica"/>
          <w:sz w:val="24"/>
          <w:szCs w:val="24"/>
        </w:rPr>
        <w:t>United States</w:t>
      </w:r>
    </w:p>
    <w:p w:rsidR="00D46930" w:rsidRPr="00F14AE8" w:rsidRDefault="00D46930" w:rsidP="00F14AE8">
      <w:pPr>
        <w:shd w:val="clear" w:color="auto" w:fill="FFFFFF"/>
        <w:snapToGrid w:val="0"/>
        <w:spacing w:after="0" w:line="360" w:lineRule="auto"/>
        <w:rPr>
          <w:rFonts w:ascii="Book Antiqua" w:hAnsi="Book Antiqua" w:cs="Helvetica"/>
          <w:b/>
          <w:sz w:val="24"/>
          <w:szCs w:val="24"/>
        </w:rPr>
      </w:pPr>
      <w:r w:rsidRPr="00F14AE8">
        <w:rPr>
          <w:rFonts w:ascii="Book Antiqua" w:hAnsi="Book Antiqua" w:cs="Helvetica"/>
          <w:b/>
          <w:sz w:val="24"/>
          <w:szCs w:val="24"/>
        </w:rPr>
        <w:t>Peer-review report classification</w:t>
      </w:r>
    </w:p>
    <w:p w:rsidR="00D46930" w:rsidRPr="00F14AE8" w:rsidRDefault="00D46930" w:rsidP="00F14AE8">
      <w:pPr>
        <w:shd w:val="clear" w:color="auto" w:fill="FFFFFF"/>
        <w:snapToGrid w:val="0"/>
        <w:spacing w:after="0" w:line="360" w:lineRule="auto"/>
        <w:rPr>
          <w:rFonts w:ascii="Book Antiqua" w:hAnsi="Book Antiqua" w:cs="Helvetica"/>
          <w:sz w:val="24"/>
          <w:szCs w:val="24"/>
        </w:rPr>
      </w:pPr>
      <w:r w:rsidRPr="00F14AE8">
        <w:rPr>
          <w:rFonts w:ascii="Book Antiqua" w:hAnsi="Book Antiqua" w:cs="Helvetica"/>
          <w:sz w:val="24"/>
          <w:szCs w:val="24"/>
        </w:rPr>
        <w:t>Grade A (Excellent): 0</w:t>
      </w:r>
    </w:p>
    <w:p w:rsidR="00D46930" w:rsidRPr="00F14AE8" w:rsidRDefault="00D46930" w:rsidP="00F14AE8">
      <w:pPr>
        <w:shd w:val="clear" w:color="auto" w:fill="FFFFFF"/>
        <w:snapToGrid w:val="0"/>
        <w:spacing w:after="0" w:line="360" w:lineRule="auto"/>
        <w:rPr>
          <w:rFonts w:ascii="Book Antiqua" w:hAnsi="Book Antiqua" w:cs="Helvetica"/>
          <w:sz w:val="24"/>
          <w:szCs w:val="24"/>
          <w:lang w:eastAsia="zh-CN"/>
        </w:rPr>
      </w:pPr>
      <w:r w:rsidRPr="00F14AE8">
        <w:rPr>
          <w:rFonts w:ascii="Book Antiqua" w:hAnsi="Book Antiqua" w:cs="Helvetica"/>
          <w:sz w:val="24"/>
          <w:szCs w:val="24"/>
        </w:rPr>
        <w:t>Grade B (Very good):</w:t>
      </w:r>
      <w:r w:rsidRPr="00F14AE8">
        <w:rPr>
          <w:rFonts w:ascii="Book Antiqua" w:hAnsi="Book Antiqua" w:cs="Helvetica"/>
          <w:sz w:val="24"/>
          <w:szCs w:val="24"/>
          <w:lang w:eastAsia="zh-CN"/>
        </w:rPr>
        <w:t xml:space="preserve"> B</w:t>
      </w:r>
    </w:p>
    <w:p w:rsidR="00D46930" w:rsidRPr="00F14AE8" w:rsidRDefault="00D46930" w:rsidP="00F14AE8">
      <w:pPr>
        <w:shd w:val="clear" w:color="auto" w:fill="FFFFFF"/>
        <w:snapToGrid w:val="0"/>
        <w:spacing w:after="0" w:line="360" w:lineRule="auto"/>
        <w:rPr>
          <w:rFonts w:ascii="Book Antiqua" w:hAnsi="Book Antiqua" w:cs="Helvetica"/>
          <w:sz w:val="24"/>
          <w:szCs w:val="24"/>
          <w:lang w:eastAsia="zh-CN"/>
        </w:rPr>
      </w:pPr>
      <w:r w:rsidRPr="00F14AE8">
        <w:rPr>
          <w:rFonts w:ascii="Book Antiqua" w:hAnsi="Book Antiqua" w:cs="Helvetica"/>
          <w:sz w:val="24"/>
          <w:szCs w:val="24"/>
        </w:rPr>
        <w:t xml:space="preserve">Grade C (Good): </w:t>
      </w:r>
      <w:r w:rsidRPr="00F14AE8">
        <w:rPr>
          <w:rFonts w:ascii="Book Antiqua" w:hAnsi="Book Antiqua" w:cs="Helvetica"/>
          <w:sz w:val="24"/>
          <w:szCs w:val="24"/>
          <w:lang w:eastAsia="zh-CN"/>
        </w:rPr>
        <w:t>C</w:t>
      </w:r>
    </w:p>
    <w:p w:rsidR="00D46930" w:rsidRPr="00F14AE8" w:rsidRDefault="00D46930" w:rsidP="00F14AE8">
      <w:pPr>
        <w:shd w:val="clear" w:color="auto" w:fill="FFFFFF"/>
        <w:snapToGrid w:val="0"/>
        <w:spacing w:after="0" w:line="360" w:lineRule="auto"/>
        <w:rPr>
          <w:rFonts w:ascii="Book Antiqua" w:hAnsi="Book Antiqua" w:cs="Helvetica"/>
          <w:sz w:val="24"/>
          <w:szCs w:val="24"/>
        </w:rPr>
      </w:pPr>
      <w:r w:rsidRPr="00F14AE8">
        <w:rPr>
          <w:rFonts w:ascii="Book Antiqua" w:hAnsi="Book Antiqua" w:cs="Helvetica"/>
          <w:sz w:val="24"/>
          <w:szCs w:val="24"/>
        </w:rPr>
        <w:t>Grade D (Fair): 0</w:t>
      </w:r>
    </w:p>
    <w:p w:rsidR="00D46930" w:rsidRPr="00F14AE8" w:rsidRDefault="00D46930" w:rsidP="00F14AE8">
      <w:pPr>
        <w:shd w:val="clear" w:color="auto" w:fill="FFFFFF"/>
        <w:snapToGrid w:val="0"/>
        <w:spacing w:after="0" w:line="360" w:lineRule="auto"/>
        <w:rPr>
          <w:rFonts w:ascii="Book Antiqua" w:hAnsi="Book Antiqua" w:cs="Helvetica"/>
          <w:sz w:val="24"/>
          <w:szCs w:val="24"/>
        </w:rPr>
      </w:pPr>
      <w:r w:rsidRPr="00F14AE8">
        <w:rPr>
          <w:rFonts w:ascii="Book Antiqua" w:hAnsi="Book Antiqua" w:cs="Helvetica"/>
          <w:sz w:val="24"/>
          <w:szCs w:val="24"/>
        </w:rPr>
        <w:t>Grade E (Poor): 0</w:t>
      </w:r>
    </w:p>
    <w:p w:rsidR="00F2606C" w:rsidRPr="00F14AE8" w:rsidRDefault="00F2606C" w:rsidP="00F14AE8">
      <w:pPr>
        <w:spacing w:after="0" w:line="360" w:lineRule="auto"/>
        <w:jc w:val="both"/>
        <w:rPr>
          <w:rFonts w:ascii="Book Antiqua" w:hAnsi="Book Antiqua"/>
          <w:sz w:val="24"/>
          <w:szCs w:val="24"/>
        </w:rPr>
      </w:pPr>
    </w:p>
    <w:p w:rsidR="00F2606C" w:rsidRPr="00F14AE8" w:rsidRDefault="00F2606C" w:rsidP="00F14AE8">
      <w:pPr>
        <w:spacing w:after="0" w:line="360" w:lineRule="auto"/>
        <w:jc w:val="both"/>
        <w:rPr>
          <w:rFonts w:ascii="Book Antiqua" w:hAnsi="Book Antiqua"/>
          <w:sz w:val="24"/>
          <w:szCs w:val="24"/>
        </w:rPr>
      </w:pPr>
    </w:p>
    <w:p w:rsidR="00F2606C" w:rsidRPr="00F14AE8" w:rsidRDefault="00F2606C" w:rsidP="00F14AE8">
      <w:pPr>
        <w:spacing w:after="0" w:line="360" w:lineRule="auto"/>
        <w:jc w:val="both"/>
        <w:rPr>
          <w:rFonts w:ascii="Book Antiqua" w:hAnsi="Book Antiqua"/>
          <w:sz w:val="24"/>
          <w:szCs w:val="24"/>
        </w:rPr>
      </w:pPr>
    </w:p>
    <w:p w:rsidR="00C63A85" w:rsidRPr="00F14AE8" w:rsidRDefault="00C63A85" w:rsidP="00F14AE8">
      <w:pPr>
        <w:pStyle w:val="ListParagraph"/>
        <w:spacing w:after="0" w:line="360" w:lineRule="auto"/>
        <w:ind w:left="0"/>
        <w:jc w:val="both"/>
        <w:rPr>
          <w:rFonts w:ascii="Book Antiqua" w:hAnsi="Book Antiqua"/>
          <w:b/>
          <w:sz w:val="24"/>
          <w:szCs w:val="24"/>
        </w:rPr>
      </w:pPr>
    </w:p>
    <w:p w:rsidR="00C63A85" w:rsidRPr="00F14AE8" w:rsidRDefault="00832C24" w:rsidP="00F14AE8">
      <w:pPr>
        <w:pStyle w:val="ListParagraph"/>
        <w:spacing w:after="0" w:line="360" w:lineRule="auto"/>
        <w:ind w:left="0"/>
        <w:jc w:val="both"/>
        <w:rPr>
          <w:rFonts w:ascii="Book Antiqua" w:hAnsi="Book Antiqua"/>
          <w:b/>
          <w:sz w:val="24"/>
          <w:szCs w:val="24"/>
        </w:rPr>
      </w:pPr>
      <w:r>
        <w:rPr>
          <w:rFonts w:ascii="Book Antiqua" w:hAnsi="Book Antiqua"/>
          <w:noProof/>
          <w:sz w:val="24"/>
          <w:szCs w:val="24"/>
          <w:lang w:eastAsia="zh-CN"/>
        </w:rPr>
        <w:drawing>
          <wp:inline distT="0" distB="0" distL="0" distR="0">
            <wp:extent cx="5486400" cy="4972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972050"/>
                    </a:xfrm>
                    <a:prstGeom prst="rect">
                      <a:avLst/>
                    </a:prstGeom>
                    <a:noFill/>
                    <a:ln>
                      <a:noFill/>
                    </a:ln>
                  </pic:spPr>
                </pic:pic>
              </a:graphicData>
            </a:graphic>
          </wp:inline>
        </w:drawing>
      </w:r>
    </w:p>
    <w:p w:rsidR="006D25C0" w:rsidRPr="00F14AE8" w:rsidRDefault="006D25C0" w:rsidP="00F14AE8">
      <w:pPr>
        <w:pStyle w:val="ListParagraph"/>
        <w:spacing w:after="0" w:line="360" w:lineRule="auto"/>
        <w:ind w:left="0"/>
        <w:jc w:val="both"/>
        <w:rPr>
          <w:rFonts w:ascii="Book Antiqua" w:hAnsi="Book Antiqua"/>
          <w:b/>
          <w:sz w:val="24"/>
          <w:szCs w:val="24"/>
          <w:lang w:eastAsia="zh-CN"/>
        </w:rPr>
      </w:pPr>
      <w:r w:rsidRPr="00F14AE8">
        <w:rPr>
          <w:rFonts w:ascii="Book Antiqua" w:hAnsi="Book Antiqua"/>
          <w:b/>
          <w:sz w:val="24"/>
          <w:szCs w:val="24"/>
        </w:rPr>
        <w:t>Figure 1</w:t>
      </w:r>
      <w:r w:rsidR="00D46930" w:rsidRPr="00F14AE8">
        <w:rPr>
          <w:rFonts w:ascii="Book Antiqua" w:hAnsi="Book Antiqua"/>
          <w:b/>
          <w:sz w:val="24"/>
          <w:szCs w:val="24"/>
          <w:lang w:eastAsia="zh-CN"/>
        </w:rPr>
        <w:t xml:space="preserve"> </w:t>
      </w:r>
      <w:r w:rsidR="00C63A85" w:rsidRPr="00F14AE8">
        <w:rPr>
          <w:rFonts w:ascii="Book Antiqua" w:hAnsi="Book Antiqua"/>
          <w:b/>
          <w:sz w:val="24"/>
          <w:szCs w:val="24"/>
        </w:rPr>
        <w:t>Attached as a powerpoint file</w:t>
      </w:r>
      <w:r w:rsidR="00D46930" w:rsidRPr="00F14AE8">
        <w:rPr>
          <w:rFonts w:ascii="Book Antiqua" w:hAnsi="Book Antiqua"/>
          <w:b/>
          <w:sz w:val="24"/>
          <w:szCs w:val="24"/>
          <w:lang w:eastAsia="zh-CN"/>
        </w:rPr>
        <w:t>.</w:t>
      </w:r>
    </w:p>
    <w:p w:rsidR="006D25C0" w:rsidRPr="00F14AE8" w:rsidRDefault="006D25C0" w:rsidP="00F14AE8">
      <w:pPr>
        <w:pStyle w:val="ListParagraph"/>
        <w:spacing w:after="0" w:line="360" w:lineRule="auto"/>
        <w:ind w:left="0"/>
        <w:jc w:val="both"/>
        <w:rPr>
          <w:rFonts w:ascii="Book Antiqua" w:hAnsi="Book Antiqua"/>
          <w:b/>
          <w:sz w:val="24"/>
          <w:szCs w:val="24"/>
        </w:rPr>
      </w:pPr>
    </w:p>
    <w:p w:rsidR="006D25C0" w:rsidRPr="00F14AE8" w:rsidRDefault="006D25C0" w:rsidP="00F14AE8">
      <w:pPr>
        <w:pStyle w:val="ListParagraph"/>
        <w:spacing w:after="0" w:line="360" w:lineRule="auto"/>
        <w:ind w:left="0"/>
        <w:jc w:val="both"/>
        <w:rPr>
          <w:rFonts w:ascii="Book Antiqua" w:hAnsi="Book Antiqua"/>
          <w:b/>
          <w:sz w:val="24"/>
          <w:szCs w:val="24"/>
        </w:rPr>
      </w:pPr>
    </w:p>
    <w:p w:rsidR="006D25C0" w:rsidRPr="00F14AE8" w:rsidRDefault="006D25C0" w:rsidP="00F14AE8">
      <w:pPr>
        <w:pStyle w:val="ListParagraph"/>
        <w:spacing w:after="0" w:line="360" w:lineRule="auto"/>
        <w:ind w:left="0"/>
        <w:jc w:val="both"/>
        <w:rPr>
          <w:rFonts w:ascii="Book Antiqua" w:hAnsi="Book Antiqua"/>
          <w:b/>
          <w:sz w:val="24"/>
          <w:szCs w:val="24"/>
        </w:rPr>
      </w:pPr>
    </w:p>
    <w:p w:rsidR="006D25C0" w:rsidRPr="00F14AE8" w:rsidRDefault="006D25C0" w:rsidP="00F14AE8">
      <w:pPr>
        <w:pStyle w:val="ListParagraph"/>
        <w:spacing w:after="0" w:line="360" w:lineRule="auto"/>
        <w:ind w:left="0"/>
        <w:jc w:val="both"/>
        <w:rPr>
          <w:rFonts w:ascii="Book Antiqua" w:hAnsi="Book Antiqua"/>
          <w:b/>
          <w:sz w:val="24"/>
          <w:szCs w:val="24"/>
        </w:rPr>
      </w:pPr>
    </w:p>
    <w:p w:rsidR="006D25C0" w:rsidRPr="00F14AE8" w:rsidRDefault="006D25C0" w:rsidP="00F14AE8">
      <w:pPr>
        <w:pStyle w:val="ListParagraph"/>
        <w:spacing w:after="0" w:line="360" w:lineRule="auto"/>
        <w:ind w:left="0"/>
        <w:jc w:val="both"/>
        <w:rPr>
          <w:rFonts w:ascii="Book Antiqua" w:hAnsi="Book Antiqua"/>
          <w:b/>
          <w:sz w:val="24"/>
          <w:szCs w:val="24"/>
        </w:rPr>
      </w:pPr>
    </w:p>
    <w:p w:rsidR="006D25C0" w:rsidRPr="00F14AE8" w:rsidRDefault="006D25C0" w:rsidP="00F14AE8">
      <w:pPr>
        <w:pStyle w:val="ListParagraph"/>
        <w:spacing w:after="0" w:line="360" w:lineRule="auto"/>
        <w:ind w:left="0"/>
        <w:jc w:val="both"/>
        <w:rPr>
          <w:rFonts w:ascii="Book Antiqua" w:hAnsi="Book Antiqua"/>
          <w:b/>
          <w:sz w:val="24"/>
          <w:szCs w:val="24"/>
        </w:rPr>
      </w:pPr>
    </w:p>
    <w:p w:rsidR="006D25C0" w:rsidRPr="00F14AE8" w:rsidRDefault="006D25C0" w:rsidP="00F14AE8">
      <w:pPr>
        <w:pStyle w:val="ListParagraph"/>
        <w:spacing w:after="0" w:line="360" w:lineRule="auto"/>
        <w:ind w:left="0"/>
        <w:jc w:val="both"/>
        <w:rPr>
          <w:rFonts w:ascii="Book Antiqua" w:hAnsi="Book Antiqua"/>
          <w:b/>
          <w:sz w:val="24"/>
          <w:szCs w:val="24"/>
        </w:rPr>
      </w:pPr>
    </w:p>
    <w:p w:rsidR="006D25C0" w:rsidRPr="00F14AE8" w:rsidRDefault="006D25C0" w:rsidP="00F14AE8">
      <w:pPr>
        <w:pStyle w:val="ListParagraph"/>
        <w:spacing w:after="0" w:line="360" w:lineRule="auto"/>
        <w:ind w:left="0"/>
        <w:jc w:val="both"/>
        <w:rPr>
          <w:rFonts w:ascii="Book Antiqua" w:hAnsi="Book Antiqua"/>
          <w:b/>
          <w:sz w:val="24"/>
          <w:szCs w:val="24"/>
        </w:rPr>
      </w:pPr>
    </w:p>
    <w:p w:rsidR="002806C7" w:rsidRDefault="00D46930" w:rsidP="00F14AE8">
      <w:pPr>
        <w:pStyle w:val="ListParagraph"/>
        <w:spacing w:after="0" w:line="360" w:lineRule="auto"/>
        <w:ind w:left="0"/>
        <w:jc w:val="both"/>
        <w:rPr>
          <w:rFonts w:ascii="Book Antiqua" w:hAnsi="Book Antiqua"/>
          <w:b/>
          <w:sz w:val="24"/>
          <w:szCs w:val="24"/>
          <w:lang w:eastAsia="zh-CN"/>
        </w:rPr>
      </w:pPr>
      <w:r w:rsidRPr="00F14AE8">
        <w:rPr>
          <w:rFonts w:ascii="Book Antiqua" w:hAnsi="Book Antiqua"/>
          <w:b/>
          <w:sz w:val="24"/>
          <w:szCs w:val="24"/>
        </w:rPr>
        <w:br w:type="page"/>
      </w:r>
      <w:r w:rsidR="002806C7" w:rsidRPr="00F14AE8">
        <w:rPr>
          <w:rFonts w:ascii="Book Antiqua" w:hAnsi="Book Antiqua"/>
          <w:b/>
          <w:sz w:val="24"/>
          <w:szCs w:val="24"/>
        </w:rPr>
        <w:lastRenderedPageBreak/>
        <w:t>Table 1</w:t>
      </w:r>
      <w:r w:rsidRPr="00F14AE8">
        <w:rPr>
          <w:rFonts w:ascii="Book Antiqua" w:hAnsi="Book Antiqua"/>
          <w:b/>
          <w:sz w:val="24"/>
          <w:szCs w:val="24"/>
          <w:lang w:eastAsia="zh-CN"/>
        </w:rPr>
        <w:t xml:space="preserve"> </w:t>
      </w:r>
      <w:r w:rsidR="002806C7" w:rsidRPr="00F14AE8">
        <w:rPr>
          <w:rFonts w:ascii="Book Antiqua" w:hAnsi="Book Antiqua"/>
          <w:b/>
          <w:sz w:val="24"/>
          <w:szCs w:val="24"/>
        </w:rPr>
        <w:t>Baseline demographic and indications for endoscopy</w:t>
      </w:r>
      <w:r w:rsidRPr="00F14AE8">
        <w:rPr>
          <w:rFonts w:ascii="Book Antiqua" w:hAnsi="Book Antiqua"/>
          <w:b/>
          <w:sz w:val="24"/>
          <w:szCs w:val="24"/>
          <w:lang w:eastAsia="zh-CN"/>
        </w:rPr>
        <w:t xml:space="preserve"> </w:t>
      </w:r>
      <w:r w:rsidRPr="00F14AE8">
        <w:rPr>
          <w:rFonts w:ascii="Book Antiqua" w:hAnsi="Book Antiqua"/>
          <w:b/>
          <w:i/>
          <w:sz w:val="24"/>
          <w:szCs w:val="24"/>
          <w:lang w:eastAsia="zh-CN"/>
        </w:rPr>
        <w:t>n</w:t>
      </w:r>
      <w:r w:rsidRPr="00F14AE8">
        <w:rPr>
          <w:rFonts w:ascii="Book Antiqua" w:hAnsi="Book Antiqua"/>
          <w:b/>
          <w:sz w:val="24"/>
          <w:szCs w:val="24"/>
          <w:lang w:eastAsia="zh-CN"/>
        </w:rPr>
        <w:t xml:space="preserve"> (%)</w:t>
      </w:r>
    </w:p>
    <w:p w:rsidR="003530DE" w:rsidRPr="00F14AE8" w:rsidRDefault="003530DE" w:rsidP="00F14AE8">
      <w:pPr>
        <w:pStyle w:val="ListParagraph"/>
        <w:spacing w:after="0" w:line="360" w:lineRule="auto"/>
        <w:ind w:left="0"/>
        <w:jc w:val="both"/>
        <w:rPr>
          <w:rFonts w:ascii="Book Antiqua" w:hAnsi="Book Antiqua"/>
          <w:b/>
          <w:sz w:val="24"/>
          <w:szCs w:val="24"/>
          <w:lang w:eastAsia="zh-CN"/>
        </w:rPr>
      </w:pPr>
    </w:p>
    <w:tbl>
      <w:tblPr>
        <w:tblW w:w="7667" w:type="dxa"/>
        <w:tblInd w:w="96" w:type="dxa"/>
        <w:tblBorders>
          <w:top w:val="single" w:sz="4" w:space="0" w:color="auto"/>
          <w:bottom w:val="single" w:sz="4" w:space="0" w:color="auto"/>
        </w:tblBorders>
        <w:tblLook w:val="04A0" w:firstRow="1" w:lastRow="0" w:firstColumn="1" w:lastColumn="0" w:noHBand="0" w:noVBand="1"/>
      </w:tblPr>
      <w:tblGrid>
        <w:gridCol w:w="4040"/>
        <w:gridCol w:w="3627"/>
      </w:tblGrid>
      <w:tr w:rsidR="002806C7" w:rsidRPr="00F14AE8" w:rsidTr="00D46930">
        <w:trPr>
          <w:trHeight w:val="288"/>
        </w:trPr>
        <w:tc>
          <w:tcPr>
            <w:tcW w:w="4040" w:type="dxa"/>
            <w:tcBorders>
              <w:top w:val="single" w:sz="4" w:space="0" w:color="auto"/>
              <w:bottom w:val="single" w:sz="4" w:space="0" w:color="auto"/>
            </w:tcBorders>
            <w:shd w:val="clear" w:color="auto" w:fill="auto"/>
            <w:vAlign w:val="bottom"/>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Baseline characteristics</w:t>
            </w:r>
          </w:p>
        </w:tc>
        <w:tc>
          <w:tcPr>
            <w:tcW w:w="3627" w:type="dxa"/>
            <w:tcBorders>
              <w:top w:val="single" w:sz="4" w:space="0" w:color="auto"/>
              <w:bottom w:val="single" w:sz="4" w:space="0" w:color="auto"/>
            </w:tcBorders>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Had endoscopy (</w:t>
            </w:r>
            <w:r w:rsidRPr="00F14AE8">
              <w:rPr>
                <w:rFonts w:ascii="Book Antiqua" w:hAnsi="Book Antiqua"/>
                <w:b/>
                <w:bCs/>
                <w:i/>
                <w:color w:val="000000"/>
                <w:sz w:val="24"/>
                <w:szCs w:val="24"/>
              </w:rPr>
              <w:t>n</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79)</w:t>
            </w:r>
          </w:p>
        </w:tc>
      </w:tr>
      <w:tr w:rsidR="002806C7" w:rsidRPr="00F14AE8" w:rsidTr="00D46930">
        <w:trPr>
          <w:trHeight w:val="288"/>
        </w:trPr>
        <w:tc>
          <w:tcPr>
            <w:tcW w:w="4040" w:type="dxa"/>
            <w:tcBorders>
              <w:top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Age (</w:t>
            </w:r>
            <w:r w:rsidR="00D46930" w:rsidRPr="00F14AE8">
              <w:rPr>
                <w:rFonts w:ascii="Book Antiqua" w:hAnsi="Book Antiqua"/>
                <w:color w:val="000000"/>
                <w:sz w:val="24"/>
                <w:szCs w:val="24"/>
                <w:lang w:eastAsia="zh-CN"/>
              </w:rPr>
              <w:t xml:space="preserve">mean </w:t>
            </w:r>
            <w:r w:rsidR="00D46930" w:rsidRPr="00F14AE8">
              <w:rPr>
                <w:rFonts w:ascii="Book Antiqua" w:hAnsi="Book Antiqua"/>
                <w:color w:val="000000"/>
                <w:sz w:val="24"/>
                <w:szCs w:val="24"/>
                <w:lang w:eastAsia="zh-CN"/>
              </w:rPr>
              <w:sym w:font="Symbol" w:char="F0B1"/>
            </w:r>
            <w:r w:rsidR="00D46930" w:rsidRPr="00F14AE8">
              <w:rPr>
                <w:rFonts w:ascii="Book Antiqua" w:hAnsi="Book Antiqua"/>
                <w:color w:val="000000"/>
                <w:sz w:val="24"/>
                <w:szCs w:val="24"/>
                <w:lang w:eastAsia="zh-CN"/>
              </w:rPr>
              <w:t xml:space="preserve"> </w:t>
            </w:r>
            <w:r w:rsidRPr="00F14AE8">
              <w:rPr>
                <w:rFonts w:ascii="Book Antiqua" w:hAnsi="Book Antiqua"/>
                <w:color w:val="000000"/>
                <w:sz w:val="24"/>
                <w:szCs w:val="24"/>
              </w:rPr>
              <w:t>SD)</w:t>
            </w:r>
          </w:p>
        </w:tc>
        <w:tc>
          <w:tcPr>
            <w:tcW w:w="3627" w:type="dxa"/>
            <w:tcBorders>
              <w:top w:val="single" w:sz="4" w:space="0" w:color="auto"/>
            </w:tcBorders>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56.7 (14.4)</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Male gender</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21 (27</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Age at Dermatomyositis diagnosis (</w:t>
            </w:r>
            <w:r w:rsidR="00D46930" w:rsidRPr="00F14AE8">
              <w:rPr>
                <w:rFonts w:ascii="Book Antiqua" w:hAnsi="Book Antiqua"/>
                <w:color w:val="000000"/>
                <w:sz w:val="24"/>
                <w:szCs w:val="24"/>
                <w:lang w:eastAsia="zh-CN"/>
              </w:rPr>
              <w:t xml:space="preserve">mean </w:t>
            </w:r>
            <w:r w:rsidR="00D46930" w:rsidRPr="00F14AE8">
              <w:rPr>
                <w:rFonts w:ascii="Book Antiqua" w:hAnsi="Book Antiqua"/>
                <w:color w:val="000000"/>
                <w:sz w:val="24"/>
                <w:szCs w:val="24"/>
                <w:lang w:eastAsia="zh-CN"/>
              </w:rPr>
              <w:sym w:font="Symbol" w:char="F0B1"/>
            </w:r>
            <w:r w:rsidR="00D46930" w:rsidRPr="00F14AE8">
              <w:rPr>
                <w:rFonts w:ascii="Book Antiqua" w:hAnsi="Book Antiqua"/>
                <w:color w:val="000000"/>
                <w:sz w:val="24"/>
                <w:szCs w:val="24"/>
                <w:lang w:eastAsia="zh-CN"/>
              </w:rPr>
              <w:t xml:space="preserve"> </w:t>
            </w:r>
            <w:r w:rsidR="00D46930" w:rsidRPr="00F14AE8">
              <w:rPr>
                <w:rFonts w:ascii="Book Antiqua" w:hAnsi="Book Antiqua"/>
                <w:color w:val="000000"/>
                <w:sz w:val="24"/>
                <w:szCs w:val="24"/>
              </w:rPr>
              <w:t>SD</w:t>
            </w:r>
            <w:r w:rsidRPr="00F14AE8">
              <w:rPr>
                <w:rFonts w:ascii="Book Antiqua" w:hAnsi="Book Antiqua"/>
                <w:color w:val="000000"/>
                <w:sz w:val="24"/>
                <w:szCs w:val="24"/>
              </w:rPr>
              <w:t>)</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50.1 (15.9)</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Disease duration (</w:t>
            </w:r>
            <w:r w:rsidR="00D46930" w:rsidRPr="00F14AE8">
              <w:rPr>
                <w:rFonts w:ascii="Book Antiqua" w:hAnsi="Book Antiqua"/>
                <w:color w:val="000000"/>
                <w:sz w:val="24"/>
                <w:szCs w:val="24"/>
                <w:lang w:eastAsia="zh-CN"/>
              </w:rPr>
              <w:t xml:space="preserve">mean </w:t>
            </w:r>
            <w:r w:rsidR="00D46930" w:rsidRPr="00F14AE8">
              <w:rPr>
                <w:rFonts w:ascii="Book Antiqua" w:hAnsi="Book Antiqua"/>
                <w:color w:val="000000"/>
                <w:sz w:val="24"/>
                <w:szCs w:val="24"/>
                <w:lang w:eastAsia="zh-CN"/>
              </w:rPr>
              <w:sym w:font="Symbol" w:char="F0B1"/>
            </w:r>
            <w:r w:rsidR="00D46930" w:rsidRPr="00F14AE8">
              <w:rPr>
                <w:rFonts w:ascii="Book Antiqua" w:hAnsi="Book Antiqua"/>
                <w:color w:val="000000"/>
                <w:sz w:val="24"/>
                <w:szCs w:val="24"/>
                <w:lang w:eastAsia="zh-CN"/>
              </w:rPr>
              <w:t xml:space="preserve"> </w:t>
            </w:r>
            <w:r w:rsidR="00D46930" w:rsidRPr="00F14AE8">
              <w:rPr>
                <w:rFonts w:ascii="Book Antiqua" w:hAnsi="Book Antiqua"/>
                <w:color w:val="000000"/>
                <w:sz w:val="24"/>
                <w:szCs w:val="24"/>
              </w:rPr>
              <w:t>SD</w:t>
            </w:r>
            <w:r w:rsidRPr="00F14AE8">
              <w:rPr>
                <w:rFonts w:ascii="Book Antiqua" w:hAnsi="Book Antiqua"/>
                <w:color w:val="000000"/>
                <w:sz w:val="24"/>
                <w:szCs w:val="24"/>
              </w:rPr>
              <w:t>) at time of endoscopy</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6.8 (6.6)</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Personal history of cancer</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8 (10.1</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Melanoma</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Prostate</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Endometrial</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NCC</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HCC</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RCC</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AdenoCA of unknown origin</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w:t>
            </w:r>
          </w:p>
        </w:tc>
        <w:tc>
          <w:tcPr>
            <w:tcW w:w="3627" w:type="dxa"/>
            <w:shd w:val="clear" w:color="auto" w:fill="auto"/>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b/>
                <w:bCs/>
                <w:color w:val="000000"/>
                <w:sz w:val="24"/>
                <w:szCs w:val="24"/>
                <w:u w:val="single"/>
              </w:rPr>
            </w:pPr>
            <w:r w:rsidRPr="00F14AE8">
              <w:rPr>
                <w:rFonts w:ascii="Book Antiqua" w:hAnsi="Book Antiqua"/>
                <w:b/>
                <w:bCs/>
                <w:color w:val="000000"/>
                <w:sz w:val="24"/>
                <w:szCs w:val="24"/>
                <w:u w:val="single"/>
              </w:rPr>
              <w:t>Indication for EGD</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Had EGD (</w:t>
            </w:r>
            <w:r w:rsidR="00D46930" w:rsidRPr="00F14AE8">
              <w:rPr>
                <w:rFonts w:ascii="Book Antiqua" w:hAnsi="Book Antiqua"/>
                <w:b/>
                <w:bCs/>
                <w:i/>
                <w:color w:val="000000"/>
                <w:sz w:val="24"/>
                <w:szCs w:val="24"/>
              </w:rPr>
              <w:t>n</w:t>
            </w:r>
            <w:r w:rsidR="00D46930" w:rsidRPr="00F14AE8">
              <w:rPr>
                <w:rFonts w:ascii="Book Antiqua" w:hAnsi="Book Antiqua"/>
                <w:b/>
                <w:bCs/>
                <w:color w:val="000000"/>
                <w:sz w:val="24"/>
                <w:szCs w:val="24"/>
              </w:rPr>
              <w:t xml:space="preserve"> </w:t>
            </w:r>
            <w:r w:rsidRPr="00F14AE8">
              <w:rPr>
                <w:rFonts w:ascii="Book Antiqua" w:hAnsi="Book Antiqua"/>
                <w:b/>
                <w:bCs/>
                <w:color w:val="000000"/>
                <w:sz w:val="24"/>
                <w:szCs w:val="24"/>
              </w:rPr>
              <w:t>=</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47)</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Screening</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19 (40.4)</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Dysphagia</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13 (27.7</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Dyspepsia/ pain</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9 (19.1</w:t>
            </w:r>
            <w:r w:rsidR="002806C7" w:rsidRPr="00F14AE8">
              <w:rPr>
                <w:rFonts w:ascii="Book Antiqua" w:hAnsi="Book Antiqua"/>
                <w:color w:val="000000"/>
                <w:sz w:val="24"/>
                <w:szCs w:val="24"/>
              </w:rPr>
              <w:t>)</w:t>
            </w:r>
          </w:p>
        </w:tc>
      </w:tr>
      <w:tr w:rsidR="002806C7" w:rsidRPr="00F14AE8" w:rsidTr="00D46930">
        <w:trPr>
          <w:trHeight w:val="31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IDA</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(4.3</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Weight loss</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3 (6.4</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Abnormal CT scan</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(2.1</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b/>
                <w:bCs/>
                <w:color w:val="000000"/>
                <w:sz w:val="24"/>
                <w:szCs w:val="24"/>
                <w:u w:val="single"/>
              </w:rPr>
            </w:pPr>
            <w:r w:rsidRPr="00F14AE8">
              <w:rPr>
                <w:rFonts w:ascii="Book Antiqua" w:hAnsi="Book Antiqua"/>
                <w:b/>
                <w:bCs/>
                <w:color w:val="000000"/>
                <w:sz w:val="24"/>
                <w:szCs w:val="24"/>
                <w:u w:val="single"/>
              </w:rPr>
              <w:t>Indication for colonoscopy</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Had colonoscopy (</w:t>
            </w:r>
            <w:r w:rsidR="00D46930" w:rsidRPr="00F14AE8">
              <w:rPr>
                <w:rFonts w:ascii="Book Antiqua" w:hAnsi="Book Antiqua"/>
                <w:b/>
                <w:bCs/>
                <w:i/>
                <w:color w:val="000000"/>
                <w:sz w:val="24"/>
                <w:szCs w:val="24"/>
              </w:rPr>
              <w:t>n</w:t>
            </w:r>
            <w:r w:rsidR="00D46930" w:rsidRPr="00F14AE8">
              <w:rPr>
                <w:rFonts w:ascii="Book Antiqua" w:hAnsi="Book Antiqua"/>
                <w:b/>
                <w:bCs/>
                <w:color w:val="000000"/>
                <w:sz w:val="24"/>
                <w:szCs w:val="24"/>
              </w:rPr>
              <w:t xml:space="preserve"> </w:t>
            </w:r>
            <w:r w:rsidRPr="00F14AE8">
              <w:rPr>
                <w:rFonts w:ascii="Book Antiqua" w:hAnsi="Book Antiqua"/>
                <w:b/>
                <w:bCs/>
                <w:color w:val="000000"/>
                <w:sz w:val="24"/>
                <w:szCs w:val="24"/>
              </w:rPr>
              <w:t>=</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67)</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Screening</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49 (73.1</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Surveillance</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(3.0</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lastRenderedPageBreak/>
              <w:t>Diarrhea, abdominal pain</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11 (16.4</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IDA</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(3.0</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Weight loss</w:t>
            </w:r>
          </w:p>
        </w:tc>
        <w:tc>
          <w:tcPr>
            <w:tcW w:w="3627"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1 </w:t>
            </w:r>
            <w:r w:rsidR="00D46930" w:rsidRPr="00F14AE8">
              <w:rPr>
                <w:rFonts w:ascii="Book Antiqua" w:hAnsi="Book Antiqua"/>
                <w:color w:val="000000"/>
                <w:sz w:val="24"/>
                <w:szCs w:val="24"/>
              </w:rPr>
              <w:t>(1.5</w:t>
            </w:r>
            <w:r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Blood in stool</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(1.5</w:t>
            </w:r>
            <w:r w:rsidR="002806C7" w:rsidRPr="00F14AE8">
              <w:rPr>
                <w:rFonts w:ascii="Book Antiqua" w:hAnsi="Book Antiqua"/>
                <w:color w:val="000000"/>
                <w:sz w:val="24"/>
                <w:szCs w:val="24"/>
              </w:rPr>
              <w:t>)</w:t>
            </w:r>
          </w:p>
        </w:tc>
      </w:tr>
      <w:tr w:rsidR="002806C7" w:rsidRPr="00F14AE8" w:rsidTr="00D46930">
        <w:trPr>
          <w:trHeight w:val="288"/>
        </w:trPr>
        <w:tc>
          <w:tcPr>
            <w:tcW w:w="40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Abnormal CT</w:t>
            </w:r>
          </w:p>
        </w:tc>
        <w:tc>
          <w:tcPr>
            <w:tcW w:w="3627"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(1.5</w:t>
            </w:r>
            <w:r w:rsidR="002806C7" w:rsidRPr="00F14AE8">
              <w:rPr>
                <w:rFonts w:ascii="Book Antiqua" w:hAnsi="Book Antiqua"/>
                <w:color w:val="000000"/>
                <w:sz w:val="24"/>
                <w:szCs w:val="24"/>
              </w:rPr>
              <w:t>)</w:t>
            </w:r>
          </w:p>
        </w:tc>
      </w:tr>
    </w:tbl>
    <w:p w:rsidR="002806C7" w:rsidRPr="00F14AE8" w:rsidRDefault="00D46930" w:rsidP="00F14AE8">
      <w:pPr>
        <w:spacing w:after="0" w:line="360" w:lineRule="auto"/>
        <w:jc w:val="both"/>
        <w:rPr>
          <w:rFonts w:ascii="Book Antiqua" w:hAnsi="Book Antiqua"/>
          <w:color w:val="000000"/>
          <w:sz w:val="24"/>
          <w:szCs w:val="24"/>
          <w:lang w:eastAsia="zh-CN"/>
        </w:rPr>
      </w:pPr>
      <w:r w:rsidRPr="00F14AE8">
        <w:rPr>
          <w:rFonts w:ascii="Book Antiqua" w:hAnsi="Book Antiqua"/>
          <w:iCs/>
          <w:color w:val="000000"/>
          <w:sz w:val="24"/>
          <w:szCs w:val="24"/>
        </w:rPr>
        <w:t>DM</w:t>
      </w:r>
      <w:r w:rsidRPr="00F14AE8">
        <w:rPr>
          <w:rFonts w:ascii="Book Antiqua" w:hAnsi="Book Antiqua"/>
          <w:iCs/>
          <w:color w:val="000000"/>
          <w:sz w:val="24"/>
          <w:szCs w:val="24"/>
          <w:lang w:eastAsia="zh-CN"/>
        </w:rPr>
        <w:t xml:space="preserve">: </w:t>
      </w:r>
      <w:r w:rsidR="002806C7" w:rsidRPr="00F14AE8">
        <w:rPr>
          <w:rFonts w:ascii="Book Antiqua" w:hAnsi="Book Antiqua"/>
          <w:iCs/>
          <w:color w:val="000000"/>
          <w:sz w:val="24"/>
          <w:szCs w:val="24"/>
        </w:rPr>
        <w:t xml:space="preserve">Dermatomyositis; </w:t>
      </w:r>
      <w:r w:rsidRPr="00F14AE8">
        <w:rPr>
          <w:rFonts w:ascii="Book Antiqua" w:hAnsi="Book Antiqua"/>
          <w:iCs/>
          <w:color w:val="000000"/>
          <w:sz w:val="24"/>
          <w:szCs w:val="24"/>
        </w:rPr>
        <w:t>NCC</w:t>
      </w:r>
      <w:r w:rsidRPr="00F14AE8">
        <w:rPr>
          <w:rFonts w:ascii="Book Antiqua" w:hAnsi="Book Antiqua"/>
          <w:iCs/>
          <w:color w:val="000000"/>
          <w:sz w:val="24"/>
          <w:szCs w:val="24"/>
          <w:lang w:eastAsia="zh-CN"/>
        </w:rPr>
        <w:t xml:space="preserve">: </w:t>
      </w:r>
      <w:r w:rsidR="002806C7" w:rsidRPr="00F14AE8">
        <w:rPr>
          <w:rFonts w:ascii="Book Antiqua" w:hAnsi="Book Antiqua"/>
          <w:iCs/>
          <w:color w:val="000000"/>
          <w:sz w:val="24"/>
          <w:szCs w:val="24"/>
        </w:rPr>
        <w:t xml:space="preserve">Nasal cell cancer; </w:t>
      </w:r>
      <w:r w:rsidRPr="00F14AE8">
        <w:rPr>
          <w:rFonts w:ascii="Book Antiqua" w:hAnsi="Book Antiqua"/>
          <w:iCs/>
          <w:color w:val="000000"/>
          <w:sz w:val="24"/>
          <w:szCs w:val="24"/>
        </w:rPr>
        <w:t>HCC</w:t>
      </w:r>
      <w:r w:rsidRPr="00F14AE8">
        <w:rPr>
          <w:rFonts w:ascii="Book Antiqua" w:hAnsi="Book Antiqua"/>
          <w:iCs/>
          <w:color w:val="000000"/>
          <w:sz w:val="24"/>
          <w:szCs w:val="24"/>
          <w:lang w:eastAsia="zh-CN"/>
        </w:rPr>
        <w:t xml:space="preserve">: </w:t>
      </w:r>
      <w:r w:rsidR="002806C7" w:rsidRPr="00F14AE8">
        <w:rPr>
          <w:rFonts w:ascii="Book Antiqua" w:hAnsi="Book Antiqua"/>
          <w:iCs/>
          <w:color w:val="000000"/>
          <w:sz w:val="24"/>
          <w:szCs w:val="24"/>
        </w:rPr>
        <w:t xml:space="preserve">Hepatocellular carcinoma; </w:t>
      </w:r>
      <w:r w:rsidRPr="00F14AE8">
        <w:rPr>
          <w:rFonts w:ascii="Book Antiqua" w:hAnsi="Book Antiqua"/>
          <w:iCs/>
          <w:color w:val="000000"/>
          <w:sz w:val="24"/>
          <w:szCs w:val="24"/>
        </w:rPr>
        <w:t>RCC</w:t>
      </w:r>
      <w:r w:rsidR="003530DE">
        <w:rPr>
          <w:rFonts w:ascii="Book Antiqua" w:hAnsi="Book Antiqua" w:hint="eastAsia"/>
          <w:iCs/>
          <w:color w:val="000000"/>
          <w:sz w:val="24"/>
          <w:szCs w:val="24"/>
          <w:lang w:eastAsia="zh-CN"/>
        </w:rPr>
        <w:t>:</w:t>
      </w:r>
      <w:r w:rsidRPr="00F14AE8">
        <w:rPr>
          <w:rFonts w:ascii="Book Antiqua" w:hAnsi="Book Antiqua"/>
          <w:iCs/>
          <w:color w:val="000000"/>
          <w:sz w:val="24"/>
          <w:szCs w:val="24"/>
        </w:rPr>
        <w:t xml:space="preserve"> </w:t>
      </w:r>
      <w:r w:rsidR="002806C7" w:rsidRPr="00F14AE8">
        <w:rPr>
          <w:rFonts w:ascii="Book Antiqua" w:hAnsi="Book Antiqua"/>
          <w:iCs/>
          <w:color w:val="000000"/>
          <w:sz w:val="24"/>
          <w:szCs w:val="24"/>
        </w:rPr>
        <w:t xml:space="preserve">Renal cell cancer; </w:t>
      </w:r>
      <w:r w:rsidRPr="00F14AE8">
        <w:rPr>
          <w:rFonts w:ascii="Book Antiqua" w:hAnsi="Book Antiqua"/>
          <w:iCs/>
          <w:color w:val="000000"/>
          <w:sz w:val="24"/>
          <w:szCs w:val="24"/>
        </w:rPr>
        <w:t>AdenoCa</w:t>
      </w:r>
      <w:r w:rsidRPr="00F14AE8">
        <w:rPr>
          <w:rFonts w:ascii="Book Antiqua" w:hAnsi="Book Antiqua"/>
          <w:iCs/>
          <w:color w:val="000000"/>
          <w:sz w:val="24"/>
          <w:szCs w:val="24"/>
          <w:lang w:eastAsia="zh-CN"/>
        </w:rPr>
        <w:t>:</w:t>
      </w:r>
      <w:r w:rsidRPr="00F14AE8">
        <w:rPr>
          <w:rFonts w:ascii="Book Antiqua" w:hAnsi="Book Antiqua"/>
          <w:iCs/>
          <w:color w:val="000000"/>
          <w:sz w:val="24"/>
          <w:szCs w:val="24"/>
        </w:rPr>
        <w:t xml:space="preserve"> </w:t>
      </w:r>
      <w:r w:rsidR="002806C7" w:rsidRPr="00F14AE8">
        <w:rPr>
          <w:rFonts w:ascii="Book Antiqua" w:hAnsi="Book Antiqua"/>
          <w:iCs/>
          <w:color w:val="000000"/>
          <w:sz w:val="24"/>
          <w:szCs w:val="24"/>
        </w:rPr>
        <w:t>Adenocarcinoma</w:t>
      </w:r>
      <w:r w:rsidR="003530DE">
        <w:rPr>
          <w:rFonts w:ascii="Book Antiqua" w:hAnsi="Book Antiqua" w:hint="eastAsia"/>
          <w:iCs/>
          <w:color w:val="000000"/>
          <w:sz w:val="24"/>
          <w:szCs w:val="24"/>
          <w:lang w:eastAsia="zh-CN"/>
        </w:rPr>
        <w:t xml:space="preserve">; </w:t>
      </w:r>
      <w:r w:rsidR="003530DE" w:rsidRPr="00F14AE8">
        <w:rPr>
          <w:rFonts w:ascii="Book Antiqua" w:hAnsi="Book Antiqua"/>
          <w:sz w:val="24"/>
          <w:szCs w:val="24"/>
        </w:rPr>
        <w:t>EGD</w:t>
      </w:r>
      <w:r w:rsidR="003530DE">
        <w:rPr>
          <w:rFonts w:ascii="Book Antiqua" w:hAnsi="Book Antiqua" w:hint="eastAsia"/>
          <w:sz w:val="24"/>
          <w:szCs w:val="24"/>
          <w:lang w:eastAsia="zh-CN"/>
        </w:rPr>
        <w:t>:</w:t>
      </w:r>
      <w:r w:rsidR="003530DE" w:rsidRPr="003530DE">
        <w:rPr>
          <w:rFonts w:ascii="Book Antiqua" w:hAnsi="Book Antiqua"/>
          <w:sz w:val="24"/>
          <w:szCs w:val="24"/>
        </w:rPr>
        <w:t xml:space="preserve"> </w:t>
      </w:r>
      <w:r w:rsidR="003530DE" w:rsidRPr="00F14AE8">
        <w:rPr>
          <w:rFonts w:ascii="Book Antiqua" w:hAnsi="Book Antiqua"/>
          <w:sz w:val="24"/>
          <w:szCs w:val="24"/>
        </w:rPr>
        <w:t>Esophagogastroduodenoscopy</w:t>
      </w:r>
      <w:r w:rsidR="003530DE">
        <w:rPr>
          <w:rFonts w:ascii="Book Antiqua" w:hAnsi="Book Antiqua" w:hint="eastAsia"/>
          <w:sz w:val="24"/>
          <w:szCs w:val="24"/>
          <w:lang w:eastAsia="zh-CN"/>
        </w:rPr>
        <w:t>.</w:t>
      </w: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D46930" w:rsidP="00F14AE8">
      <w:pPr>
        <w:pStyle w:val="ListParagraph"/>
        <w:spacing w:after="0" w:line="360" w:lineRule="auto"/>
        <w:ind w:left="0"/>
        <w:jc w:val="both"/>
        <w:rPr>
          <w:rFonts w:ascii="Book Antiqua" w:hAnsi="Book Antiqua"/>
          <w:b/>
          <w:sz w:val="24"/>
          <w:szCs w:val="24"/>
        </w:rPr>
      </w:pPr>
      <w:r w:rsidRPr="00F14AE8">
        <w:rPr>
          <w:rFonts w:ascii="Book Antiqua" w:hAnsi="Book Antiqua"/>
          <w:b/>
          <w:sz w:val="24"/>
          <w:szCs w:val="24"/>
        </w:rPr>
        <w:br w:type="page"/>
      </w:r>
      <w:r w:rsidR="002806C7" w:rsidRPr="00F14AE8">
        <w:rPr>
          <w:rFonts w:ascii="Book Antiqua" w:hAnsi="Book Antiqua"/>
          <w:b/>
          <w:sz w:val="24"/>
          <w:szCs w:val="24"/>
        </w:rPr>
        <w:lastRenderedPageBreak/>
        <w:t>Table 2</w:t>
      </w:r>
      <w:r w:rsidRPr="00F14AE8">
        <w:rPr>
          <w:rFonts w:ascii="Book Antiqua" w:hAnsi="Book Antiqua"/>
          <w:b/>
          <w:sz w:val="24"/>
          <w:szCs w:val="24"/>
          <w:lang w:eastAsia="zh-CN"/>
        </w:rPr>
        <w:t xml:space="preserve"> </w:t>
      </w:r>
      <w:r w:rsidR="002806C7" w:rsidRPr="00F14AE8">
        <w:rPr>
          <w:rFonts w:ascii="Book Antiqua" w:hAnsi="Book Antiqua"/>
          <w:b/>
          <w:sz w:val="24"/>
          <w:szCs w:val="24"/>
        </w:rPr>
        <w:t>Yield of endoscopy</w:t>
      </w:r>
      <w:r w:rsidRPr="00F14AE8">
        <w:rPr>
          <w:rFonts w:ascii="Book Antiqua" w:hAnsi="Book Antiqua"/>
          <w:b/>
          <w:sz w:val="24"/>
          <w:szCs w:val="24"/>
          <w:lang w:eastAsia="zh-CN"/>
        </w:rPr>
        <w:t xml:space="preserve"> </w:t>
      </w:r>
      <w:r w:rsidRPr="00F14AE8">
        <w:rPr>
          <w:rFonts w:ascii="Book Antiqua" w:hAnsi="Book Antiqua"/>
          <w:b/>
          <w:i/>
          <w:sz w:val="24"/>
          <w:szCs w:val="24"/>
          <w:lang w:eastAsia="zh-CN"/>
        </w:rPr>
        <w:t>n</w:t>
      </w:r>
      <w:r w:rsidRPr="00F14AE8">
        <w:rPr>
          <w:rFonts w:ascii="Book Antiqua" w:hAnsi="Book Antiqua"/>
          <w:b/>
          <w:sz w:val="24"/>
          <w:szCs w:val="24"/>
          <w:lang w:eastAsia="zh-CN"/>
        </w:rPr>
        <w:t xml:space="preserve"> (%)</w:t>
      </w:r>
    </w:p>
    <w:p w:rsidR="002806C7" w:rsidRPr="00F14AE8" w:rsidRDefault="002806C7" w:rsidP="00F14AE8">
      <w:pPr>
        <w:pStyle w:val="ListParagraph"/>
        <w:spacing w:after="0" w:line="360" w:lineRule="auto"/>
        <w:ind w:left="0"/>
        <w:jc w:val="both"/>
        <w:rPr>
          <w:rFonts w:ascii="Book Antiqua" w:hAnsi="Book Antiqua"/>
          <w:sz w:val="24"/>
          <w:szCs w:val="24"/>
        </w:rPr>
      </w:pPr>
    </w:p>
    <w:tbl>
      <w:tblPr>
        <w:tblW w:w="5951" w:type="dxa"/>
        <w:jc w:val="center"/>
        <w:tblBorders>
          <w:top w:val="single" w:sz="4" w:space="0" w:color="auto"/>
          <w:bottom w:val="single" w:sz="4" w:space="0" w:color="auto"/>
        </w:tblBorders>
        <w:tblLook w:val="04A0" w:firstRow="1" w:lastRow="0" w:firstColumn="1" w:lastColumn="0" w:noHBand="0" w:noVBand="1"/>
      </w:tblPr>
      <w:tblGrid>
        <w:gridCol w:w="4491"/>
        <w:gridCol w:w="1460"/>
      </w:tblGrid>
      <w:tr w:rsidR="002806C7" w:rsidRPr="00F14AE8" w:rsidTr="00D46930">
        <w:trPr>
          <w:trHeight w:val="288"/>
          <w:jc w:val="center"/>
        </w:trPr>
        <w:tc>
          <w:tcPr>
            <w:tcW w:w="4491" w:type="dxa"/>
            <w:tcBorders>
              <w:top w:val="single" w:sz="4" w:space="0" w:color="auto"/>
              <w:bottom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Findings on EGD</w:t>
            </w:r>
          </w:p>
        </w:tc>
        <w:tc>
          <w:tcPr>
            <w:tcW w:w="1460" w:type="dxa"/>
            <w:tcBorders>
              <w:top w:val="single" w:sz="4" w:space="0" w:color="auto"/>
              <w:bottom w:val="single" w:sz="4" w:space="0" w:color="auto"/>
            </w:tcBorders>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i/>
                <w:color w:val="000000"/>
                <w:sz w:val="24"/>
                <w:szCs w:val="24"/>
              </w:rPr>
              <w:t>n</w:t>
            </w:r>
            <w:r w:rsidRPr="00F14AE8">
              <w:rPr>
                <w:rFonts w:ascii="Book Antiqua" w:hAnsi="Book Antiqua"/>
                <w:b/>
                <w:bCs/>
                <w:color w:val="000000"/>
                <w:sz w:val="24"/>
                <w:szCs w:val="24"/>
              </w:rPr>
              <w:t xml:space="preserve"> = 47</w:t>
            </w:r>
          </w:p>
        </w:tc>
      </w:tr>
      <w:tr w:rsidR="002806C7" w:rsidRPr="00F14AE8" w:rsidTr="00D46930">
        <w:trPr>
          <w:trHeight w:val="288"/>
          <w:jc w:val="center"/>
        </w:trPr>
        <w:tc>
          <w:tcPr>
            <w:tcW w:w="4491" w:type="dxa"/>
            <w:tcBorders>
              <w:top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Malignancy</w:t>
            </w:r>
          </w:p>
        </w:tc>
        <w:tc>
          <w:tcPr>
            <w:tcW w:w="1460" w:type="dxa"/>
            <w:tcBorders>
              <w:top w:val="single" w:sz="4" w:space="0" w:color="auto"/>
            </w:tcBorders>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Pre-malignancy </w:t>
            </w:r>
          </w:p>
        </w:tc>
        <w:tc>
          <w:tcPr>
            <w:tcW w:w="146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3 (6.4</w:t>
            </w:r>
            <w:r w:rsidR="002806C7" w:rsidRPr="00F14AE8">
              <w:rPr>
                <w:rFonts w:ascii="Book Antiqua" w:hAnsi="Book Antiqua"/>
                <w:color w:val="000000"/>
                <w:sz w:val="24"/>
                <w:szCs w:val="24"/>
              </w:rPr>
              <w:t>)</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Barrett's esophagus without dysplasia</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Gastric intestinal metaplasia</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Non-malignant findings</w:t>
            </w:r>
          </w:p>
        </w:tc>
        <w:tc>
          <w:tcPr>
            <w:tcW w:w="146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8 (17</w:t>
            </w:r>
            <w:r w:rsidR="002806C7" w:rsidRPr="00F14AE8">
              <w:rPr>
                <w:rFonts w:ascii="Book Antiqua" w:hAnsi="Book Antiqua"/>
                <w:color w:val="000000"/>
                <w:sz w:val="24"/>
                <w:szCs w:val="24"/>
              </w:rPr>
              <w:t>)</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Esophageal varices</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i/>
                <w:color w:val="000000"/>
                <w:sz w:val="24"/>
                <w:szCs w:val="24"/>
              </w:rPr>
              <w:t xml:space="preserve">   H.</w:t>
            </w:r>
            <w:r w:rsidR="00D46930" w:rsidRPr="00F14AE8">
              <w:rPr>
                <w:rFonts w:ascii="Book Antiqua" w:hAnsi="Book Antiqua"/>
                <w:i/>
                <w:color w:val="000000"/>
                <w:sz w:val="24"/>
                <w:szCs w:val="24"/>
                <w:lang w:eastAsia="zh-CN"/>
              </w:rPr>
              <w:t xml:space="preserve"> </w:t>
            </w:r>
            <w:r w:rsidRPr="00F14AE8">
              <w:rPr>
                <w:rFonts w:ascii="Book Antiqua" w:hAnsi="Book Antiqua"/>
                <w:i/>
                <w:color w:val="000000"/>
                <w:sz w:val="24"/>
                <w:szCs w:val="24"/>
              </w:rPr>
              <w:t>pylori</w:t>
            </w:r>
            <w:r w:rsidRPr="00F14AE8">
              <w:rPr>
                <w:rFonts w:ascii="Book Antiqua" w:hAnsi="Book Antiqua"/>
                <w:color w:val="000000"/>
                <w:sz w:val="24"/>
                <w:szCs w:val="24"/>
              </w:rPr>
              <w:t xml:space="preserve"> gastritis</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CMV esophagitis</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   Candida esophagitis</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Normal</w:t>
            </w:r>
          </w:p>
        </w:tc>
        <w:tc>
          <w:tcPr>
            <w:tcW w:w="146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36 (76.6</w:t>
            </w:r>
            <w:r w:rsidR="002806C7" w:rsidRPr="00F14AE8">
              <w:rPr>
                <w:rFonts w:ascii="Book Antiqua" w:hAnsi="Book Antiqua"/>
                <w:color w:val="000000"/>
                <w:sz w:val="24"/>
                <w:szCs w:val="24"/>
              </w:rPr>
              <w:t>)</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i/>
                <w:iCs/>
                <w:color w:val="000000"/>
                <w:sz w:val="24"/>
                <w:szCs w:val="24"/>
              </w:rPr>
            </w:pPr>
            <w:r w:rsidRPr="00F14AE8">
              <w:rPr>
                <w:rFonts w:ascii="Book Antiqua" w:hAnsi="Book Antiqua"/>
                <w:i/>
                <w:iCs/>
                <w:color w:val="000000"/>
                <w:sz w:val="24"/>
                <w:szCs w:val="24"/>
              </w:rPr>
              <w:t> </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i/>
                <w:iCs/>
                <w:color w:val="000000"/>
                <w:sz w:val="24"/>
                <w:szCs w:val="24"/>
              </w:rPr>
            </w:pPr>
            <w:r w:rsidRPr="00F14AE8">
              <w:rPr>
                <w:rFonts w:ascii="Book Antiqua" w:hAnsi="Book Antiqua"/>
                <w:i/>
                <w:iCs/>
                <w:color w:val="000000"/>
                <w:sz w:val="24"/>
                <w:szCs w:val="24"/>
              </w:rPr>
              <w:t> </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bCs/>
                <w:color w:val="000000"/>
                <w:sz w:val="24"/>
                <w:szCs w:val="24"/>
                <w:u w:val="single"/>
              </w:rPr>
            </w:pPr>
            <w:r w:rsidRPr="00F14AE8">
              <w:rPr>
                <w:rFonts w:ascii="Book Antiqua" w:hAnsi="Book Antiqua"/>
                <w:bCs/>
                <w:color w:val="000000"/>
                <w:sz w:val="24"/>
                <w:szCs w:val="24"/>
                <w:u w:val="single"/>
              </w:rPr>
              <w:t>Findings on colonoscopy</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bCs/>
                <w:color w:val="000000"/>
                <w:sz w:val="24"/>
                <w:szCs w:val="24"/>
              </w:rPr>
            </w:pPr>
            <w:r w:rsidRPr="00F14AE8">
              <w:rPr>
                <w:rFonts w:ascii="Book Antiqua" w:hAnsi="Book Antiqua"/>
                <w:bCs/>
                <w:i/>
                <w:color w:val="000000"/>
                <w:sz w:val="24"/>
                <w:szCs w:val="24"/>
              </w:rPr>
              <w:t xml:space="preserve">n </w:t>
            </w:r>
            <w:r w:rsidRPr="00F14AE8">
              <w:rPr>
                <w:rFonts w:ascii="Book Antiqua" w:hAnsi="Book Antiqua"/>
                <w:bCs/>
                <w:color w:val="000000"/>
                <w:sz w:val="24"/>
                <w:szCs w:val="24"/>
              </w:rPr>
              <w:t>= 67</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Colorectal cancer</w:t>
            </w:r>
          </w:p>
        </w:tc>
        <w:tc>
          <w:tcPr>
            <w:tcW w:w="146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Any adenoma</w:t>
            </w:r>
          </w:p>
        </w:tc>
        <w:tc>
          <w:tcPr>
            <w:tcW w:w="146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10 (14.9</w:t>
            </w:r>
            <w:r w:rsidR="002806C7" w:rsidRPr="00F14AE8">
              <w:rPr>
                <w:rFonts w:ascii="Book Antiqua" w:hAnsi="Book Antiqua"/>
                <w:color w:val="000000"/>
                <w:sz w:val="24"/>
                <w:szCs w:val="24"/>
              </w:rPr>
              <w:t>)</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Inflammatory bowel disease</w:t>
            </w:r>
          </w:p>
        </w:tc>
        <w:tc>
          <w:tcPr>
            <w:tcW w:w="146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 (6.0</w:t>
            </w:r>
            <w:r w:rsidR="002806C7" w:rsidRPr="00F14AE8">
              <w:rPr>
                <w:rFonts w:ascii="Book Antiqua" w:hAnsi="Book Antiqua"/>
                <w:color w:val="000000"/>
                <w:sz w:val="24"/>
                <w:szCs w:val="24"/>
              </w:rPr>
              <w:t>)</w:t>
            </w:r>
          </w:p>
        </w:tc>
      </w:tr>
      <w:tr w:rsidR="002806C7" w:rsidRPr="00F14AE8" w:rsidTr="00D46930">
        <w:trPr>
          <w:trHeight w:val="288"/>
          <w:jc w:val="center"/>
        </w:trPr>
        <w:tc>
          <w:tcPr>
            <w:tcW w:w="4491"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Normal</w:t>
            </w:r>
          </w:p>
        </w:tc>
        <w:tc>
          <w:tcPr>
            <w:tcW w:w="14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53 (79.1)</w:t>
            </w:r>
          </w:p>
        </w:tc>
      </w:tr>
    </w:tbl>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sz w:val="24"/>
          <w:szCs w:val="24"/>
          <w:lang w:eastAsia="zh-CN"/>
        </w:rPr>
        <w:t>EGD: Esophagogastroduodenoscopy.</w:t>
      </w: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Default="002806C7" w:rsidP="00F14AE8">
      <w:pPr>
        <w:pStyle w:val="ListParagraph"/>
        <w:spacing w:after="0" w:line="360" w:lineRule="auto"/>
        <w:ind w:left="0"/>
        <w:jc w:val="both"/>
        <w:rPr>
          <w:rFonts w:ascii="Book Antiqua" w:hAnsi="Book Antiqua"/>
          <w:b/>
          <w:sz w:val="24"/>
          <w:szCs w:val="24"/>
          <w:lang w:eastAsia="zh-CN"/>
        </w:rPr>
      </w:pPr>
      <w:r w:rsidRPr="00F14AE8">
        <w:rPr>
          <w:rFonts w:ascii="Book Antiqua" w:hAnsi="Book Antiqua"/>
          <w:b/>
          <w:sz w:val="24"/>
          <w:szCs w:val="24"/>
        </w:rPr>
        <w:lastRenderedPageBreak/>
        <w:t>Table 3</w:t>
      </w:r>
      <w:r w:rsidR="00D46930" w:rsidRPr="00F14AE8">
        <w:rPr>
          <w:rFonts w:ascii="Book Antiqua" w:hAnsi="Book Antiqua"/>
          <w:b/>
          <w:sz w:val="24"/>
          <w:szCs w:val="24"/>
          <w:lang w:eastAsia="zh-CN"/>
        </w:rPr>
        <w:t xml:space="preserve"> </w:t>
      </w:r>
      <w:r w:rsidRPr="00F14AE8">
        <w:rPr>
          <w:rFonts w:ascii="Book Antiqua" w:hAnsi="Book Antiqua"/>
          <w:b/>
          <w:sz w:val="24"/>
          <w:szCs w:val="24"/>
        </w:rPr>
        <w:t>Yield of endoscopy stratified by age</w:t>
      </w:r>
      <w:r w:rsidR="003530DE">
        <w:rPr>
          <w:rFonts w:ascii="Book Antiqua" w:hAnsi="Book Antiqua" w:hint="eastAsia"/>
          <w:b/>
          <w:i/>
          <w:sz w:val="24"/>
          <w:szCs w:val="24"/>
          <w:lang w:eastAsia="zh-CN"/>
        </w:rPr>
        <w:t xml:space="preserve"> </w:t>
      </w:r>
      <w:r w:rsidR="00EA5D28" w:rsidRPr="00EA5D28">
        <w:rPr>
          <w:rFonts w:ascii="Book Antiqua" w:hAnsi="Book Antiqua"/>
          <w:b/>
          <w:i/>
          <w:color w:val="000000"/>
          <w:sz w:val="24"/>
          <w:szCs w:val="24"/>
          <w:lang w:eastAsia="zh-CN"/>
        </w:rPr>
        <w:t xml:space="preserve">n </w:t>
      </w:r>
      <w:r w:rsidR="00EA5D28" w:rsidRPr="00EA5D28">
        <w:rPr>
          <w:rFonts w:ascii="Book Antiqua" w:hAnsi="Book Antiqua"/>
          <w:b/>
          <w:color w:val="000000"/>
          <w:sz w:val="24"/>
          <w:szCs w:val="24"/>
          <w:lang w:eastAsia="zh-CN"/>
        </w:rPr>
        <w:t>(%)</w:t>
      </w:r>
    </w:p>
    <w:p w:rsidR="003530DE" w:rsidRPr="00F14AE8" w:rsidRDefault="003530DE" w:rsidP="00F14AE8">
      <w:pPr>
        <w:pStyle w:val="ListParagraph"/>
        <w:spacing w:after="0" w:line="360" w:lineRule="auto"/>
        <w:ind w:left="0"/>
        <w:jc w:val="both"/>
        <w:rPr>
          <w:rFonts w:ascii="Book Antiqua" w:hAnsi="Book Antiqua"/>
          <w:b/>
          <w:sz w:val="24"/>
          <w:szCs w:val="24"/>
        </w:rPr>
      </w:pPr>
    </w:p>
    <w:tbl>
      <w:tblPr>
        <w:tblW w:w="7755" w:type="dxa"/>
        <w:tblInd w:w="93" w:type="dxa"/>
        <w:tblBorders>
          <w:top w:val="single" w:sz="4" w:space="0" w:color="auto"/>
          <w:bottom w:val="single" w:sz="4" w:space="0" w:color="auto"/>
        </w:tblBorders>
        <w:tblLook w:val="04A0" w:firstRow="1" w:lastRow="0" w:firstColumn="1" w:lastColumn="0" w:noHBand="0" w:noVBand="1"/>
      </w:tblPr>
      <w:tblGrid>
        <w:gridCol w:w="3740"/>
        <w:gridCol w:w="1315"/>
        <w:gridCol w:w="1440"/>
        <w:gridCol w:w="1260"/>
      </w:tblGrid>
      <w:tr w:rsidR="002806C7" w:rsidRPr="00F14AE8" w:rsidTr="00D46930">
        <w:trPr>
          <w:trHeight w:val="576"/>
        </w:trPr>
        <w:tc>
          <w:tcPr>
            <w:tcW w:w="3740" w:type="dxa"/>
            <w:tcBorders>
              <w:top w:val="single" w:sz="4" w:space="0" w:color="auto"/>
              <w:bottom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Findings on EGD</w:t>
            </w:r>
          </w:p>
        </w:tc>
        <w:tc>
          <w:tcPr>
            <w:tcW w:w="1315" w:type="dxa"/>
            <w:tcBorders>
              <w:top w:val="single" w:sz="4" w:space="0" w:color="auto"/>
              <w:bottom w:val="single" w:sz="4" w:space="0" w:color="auto"/>
            </w:tcBorders>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Age &lt; 50     (</w:t>
            </w:r>
            <w:r w:rsidR="00D46930" w:rsidRPr="00F14AE8">
              <w:rPr>
                <w:rFonts w:ascii="Book Antiqua" w:hAnsi="Book Antiqua"/>
                <w:b/>
                <w:bCs/>
                <w:i/>
                <w:color w:val="000000"/>
                <w:sz w:val="24"/>
                <w:szCs w:val="24"/>
              </w:rPr>
              <w:t>n</w:t>
            </w:r>
            <w:r w:rsidR="00D46930" w:rsidRPr="00F14AE8">
              <w:rPr>
                <w:rFonts w:ascii="Book Antiqua" w:hAnsi="Book Antiqua"/>
                <w:b/>
                <w:bCs/>
                <w:color w:val="000000"/>
                <w:sz w:val="24"/>
                <w:szCs w:val="24"/>
              </w:rPr>
              <w:t xml:space="preserve"> </w:t>
            </w:r>
            <w:r w:rsidRPr="00F14AE8">
              <w:rPr>
                <w:rFonts w:ascii="Book Antiqua" w:hAnsi="Book Antiqua"/>
                <w:b/>
                <w:bCs/>
                <w:color w:val="000000"/>
                <w:sz w:val="24"/>
                <w:szCs w:val="24"/>
              </w:rPr>
              <w:t>=</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21)</w:t>
            </w:r>
          </w:p>
        </w:tc>
        <w:tc>
          <w:tcPr>
            <w:tcW w:w="1440" w:type="dxa"/>
            <w:tcBorders>
              <w:top w:val="single" w:sz="4" w:space="0" w:color="auto"/>
              <w:bottom w:val="single" w:sz="4" w:space="0" w:color="auto"/>
            </w:tcBorders>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Age ≥ 50       (</w:t>
            </w:r>
            <w:r w:rsidRPr="00F14AE8">
              <w:rPr>
                <w:rFonts w:ascii="Book Antiqua" w:hAnsi="Book Antiqua"/>
                <w:b/>
                <w:bCs/>
                <w:i/>
                <w:color w:val="000000"/>
                <w:sz w:val="24"/>
                <w:szCs w:val="24"/>
              </w:rPr>
              <w:t>n</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26)</w:t>
            </w:r>
          </w:p>
        </w:tc>
        <w:tc>
          <w:tcPr>
            <w:tcW w:w="1260" w:type="dxa"/>
            <w:tcBorders>
              <w:top w:val="single" w:sz="4" w:space="0" w:color="auto"/>
              <w:bottom w:val="single" w:sz="4" w:space="0" w:color="auto"/>
            </w:tcBorders>
            <w:shd w:val="clear" w:color="auto" w:fill="auto"/>
            <w:noWrap/>
            <w:vAlign w:val="center"/>
            <w:hideMark/>
          </w:tcPr>
          <w:p w:rsidR="002806C7" w:rsidRPr="00F14AE8" w:rsidRDefault="00D46930" w:rsidP="00F14AE8">
            <w:pPr>
              <w:spacing w:after="0" w:line="360" w:lineRule="auto"/>
              <w:jc w:val="both"/>
              <w:rPr>
                <w:rFonts w:ascii="Book Antiqua" w:hAnsi="Book Antiqua"/>
                <w:b/>
                <w:bCs/>
                <w:color w:val="000000"/>
                <w:sz w:val="24"/>
                <w:szCs w:val="24"/>
              </w:rPr>
            </w:pPr>
            <w:r w:rsidRPr="00F14AE8">
              <w:rPr>
                <w:rFonts w:ascii="Book Antiqua" w:hAnsi="Book Antiqua"/>
                <w:b/>
                <w:bCs/>
                <w:i/>
                <w:color w:val="000000"/>
                <w:sz w:val="24"/>
                <w:szCs w:val="24"/>
              </w:rPr>
              <w:t>P</w:t>
            </w:r>
            <w:r w:rsidR="002806C7" w:rsidRPr="00F14AE8">
              <w:rPr>
                <w:rFonts w:ascii="Book Antiqua" w:hAnsi="Book Antiqua"/>
                <w:b/>
                <w:bCs/>
                <w:color w:val="000000"/>
                <w:sz w:val="24"/>
                <w:szCs w:val="24"/>
              </w:rPr>
              <w:t xml:space="preserve"> value</w:t>
            </w:r>
          </w:p>
        </w:tc>
      </w:tr>
      <w:tr w:rsidR="002806C7" w:rsidRPr="00F14AE8" w:rsidTr="00D46930">
        <w:trPr>
          <w:trHeight w:val="288"/>
        </w:trPr>
        <w:tc>
          <w:tcPr>
            <w:tcW w:w="3740" w:type="dxa"/>
            <w:tcBorders>
              <w:top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Normal</w:t>
            </w:r>
          </w:p>
        </w:tc>
        <w:tc>
          <w:tcPr>
            <w:tcW w:w="1315" w:type="dxa"/>
            <w:tcBorders>
              <w:top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16 (76.2)</w:t>
            </w:r>
          </w:p>
        </w:tc>
        <w:tc>
          <w:tcPr>
            <w:tcW w:w="1440" w:type="dxa"/>
            <w:tcBorders>
              <w:top w:val="single" w:sz="4" w:space="0" w:color="auto"/>
            </w:tcBorders>
            <w:shd w:val="clear" w:color="auto" w:fill="auto"/>
            <w:noWrap/>
            <w:vAlign w:val="bottom"/>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20 (76.9</w:t>
            </w:r>
            <w:r w:rsidR="002806C7" w:rsidRPr="00F14AE8">
              <w:rPr>
                <w:rFonts w:ascii="Book Antiqua" w:hAnsi="Book Antiqua"/>
                <w:color w:val="000000"/>
                <w:sz w:val="24"/>
                <w:szCs w:val="24"/>
              </w:rPr>
              <w:t>)</w:t>
            </w:r>
          </w:p>
        </w:tc>
        <w:tc>
          <w:tcPr>
            <w:tcW w:w="1260" w:type="dxa"/>
            <w:tcBorders>
              <w:top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0.95</w:t>
            </w:r>
          </w:p>
        </w:tc>
      </w:tr>
      <w:tr w:rsidR="002806C7" w:rsidRPr="00F14AE8" w:rsidTr="00D46930">
        <w:trPr>
          <w:trHeight w:val="288"/>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Pre-malignancy</w:t>
            </w:r>
          </w:p>
        </w:tc>
        <w:tc>
          <w:tcPr>
            <w:tcW w:w="1315" w:type="dxa"/>
            <w:shd w:val="clear" w:color="auto" w:fill="auto"/>
            <w:noWrap/>
            <w:vAlign w:val="bottom"/>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(4.8</w:t>
            </w:r>
            <w:r w:rsidR="002806C7" w:rsidRPr="00F14AE8">
              <w:rPr>
                <w:rFonts w:ascii="Book Antiqua" w:hAnsi="Book Antiqua"/>
                <w:color w:val="000000"/>
                <w:sz w:val="24"/>
                <w:szCs w:val="24"/>
              </w:rPr>
              <w:t>)</w:t>
            </w:r>
          </w:p>
        </w:tc>
        <w:tc>
          <w:tcPr>
            <w:tcW w:w="1440" w:type="dxa"/>
            <w:shd w:val="clear" w:color="auto" w:fill="auto"/>
            <w:noWrap/>
            <w:vAlign w:val="bottom"/>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(7.7</w:t>
            </w:r>
            <w:r w:rsidR="002806C7" w:rsidRPr="00F14AE8">
              <w:rPr>
                <w:rFonts w:ascii="Book Antiqua" w:hAnsi="Book Antiqua"/>
                <w:color w:val="000000"/>
                <w:sz w:val="24"/>
                <w:szCs w:val="24"/>
              </w:rPr>
              <w:t>)</w:t>
            </w:r>
          </w:p>
        </w:tc>
        <w:tc>
          <w:tcPr>
            <w:tcW w:w="12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1.00</w:t>
            </w:r>
          </w:p>
        </w:tc>
      </w:tr>
      <w:tr w:rsidR="002806C7" w:rsidRPr="00F14AE8" w:rsidTr="00D46930">
        <w:trPr>
          <w:trHeight w:val="288"/>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Malignancy</w:t>
            </w:r>
          </w:p>
        </w:tc>
        <w:tc>
          <w:tcPr>
            <w:tcW w:w="1315"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44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2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1.00</w:t>
            </w:r>
          </w:p>
        </w:tc>
      </w:tr>
      <w:tr w:rsidR="002806C7" w:rsidRPr="00F14AE8" w:rsidTr="00D46930">
        <w:trPr>
          <w:trHeight w:val="288"/>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Non-malignant</w:t>
            </w:r>
          </w:p>
        </w:tc>
        <w:tc>
          <w:tcPr>
            <w:tcW w:w="1315" w:type="dxa"/>
            <w:shd w:val="clear" w:color="auto" w:fill="auto"/>
            <w:noWrap/>
            <w:vAlign w:val="bottom"/>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 (19.0</w:t>
            </w:r>
            <w:r w:rsidR="002806C7" w:rsidRPr="00F14AE8">
              <w:rPr>
                <w:rFonts w:ascii="Book Antiqua" w:hAnsi="Book Antiqua"/>
                <w:color w:val="000000"/>
                <w:sz w:val="24"/>
                <w:szCs w:val="24"/>
              </w:rPr>
              <w:t>)</w:t>
            </w:r>
          </w:p>
        </w:tc>
        <w:tc>
          <w:tcPr>
            <w:tcW w:w="1440" w:type="dxa"/>
            <w:shd w:val="clear" w:color="auto" w:fill="auto"/>
            <w:noWrap/>
            <w:vAlign w:val="bottom"/>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 (15.4</w:t>
            </w:r>
            <w:r w:rsidR="002806C7" w:rsidRPr="00F14AE8">
              <w:rPr>
                <w:rFonts w:ascii="Book Antiqua" w:hAnsi="Book Antiqua"/>
                <w:color w:val="000000"/>
                <w:sz w:val="24"/>
                <w:szCs w:val="24"/>
              </w:rPr>
              <w:t>)</w:t>
            </w:r>
          </w:p>
        </w:tc>
        <w:tc>
          <w:tcPr>
            <w:tcW w:w="12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1.00</w:t>
            </w:r>
          </w:p>
        </w:tc>
      </w:tr>
      <w:tr w:rsidR="002806C7" w:rsidRPr="00F14AE8" w:rsidTr="00D46930">
        <w:trPr>
          <w:trHeight w:val="576"/>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bCs/>
                <w:color w:val="000000"/>
                <w:sz w:val="24"/>
                <w:szCs w:val="24"/>
              </w:rPr>
            </w:pPr>
            <w:r w:rsidRPr="00F14AE8">
              <w:rPr>
                <w:rFonts w:ascii="Book Antiqua" w:hAnsi="Book Antiqua"/>
                <w:bCs/>
                <w:color w:val="000000"/>
                <w:sz w:val="24"/>
                <w:szCs w:val="24"/>
              </w:rPr>
              <w:t>Findings on Colonoscopy</w:t>
            </w:r>
          </w:p>
        </w:tc>
        <w:tc>
          <w:tcPr>
            <w:tcW w:w="1315" w:type="dxa"/>
            <w:shd w:val="clear" w:color="auto" w:fill="auto"/>
            <w:vAlign w:val="bottom"/>
            <w:hideMark/>
          </w:tcPr>
          <w:p w:rsidR="002806C7" w:rsidRPr="00F14AE8" w:rsidRDefault="002806C7" w:rsidP="00F14AE8">
            <w:pPr>
              <w:spacing w:after="0" w:line="360" w:lineRule="auto"/>
              <w:jc w:val="both"/>
              <w:rPr>
                <w:rFonts w:ascii="Book Antiqua" w:hAnsi="Book Antiqua"/>
                <w:bCs/>
                <w:color w:val="000000"/>
                <w:sz w:val="24"/>
                <w:szCs w:val="24"/>
              </w:rPr>
            </w:pPr>
            <w:r w:rsidRPr="00F14AE8">
              <w:rPr>
                <w:rFonts w:ascii="Book Antiqua" w:hAnsi="Book Antiqua"/>
                <w:bCs/>
                <w:color w:val="000000"/>
                <w:sz w:val="24"/>
                <w:szCs w:val="24"/>
              </w:rPr>
              <w:t>Age &lt; 50     (</w:t>
            </w:r>
            <w:r w:rsidR="00D46930" w:rsidRPr="00F14AE8">
              <w:rPr>
                <w:rFonts w:ascii="Book Antiqua" w:hAnsi="Book Antiqua"/>
                <w:bCs/>
                <w:i/>
                <w:color w:val="000000"/>
                <w:sz w:val="24"/>
                <w:szCs w:val="24"/>
              </w:rPr>
              <w:t>n</w:t>
            </w:r>
            <w:r w:rsidR="00D46930" w:rsidRPr="00F14AE8">
              <w:rPr>
                <w:rFonts w:ascii="Book Antiqua" w:hAnsi="Book Antiqua"/>
                <w:bCs/>
                <w:color w:val="000000"/>
                <w:sz w:val="24"/>
                <w:szCs w:val="24"/>
              </w:rPr>
              <w:t xml:space="preserve"> </w:t>
            </w:r>
            <w:r w:rsidRPr="00F14AE8">
              <w:rPr>
                <w:rFonts w:ascii="Book Antiqua" w:hAnsi="Book Antiqua"/>
                <w:bCs/>
                <w:color w:val="000000"/>
                <w:sz w:val="24"/>
                <w:szCs w:val="24"/>
              </w:rPr>
              <w:t>=</w:t>
            </w:r>
            <w:r w:rsidR="00D46930" w:rsidRPr="00F14AE8">
              <w:rPr>
                <w:rFonts w:ascii="Book Antiqua" w:hAnsi="Book Antiqua"/>
                <w:bCs/>
                <w:color w:val="000000"/>
                <w:sz w:val="24"/>
                <w:szCs w:val="24"/>
                <w:lang w:eastAsia="zh-CN"/>
              </w:rPr>
              <w:t xml:space="preserve"> </w:t>
            </w:r>
            <w:r w:rsidRPr="00F14AE8">
              <w:rPr>
                <w:rFonts w:ascii="Book Antiqua" w:hAnsi="Book Antiqua"/>
                <w:bCs/>
                <w:color w:val="000000"/>
                <w:sz w:val="24"/>
                <w:szCs w:val="24"/>
              </w:rPr>
              <w:t>21)</w:t>
            </w:r>
          </w:p>
        </w:tc>
        <w:tc>
          <w:tcPr>
            <w:tcW w:w="1440" w:type="dxa"/>
            <w:shd w:val="clear" w:color="auto" w:fill="auto"/>
            <w:vAlign w:val="bottom"/>
            <w:hideMark/>
          </w:tcPr>
          <w:p w:rsidR="002806C7" w:rsidRPr="00F14AE8" w:rsidRDefault="002806C7" w:rsidP="00F14AE8">
            <w:pPr>
              <w:spacing w:after="0" w:line="360" w:lineRule="auto"/>
              <w:jc w:val="both"/>
              <w:rPr>
                <w:rFonts w:ascii="Book Antiqua" w:hAnsi="Book Antiqua"/>
                <w:bCs/>
                <w:color w:val="000000"/>
                <w:sz w:val="24"/>
                <w:szCs w:val="24"/>
              </w:rPr>
            </w:pPr>
            <w:r w:rsidRPr="00F14AE8">
              <w:rPr>
                <w:rFonts w:ascii="Book Antiqua" w:hAnsi="Book Antiqua"/>
                <w:bCs/>
                <w:color w:val="000000"/>
                <w:sz w:val="24"/>
                <w:szCs w:val="24"/>
              </w:rPr>
              <w:t>Age ≥ 50      (</w:t>
            </w:r>
            <w:r w:rsidR="00D46930" w:rsidRPr="00F14AE8">
              <w:rPr>
                <w:rFonts w:ascii="Book Antiqua" w:hAnsi="Book Antiqua"/>
                <w:bCs/>
                <w:i/>
                <w:color w:val="000000"/>
                <w:sz w:val="24"/>
                <w:szCs w:val="24"/>
              </w:rPr>
              <w:t>n</w:t>
            </w:r>
            <w:r w:rsidR="00D46930" w:rsidRPr="00F14AE8">
              <w:rPr>
                <w:rFonts w:ascii="Book Antiqua" w:hAnsi="Book Antiqua"/>
                <w:bCs/>
                <w:color w:val="000000"/>
                <w:sz w:val="24"/>
                <w:szCs w:val="24"/>
              </w:rPr>
              <w:t xml:space="preserve"> </w:t>
            </w:r>
            <w:r w:rsidRPr="00F14AE8">
              <w:rPr>
                <w:rFonts w:ascii="Book Antiqua" w:hAnsi="Book Antiqua"/>
                <w:bCs/>
                <w:color w:val="000000"/>
                <w:sz w:val="24"/>
                <w:szCs w:val="24"/>
              </w:rPr>
              <w:t>=</w:t>
            </w:r>
            <w:r w:rsidR="00D46930" w:rsidRPr="00F14AE8">
              <w:rPr>
                <w:rFonts w:ascii="Book Antiqua" w:hAnsi="Book Antiqua"/>
                <w:bCs/>
                <w:color w:val="000000"/>
                <w:sz w:val="24"/>
                <w:szCs w:val="24"/>
                <w:lang w:eastAsia="zh-CN"/>
              </w:rPr>
              <w:t xml:space="preserve"> </w:t>
            </w:r>
            <w:r w:rsidRPr="00F14AE8">
              <w:rPr>
                <w:rFonts w:ascii="Book Antiqua" w:hAnsi="Book Antiqua"/>
                <w:bCs/>
                <w:color w:val="000000"/>
                <w:sz w:val="24"/>
                <w:szCs w:val="24"/>
              </w:rPr>
              <w:t>46)</w:t>
            </w:r>
          </w:p>
        </w:tc>
        <w:tc>
          <w:tcPr>
            <w:tcW w:w="1260" w:type="dxa"/>
            <w:shd w:val="clear" w:color="auto" w:fill="auto"/>
            <w:noWrap/>
            <w:vAlign w:val="center"/>
            <w:hideMark/>
          </w:tcPr>
          <w:p w:rsidR="002806C7" w:rsidRPr="00F14AE8" w:rsidRDefault="00D46930" w:rsidP="00F14AE8">
            <w:pPr>
              <w:spacing w:after="0" w:line="360" w:lineRule="auto"/>
              <w:jc w:val="both"/>
              <w:rPr>
                <w:rFonts w:ascii="Book Antiqua" w:hAnsi="Book Antiqua"/>
                <w:bCs/>
                <w:color w:val="000000"/>
                <w:sz w:val="24"/>
                <w:szCs w:val="24"/>
              </w:rPr>
            </w:pPr>
            <w:r w:rsidRPr="00F14AE8">
              <w:rPr>
                <w:rFonts w:ascii="Book Antiqua" w:hAnsi="Book Antiqua"/>
                <w:bCs/>
                <w:i/>
                <w:color w:val="000000"/>
                <w:sz w:val="24"/>
                <w:szCs w:val="24"/>
              </w:rPr>
              <w:t>P</w:t>
            </w:r>
            <w:r w:rsidR="002806C7" w:rsidRPr="00F14AE8">
              <w:rPr>
                <w:rFonts w:ascii="Book Antiqua" w:hAnsi="Book Antiqua"/>
                <w:bCs/>
                <w:color w:val="000000"/>
                <w:sz w:val="24"/>
                <w:szCs w:val="24"/>
              </w:rPr>
              <w:t xml:space="preserve"> value</w:t>
            </w:r>
          </w:p>
        </w:tc>
      </w:tr>
      <w:tr w:rsidR="002806C7" w:rsidRPr="00F14AE8" w:rsidTr="00D46930">
        <w:trPr>
          <w:trHeight w:val="288"/>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Normal</w:t>
            </w:r>
          </w:p>
        </w:tc>
        <w:tc>
          <w:tcPr>
            <w:tcW w:w="1315"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17 (81.0</w:t>
            </w:r>
            <w:r w:rsidR="002806C7" w:rsidRPr="00F14AE8">
              <w:rPr>
                <w:rFonts w:ascii="Book Antiqua" w:hAnsi="Book Antiqua"/>
                <w:color w:val="000000"/>
                <w:sz w:val="24"/>
                <w:szCs w:val="24"/>
              </w:rPr>
              <w:t>)</w:t>
            </w:r>
          </w:p>
        </w:tc>
        <w:tc>
          <w:tcPr>
            <w:tcW w:w="144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36 (78.3</w:t>
            </w:r>
            <w:r w:rsidR="002806C7" w:rsidRPr="00F14AE8">
              <w:rPr>
                <w:rFonts w:ascii="Book Antiqua" w:hAnsi="Book Antiqua"/>
                <w:color w:val="000000"/>
                <w:sz w:val="24"/>
                <w:szCs w:val="24"/>
              </w:rPr>
              <w:t>)</w:t>
            </w:r>
          </w:p>
        </w:tc>
        <w:tc>
          <w:tcPr>
            <w:tcW w:w="12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0.80</w:t>
            </w:r>
          </w:p>
        </w:tc>
      </w:tr>
      <w:tr w:rsidR="002806C7" w:rsidRPr="00F14AE8" w:rsidTr="00D46930">
        <w:trPr>
          <w:trHeight w:val="288"/>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Any adenoma</w:t>
            </w:r>
          </w:p>
        </w:tc>
        <w:tc>
          <w:tcPr>
            <w:tcW w:w="1315"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(4.8</w:t>
            </w:r>
            <w:r w:rsidR="002806C7" w:rsidRPr="00F14AE8">
              <w:rPr>
                <w:rFonts w:ascii="Book Antiqua" w:hAnsi="Book Antiqua"/>
                <w:color w:val="000000"/>
                <w:sz w:val="24"/>
                <w:szCs w:val="24"/>
              </w:rPr>
              <w:t>)</w:t>
            </w:r>
          </w:p>
        </w:tc>
        <w:tc>
          <w:tcPr>
            <w:tcW w:w="144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9 (20.0</w:t>
            </w:r>
            <w:r w:rsidR="002806C7" w:rsidRPr="00F14AE8">
              <w:rPr>
                <w:rFonts w:ascii="Book Antiqua" w:hAnsi="Book Antiqua"/>
                <w:color w:val="000000"/>
                <w:sz w:val="24"/>
                <w:szCs w:val="24"/>
              </w:rPr>
              <w:t>)</w:t>
            </w:r>
          </w:p>
        </w:tc>
        <w:tc>
          <w:tcPr>
            <w:tcW w:w="12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0.15</w:t>
            </w:r>
          </w:p>
        </w:tc>
      </w:tr>
      <w:tr w:rsidR="002806C7" w:rsidRPr="00F14AE8" w:rsidTr="00D46930">
        <w:trPr>
          <w:trHeight w:val="288"/>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Colorectal cancer</w:t>
            </w:r>
          </w:p>
        </w:tc>
        <w:tc>
          <w:tcPr>
            <w:tcW w:w="1315"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44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2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1.00</w:t>
            </w:r>
          </w:p>
        </w:tc>
      </w:tr>
      <w:tr w:rsidR="002806C7" w:rsidRPr="00F14AE8" w:rsidTr="00D46930">
        <w:trPr>
          <w:trHeight w:val="288"/>
        </w:trPr>
        <w:tc>
          <w:tcPr>
            <w:tcW w:w="374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Inflammatory bowel disease</w:t>
            </w:r>
          </w:p>
        </w:tc>
        <w:tc>
          <w:tcPr>
            <w:tcW w:w="1315"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2 </w:t>
            </w:r>
            <w:r w:rsidR="00D46930" w:rsidRPr="00F14AE8">
              <w:rPr>
                <w:rFonts w:ascii="Book Antiqua" w:hAnsi="Book Antiqua"/>
                <w:color w:val="000000"/>
                <w:sz w:val="24"/>
                <w:szCs w:val="24"/>
              </w:rPr>
              <w:t>(9.5</w:t>
            </w:r>
            <w:r w:rsidRPr="00F14AE8">
              <w:rPr>
                <w:rFonts w:ascii="Book Antiqua" w:hAnsi="Book Antiqua"/>
                <w:color w:val="000000"/>
                <w:sz w:val="24"/>
                <w:szCs w:val="24"/>
              </w:rPr>
              <w:t>)</w:t>
            </w:r>
          </w:p>
        </w:tc>
        <w:tc>
          <w:tcPr>
            <w:tcW w:w="1440"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(4.3</w:t>
            </w:r>
            <w:r w:rsidR="002806C7" w:rsidRPr="00F14AE8">
              <w:rPr>
                <w:rFonts w:ascii="Book Antiqua" w:hAnsi="Book Antiqua"/>
                <w:color w:val="000000"/>
                <w:sz w:val="24"/>
                <w:szCs w:val="24"/>
              </w:rPr>
              <w:t>)</w:t>
            </w:r>
          </w:p>
        </w:tc>
        <w:tc>
          <w:tcPr>
            <w:tcW w:w="126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0.58</w:t>
            </w:r>
          </w:p>
        </w:tc>
      </w:tr>
    </w:tbl>
    <w:p w:rsidR="002806C7" w:rsidRPr="00F14AE8" w:rsidRDefault="003530DE" w:rsidP="00F14AE8">
      <w:pPr>
        <w:spacing w:after="0" w:line="360" w:lineRule="auto"/>
        <w:jc w:val="both"/>
        <w:rPr>
          <w:rFonts w:ascii="Book Antiqua" w:hAnsi="Book Antiqua"/>
          <w:color w:val="000000"/>
          <w:sz w:val="24"/>
          <w:szCs w:val="24"/>
          <w:lang w:eastAsia="zh-CN"/>
        </w:rPr>
      </w:pPr>
      <w:r w:rsidRPr="00F14AE8">
        <w:rPr>
          <w:rFonts w:ascii="Book Antiqua" w:hAnsi="Book Antiqua"/>
          <w:sz w:val="24"/>
          <w:szCs w:val="24"/>
        </w:rPr>
        <w:t>EGD</w:t>
      </w:r>
      <w:r>
        <w:rPr>
          <w:rFonts w:ascii="Book Antiqua" w:hAnsi="Book Antiqua" w:hint="eastAsia"/>
          <w:sz w:val="24"/>
          <w:szCs w:val="24"/>
          <w:lang w:eastAsia="zh-CN"/>
        </w:rPr>
        <w:t>:</w:t>
      </w:r>
      <w:r w:rsidRPr="003530DE">
        <w:rPr>
          <w:rFonts w:ascii="Book Antiqua" w:hAnsi="Book Antiqua"/>
          <w:sz w:val="24"/>
          <w:szCs w:val="24"/>
        </w:rPr>
        <w:t xml:space="preserve"> </w:t>
      </w:r>
      <w:r w:rsidRPr="00F14AE8">
        <w:rPr>
          <w:rFonts w:ascii="Book Antiqua" w:hAnsi="Book Antiqua"/>
          <w:sz w:val="24"/>
          <w:szCs w:val="24"/>
        </w:rPr>
        <w:t>Esophagogastroduodenoscopy</w:t>
      </w:r>
      <w:r>
        <w:rPr>
          <w:rFonts w:ascii="Book Antiqua" w:hAnsi="Book Antiqua" w:hint="eastAsia"/>
          <w:sz w:val="24"/>
          <w:szCs w:val="24"/>
          <w:lang w:eastAsia="zh-CN"/>
        </w:rPr>
        <w:t>.</w:t>
      </w: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2806C7" w:rsidP="00F14AE8">
      <w:pPr>
        <w:pStyle w:val="ListParagraph"/>
        <w:spacing w:after="0" w:line="360" w:lineRule="auto"/>
        <w:ind w:left="0"/>
        <w:jc w:val="both"/>
        <w:rPr>
          <w:rFonts w:ascii="Book Antiqua" w:hAnsi="Book Antiqua"/>
          <w:b/>
          <w:sz w:val="24"/>
          <w:szCs w:val="24"/>
        </w:rPr>
      </w:pPr>
    </w:p>
    <w:p w:rsidR="002806C7" w:rsidRPr="00F14AE8" w:rsidRDefault="003530DE" w:rsidP="00F14AE8">
      <w:pPr>
        <w:pStyle w:val="ListParagraph"/>
        <w:spacing w:after="0" w:line="360" w:lineRule="auto"/>
        <w:ind w:left="0"/>
        <w:jc w:val="both"/>
        <w:rPr>
          <w:rFonts w:ascii="Book Antiqua" w:hAnsi="Book Antiqua"/>
          <w:b/>
          <w:sz w:val="24"/>
          <w:szCs w:val="24"/>
          <w:lang w:eastAsia="zh-CN"/>
        </w:rPr>
      </w:pPr>
      <w:r>
        <w:rPr>
          <w:rFonts w:ascii="Book Antiqua" w:hAnsi="Book Antiqua"/>
          <w:b/>
          <w:sz w:val="24"/>
          <w:szCs w:val="24"/>
        </w:rPr>
        <w:br w:type="page"/>
      </w:r>
      <w:r w:rsidR="002806C7" w:rsidRPr="00F14AE8">
        <w:rPr>
          <w:rFonts w:ascii="Book Antiqua" w:hAnsi="Book Antiqua"/>
          <w:b/>
          <w:sz w:val="24"/>
          <w:szCs w:val="24"/>
        </w:rPr>
        <w:lastRenderedPageBreak/>
        <w:t>Table 4</w:t>
      </w:r>
      <w:r w:rsidR="00D46930" w:rsidRPr="00F14AE8">
        <w:rPr>
          <w:rFonts w:ascii="Book Antiqua" w:hAnsi="Book Antiqua"/>
          <w:b/>
          <w:sz w:val="24"/>
          <w:szCs w:val="24"/>
          <w:lang w:eastAsia="zh-CN"/>
        </w:rPr>
        <w:t xml:space="preserve"> </w:t>
      </w:r>
      <w:r w:rsidR="002806C7" w:rsidRPr="00F14AE8">
        <w:rPr>
          <w:rFonts w:ascii="Book Antiqua" w:hAnsi="Book Antiqua"/>
          <w:b/>
          <w:sz w:val="24"/>
          <w:szCs w:val="24"/>
        </w:rPr>
        <w:t>Yield of endoscopy by presence of symptoms</w:t>
      </w:r>
      <w:r w:rsidR="003E3101">
        <w:rPr>
          <w:rFonts w:ascii="Book Antiqua" w:hAnsi="Book Antiqua" w:hint="eastAsia"/>
          <w:b/>
          <w:sz w:val="24"/>
          <w:szCs w:val="24"/>
          <w:lang w:eastAsia="zh-CN"/>
        </w:rPr>
        <w:t xml:space="preserve"> </w:t>
      </w:r>
      <w:r w:rsidR="003E3101" w:rsidRPr="003E3101">
        <w:rPr>
          <w:rFonts w:ascii="Book Antiqua" w:hAnsi="Book Antiqua" w:hint="eastAsia"/>
          <w:b/>
          <w:i/>
          <w:sz w:val="24"/>
          <w:szCs w:val="24"/>
          <w:lang w:eastAsia="zh-CN"/>
        </w:rPr>
        <w:t>n</w:t>
      </w:r>
      <w:r w:rsidR="003E3101">
        <w:rPr>
          <w:rFonts w:ascii="Book Antiqua" w:hAnsi="Book Antiqua" w:hint="eastAsia"/>
          <w:b/>
          <w:sz w:val="24"/>
          <w:szCs w:val="24"/>
          <w:lang w:eastAsia="zh-CN"/>
        </w:rPr>
        <w:t xml:space="preserve"> (%)</w:t>
      </w:r>
    </w:p>
    <w:p w:rsidR="002806C7" w:rsidRPr="00F14AE8" w:rsidRDefault="002806C7" w:rsidP="00F14AE8">
      <w:pPr>
        <w:pStyle w:val="ListParagraph"/>
        <w:spacing w:after="0" w:line="360" w:lineRule="auto"/>
        <w:ind w:left="0"/>
        <w:jc w:val="both"/>
        <w:rPr>
          <w:rFonts w:ascii="Book Antiqua" w:hAnsi="Book Antiqua"/>
          <w:sz w:val="24"/>
          <w:szCs w:val="24"/>
        </w:rPr>
      </w:pPr>
    </w:p>
    <w:tbl>
      <w:tblPr>
        <w:tblW w:w="7395" w:type="dxa"/>
        <w:tblInd w:w="93" w:type="dxa"/>
        <w:tblBorders>
          <w:top w:val="single" w:sz="4" w:space="0" w:color="auto"/>
          <w:bottom w:val="single" w:sz="4" w:space="0" w:color="auto"/>
        </w:tblBorders>
        <w:tblLook w:val="04A0" w:firstRow="1" w:lastRow="0" w:firstColumn="1" w:lastColumn="0" w:noHBand="0" w:noVBand="1"/>
      </w:tblPr>
      <w:tblGrid>
        <w:gridCol w:w="2860"/>
        <w:gridCol w:w="1816"/>
        <w:gridCol w:w="1670"/>
        <w:gridCol w:w="1170"/>
      </w:tblGrid>
      <w:tr w:rsidR="002806C7" w:rsidRPr="00F14AE8" w:rsidTr="00160DC1">
        <w:trPr>
          <w:trHeight w:val="660"/>
        </w:trPr>
        <w:tc>
          <w:tcPr>
            <w:tcW w:w="2860" w:type="dxa"/>
            <w:tcBorders>
              <w:top w:val="single" w:sz="4" w:space="0" w:color="auto"/>
              <w:bottom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Findings on EGD</w:t>
            </w:r>
          </w:p>
        </w:tc>
        <w:tc>
          <w:tcPr>
            <w:tcW w:w="1710" w:type="dxa"/>
            <w:tcBorders>
              <w:top w:val="single" w:sz="4" w:space="0" w:color="auto"/>
              <w:bottom w:val="single" w:sz="4" w:space="0" w:color="auto"/>
            </w:tcBorders>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Asymptomatic (</w:t>
            </w:r>
            <w:r w:rsidR="00D46930" w:rsidRPr="00F14AE8">
              <w:rPr>
                <w:rFonts w:ascii="Book Antiqua" w:hAnsi="Book Antiqua"/>
                <w:b/>
                <w:bCs/>
                <w:i/>
                <w:color w:val="000000"/>
                <w:sz w:val="24"/>
                <w:szCs w:val="24"/>
              </w:rPr>
              <w:t>n</w:t>
            </w:r>
            <w:r w:rsidR="00D46930" w:rsidRPr="00F14AE8">
              <w:rPr>
                <w:rFonts w:ascii="Book Antiqua" w:hAnsi="Book Antiqua"/>
                <w:b/>
                <w:bCs/>
                <w:color w:val="000000"/>
                <w:sz w:val="24"/>
                <w:szCs w:val="24"/>
              </w:rPr>
              <w:t xml:space="preserve"> </w:t>
            </w:r>
            <w:r w:rsidRPr="00F14AE8">
              <w:rPr>
                <w:rFonts w:ascii="Book Antiqua" w:hAnsi="Book Antiqua"/>
                <w:b/>
                <w:bCs/>
                <w:color w:val="000000"/>
                <w:sz w:val="24"/>
                <w:szCs w:val="24"/>
              </w:rPr>
              <w:t>=</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19)</w:t>
            </w:r>
          </w:p>
        </w:tc>
        <w:tc>
          <w:tcPr>
            <w:tcW w:w="1655" w:type="dxa"/>
            <w:tcBorders>
              <w:top w:val="single" w:sz="4" w:space="0" w:color="auto"/>
              <w:bottom w:val="single" w:sz="4" w:space="0" w:color="auto"/>
            </w:tcBorders>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Symptomatic (</w:t>
            </w:r>
            <w:r w:rsidRPr="00F14AE8">
              <w:rPr>
                <w:rFonts w:ascii="Book Antiqua" w:hAnsi="Book Antiqua"/>
                <w:b/>
                <w:bCs/>
                <w:i/>
                <w:color w:val="000000"/>
                <w:sz w:val="24"/>
                <w:szCs w:val="24"/>
              </w:rPr>
              <w:t>n</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w:t>
            </w:r>
            <w:r w:rsidR="00D46930"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28)</w:t>
            </w:r>
          </w:p>
        </w:tc>
        <w:tc>
          <w:tcPr>
            <w:tcW w:w="1170" w:type="dxa"/>
            <w:tcBorders>
              <w:top w:val="single" w:sz="4" w:space="0" w:color="auto"/>
              <w:bottom w:val="single" w:sz="4" w:space="0" w:color="auto"/>
            </w:tcBorders>
            <w:shd w:val="clear" w:color="auto" w:fill="auto"/>
            <w:noWrap/>
            <w:vAlign w:val="center"/>
            <w:hideMark/>
          </w:tcPr>
          <w:p w:rsidR="002806C7" w:rsidRPr="00F14AE8" w:rsidRDefault="00D46930" w:rsidP="00F14AE8">
            <w:pPr>
              <w:spacing w:after="0" w:line="360" w:lineRule="auto"/>
              <w:jc w:val="both"/>
              <w:rPr>
                <w:rFonts w:ascii="Book Antiqua" w:hAnsi="Book Antiqua"/>
                <w:b/>
                <w:bCs/>
                <w:color w:val="000000"/>
                <w:sz w:val="24"/>
                <w:szCs w:val="24"/>
              </w:rPr>
            </w:pPr>
            <w:r w:rsidRPr="00F14AE8">
              <w:rPr>
                <w:rFonts w:ascii="Book Antiqua" w:hAnsi="Book Antiqua"/>
                <w:b/>
                <w:bCs/>
                <w:i/>
                <w:color w:val="000000"/>
                <w:sz w:val="24"/>
                <w:szCs w:val="24"/>
              </w:rPr>
              <w:t>P</w:t>
            </w:r>
            <w:r w:rsidR="002806C7" w:rsidRPr="00F14AE8">
              <w:rPr>
                <w:rFonts w:ascii="Book Antiqua" w:hAnsi="Book Antiqua"/>
                <w:b/>
                <w:bCs/>
                <w:color w:val="000000"/>
                <w:sz w:val="24"/>
                <w:szCs w:val="24"/>
              </w:rPr>
              <w:t xml:space="preserve"> value</w:t>
            </w:r>
          </w:p>
        </w:tc>
      </w:tr>
      <w:tr w:rsidR="002806C7" w:rsidRPr="00F14AE8" w:rsidTr="00160DC1">
        <w:trPr>
          <w:trHeight w:val="288"/>
        </w:trPr>
        <w:tc>
          <w:tcPr>
            <w:tcW w:w="2860" w:type="dxa"/>
            <w:tcBorders>
              <w:top w:val="single" w:sz="4" w:space="0" w:color="auto"/>
            </w:tcBorders>
            <w:shd w:val="clear" w:color="auto" w:fill="auto"/>
            <w:noWrap/>
            <w:vAlign w:val="bottom"/>
            <w:hideMark/>
          </w:tcPr>
          <w:p w:rsidR="002806C7" w:rsidRPr="00F14AE8" w:rsidRDefault="002806C7" w:rsidP="00F14AE8">
            <w:pPr>
              <w:spacing w:after="0" w:line="360" w:lineRule="auto"/>
              <w:jc w:val="both"/>
              <w:rPr>
                <w:rFonts w:ascii="Book Antiqua" w:hAnsi="Book Antiqua"/>
                <w:iCs/>
                <w:color w:val="000000"/>
                <w:sz w:val="24"/>
                <w:szCs w:val="24"/>
              </w:rPr>
            </w:pPr>
            <w:r w:rsidRPr="00F14AE8">
              <w:rPr>
                <w:rFonts w:ascii="Book Antiqua" w:hAnsi="Book Antiqua"/>
                <w:iCs/>
                <w:color w:val="000000"/>
                <w:sz w:val="24"/>
                <w:szCs w:val="24"/>
              </w:rPr>
              <w:t>Normal</w:t>
            </w:r>
          </w:p>
        </w:tc>
        <w:tc>
          <w:tcPr>
            <w:tcW w:w="1710" w:type="dxa"/>
            <w:tcBorders>
              <w:top w:val="single" w:sz="4" w:space="0" w:color="auto"/>
            </w:tcBorders>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15 (78.9</w:t>
            </w:r>
            <w:r w:rsidR="002806C7" w:rsidRPr="00F14AE8">
              <w:rPr>
                <w:rFonts w:ascii="Book Antiqua" w:hAnsi="Book Antiqua"/>
                <w:color w:val="000000"/>
                <w:sz w:val="24"/>
                <w:szCs w:val="24"/>
              </w:rPr>
              <w:t>)</w:t>
            </w:r>
          </w:p>
        </w:tc>
        <w:tc>
          <w:tcPr>
            <w:tcW w:w="1655" w:type="dxa"/>
            <w:tcBorders>
              <w:top w:val="single" w:sz="4" w:space="0" w:color="auto"/>
            </w:tcBorders>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21 (75.0</w:t>
            </w:r>
            <w:r w:rsidR="002806C7" w:rsidRPr="00F14AE8">
              <w:rPr>
                <w:rFonts w:ascii="Book Antiqua" w:hAnsi="Book Antiqua"/>
                <w:color w:val="000000"/>
                <w:sz w:val="24"/>
                <w:szCs w:val="24"/>
              </w:rPr>
              <w:t>)</w:t>
            </w:r>
          </w:p>
        </w:tc>
        <w:tc>
          <w:tcPr>
            <w:tcW w:w="1170" w:type="dxa"/>
            <w:tcBorders>
              <w:top w:val="single" w:sz="4" w:space="0" w:color="auto"/>
            </w:tcBorders>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0.75</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iCs/>
                <w:color w:val="000000"/>
                <w:sz w:val="24"/>
                <w:szCs w:val="24"/>
                <w:u w:val="single"/>
              </w:rPr>
            </w:pPr>
            <w:r w:rsidRPr="00F14AE8">
              <w:rPr>
                <w:rFonts w:ascii="Book Antiqua" w:hAnsi="Book Antiqua"/>
                <w:iCs/>
                <w:color w:val="000000"/>
                <w:sz w:val="24"/>
                <w:szCs w:val="24"/>
                <w:u w:val="single"/>
              </w:rPr>
              <w:t>Pre-malignancy</w:t>
            </w:r>
          </w:p>
        </w:tc>
        <w:tc>
          <w:tcPr>
            <w:tcW w:w="171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xml:space="preserve">0 </w:t>
            </w:r>
            <w:r w:rsidR="00D46930" w:rsidRPr="00F14AE8">
              <w:rPr>
                <w:rFonts w:ascii="Book Antiqua" w:hAnsi="Book Antiqua"/>
                <w:color w:val="000000"/>
                <w:sz w:val="24"/>
                <w:szCs w:val="24"/>
              </w:rPr>
              <w:t>(0</w:t>
            </w:r>
            <w:r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D46930"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3 (10.7</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0.26</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Barrett's without dysplasia</w:t>
            </w:r>
          </w:p>
        </w:tc>
        <w:tc>
          <w:tcPr>
            <w:tcW w:w="171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(7.1</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552"/>
        </w:trPr>
        <w:tc>
          <w:tcPr>
            <w:tcW w:w="2860" w:type="dxa"/>
            <w:shd w:val="clear" w:color="auto" w:fill="auto"/>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Gastric intestinal metaplasia without dysplasia</w:t>
            </w:r>
          </w:p>
        </w:tc>
        <w:tc>
          <w:tcPr>
            <w:tcW w:w="171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(3.6</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i/>
                <w:iCs/>
                <w:color w:val="000000"/>
                <w:sz w:val="24"/>
                <w:szCs w:val="24"/>
              </w:rPr>
            </w:pPr>
            <w:r w:rsidRPr="00F14AE8">
              <w:rPr>
                <w:rFonts w:ascii="Book Antiqua" w:hAnsi="Book Antiqua"/>
                <w:i/>
                <w:iCs/>
                <w:color w:val="000000"/>
                <w:sz w:val="24"/>
                <w:szCs w:val="24"/>
              </w:rPr>
              <w:t>Malignancy</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i/>
                <w:iCs/>
                <w:color w:val="000000"/>
                <w:sz w:val="24"/>
                <w:szCs w:val="24"/>
                <w:u w:val="single"/>
              </w:rPr>
            </w:pPr>
            <w:r w:rsidRPr="00F14AE8">
              <w:rPr>
                <w:rFonts w:ascii="Book Antiqua" w:hAnsi="Book Antiqua"/>
                <w:i/>
                <w:iCs/>
                <w:color w:val="000000"/>
                <w:sz w:val="24"/>
                <w:szCs w:val="24"/>
                <w:u w:val="single"/>
              </w:rPr>
              <w:t>Non-malignant</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 (21.1</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 (14.3</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0.70</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Varices</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(10.5</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Helicobacter pylori gastritis</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(10.5</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2 (7.1</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Cytomegalovirus esophagitis</w:t>
            </w:r>
          </w:p>
        </w:tc>
        <w:tc>
          <w:tcPr>
            <w:tcW w:w="171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(3.6</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Candida esophagitis</w:t>
            </w:r>
          </w:p>
        </w:tc>
        <w:tc>
          <w:tcPr>
            <w:tcW w:w="171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(3.6</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576"/>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Findings on Colonoscopy</w:t>
            </w:r>
          </w:p>
        </w:tc>
        <w:tc>
          <w:tcPr>
            <w:tcW w:w="1710" w:type="dxa"/>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Asymptomatic (</w:t>
            </w:r>
            <w:r w:rsidRPr="00F14AE8">
              <w:rPr>
                <w:rFonts w:ascii="Book Antiqua" w:hAnsi="Book Antiqua"/>
                <w:b/>
                <w:bCs/>
                <w:i/>
                <w:color w:val="000000"/>
                <w:sz w:val="24"/>
                <w:szCs w:val="24"/>
              </w:rPr>
              <w:t>n</w:t>
            </w:r>
            <w:r w:rsidR="00593C5F"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w:t>
            </w:r>
            <w:r w:rsidR="00593C5F"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51)</w:t>
            </w:r>
          </w:p>
        </w:tc>
        <w:tc>
          <w:tcPr>
            <w:tcW w:w="1655" w:type="dxa"/>
            <w:shd w:val="clear" w:color="auto" w:fill="auto"/>
            <w:vAlign w:val="center"/>
            <w:hideMark/>
          </w:tcPr>
          <w:p w:rsidR="002806C7" w:rsidRPr="00F14AE8" w:rsidRDefault="002806C7" w:rsidP="00F14AE8">
            <w:pPr>
              <w:spacing w:after="0" w:line="360" w:lineRule="auto"/>
              <w:jc w:val="both"/>
              <w:rPr>
                <w:rFonts w:ascii="Book Antiqua" w:hAnsi="Book Antiqua"/>
                <w:b/>
                <w:bCs/>
                <w:color w:val="000000"/>
                <w:sz w:val="24"/>
                <w:szCs w:val="24"/>
              </w:rPr>
            </w:pPr>
            <w:r w:rsidRPr="00F14AE8">
              <w:rPr>
                <w:rFonts w:ascii="Book Antiqua" w:hAnsi="Book Antiqua"/>
                <w:b/>
                <w:bCs/>
                <w:color w:val="000000"/>
                <w:sz w:val="24"/>
                <w:szCs w:val="24"/>
              </w:rPr>
              <w:t>Symptomatic (</w:t>
            </w:r>
            <w:r w:rsidR="00593C5F" w:rsidRPr="00F14AE8">
              <w:rPr>
                <w:rFonts w:ascii="Book Antiqua" w:hAnsi="Book Antiqua"/>
                <w:b/>
                <w:bCs/>
                <w:i/>
                <w:color w:val="000000"/>
                <w:sz w:val="24"/>
                <w:szCs w:val="24"/>
              </w:rPr>
              <w:t>n</w:t>
            </w:r>
            <w:r w:rsidR="00593C5F" w:rsidRPr="00F14AE8">
              <w:rPr>
                <w:rFonts w:ascii="Book Antiqua" w:hAnsi="Book Antiqua"/>
                <w:b/>
                <w:bCs/>
                <w:color w:val="000000"/>
                <w:sz w:val="24"/>
                <w:szCs w:val="24"/>
              </w:rPr>
              <w:t xml:space="preserve"> </w:t>
            </w:r>
            <w:r w:rsidRPr="00F14AE8">
              <w:rPr>
                <w:rFonts w:ascii="Book Antiqua" w:hAnsi="Book Antiqua"/>
                <w:b/>
                <w:bCs/>
                <w:color w:val="000000"/>
                <w:sz w:val="24"/>
                <w:szCs w:val="24"/>
              </w:rPr>
              <w:t>=</w:t>
            </w:r>
            <w:r w:rsidR="00593C5F" w:rsidRPr="00F14AE8">
              <w:rPr>
                <w:rFonts w:ascii="Book Antiqua" w:hAnsi="Book Antiqua"/>
                <w:b/>
                <w:bCs/>
                <w:color w:val="000000"/>
                <w:sz w:val="24"/>
                <w:szCs w:val="24"/>
                <w:lang w:eastAsia="zh-CN"/>
              </w:rPr>
              <w:t xml:space="preserve"> </w:t>
            </w:r>
            <w:r w:rsidRPr="00F14AE8">
              <w:rPr>
                <w:rFonts w:ascii="Book Antiqua" w:hAnsi="Book Antiqua"/>
                <w:b/>
                <w:bCs/>
                <w:color w:val="000000"/>
                <w:sz w:val="24"/>
                <w:szCs w:val="24"/>
              </w:rPr>
              <w:t>16)</w:t>
            </w:r>
          </w:p>
        </w:tc>
        <w:tc>
          <w:tcPr>
            <w:tcW w:w="1170" w:type="dxa"/>
            <w:shd w:val="clear" w:color="auto" w:fill="auto"/>
            <w:noWrap/>
            <w:vAlign w:val="center"/>
            <w:hideMark/>
          </w:tcPr>
          <w:p w:rsidR="002806C7" w:rsidRPr="00F14AE8" w:rsidRDefault="00593C5F" w:rsidP="00F14AE8">
            <w:pPr>
              <w:spacing w:after="0" w:line="360" w:lineRule="auto"/>
              <w:jc w:val="both"/>
              <w:rPr>
                <w:rFonts w:ascii="Book Antiqua" w:hAnsi="Book Antiqua"/>
                <w:b/>
                <w:bCs/>
                <w:color w:val="000000"/>
                <w:sz w:val="24"/>
                <w:szCs w:val="24"/>
              </w:rPr>
            </w:pPr>
            <w:r w:rsidRPr="00F14AE8">
              <w:rPr>
                <w:rFonts w:ascii="Book Antiqua" w:hAnsi="Book Antiqua"/>
                <w:b/>
                <w:bCs/>
                <w:i/>
                <w:color w:val="000000"/>
                <w:sz w:val="24"/>
                <w:szCs w:val="24"/>
              </w:rPr>
              <w:t xml:space="preserve">P </w:t>
            </w:r>
            <w:r w:rsidR="002806C7" w:rsidRPr="00F14AE8">
              <w:rPr>
                <w:rFonts w:ascii="Book Antiqua" w:hAnsi="Book Antiqua"/>
                <w:b/>
                <w:bCs/>
                <w:color w:val="000000"/>
                <w:sz w:val="24"/>
                <w:szCs w:val="24"/>
              </w:rPr>
              <w:t>value</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i/>
                <w:iCs/>
                <w:color w:val="000000"/>
                <w:sz w:val="24"/>
                <w:szCs w:val="24"/>
              </w:rPr>
            </w:pPr>
            <w:r w:rsidRPr="00F14AE8">
              <w:rPr>
                <w:rFonts w:ascii="Book Antiqua" w:hAnsi="Book Antiqua"/>
                <w:i/>
                <w:iCs/>
                <w:color w:val="000000"/>
                <w:sz w:val="24"/>
                <w:szCs w:val="24"/>
              </w:rPr>
              <w:t>Normal</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44 (86.3</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9 (56.3</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0.01</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i/>
                <w:iCs/>
                <w:color w:val="000000"/>
                <w:sz w:val="24"/>
                <w:szCs w:val="24"/>
                <w:u w:val="single"/>
              </w:rPr>
            </w:pPr>
            <w:r w:rsidRPr="00F14AE8">
              <w:rPr>
                <w:rFonts w:ascii="Book Antiqua" w:hAnsi="Book Antiqua"/>
                <w:i/>
                <w:iCs/>
                <w:color w:val="000000"/>
                <w:sz w:val="24"/>
                <w:szCs w:val="24"/>
                <w:u w:val="single"/>
              </w:rPr>
              <w:t>Pre-malignancy</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7 (13.7</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3 (18.8</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0.69</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Advanced adenoma</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(2.0</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(6.3</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Low risk tubular adenoma</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5 (9.8</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(6.3</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 3 tubular adenomas</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(2.0</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(6.3</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iCs/>
                <w:color w:val="000000"/>
                <w:sz w:val="24"/>
                <w:szCs w:val="24"/>
              </w:rPr>
            </w:pPr>
            <w:r w:rsidRPr="00F14AE8">
              <w:rPr>
                <w:rFonts w:ascii="Book Antiqua" w:hAnsi="Book Antiqua"/>
                <w:iCs/>
                <w:color w:val="000000"/>
                <w:sz w:val="24"/>
                <w:szCs w:val="24"/>
              </w:rPr>
              <w:t>Malignancy</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iCs/>
                <w:color w:val="000000"/>
                <w:sz w:val="24"/>
                <w:szCs w:val="24"/>
                <w:u w:val="single"/>
              </w:rPr>
            </w:pPr>
            <w:r w:rsidRPr="00F14AE8">
              <w:rPr>
                <w:rFonts w:ascii="Book Antiqua" w:hAnsi="Book Antiqua"/>
                <w:iCs/>
                <w:color w:val="000000"/>
                <w:sz w:val="24"/>
                <w:szCs w:val="24"/>
                <w:u w:val="single"/>
              </w:rPr>
              <w:lastRenderedPageBreak/>
              <w:t>Non-malignant findings</w:t>
            </w:r>
          </w:p>
        </w:tc>
        <w:tc>
          <w:tcPr>
            <w:tcW w:w="1710"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0 (0</w:t>
            </w:r>
            <w:r w:rsidR="002806C7"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4 (25</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&lt; 0.01</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IBD</w:t>
            </w:r>
          </w:p>
        </w:tc>
        <w:tc>
          <w:tcPr>
            <w:tcW w:w="171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3 (18.8</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r w:rsidR="002806C7" w:rsidRPr="00F14AE8" w:rsidTr="00160DC1">
        <w:trPr>
          <w:trHeight w:val="288"/>
        </w:trPr>
        <w:tc>
          <w:tcPr>
            <w:tcW w:w="2860" w:type="dxa"/>
            <w:shd w:val="clear" w:color="auto" w:fill="auto"/>
            <w:noWrap/>
            <w:vAlign w:val="bottom"/>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Microscopic colitis</w:t>
            </w:r>
          </w:p>
        </w:tc>
        <w:tc>
          <w:tcPr>
            <w:tcW w:w="171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c>
          <w:tcPr>
            <w:tcW w:w="1655" w:type="dxa"/>
            <w:shd w:val="clear" w:color="auto" w:fill="auto"/>
            <w:noWrap/>
            <w:vAlign w:val="center"/>
            <w:hideMark/>
          </w:tcPr>
          <w:p w:rsidR="002806C7" w:rsidRPr="00F14AE8" w:rsidRDefault="00172878"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1 (6.3</w:t>
            </w:r>
            <w:r w:rsidR="002806C7" w:rsidRPr="00F14AE8">
              <w:rPr>
                <w:rFonts w:ascii="Book Antiqua" w:hAnsi="Book Antiqua"/>
                <w:color w:val="000000"/>
                <w:sz w:val="24"/>
                <w:szCs w:val="24"/>
              </w:rPr>
              <w:t>)</w:t>
            </w:r>
          </w:p>
        </w:tc>
        <w:tc>
          <w:tcPr>
            <w:tcW w:w="1170" w:type="dxa"/>
            <w:shd w:val="clear" w:color="auto" w:fill="auto"/>
            <w:noWrap/>
            <w:vAlign w:val="center"/>
            <w:hideMark/>
          </w:tcPr>
          <w:p w:rsidR="002806C7" w:rsidRPr="00F14AE8" w:rsidRDefault="002806C7" w:rsidP="00F14AE8">
            <w:pPr>
              <w:spacing w:after="0" w:line="360" w:lineRule="auto"/>
              <w:jc w:val="both"/>
              <w:rPr>
                <w:rFonts w:ascii="Book Antiqua" w:hAnsi="Book Antiqua"/>
                <w:color w:val="000000"/>
                <w:sz w:val="24"/>
                <w:szCs w:val="24"/>
              </w:rPr>
            </w:pPr>
            <w:r w:rsidRPr="00F14AE8">
              <w:rPr>
                <w:rFonts w:ascii="Book Antiqua" w:hAnsi="Book Antiqua"/>
                <w:color w:val="000000"/>
                <w:sz w:val="24"/>
                <w:szCs w:val="24"/>
              </w:rPr>
              <w:t>--</w:t>
            </w:r>
          </w:p>
        </w:tc>
      </w:tr>
    </w:tbl>
    <w:p w:rsidR="002806C7" w:rsidRPr="00F14AE8" w:rsidRDefault="003530DE" w:rsidP="00F14AE8">
      <w:pPr>
        <w:spacing w:after="0" w:line="360" w:lineRule="auto"/>
        <w:jc w:val="both"/>
        <w:rPr>
          <w:rFonts w:ascii="Book Antiqua" w:hAnsi="Book Antiqua"/>
          <w:color w:val="000000"/>
          <w:sz w:val="24"/>
          <w:szCs w:val="24"/>
          <w:lang w:eastAsia="zh-CN"/>
        </w:rPr>
      </w:pPr>
      <w:r w:rsidRPr="00F14AE8">
        <w:rPr>
          <w:rFonts w:ascii="Book Antiqua" w:hAnsi="Book Antiqua"/>
          <w:sz w:val="24"/>
          <w:szCs w:val="24"/>
        </w:rPr>
        <w:t>EGD</w:t>
      </w:r>
      <w:r>
        <w:rPr>
          <w:rFonts w:ascii="Book Antiqua" w:hAnsi="Book Antiqua" w:hint="eastAsia"/>
          <w:sz w:val="24"/>
          <w:szCs w:val="24"/>
          <w:lang w:eastAsia="zh-CN"/>
        </w:rPr>
        <w:t>:</w:t>
      </w:r>
      <w:r w:rsidRPr="003530DE">
        <w:rPr>
          <w:rFonts w:ascii="Book Antiqua" w:hAnsi="Book Antiqua"/>
          <w:sz w:val="24"/>
          <w:szCs w:val="24"/>
        </w:rPr>
        <w:t xml:space="preserve"> </w:t>
      </w:r>
      <w:r w:rsidRPr="00F14AE8">
        <w:rPr>
          <w:rFonts w:ascii="Book Antiqua" w:hAnsi="Book Antiqua"/>
          <w:sz w:val="24"/>
          <w:szCs w:val="24"/>
        </w:rPr>
        <w:t>Esophagogastroduodenoscopy</w:t>
      </w:r>
      <w:r>
        <w:rPr>
          <w:rFonts w:ascii="Book Antiqua" w:hAnsi="Book Antiqua" w:hint="eastAsia"/>
          <w:sz w:val="24"/>
          <w:szCs w:val="24"/>
          <w:lang w:eastAsia="zh-CN"/>
        </w:rPr>
        <w:t>.</w:t>
      </w:r>
    </w:p>
    <w:p w:rsidR="002806C7" w:rsidRPr="00F14AE8" w:rsidRDefault="002806C7" w:rsidP="00F14AE8">
      <w:pPr>
        <w:pStyle w:val="ListParagraph"/>
        <w:spacing w:after="0" w:line="360" w:lineRule="auto"/>
        <w:ind w:left="0"/>
        <w:jc w:val="both"/>
        <w:rPr>
          <w:rFonts w:ascii="Book Antiqua" w:hAnsi="Book Antiqua"/>
          <w:sz w:val="24"/>
          <w:szCs w:val="24"/>
        </w:rPr>
      </w:pPr>
    </w:p>
    <w:p w:rsidR="002806C7" w:rsidRPr="00F14AE8" w:rsidRDefault="002806C7" w:rsidP="00F14AE8">
      <w:pPr>
        <w:spacing w:after="0" w:line="360" w:lineRule="auto"/>
        <w:jc w:val="both"/>
        <w:rPr>
          <w:rFonts w:ascii="Book Antiqua" w:hAnsi="Book Antiqua"/>
          <w:b/>
          <w:sz w:val="24"/>
          <w:szCs w:val="24"/>
          <w:lang w:eastAsia="zh-CN"/>
        </w:rPr>
      </w:pPr>
    </w:p>
    <w:sectPr w:rsidR="002806C7" w:rsidRPr="00F14AE8" w:rsidSect="005239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74" w:rsidRDefault="00BB3874" w:rsidP="00A00A0F">
      <w:pPr>
        <w:spacing w:after="0" w:line="240" w:lineRule="auto"/>
      </w:pPr>
      <w:r>
        <w:separator/>
      </w:r>
    </w:p>
  </w:endnote>
  <w:endnote w:type="continuationSeparator" w:id="0">
    <w:p w:rsidR="00BB3874" w:rsidRDefault="00BB3874" w:rsidP="00A0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74" w:rsidRDefault="00BB3874" w:rsidP="00A00A0F">
      <w:pPr>
        <w:spacing w:after="0" w:line="240" w:lineRule="auto"/>
      </w:pPr>
      <w:r>
        <w:separator/>
      </w:r>
    </w:p>
  </w:footnote>
  <w:footnote w:type="continuationSeparator" w:id="0">
    <w:p w:rsidR="00BB3874" w:rsidRDefault="00BB3874" w:rsidP="00A0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930" w:rsidRDefault="00D46930">
    <w:pPr>
      <w:pStyle w:val="Header"/>
      <w:jc w:val="right"/>
    </w:pPr>
    <w:r>
      <w:fldChar w:fldCharType="begin"/>
    </w:r>
    <w:r>
      <w:instrText xml:space="preserve"> PAGE   \* MERGEFORMAT </w:instrText>
    </w:r>
    <w:r>
      <w:fldChar w:fldCharType="separate"/>
    </w:r>
    <w:r w:rsidR="00832C24">
      <w:rPr>
        <w:noProof/>
      </w:rPr>
      <w:t>25</w:t>
    </w:r>
    <w:r>
      <w:rPr>
        <w:noProof/>
      </w:rPr>
      <w:fldChar w:fldCharType="end"/>
    </w:r>
  </w:p>
  <w:p w:rsidR="00D46930" w:rsidRDefault="00D46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84837"/>
    <w:multiLevelType w:val="hybridMultilevel"/>
    <w:tmpl w:val="13C0160A"/>
    <w:lvl w:ilvl="0" w:tplc="67C0A3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65"/>
    <w:rsid w:val="00004186"/>
    <w:rsid w:val="00021B92"/>
    <w:rsid w:val="00025907"/>
    <w:rsid w:val="00034D19"/>
    <w:rsid w:val="00040FE6"/>
    <w:rsid w:val="00057EBC"/>
    <w:rsid w:val="00061154"/>
    <w:rsid w:val="00063098"/>
    <w:rsid w:val="00064FEF"/>
    <w:rsid w:val="000779A4"/>
    <w:rsid w:val="00081CFF"/>
    <w:rsid w:val="00082573"/>
    <w:rsid w:val="00084BB1"/>
    <w:rsid w:val="000857C0"/>
    <w:rsid w:val="00094ACE"/>
    <w:rsid w:val="00095541"/>
    <w:rsid w:val="000A0E9A"/>
    <w:rsid w:val="000A26C2"/>
    <w:rsid w:val="000B298F"/>
    <w:rsid w:val="000B2EC2"/>
    <w:rsid w:val="000B6D33"/>
    <w:rsid w:val="000C7FED"/>
    <w:rsid w:val="000D5618"/>
    <w:rsid w:val="000E5D73"/>
    <w:rsid w:val="000E7EB9"/>
    <w:rsid w:val="001047F3"/>
    <w:rsid w:val="001229FF"/>
    <w:rsid w:val="00123D0C"/>
    <w:rsid w:val="0013129A"/>
    <w:rsid w:val="001368E0"/>
    <w:rsid w:val="0015063F"/>
    <w:rsid w:val="00160DC1"/>
    <w:rsid w:val="00170131"/>
    <w:rsid w:val="00171F37"/>
    <w:rsid w:val="00172878"/>
    <w:rsid w:val="00191793"/>
    <w:rsid w:val="001A02F8"/>
    <w:rsid w:val="001C1B4D"/>
    <w:rsid w:val="001C4C74"/>
    <w:rsid w:val="001C5974"/>
    <w:rsid w:val="001D20F2"/>
    <w:rsid w:val="001D2353"/>
    <w:rsid w:val="001D38E3"/>
    <w:rsid w:val="001E3B55"/>
    <w:rsid w:val="001E4EB7"/>
    <w:rsid w:val="001F7E11"/>
    <w:rsid w:val="00200C2E"/>
    <w:rsid w:val="0020619E"/>
    <w:rsid w:val="0021259E"/>
    <w:rsid w:val="002126D6"/>
    <w:rsid w:val="00216BD7"/>
    <w:rsid w:val="0022667B"/>
    <w:rsid w:val="00236F97"/>
    <w:rsid w:val="00237FC9"/>
    <w:rsid w:val="00250E16"/>
    <w:rsid w:val="002544BE"/>
    <w:rsid w:val="0025792C"/>
    <w:rsid w:val="0027552C"/>
    <w:rsid w:val="002806C7"/>
    <w:rsid w:val="002A3985"/>
    <w:rsid w:val="002A5D7C"/>
    <w:rsid w:val="002B142E"/>
    <w:rsid w:val="002B529B"/>
    <w:rsid w:val="002D1233"/>
    <w:rsid w:val="002D32FA"/>
    <w:rsid w:val="002D54B9"/>
    <w:rsid w:val="002E02D1"/>
    <w:rsid w:val="002E63C0"/>
    <w:rsid w:val="002E7E67"/>
    <w:rsid w:val="002F39FF"/>
    <w:rsid w:val="002F6556"/>
    <w:rsid w:val="003032B1"/>
    <w:rsid w:val="0030541C"/>
    <w:rsid w:val="00315A64"/>
    <w:rsid w:val="003253D2"/>
    <w:rsid w:val="00325E53"/>
    <w:rsid w:val="00333816"/>
    <w:rsid w:val="00340A8E"/>
    <w:rsid w:val="003530DE"/>
    <w:rsid w:val="00353889"/>
    <w:rsid w:val="00357904"/>
    <w:rsid w:val="00365AAA"/>
    <w:rsid w:val="00371AEA"/>
    <w:rsid w:val="00377595"/>
    <w:rsid w:val="00381F8B"/>
    <w:rsid w:val="0038296D"/>
    <w:rsid w:val="00390EED"/>
    <w:rsid w:val="003927A3"/>
    <w:rsid w:val="003A4100"/>
    <w:rsid w:val="003D4CBF"/>
    <w:rsid w:val="003E04C6"/>
    <w:rsid w:val="003E25D6"/>
    <w:rsid w:val="003E3101"/>
    <w:rsid w:val="003F0F75"/>
    <w:rsid w:val="003F78CD"/>
    <w:rsid w:val="004016BD"/>
    <w:rsid w:val="00410973"/>
    <w:rsid w:val="00410C8E"/>
    <w:rsid w:val="00413D60"/>
    <w:rsid w:val="004141A5"/>
    <w:rsid w:val="00416AF0"/>
    <w:rsid w:val="00420D70"/>
    <w:rsid w:val="00422F9F"/>
    <w:rsid w:val="00424946"/>
    <w:rsid w:val="0045432F"/>
    <w:rsid w:val="00460023"/>
    <w:rsid w:val="0048005F"/>
    <w:rsid w:val="00480F35"/>
    <w:rsid w:val="0048147A"/>
    <w:rsid w:val="0048194F"/>
    <w:rsid w:val="00490BFE"/>
    <w:rsid w:val="00495BA4"/>
    <w:rsid w:val="004A2BA8"/>
    <w:rsid w:val="004A6554"/>
    <w:rsid w:val="004B6079"/>
    <w:rsid w:val="004C1392"/>
    <w:rsid w:val="004D7657"/>
    <w:rsid w:val="004D7A2E"/>
    <w:rsid w:val="004E59EF"/>
    <w:rsid w:val="00504C07"/>
    <w:rsid w:val="005160E3"/>
    <w:rsid w:val="00523903"/>
    <w:rsid w:val="00536F1F"/>
    <w:rsid w:val="00541B03"/>
    <w:rsid w:val="0054231E"/>
    <w:rsid w:val="00544B64"/>
    <w:rsid w:val="00545ECF"/>
    <w:rsid w:val="00547A89"/>
    <w:rsid w:val="00551429"/>
    <w:rsid w:val="0055229C"/>
    <w:rsid w:val="00557448"/>
    <w:rsid w:val="0056134A"/>
    <w:rsid w:val="00564634"/>
    <w:rsid w:val="00573955"/>
    <w:rsid w:val="00573A33"/>
    <w:rsid w:val="00582406"/>
    <w:rsid w:val="005836C3"/>
    <w:rsid w:val="00583B40"/>
    <w:rsid w:val="005858E1"/>
    <w:rsid w:val="005936F8"/>
    <w:rsid w:val="00593C5F"/>
    <w:rsid w:val="00596AF1"/>
    <w:rsid w:val="005A27C4"/>
    <w:rsid w:val="005A6263"/>
    <w:rsid w:val="005A6E31"/>
    <w:rsid w:val="005A7F09"/>
    <w:rsid w:val="005B7E76"/>
    <w:rsid w:val="005D4199"/>
    <w:rsid w:val="005D438F"/>
    <w:rsid w:val="005E2661"/>
    <w:rsid w:val="005E2B70"/>
    <w:rsid w:val="005F7B6D"/>
    <w:rsid w:val="0060202C"/>
    <w:rsid w:val="00610E2D"/>
    <w:rsid w:val="006130C6"/>
    <w:rsid w:val="00633516"/>
    <w:rsid w:val="006341AB"/>
    <w:rsid w:val="006509FC"/>
    <w:rsid w:val="00652A39"/>
    <w:rsid w:val="00655755"/>
    <w:rsid w:val="00660C4A"/>
    <w:rsid w:val="00685B31"/>
    <w:rsid w:val="00697C9E"/>
    <w:rsid w:val="006A1231"/>
    <w:rsid w:val="006A5A20"/>
    <w:rsid w:val="006D25C0"/>
    <w:rsid w:val="006E2DC5"/>
    <w:rsid w:val="006E7756"/>
    <w:rsid w:val="006F2361"/>
    <w:rsid w:val="00700E65"/>
    <w:rsid w:val="00705680"/>
    <w:rsid w:val="007065D5"/>
    <w:rsid w:val="00707744"/>
    <w:rsid w:val="00713925"/>
    <w:rsid w:val="0072431C"/>
    <w:rsid w:val="0072578E"/>
    <w:rsid w:val="00730143"/>
    <w:rsid w:val="00740D5C"/>
    <w:rsid w:val="00741C4D"/>
    <w:rsid w:val="007426B9"/>
    <w:rsid w:val="007437F0"/>
    <w:rsid w:val="0075184B"/>
    <w:rsid w:val="007579D2"/>
    <w:rsid w:val="00783597"/>
    <w:rsid w:val="00790739"/>
    <w:rsid w:val="007A28E5"/>
    <w:rsid w:val="007A4FDC"/>
    <w:rsid w:val="007A70B6"/>
    <w:rsid w:val="007B0337"/>
    <w:rsid w:val="007B6EFF"/>
    <w:rsid w:val="007C77CB"/>
    <w:rsid w:val="007D0491"/>
    <w:rsid w:val="007D3118"/>
    <w:rsid w:val="007E58D0"/>
    <w:rsid w:val="007F0EB7"/>
    <w:rsid w:val="007F434C"/>
    <w:rsid w:val="007F7E35"/>
    <w:rsid w:val="00803163"/>
    <w:rsid w:val="00805DCE"/>
    <w:rsid w:val="008060A3"/>
    <w:rsid w:val="008075B5"/>
    <w:rsid w:val="00820565"/>
    <w:rsid w:val="00832C24"/>
    <w:rsid w:val="008334D1"/>
    <w:rsid w:val="00835D31"/>
    <w:rsid w:val="0083797C"/>
    <w:rsid w:val="00842595"/>
    <w:rsid w:val="0084610D"/>
    <w:rsid w:val="008503B4"/>
    <w:rsid w:val="00854B84"/>
    <w:rsid w:val="008563CD"/>
    <w:rsid w:val="008608CE"/>
    <w:rsid w:val="00861099"/>
    <w:rsid w:val="00863562"/>
    <w:rsid w:val="008721F4"/>
    <w:rsid w:val="008A14C1"/>
    <w:rsid w:val="008B2AC2"/>
    <w:rsid w:val="008C090C"/>
    <w:rsid w:val="008C3E4D"/>
    <w:rsid w:val="008C74B7"/>
    <w:rsid w:val="008D7C56"/>
    <w:rsid w:val="008E5B2E"/>
    <w:rsid w:val="008F61E7"/>
    <w:rsid w:val="008F6A80"/>
    <w:rsid w:val="00906D30"/>
    <w:rsid w:val="00907278"/>
    <w:rsid w:val="0091376D"/>
    <w:rsid w:val="009179FF"/>
    <w:rsid w:val="00923510"/>
    <w:rsid w:val="00925928"/>
    <w:rsid w:val="009313A7"/>
    <w:rsid w:val="009374AE"/>
    <w:rsid w:val="00942384"/>
    <w:rsid w:val="00942F4A"/>
    <w:rsid w:val="00946472"/>
    <w:rsid w:val="009607B2"/>
    <w:rsid w:val="00961B19"/>
    <w:rsid w:val="00961B6C"/>
    <w:rsid w:val="009816D5"/>
    <w:rsid w:val="00993211"/>
    <w:rsid w:val="009B4226"/>
    <w:rsid w:val="009C21DF"/>
    <w:rsid w:val="009C557E"/>
    <w:rsid w:val="009C7493"/>
    <w:rsid w:val="009D5FB3"/>
    <w:rsid w:val="009F26C0"/>
    <w:rsid w:val="009F4701"/>
    <w:rsid w:val="00A00A0F"/>
    <w:rsid w:val="00A12996"/>
    <w:rsid w:val="00A15E09"/>
    <w:rsid w:val="00A40B08"/>
    <w:rsid w:val="00A4137C"/>
    <w:rsid w:val="00A450E1"/>
    <w:rsid w:val="00A52D0A"/>
    <w:rsid w:val="00A53DBF"/>
    <w:rsid w:val="00A67190"/>
    <w:rsid w:val="00A82FE1"/>
    <w:rsid w:val="00A831BF"/>
    <w:rsid w:val="00A9390B"/>
    <w:rsid w:val="00AA1AB0"/>
    <w:rsid w:val="00AA3EB5"/>
    <w:rsid w:val="00AA7F4F"/>
    <w:rsid w:val="00AB688C"/>
    <w:rsid w:val="00AC1FB3"/>
    <w:rsid w:val="00AC79E0"/>
    <w:rsid w:val="00AD702D"/>
    <w:rsid w:val="00AE01FE"/>
    <w:rsid w:val="00AF1201"/>
    <w:rsid w:val="00B0342A"/>
    <w:rsid w:val="00B0475D"/>
    <w:rsid w:val="00B072A9"/>
    <w:rsid w:val="00B0738A"/>
    <w:rsid w:val="00B15814"/>
    <w:rsid w:val="00B2621C"/>
    <w:rsid w:val="00B26CBB"/>
    <w:rsid w:val="00B3252C"/>
    <w:rsid w:val="00B3452E"/>
    <w:rsid w:val="00B43BAE"/>
    <w:rsid w:val="00B46D19"/>
    <w:rsid w:val="00B52943"/>
    <w:rsid w:val="00B54638"/>
    <w:rsid w:val="00B74848"/>
    <w:rsid w:val="00B749A7"/>
    <w:rsid w:val="00B77BC1"/>
    <w:rsid w:val="00B81B5F"/>
    <w:rsid w:val="00BA4BC8"/>
    <w:rsid w:val="00BA51A7"/>
    <w:rsid w:val="00BA6D9F"/>
    <w:rsid w:val="00BA7DD2"/>
    <w:rsid w:val="00BB26A2"/>
    <w:rsid w:val="00BB3295"/>
    <w:rsid w:val="00BB3874"/>
    <w:rsid w:val="00BC5701"/>
    <w:rsid w:val="00BE0847"/>
    <w:rsid w:val="00BE7C37"/>
    <w:rsid w:val="00C07383"/>
    <w:rsid w:val="00C1123B"/>
    <w:rsid w:val="00C12843"/>
    <w:rsid w:val="00C13247"/>
    <w:rsid w:val="00C17B1C"/>
    <w:rsid w:val="00C358D2"/>
    <w:rsid w:val="00C370D0"/>
    <w:rsid w:val="00C425D7"/>
    <w:rsid w:val="00C63A85"/>
    <w:rsid w:val="00C65B6D"/>
    <w:rsid w:val="00C7381B"/>
    <w:rsid w:val="00C81969"/>
    <w:rsid w:val="00C85C86"/>
    <w:rsid w:val="00C9455F"/>
    <w:rsid w:val="00CA28F8"/>
    <w:rsid w:val="00CB1932"/>
    <w:rsid w:val="00CB2F94"/>
    <w:rsid w:val="00CD0AC3"/>
    <w:rsid w:val="00CE49CD"/>
    <w:rsid w:val="00CE6129"/>
    <w:rsid w:val="00CF2878"/>
    <w:rsid w:val="00CF32FA"/>
    <w:rsid w:val="00D12168"/>
    <w:rsid w:val="00D1243D"/>
    <w:rsid w:val="00D15CEF"/>
    <w:rsid w:val="00D16091"/>
    <w:rsid w:val="00D22A42"/>
    <w:rsid w:val="00D338F2"/>
    <w:rsid w:val="00D45209"/>
    <w:rsid w:val="00D46930"/>
    <w:rsid w:val="00D5435F"/>
    <w:rsid w:val="00D57670"/>
    <w:rsid w:val="00D63391"/>
    <w:rsid w:val="00D66A33"/>
    <w:rsid w:val="00D712BE"/>
    <w:rsid w:val="00D71CFE"/>
    <w:rsid w:val="00D746F7"/>
    <w:rsid w:val="00D76EF0"/>
    <w:rsid w:val="00D80C8C"/>
    <w:rsid w:val="00D9346D"/>
    <w:rsid w:val="00D95162"/>
    <w:rsid w:val="00DA40B5"/>
    <w:rsid w:val="00DC4FF5"/>
    <w:rsid w:val="00DE16F7"/>
    <w:rsid w:val="00E133FE"/>
    <w:rsid w:val="00E16060"/>
    <w:rsid w:val="00E27D71"/>
    <w:rsid w:val="00E33705"/>
    <w:rsid w:val="00E5603C"/>
    <w:rsid w:val="00E565C9"/>
    <w:rsid w:val="00E7494D"/>
    <w:rsid w:val="00E85AED"/>
    <w:rsid w:val="00EA0441"/>
    <w:rsid w:val="00EA5D28"/>
    <w:rsid w:val="00EB0288"/>
    <w:rsid w:val="00EB0CF5"/>
    <w:rsid w:val="00EB7239"/>
    <w:rsid w:val="00EB7BAA"/>
    <w:rsid w:val="00EC0ED3"/>
    <w:rsid w:val="00ED382C"/>
    <w:rsid w:val="00EE78FF"/>
    <w:rsid w:val="00EF49D5"/>
    <w:rsid w:val="00F14AE8"/>
    <w:rsid w:val="00F218B8"/>
    <w:rsid w:val="00F2606C"/>
    <w:rsid w:val="00F31808"/>
    <w:rsid w:val="00F33AC7"/>
    <w:rsid w:val="00F37465"/>
    <w:rsid w:val="00F37CFF"/>
    <w:rsid w:val="00F53E3F"/>
    <w:rsid w:val="00F56131"/>
    <w:rsid w:val="00F62FB0"/>
    <w:rsid w:val="00F67EA6"/>
    <w:rsid w:val="00F71586"/>
    <w:rsid w:val="00F720F5"/>
    <w:rsid w:val="00F726A9"/>
    <w:rsid w:val="00F80EFC"/>
    <w:rsid w:val="00F81E5A"/>
    <w:rsid w:val="00F8357E"/>
    <w:rsid w:val="00F83FE2"/>
    <w:rsid w:val="00F95D44"/>
    <w:rsid w:val="00FA6CFA"/>
    <w:rsid w:val="00FB62D4"/>
    <w:rsid w:val="00FB78FB"/>
    <w:rsid w:val="00FB7F9D"/>
    <w:rsid w:val="00FC0A03"/>
    <w:rsid w:val="00FC5728"/>
    <w:rsid w:val="00FD4E03"/>
    <w:rsid w:val="00FF1CB8"/>
    <w:rsid w:val="00FF588F"/>
    <w:rsid w:val="00FF7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F9E4E-CEA2-4380-A5DB-FDD2706C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B6D"/>
    <w:pPr>
      <w:ind w:left="720"/>
      <w:contextualSpacing/>
    </w:pPr>
  </w:style>
  <w:style w:type="paragraph" w:styleId="BalloonText">
    <w:name w:val="Balloon Text"/>
    <w:basedOn w:val="Normal"/>
    <w:link w:val="BalloonTextChar"/>
    <w:uiPriority w:val="99"/>
    <w:semiHidden/>
    <w:unhideWhenUsed/>
    <w:rsid w:val="00946472"/>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46472"/>
    <w:rPr>
      <w:rFonts w:ascii="Lucida Grande" w:hAnsi="Lucida Grande"/>
      <w:sz w:val="18"/>
      <w:szCs w:val="18"/>
    </w:rPr>
  </w:style>
  <w:style w:type="character" w:styleId="CommentReference">
    <w:name w:val="annotation reference"/>
    <w:unhideWhenUsed/>
    <w:rsid w:val="00025907"/>
    <w:rPr>
      <w:sz w:val="18"/>
      <w:szCs w:val="18"/>
    </w:rPr>
  </w:style>
  <w:style w:type="paragraph" w:styleId="CommentText">
    <w:name w:val="annotation text"/>
    <w:basedOn w:val="Normal"/>
    <w:link w:val="CommentTextChar"/>
    <w:unhideWhenUsed/>
    <w:rsid w:val="00025907"/>
    <w:pPr>
      <w:spacing w:line="240" w:lineRule="auto"/>
    </w:pPr>
    <w:rPr>
      <w:sz w:val="24"/>
      <w:szCs w:val="24"/>
    </w:rPr>
  </w:style>
  <w:style w:type="character" w:customStyle="1" w:styleId="CommentTextChar">
    <w:name w:val="Comment Text Char"/>
    <w:link w:val="CommentText"/>
    <w:rsid w:val="00025907"/>
    <w:rPr>
      <w:sz w:val="24"/>
      <w:szCs w:val="24"/>
    </w:rPr>
  </w:style>
  <w:style w:type="paragraph" w:styleId="CommentSubject">
    <w:name w:val="annotation subject"/>
    <w:basedOn w:val="CommentText"/>
    <w:next w:val="CommentText"/>
    <w:link w:val="CommentSubjectChar"/>
    <w:uiPriority w:val="99"/>
    <w:semiHidden/>
    <w:unhideWhenUsed/>
    <w:rsid w:val="00025907"/>
    <w:rPr>
      <w:b/>
      <w:bCs/>
      <w:sz w:val="20"/>
      <w:szCs w:val="20"/>
    </w:rPr>
  </w:style>
  <w:style w:type="character" w:customStyle="1" w:styleId="CommentSubjectChar">
    <w:name w:val="Comment Subject Char"/>
    <w:link w:val="CommentSubject"/>
    <w:uiPriority w:val="99"/>
    <w:semiHidden/>
    <w:rsid w:val="00025907"/>
    <w:rPr>
      <w:b/>
      <w:bCs/>
      <w:sz w:val="20"/>
      <w:szCs w:val="20"/>
    </w:rPr>
  </w:style>
  <w:style w:type="paragraph" w:styleId="Header">
    <w:name w:val="header"/>
    <w:basedOn w:val="Normal"/>
    <w:link w:val="HeaderChar"/>
    <w:uiPriority w:val="99"/>
    <w:unhideWhenUsed/>
    <w:rsid w:val="00A00A0F"/>
    <w:pPr>
      <w:tabs>
        <w:tab w:val="center" w:pos="4680"/>
        <w:tab w:val="right" w:pos="9360"/>
      </w:tabs>
    </w:pPr>
  </w:style>
  <w:style w:type="character" w:customStyle="1" w:styleId="HeaderChar">
    <w:name w:val="Header Char"/>
    <w:link w:val="Header"/>
    <w:uiPriority w:val="99"/>
    <w:rsid w:val="00A00A0F"/>
    <w:rPr>
      <w:sz w:val="22"/>
      <w:szCs w:val="22"/>
    </w:rPr>
  </w:style>
  <w:style w:type="paragraph" w:styleId="Footer">
    <w:name w:val="footer"/>
    <w:basedOn w:val="Normal"/>
    <w:link w:val="FooterChar"/>
    <w:uiPriority w:val="99"/>
    <w:unhideWhenUsed/>
    <w:rsid w:val="00A00A0F"/>
    <w:pPr>
      <w:tabs>
        <w:tab w:val="center" w:pos="4680"/>
        <w:tab w:val="right" w:pos="9360"/>
      </w:tabs>
    </w:pPr>
  </w:style>
  <w:style w:type="character" w:customStyle="1" w:styleId="FooterChar">
    <w:name w:val="Footer Char"/>
    <w:link w:val="Footer"/>
    <w:uiPriority w:val="99"/>
    <w:rsid w:val="00A00A0F"/>
    <w:rPr>
      <w:sz w:val="22"/>
      <w:szCs w:val="22"/>
    </w:rPr>
  </w:style>
  <w:style w:type="paragraph" w:customStyle="1" w:styleId="TableNote">
    <w:name w:val="TableNote"/>
    <w:basedOn w:val="Normal"/>
    <w:rsid w:val="00A00A0F"/>
    <w:pPr>
      <w:spacing w:after="0" w:line="300" w:lineRule="exact"/>
    </w:pPr>
    <w:rPr>
      <w:rFonts w:ascii="Times New Roman" w:hAnsi="Times New Roman"/>
      <w:sz w:val="24"/>
      <w:szCs w:val="20"/>
      <w:lang w:val="en-GB"/>
    </w:rPr>
  </w:style>
  <w:style w:type="paragraph" w:customStyle="1" w:styleId="TableTitle">
    <w:name w:val="TableTitle"/>
    <w:basedOn w:val="Normal"/>
    <w:rsid w:val="00A00A0F"/>
    <w:pPr>
      <w:spacing w:after="0" w:line="300" w:lineRule="exact"/>
    </w:pPr>
    <w:rPr>
      <w:rFonts w:ascii="Times New Roman" w:hAnsi="Times New Roman"/>
      <w:sz w:val="24"/>
      <w:szCs w:val="20"/>
      <w:lang w:val="en-GB"/>
    </w:rPr>
  </w:style>
  <w:style w:type="paragraph" w:customStyle="1" w:styleId="TableHeader">
    <w:name w:val="TableHeader"/>
    <w:basedOn w:val="Normal"/>
    <w:rsid w:val="00A00A0F"/>
    <w:pPr>
      <w:spacing w:before="120" w:after="0" w:line="240" w:lineRule="auto"/>
    </w:pPr>
    <w:rPr>
      <w:rFonts w:ascii="Times New Roman" w:hAnsi="Times New Roman"/>
      <w:b/>
      <w:sz w:val="24"/>
      <w:szCs w:val="20"/>
      <w:lang w:val="en-GB"/>
    </w:rPr>
  </w:style>
  <w:style w:type="paragraph" w:customStyle="1" w:styleId="TableSubHead">
    <w:name w:val="TableSubHead"/>
    <w:basedOn w:val="TableHeader"/>
    <w:rsid w:val="00A00A0F"/>
  </w:style>
  <w:style w:type="character" w:styleId="Hyperlink">
    <w:name w:val="Hyperlink"/>
    <w:rsid w:val="00A00A0F"/>
    <w:rPr>
      <w:color w:val="0000FF"/>
      <w:u w:val="single"/>
    </w:rPr>
  </w:style>
  <w:style w:type="character" w:customStyle="1" w:styleId="highlight">
    <w:name w:val="highlight"/>
    <w:basedOn w:val="DefaultParagraphFont"/>
    <w:rsid w:val="00DC4FF5"/>
  </w:style>
  <w:style w:type="paragraph" w:styleId="NormalWeb">
    <w:name w:val="Normal (Web)"/>
    <w:basedOn w:val="Normal"/>
    <w:uiPriority w:val="99"/>
    <w:unhideWhenUsed/>
    <w:rsid w:val="00CF32FA"/>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Strong">
    <w:name w:val="Strong"/>
    <w:uiPriority w:val="22"/>
    <w:qFormat/>
    <w:rsid w:val="00CF32FA"/>
    <w:rPr>
      <w:b/>
      <w:bCs/>
    </w:rPr>
  </w:style>
  <w:style w:type="character" w:customStyle="1" w:styleId="labellist1">
    <w:name w:val="label_list1"/>
    <w:rsid w:val="00CF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7365">
      <w:bodyDiv w:val="1"/>
      <w:marLeft w:val="0"/>
      <w:marRight w:val="0"/>
      <w:marTop w:val="0"/>
      <w:marBottom w:val="0"/>
      <w:divBdr>
        <w:top w:val="none" w:sz="0" w:space="0" w:color="auto"/>
        <w:left w:val="none" w:sz="0" w:space="0" w:color="auto"/>
        <w:bottom w:val="none" w:sz="0" w:space="0" w:color="auto"/>
        <w:right w:val="none" w:sz="0" w:space="0" w:color="auto"/>
      </w:divBdr>
    </w:div>
    <w:div w:id="159851416">
      <w:bodyDiv w:val="1"/>
      <w:marLeft w:val="0"/>
      <w:marRight w:val="0"/>
      <w:marTop w:val="0"/>
      <w:marBottom w:val="0"/>
      <w:divBdr>
        <w:top w:val="none" w:sz="0" w:space="0" w:color="auto"/>
        <w:left w:val="none" w:sz="0" w:space="0" w:color="auto"/>
        <w:bottom w:val="none" w:sz="0" w:space="0" w:color="auto"/>
        <w:right w:val="none" w:sz="0" w:space="0" w:color="auto"/>
      </w:divBdr>
    </w:div>
    <w:div w:id="175384271">
      <w:bodyDiv w:val="1"/>
      <w:marLeft w:val="0"/>
      <w:marRight w:val="0"/>
      <w:marTop w:val="0"/>
      <w:marBottom w:val="0"/>
      <w:divBdr>
        <w:top w:val="none" w:sz="0" w:space="0" w:color="auto"/>
        <w:left w:val="none" w:sz="0" w:space="0" w:color="auto"/>
        <w:bottom w:val="none" w:sz="0" w:space="0" w:color="auto"/>
        <w:right w:val="none" w:sz="0" w:space="0" w:color="auto"/>
      </w:divBdr>
    </w:div>
    <w:div w:id="182090211">
      <w:bodyDiv w:val="1"/>
      <w:marLeft w:val="0"/>
      <w:marRight w:val="0"/>
      <w:marTop w:val="0"/>
      <w:marBottom w:val="0"/>
      <w:divBdr>
        <w:top w:val="none" w:sz="0" w:space="0" w:color="auto"/>
        <w:left w:val="none" w:sz="0" w:space="0" w:color="auto"/>
        <w:bottom w:val="none" w:sz="0" w:space="0" w:color="auto"/>
        <w:right w:val="none" w:sz="0" w:space="0" w:color="auto"/>
      </w:divBdr>
    </w:div>
    <w:div w:id="377052763">
      <w:bodyDiv w:val="1"/>
      <w:marLeft w:val="0"/>
      <w:marRight w:val="0"/>
      <w:marTop w:val="0"/>
      <w:marBottom w:val="0"/>
      <w:divBdr>
        <w:top w:val="none" w:sz="0" w:space="0" w:color="auto"/>
        <w:left w:val="none" w:sz="0" w:space="0" w:color="auto"/>
        <w:bottom w:val="none" w:sz="0" w:space="0" w:color="auto"/>
        <w:right w:val="none" w:sz="0" w:space="0" w:color="auto"/>
      </w:divBdr>
    </w:div>
    <w:div w:id="613637151">
      <w:bodyDiv w:val="1"/>
      <w:marLeft w:val="0"/>
      <w:marRight w:val="0"/>
      <w:marTop w:val="0"/>
      <w:marBottom w:val="0"/>
      <w:divBdr>
        <w:top w:val="none" w:sz="0" w:space="0" w:color="auto"/>
        <w:left w:val="none" w:sz="0" w:space="0" w:color="auto"/>
        <w:bottom w:val="none" w:sz="0" w:space="0" w:color="auto"/>
        <w:right w:val="none" w:sz="0" w:space="0" w:color="auto"/>
      </w:divBdr>
      <w:divsChild>
        <w:div w:id="1582064247">
          <w:marLeft w:val="0"/>
          <w:marRight w:val="0"/>
          <w:marTop w:val="0"/>
          <w:marBottom w:val="0"/>
          <w:divBdr>
            <w:top w:val="none" w:sz="0" w:space="0" w:color="auto"/>
            <w:left w:val="none" w:sz="0" w:space="0" w:color="auto"/>
            <w:bottom w:val="none" w:sz="0" w:space="0" w:color="auto"/>
            <w:right w:val="none" w:sz="0" w:space="0" w:color="auto"/>
          </w:divBdr>
          <w:divsChild>
            <w:div w:id="18810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3327">
      <w:bodyDiv w:val="1"/>
      <w:marLeft w:val="0"/>
      <w:marRight w:val="0"/>
      <w:marTop w:val="0"/>
      <w:marBottom w:val="0"/>
      <w:divBdr>
        <w:top w:val="none" w:sz="0" w:space="0" w:color="auto"/>
        <w:left w:val="none" w:sz="0" w:space="0" w:color="auto"/>
        <w:bottom w:val="none" w:sz="0" w:space="0" w:color="auto"/>
        <w:right w:val="none" w:sz="0" w:space="0" w:color="auto"/>
      </w:divBdr>
    </w:div>
    <w:div w:id="772818384">
      <w:bodyDiv w:val="1"/>
      <w:marLeft w:val="0"/>
      <w:marRight w:val="0"/>
      <w:marTop w:val="0"/>
      <w:marBottom w:val="0"/>
      <w:divBdr>
        <w:top w:val="none" w:sz="0" w:space="0" w:color="auto"/>
        <w:left w:val="none" w:sz="0" w:space="0" w:color="auto"/>
        <w:bottom w:val="none" w:sz="0" w:space="0" w:color="auto"/>
        <w:right w:val="none" w:sz="0" w:space="0" w:color="auto"/>
      </w:divBdr>
      <w:divsChild>
        <w:div w:id="179392725">
          <w:marLeft w:val="0"/>
          <w:marRight w:val="0"/>
          <w:marTop w:val="0"/>
          <w:marBottom w:val="0"/>
          <w:divBdr>
            <w:top w:val="none" w:sz="0" w:space="0" w:color="auto"/>
            <w:left w:val="none" w:sz="0" w:space="0" w:color="auto"/>
            <w:bottom w:val="none" w:sz="0" w:space="0" w:color="auto"/>
            <w:right w:val="none" w:sz="0" w:space="0" w:color="auto"/>
          </w:divBdr>
          <w:divsChild>
            <w:div w:id="10592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0469">
      <w:bodyDiv w:val="1"/>
      <w:marLeft w:val="0"/>
      <w:marRight w:val="0"/>
      <w:marTop w:val="0"/>
      <w:marBottom w:val="0"/>
      <w:divBdr>
        <w:top w:val="none" w:sz="0" w:space="0" w:color="auto"/>
        <w:left w:val="none" w:sz="0" w:space="0" w:color="auto"/>
        <w:bottom w:val="none" w:sz="0" w:space="0" w:color="auto"/>
        <w:right w:val="none" w:sz="0" w:space="0" w:color="auto"/>
      </w:divBdr>
    </w:div>
    <w:div w:id="1339621700">
      <w:bodyDiv w:val="1"/>
      <w:marLeft w:val="0"/>
      <w:marRight w:val="0"/>
      <w:marTop w:val="0"/>
      <w:marBottom w:val="0"/>
      <w:divBdr>
        <w:top w:val="none" w:sz="0" w:space="0" w:color="auto"/>
        <w:left w:val="none" w:sz="0" w:space="0" w:color="auto"/>
        <w:bottom w:val="none" w:sz="0" w:space="0" w:color="auto"/>
        <w:right w:val="none" w:sz="0" w:space="0" w:color="auto"/>
      </w:divBdr>
    </w:div>
    <w:div w:id="170875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eff.Lee@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Trilo</dc:creator>
  <cp:lastModifiedBy>Na Ma</cp:lastModifiedBy>
  <cp:revision>2</cp:revision>
  <cp:lastPrinted>2016-11-28T18:49:00Z</cp:lastPrinted>
  <dcterms:created xsi:type="dcterms:W3CDTF">2017-06-09T13:03:00Z</dcterms:created>
  <dcterms:modified xsi:type="dcterms:W3CDTF">2017-06-09T13:03:00Z</dcterms:modified>
</cp:coreProperties>
</file>