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DD2F" w14:textId="77777777" w:rsidR="0088290D" w:rsidRPr="0088290D" w:rsidRDefault="0088290D" w:rsidP="007940D7">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bookmarkStart w:id="3" w:name="OLE_LINK108"/>
      <w:bookmarkStart w:id="4" w:name="OLE_LINK109"/>
      <w:bookmarkStart w:id="5" w:name="OLE_LINK110"/>
      <w:bookmarkStart w:id="6" w:name="OLE_LINK143"/>
      <w:bookmarkStart w:id="7" w:name="OLE_LINK257"/>
      <w:bookmarkStart w:id="8" w:name="OLE_LINK258"/>
      <w:bookmarkStart w:id="9" w:name="OLE_LINK276"/>
      <w:r w:rsidRPr="0088290D">
        <w:rPr>
          <w:rFonts w:ascii="Book Antiqua" w:eastAsia="Times New Roman" w:hAnsi="Book Antiqua" w:cs="SimSun"/>
          <w:b/>
          <w:color w:val="000000"/>
        </w:rPr>
        <w:t xml:space="preserve">Name of journal: </w:t>
      </w:r>
      <w:bookmarkStart w:id="10" w:name="OLE_LINK718"/>
      <w:bookmarkStart w:id="11" w:name="OLE_LINK719"/>
      <w:bookmarkStart w:id="12" w:name="OLE_LINK645"/>
      <w:bookmarkStart w:id="13" w:name="OLE_LINK661"/>
      <w:bookmarkStart w:id="14" w:name="OLE_LINK1068"/>
      <w:r w:rsidRPr="0088290D">
        <w:rPr>
          <w:rFonts w:ascii="Book Antiqua" w:eastAsia="Times New Roman" w:hAnsi="Book Antiqua" w:cs="SimSun"/>
          <w:b/>
          <w:i/>
          <w:color w:val="000000"/>
        </w:rPr>
        <w:t xml:space="preserve">World Journal of </w:t>
      </w:r>
      <w:bookmarkStart w:id="15" w:name="OLE_LINK1222"/>
      <w:bookmarkStart w:id="16" w:name="OLE_LINK1223"/>
      <w:r w:rsidRPr="0088290D">
        <w:rPr>
          <w:rFonts w:ascii="Book Antiqua" w:eastAsia="Times New Roman" w:hAnsi="Book Antiqua" w:cs="SimSun"/>
          <w:b/>
          <w:i/>
          <w:color w:val="000000"/>
        </w:rPr>
        <w:t>Gastroenterology</w:t>
      </w:r>
      <w:bookmarkEnd w:id="10"/>
      <w:bookmarkEnd w:id="11"/>
      <w:bookmarkEnd w:id="12"/>
      <w:bookmarkEnd w:id="13"/>
      <w:bookmarkEnd w:id="14"/>
      <w:bookmarkEnd w:id="15"/>
      <w:bookmarkEnd w:id="16"/>
    </w:p>
    <w:p w14:paraId="6C9619C1" w14:textId="4CED0C5E" w:rsidR="0088290D" w:rsidRPr="0088290D" w:rsidRDefault="0088290D" w:rsidP="007940D7">
      <w:pPr>
        <w:adjustRightInd w:val="0"/>
        <w:snapToGrid w:val="0"/>
        <w:spacing w:line="360" w:lineRule="auto"/>
        <w:jc w:val="both"/>
        <w:rPr>
          <w:rFonts w:ascii="Book Antiqua" w:eastAsia="SimSun" w:hAnsi="Book Antiqua" w:cs="Arial"/>
          <w:color w:val="000000"/>
          <w:lang w:val="en" w:eastAsia="zh-CN"/>
        </w:rPr>
      </w:pPr>
      <w:r w:rsidRPr="0088290D">
        <w:rPr>
          <w:rFonts w:ascii="Book Antiqua" w:hAnsi="Book Antiqua" w:cs="Arial"/>
          <w:b/>
          <w:color w:val="000000"/>
          <w:lang w:val="en"/>
        </w:rPr>
        <w:t xml:space="preserve">Manuscript NO: </w:t>
      </w:r>
      <w:r w:rsidRPr="0088290D">
        <w:rPr>
          <w:rFonts w:ascii="Book Antiqua" w:eastAsia="SimSun" w:hAnsi="Book Antiqua" w:cs="Arial"/>
          <w:b/>
          <w:color w:val="000000"/>
          <w:lang w:val="en" w:eastAsia="zh-CN"/>
        </w:rPr>
        <w:t>34093</w:t>
      </w:r>
    </w:p>
    <w:p w14:paraId="5566FE78" w14:textId="28872A4C" w:rsidR="0088290D" w:rsidRPr="0088290D" w:rsidRDefault="0088290D" w:rsidP="007940D7">
      <w:pPr>
        <w:spacing w:line="360" w:lineRule="auto"/>
        <w:jc w:val="both"/>
        <w:rPr>
          <w:rFonts w:ascii="Book Antiqua" w:eastAsia="SimSun" w:hAnsi="Book Antiqua"/>
          <w:b/>
          <w:lang w:eastAsia="zh-CN"/>
        </w:rPr>
      </w:pPr>
      <w:r w:rsidRPr="0088290D">
        <w:rPr>
          <w:rFonts w:ascii="Book Antiqua" w:hAnsi="Book Antiqua"/>
          <w:b/>
        </w:rPr>
        <w:t>Manuscript Type: ORIGINAL ARTICLE</w:t>
      </w:r>
    </w:p>
    <w:p w14:paraId="19BDB832" w14:textId="77777777" w:rsidR="0088290D" w:rsidRPr="0088290D" w:rsidRDefault="0088290D" w:rsidP="007940D7">
      <w:pPr>
        <w:spacing w:line="360" w:lineRule="auto"/>
        <w:jc w:val="both"/>
        <w:rPr>
          <w:rFonts w:ascii="Book Antiqua" w:eastAsia="SimSun" w:hAnsi="Book Antiqua"/>
          <w:b/>
          <w:lang w:eastAsia="zh-CN"/>
        </w:rPr>
      </w:pPr>
    </w:p>
    <w:p w14:paraId="1E500E36" w14:textId="0991F178" w:rsidR="0088290D" w:rsidRPr="0088290D" w:rsidRDefault="0088290D" w:rsidP="007940D7">
      <w:pPr>
        <w:spacing w:line="360" w:lineRule="auto"/>
        <w:jc w:val="both"/>
        <w:rPr>
          <w:rFonts w:ascii="Book Antiqua" w:eastAsia="SimSun" w:hAnsi="Book Antiqua"/>
          <w:b/>
          <w:i/>
          <w:lang w:eastAsia="zh-CN"/>
        </w:rPr>
      </w:pPr>
      <w:r w:rsidRPr="0088290D">
        <w:rPr>
          <w:rFonts w:ascii="Book Antiqua" w:eastAsia="SimSun" w:hAnsi="Book Antiqua"/>
          <w:b/>
          <w:i/>
          <w:lang w:eastAsia="zh-CN"/>
        </w:rPr>
        <w:t>Observational Study</w:t>
      </w:r>
    </w:p>
    <w:bookmarkEnd w:id="0"/>
    <w:bookmarkEnd w:id="1"/>
    <w:bookmarkEnd w:id="2"/>
    <w:p w14:paraId="1D912920" w14:textId="77777777" w:rsidR="005E0744" w:rsidRPr="0088290D" w:rsidRDefault="005E0744" w:rsidP="007940D7">
      <w:pPr>
        <w:spacing w:line="360" w:lineRule="auto"/>
        <w:jc w:val="both"/>
        <w:rPr>
          <w:rFonts w:ascii="Book Antiqua" w:hAnsi="Book Antiqua"/>
          <w:b/>
          <w:lang w:val="en-US"/>
        </w:rPr>
      </w:pPr>
      <w:r w:rsidRPr="0088290D">
        <w:rPr>
          <w:rFonts w:ascii="Book Antiqua" w:hAnsi="Book Antiqua"/>
          <w:b/>
          <w:lang w:val="en-US"/>
        </w:rPr>
        <w:t>Gut barrier failure biomarkers are associated with poor disease outcome in patients with primary sclerosing cholangitis</w:t>
      </w:r>
    </w:p>
    <w:p w14:paraId="71D543A6" w14:textId="77777777" w:rsidR="005E0744" w:rsidRPr="0088290D" w:rsidRDefault="005E0744" w:rsidP="007940D7">
      <w:pPr>
        <w:autoSpaceDE w:val="0"/>
        <w:autoSpaceDN w:val="0"/>
        <w:adjustRightInd w:val="0"/>
        <w:spacing w:line="360" w:lineRule="auto"/>
        <w:jc w:val="both"/>
        <w:rPr>
          <w:rFonts w:ascii="Book Antiqua" w:hAnsi="Book Antiqua"/>
          <w:b/>
          <w:lang w:val="en-US"/>
        </w:rPr>
      </w:pPr>
    </w:p>
    <w:bookmarkEnd w:id="3"/>
    <w:bookmarkEnd w:id="4"/>
    <w:bookmarkEnd w:id="5"/>
    <w:bookmarkEnd w:id="6"/>
    <w:bookmarkEnd w:id="7"/>
    <w:bookmarkEnd w:id="8"/>
    <w:bookmarkEnd w:id="9"/>
    <w:p w14:paraId="6AF21853" w14:textId="034B7D15" w:rsidR="001404F7" w:rsidRPr="0088290D" w:rsidRDefault="00010D57" w:rsidP="00794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hAnsi="Book Antiqua"/>
          <w:lang w:val="en-US"/>
        </w:rPr>
      </w:pPr>
      <w:r w:rsidRPr="0088290D">
        <w:rPr>
          <w:rFonts w:ascii="Book Antiqua" w:hAnsi="Book Antiqua"/>
          <w:lang w:val="en-US"/>
        </w:rPr>
        <w:t>Tornai T</w:t>
      </w:r>
      <w:r w:rsidR="0088290D" w:rsidRPr="0088290D">
        <w:rPr>
          <w:rFonts w:ascii="Book Antiqua" w:eastAsia="SimSun" w:hAnsi="Book Antiqua"/>
          <w:lang w:val="en-US" w:eastAsia="zh-CN"/>
        </w:rPr>
        <w:t xml:space="preserve"> </w:t>
      </w:r>
      <w:r w:rsidR="0088290D" w:rsidRPr="0088290D">
        <w:rPr>
          <w:rFonts w:ascii="Book Antiqua" w:eastAsia="SimSun" w:hAnsi="Book Antiqua"/>
          <w:i/>
          <w:lang w:val="en-US" w:eastAsia="zh-CN"/>
        </w:rPr>
        <w:t>et al</w:t>
      </w:r>
      <w:r w:rsidR="00CC7230" w:rsidRPr="0088290D">
        <w:rPr>
          <w:rFonts w:ascii="Book Antiqua" w:hAnsi="Book Antiqua"/>
          <w:i/>
          <w:lang w:val="en-US"/>
        </w:rPr>
        <w:t>.</w:t>
      </w:r>
      <w:r w:rsidRPr="0088290D">
        <w:rPr>
          <w:rFonts w:ascii="Book Antiqua" w:hAnsi="Book Antiqua"/>
          <w:lang w:val="en-US"/>
        </w:rPr>
        <w:t xml:space="preserve"> Gut barrier failure markers in PSC</w:t>
      </w:r>
    </w:p>
    <w:p w14:paraId="3F53C4A1" w14:textId="77777777" w:rsidR="001B0DEE" w:rsidRPr="0088290D" w:rsidRDefault="001B0DEE" w:rsidP="007940D7">
      <w:pPr>
        <w:spacing w:line="360" w:lineRule="auto"/>
        <w:jc w:val="both"/>
        <w:rPr>
          <w:rFonts w:ascii="Book Antiqua" w:hAnsi="Book Antiqua" w:cs="Times New Roman"/>
          <w:lang w:val="en-US"/>
        </w:rPr>
      </w:pPr>
    </w:p>
    <w:p w14:paraId="432566C8" w14:textId="1B450774" w:rsidR="001B0DEE" w:rsidRDefault="001B0DEE" w:rsidP="007940D7">
      <w:pPr>
        <w:spacing w:line="360" w:lineRule="auto"/>
        <w:jc w:val="both"/>
        <w:rPr>
          <w:rFonts w:ascii="Book Antiqua" w:eastAsia="SimSun" w:hAnsi="Book Antiqua" w:cs="Arial"/>
          <w:lang w:val="en-US" w:eastAsia="zh-CN"/>
        </w:rPr>
      </w:pPr>
      <w:r w:rsidRPr="0088290D">
        <w:rPr>
          <w:rFonts w:ascii="Book Antiqua" w:hAnsi="Book Antiqua" w:cs="Arial"/>
          <w:lang w:val="en-US"/>
        </w:rPr>
        <w:t xml:space="preserve">Tamas Tornai, </w:t>
      </w:r>
      <w:r w:rsidR="0009510F" w:rsidRPr="0088290D">
        <w:rPr>
          <w:rFonts w:ascii="Book Antiqua" w:hAnsi="Book Antiqua" w:cs="Arial"/>
          <w:lang w:val="en-US"/>
        </w:rPr>
        <w:t xml:space="preserve">Eszter Palyu, </w:t>
      </w:r>
      <w:r w:rsidRPr="0088290D">
        <w:rPr>
          <w:rFonts w:ascii="Book Antiqua" w:hAnsi="Book Antiqua" w:cs="Arial"/>
          <w:lang w:val="en-US"/>
        </w:rPr>
        <w:t xml:space="preserve">Zsuzsanna Vitalis, Istvan Tornai, </w:t>
      </w:r>
      <w:r w:rsidR="00B723E0" w:rsidRPr="0088290D">
        <w:rPr>
          <w:rFonts w:ascii="Book Antiqua" w:hAnsi="Book Antiqua" w:cs="Arial"/>
          <w:lang w:val="en-US"/>
        </w:rPr>
        <w:t xml:space="preserve">David Tornai, Peter Antal-Szalmas, </w:t>
      </w:r>
      <w:r w:rsidR="0088290D" w:rsidRPr="0088290D">
        <w:rPr>
          <w:rFonts w:ascii="Book Antiqua" w:hAnsi="Book Antiqua" w:cs="Arial"/>
          <w:lang w:val="en-US"/>
        </w:rPr>
        <w:t>Gary L</w:t>
      </w:r>
      <w:r w:rsidRPr="0088290D">
        <w:rPr>
          <w:rFonts w:ascii="Book Antiqua" w:hAnsi="Book Antiqua" w:cs="Arial"/>
          <w:lang w:val="en-US"/>
        </w:rPr>
        <w:t xml:space="preserve"> Norman, Zakera Shums, Gabor Veres, Antal Dezsofi, Gabriella Par, Alajos Par, </w:t>
      </w:r>
      <w:r w:rsidR="00D15940" w:rsidRPr="0088290D">
        <w:rPr>
          <w:rFonts w:ascii="Book Antiqua" w:hAnsi="Book Antiqua" w:cs="Arial"/>
          <w:lang w:val="en-US"/>
        </w:rPr>
        <w:t xml:space="preserve">Peter Orosz, </w:t>
      </w:r>
      <w:r w:rsidRPr="0088290D">
        <w:rPr>
          <w:rFonts w:ascii="Book Antiqua" w:hAnsi="Book Antiqua" w:cs="Arial"/>
          <w:lang w:val="en-US"/>
        </w:rPr>
        <w:t xml:space="preserve">Ferenc Szalay, Peter Laszlo </w:t>
      </w:r>
      <w:r w:rsidRPr="00297B1D">
        <w:rPr>
          <w:rFonts w:ascii="Book Antiqua" w:hAnsi="Book Antiqua" w:cs="Arial"/>
          <w:lang w:val="en-US"/>
        </w:rPr>
        <w:t>Lakatos</w:t>
      </w:r>
      <w:r w:rsidRPr="0088290D">
        <w:rPr>
          <w:rFonts w:ascii="Book Antiqua" w:hAnsi="Book Antiqua" w:cs="Arial"/>
          <w:lang w:val="en-US"/>
        </w:rPr>
        <w:t xml:space="preserve">, </w:t>
      </w:r>
      <w:r w:rsidR="0088290D" w:rsidRPr="0088290D">
        <w:rPr>
          <w:rFonts w:ascii="Book Antiqua" w:hAnsi="Book Antiqua" w:cs="Arial"/>
          <w:lang w:val="en-US"/>
        </w:rPr>
        <w:t>Maria Papp</w:t>
      </w:r>
    </w:p>
    <w:p w14:paraId="0F6DB63B" w14:textId="77777777" w:rsidR="006F1F70" w:rsidRPr="00297B1D" w:rsidRDefault="006F1F70" w:rsidP="007940D7">
      <w:pPr>
        <w:spacing w:line="360" w:lineRule="auto"/>
        <w:jc w:val="both"/>
        <w:rPr>
          <w:rFonts w:ascii="Book Antiqua" w:eastAsia="SimSun" w:hAnsi="Book Antiqua" w:cs="Arial"/>
          <w:vertAlign w:val="superscript"/>
          <w:lang w:val="en-US" w:eastAsia="zh-CN"/>
        </w:rPr>
      </w:pPr>
    </w:p>
    <w:p w14:paraId="093D78A0" w14:textId="4957CCB7" w:rsidR="006F1F70" w:rsidRPr="0088290D" w:rsidRDefault="006F1F70" w:rsidP="007940D7">
      <w:pPr>
        <w:pStyle w:val="BodyText"/>
        <w:spacing w:line="360" w:lineRule="auto"/>
        <w:rPr>
          <w:rFonts w:ascii="Book Antiqua" w:eastAsia="SimSun" w:hAnsi="Book Antiqua"/>
          <w:b w:val="0"/>
          <w:lang w:val="en-US" w:eastAsia="zh-CN"/>
        </w:rPr>
      </w:pPr>
      <w:r w:rsidRPr="0088290D">
        <w:rPr>
          <w:rFonts w:ascii="Book Antiqua" w:hAnsi="Book Antiqua"/>
          <w:lang w:val="en-US"/>
        </w:rPr>
        <w:t xml:space="preserve">Tamas Tornai, Zsuzsanna Vitalis, Istvan Tornai, </w:t>
      </w:r>
      <w:r w:rsidR="009C1031" w:rsidRPr="0088290D">
        <w:rPr>
          <w:rFonts w:ascii="Book Antiqua" w:hAnsi="Book Antiqua"/>
          <w:lang w:val="en-US"/>
        </w:rPr>
        <w:t>Eszter Palyu</w:t>
      </w:r>
      <w:r w:rsidR="00CE138A" w:rsidRPr="0088290D">
        <w:rPr>
          <w:rFonts w:ascii="Book Antiqua" w:hAnsi="Book Antiqua"/>
          <w:lang w:val="en-US"/>
        </w:rPr>
        <w:t xml:space="preserve">, </w:t>
      </w:r>
      <w:r w:rsidRPr="0088290D">
        <w:rPr>
          <w:rFonts w:ascii="Book Antiqua" w:hAnsi="Book Antiqua"/>
          <w:lang w:val="en-US"/>
        </w:rPr>
        <w:t>Maria Papp</w:t>
      </w:r>
      <w:r w:rsidR="00297B1D">
        <w:rPr>
          <w:rFonts w:ascii="Book Antiqua" w:eastAsia="SimSun" w:hAnsi="Book Antiqua" w:hint="eastAsia"/>
          <w:lang w:val="en-US" w:eastAsia="zh-CN"/>
        </w:rPr>
        <w:t>,</w:t>
      </w:r>
      <w:r w:rsidRPr="0088290D">
        <w:rPr>
          <w:rFonts w:ascii="Book Antiqua" w:hAnsi="Book Antiqua"/>
          <w:lang w:val="en-US"/>
        </w:rPr>
        <w:t xml:space="preserve"> </w:t>
      </w:r>
      <w:r w:rsidRPr="0088290D">
        <w:rPr>
          <w:rFonts w:ascii="Book Antiqua" w:hAnsi="Book Antiqua"/>
          <w:b w:val="0"/>
          <w:lang w:val="en-US"/>
        </w:rPr>
        <w:t>Institute of Internal Medicine, Department of Gastroenterology, University of Debrecen, Faculty of Medicine, Debrecen, Hungary, H-4032 Debrecen, Hungary</w:t>
      </w:r>
    </w:p>
    <w:p w14:paraId="423BB90B" w14:textId="77777777" w:rsidR="0088290D" w:rsidRPr="0088290D" w:rsidRDefault="0088290D" w:rsidP="007940D7">
      <w:pPr>
        <w:pStyle w:val="BodyText"/>
        <w:spacing w:line="360" w:lineRule="auto"/>
        <w:rPr>
          <w:rFonts w:ascii="Book Antiqua" w:eastAsia="SimSun" w:hAnsi="Book Antiqua"/>
          <w:b w:val="0"/>
          <w:lang w:val="en-US" w:eastAsia="zh-CN"/>
        </w:rPr>
      </w:pPr>
    </w:p>
    <w:p w14:paraId="1649400F" w14:textId="11501C3B" w:rsidR="006F1F70" w:rsidRPr="0088290D" w:rsidRDefault="006F1F70" w:rsidP="007940D7">
      <w:pPr>
        <w:pStyle w:val="BodyText"/>
        <w:spacing w:line="360" w:lineRule="auto"/>
        <w:rPr>
          <w:rFonts w:ascii="Book Antiqua" w:eastAsia="SimSun" w:hAnsi="Book Antiqua"/>
          <w:b w:val="0"/>
          <w:lang w:val="en-US" w:eastAsia="zh-CN"/>
        </w:rPr>
      </w:pPr>
      <w:r w:rsidRPr="0088290D">
        <w:rPr>
          <w:rFonts w:ascii="Book Antiqua" w:hAnsi="Book Antiqua"/>
          <w:lang w:val="en-US"/>
        </w:rPr>
        <w:t>David Tornai, Peter Antal Szalmas</w:t>
      </w:r>
      <w:r w:rsidR="00297B1D">
        <w:rPr>
          <w:rFonts w:ascii="Book Antiqua" w:eastAsia="SimSun" w:hAnsi="Book Antiqua" w:hint="eastAsia"/>
          <w:lang w:val="en-US" w:eastAsia="zh-CN"/>
        </w:rPr>
        <w:t>,</w:t>
      </w:r>
      <w:r w:rsidRPr="0088290D">
        <w:rPr>
          <w:rFonts w:ascii="Book Antiqua" w:hAnsi="Book Antiqua"/>
          <w:lang w:val="en-US"/>
        </w:rPr>
        <w:t xml:space="preserve"> </w:t>
      </w:r>
      <w:r w:rsidRPr="0088290D">
        <w:rPr>
          <w:rFonts w:ascii="Book Antiqua" w:hAnsi="Book Antiqua"/>
          <w:b w:val="0"/>
          <w:lang w:val="en-US"/>
        </w:rPr>
        <w:t>Department of Laboratory Medicine, University of Debrecen, Faculty of Medicine Debrecen, Hungary, H-4032 Debrecen, Hungary</w:t>
      </w:r>
    </w:p>
    <w:p w14:paraId="0836B4EA" w14:textId="77777777" w:rsidR="0088290D" w:rsidRPr="0088290D" w:rsidRDefault="0088290D" w:rsidP="007940D7">
      <w:pPr>
        <w:pStyle w:val="BodyText"/>
        <w:spacing w:line="360" w:lineRule="auto"/>
        <w:rPr>
          <w:rFonts w:ascii="Book Antiqua" w:eastAsia="SimSun" w:hAnsi="Book Antiqua"/>
          <w:b w:val="0"/>
          <w:lang w:val="en-US" w:eastAsia="zh-CN"/>
        </w:rPr>
      </w:pPr>
    </w:p>
    <w:p w14:paraId="1A6B213C" w14:textId="22397527" w:rsidR="007C2052" w:rsidRPr="0088290D" w:rsidRDefault="007C2052" w:rsidP="00794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eastAsia="SimSun" w:hAnsi="Book Antiqua"/>
          <w:lang w:val="en-US" w:eastAsia="zh-CN"/>
        </w:rPr>
      </w:pPr>
      <w:r w:rsidRPr="0088290D">
        <w:rPr>
          <w:rFonts w:ascii="Book Antiqua" w:hAnsi="Book Antiqua"/>
          <w:b/>
          <w:lang w:val="en-US"/>
        </w:rPr>
        <w:t>Gary L</w:t>
      </w:r>
      <w:r w:rsidR="00297B1D">
        <w:rPr>
          <w:rFonts w:ascii="Book Antiqua" w:eastAsia="SimSun" w:hAnsi="Book Antiqua" w:hint="eastAsia"/>
          <w:b/>
          <w:lang w:val="en-US" w:eastAsia="zh-CN"/>
        </w:rPr>
        <w:t xml:space="preserve"> </w:t>
      </w:r>
      <w:r w:rsidRPr="0088290D">
        <w:rPr>
          <w:rFonts w:ascii="Book Antiqua" w:hAnsi="Book Antiqua"/>
          <w:b/>
          <w:lang w:val="en-US"/>
        </w:rPr>
        <w:t>Norman</w:t>
      </w:r>
      <w:r w:rsidRPr="0088290D">
        <w:rPr>
          <w:rFonts w:ascii="Book Antiqua" w:eastAsia="SimSun" w:hAnsi="Book Antiqua" w:cs="Arial Unicode MS"/>
          <w:b/>
          <w:lang w:val="en-US" w:eastAsia="zh-CN"/>
        </w:rPr>
        <w:t xml:space="preserve">, </w:t>
      </w:r>
      <w:r w:rsidRPr="0088290D">
        <w:rPr>
          <w:rFonts w:ascii="Book Antiqua" w:hAnsi="Book Antiqua"/>
          <w:b/>
          <w:lang w:val="en-US"/>
        </w:rPr>
        <w:t>Zakera Shums</w:t>
      </w:r>
      <w:r w:rsidR="00297B1D">
        <w:rPr>
          <w:rFonts w:ascii="Book Antiqua" w:eastAsia="SimSun" w:hAnsi="Book Antiqua" w:hint="eastAsia"/>
          <w:b/>
          <w:lang w:val="en-US" w:eastAsia="zh-CN"/>
        </w:rPr>
        <w:t>,</w:t>
      </w:r>
      <w:r w:rsidRPr="0088290D">
        <w:rPr>
          <w:rFonts w:ascii="Book Antiqua" w:hAnsi="Book Antiqua"/>
          <w:lang w:val="en-US"/>
        </w:rPr>
        <w:t xml:space="preserve"> Inova Diagnostics, Inc., San Diego, California, CA 92131, United States</w:t>
      </w:r>
      <w:r w:rsidRPr="0088290D">
        <w:rPr>
          <w:rFonts w:ascii="Book Antiqua" w:eastAsia="SimSun" w:hAnsi="Book Antiqua"/>
          <w:lang w:val="en-US" w:eastAsia="zh-CN"/>
        </w:rPr>
        <w:t xml:space="preserve"> </w:t>
      </w:r>
    </w:p>
    <w:p w14:paraId="35C72749" w14:textId="77777777" w:rsidR="0088290D" w:rsidRPr="0088290D" w:rsidRDefault="0088290D" w:rsidP="00794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eastAsia="SimSun" w:hAnsi="Book Antiqua"/>
          <w:lang w:val="en-US" w:eastAsia="zh-CN"/>
        </w:rPr>
      </w:pPr>
    </w:p>
    <w:p w14:paraId="09BE6E3A" w14:textId="08222D88" w:rsidR="00AE4CBE" w:rsidRPr="0088290D" w:rsidRDefault="00AE4CBE" w:rsidP="007940D7">
      <w:pPr>
        <w:spacing w:line="360" w:lineRule="auto"/>
        <w:jc w:val="both"/>
        <w:outlineLvl w:val="0"/>
        <w:rPr>
          <w:rFonts w:ascii="Book Antiqua" w:eastAsia="SimSun" w:hAnsi="Book Antiqua" w:cs="Arial"/>
          <w:lang w:val="en-US" w:eastAsia="zh-CN"/>
        </w:rPr>
      </w:pPr>
      <w:r w:rsidRPr="0088290D">
        <w:rPr>
          <w:rFonts w:ascii="Book Antiqua" w:hAnsi="Book Antiqua" w:cs="Arial"/>
          <w:b/>
          <w:lang w:val="en-US"/>
        </w:rPr>
        <w:t>Gabor Veres, Antal Dezsofi</w:t>
      </w:r>
      <w:r w:rsidR="00297B1D">
        <w:rPr>
          <w:rFonts w:ascii="Book Antiqua" w:eastAsia="SimSun" w:hAnsi="Book Antiqua" w:cs="Arial" w:hint="eastAsia"/>
          <w:b/>
          <w:lang w:val="en-US" w:eastAsia="zh-CN"/>
        </w:rPr>
        <w:t>,</w:t>
      </w:r>
      <w:r w:rsidRPr="0088290D">
        <w:rPr>
          <w:rFonts w:ascii="Book Antiqua" w:hAnsi="Book Antiqua" w:cs="Arial"/>
          <w:b/>
          <w:lang w:val="en-US"/>
        </w:rPr>
        <w:t xml:space="preserve"> </w:t>
      </w:r>
      <w:r w:rsidRPr="0088290D">
        <w:rPr>
          <w:rFonts w:ascii="Book Antiqua" w:hAnsi="Book Antiqua" w:cs="Arial"/>
          <w:lang w:val="en-US"/>
        </w:rPr>
        <w:t>1</w:t>
      </w:r>
      <w:r w:rsidRPr="0088290D">
        <w:rPr>
          <w:rFonts w:ascii="Book Antiqua" w:hAnsi="Book Antiqua" w:cs="Arial"/>
          <w:vertAlign w:val="superscript"/>
          <w:lang w:val="en-US"/>
        </w:rPr>
        <w:t>st</w:t>
      </w:r>
      <w:r w:rsidRPr="0088290D">
        <w:rPr>
          <w:rFonts w:ascii="Book Antiqua" w:hAnsi="Book Antiqua" w:cs="Arial"/>
          <w:lang w:val="en-US"/>
        </w:rPr>
        <w:t xml:space="preserve"> Department of Pediatrics, Semmelweis University, </w:t>
      </w:r>
      <w:r w:rsidR="00531AFB" w:rsidRPr="0088290D">
        <w:rPr>
          <w:rFonts w:ascii="Book Antiqua" w:hAnsi="Book Antiqua" w:cs="Arial"/>
          <w:lang w:val="en-US"/>
        </w:rPr>
        <w:t xml:space="preserve">H-1083 </w:t>
      </w:r>
      <w:r w:rsidRPr="0088290D">
        <w:rPr>
          <w:rFonts w:ascii="Book Antiqua" w:hAnsi="Book Antiqua" w:cs="Arial"/>
          <w:lang w:val="en-US"/>
        </w:rPr>
        <w:t>Budapest, Hungary</w:t>
      </w:r>
    </w:p>
    <w:p w14:paraId="343AF0CA" w14:textId="77777777" w:rsidR="0088290D" w:rsidRPr="0088290D" w:rsidRDefault="0088290D" w:rsidP="007940D7">
      <w:pPr>
        <w:spacing w:line="360" w:lineRule="auto"/>
        <w:jc w:val="both"/>
        <w:outlineLvl w:val="0"/>
        <w:rPr>
          <w:rFonts w:ascii="Book Antiqua" w:eastAsia="SimSun" w:hAnsi="Book Antiqua" w:cs="Arial"/>
          <w:lang w:val="en-US" w:eastAsia="zh-CN"/>
        </w:rPr>
      </w:pPr>
    </w:p>
    <w:p w14:paraId="02E5DAB6" w14:textId="2D20FC9A" w:rsidR="004D39CA" w:rsidRPr="0088290D" w:rsidRDefault="004810B2" w:rsidP="007940D7">
      <w:pPr>
        <w:spacing w:line="360" w:lineRule="auto"/>
        <w:jc w:val="both"/>
        <w:outlineLvl w:val="0"/>
        <w:rPr>
          <w:rFonts w:ascii="Book Antiqua" w:eastAsia="SimSun" w:hAnsi="Book Antiqua" w:cs="Arial"/>
          <w:lang w:val="en-US" w:eastAsia="zh-CN"/>
        </w:rPr>
      </w:pPr>
      <w:r w:rsidRPr="0088290D">
        <w:rPr>
          <w:rFonts w:ascii="Book Antiqua" w:hAnsi="Book Antiqua" w:cs="Arial"/>
          <w:b/>
          <w:lang w:val="en-US"/>
        </w:rPr>
        <w:lastRenderedPageBreak/>
        <w:t>Gabriella Par,</w:t>
      </w:r>
      <w:r w:rsidRPr="0088290D">
        <w:rPr>
          <w:rFonts w:ascii="Book Antiqua" w:hAnsi="Book Antiqua" w:cs="Arial"/>
          <w:lang w:val="en-US"/>
        </w:rPr>
        <w:t xml:space="preserve"> </w:t>
      </w:r>
      <w:r w:rsidRPr="0088290D">
        <w:rPr>
          <w:rFonts w:ascii="Book Antiqua" w:hAnsi="Book Antiqua" w:cs="Arial"/>
          <w:b/>
          <w:lang w:val="en-US"/>
        </w:rPr>
        <w:t>Alajos Par,</w:t>
      </w:r>
      <w:r w:rsidR="004D39CA" w:rsidRPr="0088290D">
        <w:rPr>
          <w:rFonts w:ascii="Book Antiqua" w:hAnsi="Book Antiqua" w:cs="Arial"/>
          <w:b/>
          <w:lang w:val="en-US"/>
        </w:rPr>
        <w:t xml:space="preserve"> </w:t>
      </w:r>
      <w:r w:rsidR="004D39CA" w:rsidRPr="0088290D">
        <w:rPr>
          <w:rFonts w:ascii="Book Antiqua" w:hAnsi="Book Antiqua" w:cs="Arial"/>
          <w:lang w:val="en-US"/>
        </w:rPr>
        <w:t xml:space="preserve">1st Department of Medicine, University of Pecs, </w:t>
      </w:r>
      <w:r w:rsidR="004A26EE" w:rsidRPr="0088290D">
        <w:rPr>
          <w:rFonts w:ascii="Book Antiqua" w:hAnsi="Book Antiqua" w:cs="Arial"/>
          <w:lang w:val="en-US"/>
        </w:rPr>
        <w:t xml:space="preserve">H-7624 </w:t>
      </w:r>
      <w:r w:rsidR="004D39CA" w:rsidRPr="0088290D">
        <w:rPr>
          <w:rFonts w:ascii="Book Antiqua" w:hAnsi="Book Antiqua" w:cs="Arial"/>
          <w:lang w:val="en-US"/>
        </w:rPr>
        <w:t>Pecs, Hungary</w:t>
      </w:r>
    </w:p>
    <w:p w14:paraId="543443FB" w14:textId="77777777" w:rsidR="0088290D" w:rsidRPr="0088290D" w:rsidRDefault="0088290D" w:rsidP="007940D7">
      <w:pPr>
        <w:spacing w:line="360" w:lineRule="auto"/>
        <w:jc w:val="both"/>
        <w:outlineLvl w:val="0"/>
        <w:rPr>
          <w:rFonts w:ascii="Book Antiqua" w:eastAsia="SimSun" w:hAnsi="Book Antiqua" w:cs="Arial"/>
          <w:lang w:val="en-US" w:eastAsia="zh-CN"/>
        </w:rPr>
      </w:pPr>
    </w:p>
    <w:p w14:paraId="3C0D8D10" w14:textId="3817E7BE" w:rsidR="00D15940" w:rsidRPr="0088290D" w:rsidRDefault="00CB30F6" w:rsidP="007940D7">
      <w:pPr>
        <w:spacing w:line="360" w:lineRule="auto"/>
        <w:jc w:val="both"/>
        <w:rPr>
          <w:rFonts w:ascii="Book Antiqua" w:eastAsia="SimSun" w:hAnsi="Book Antiqua" w:cs="Arial"/>
          <w:lang w:val="en-US" w:eastAsia="zh-CN"/>
        </w:rPr>
      </w:pPr>
      <w:r w:rsidRPr="0088290D">
        <w:rPr>
          <w:rFonts w:ascii="Book Antiqua" w:hAnsi="Book Antiqua" w:cs="Arial"/>
          <w:b/>
          <w:lang w:val="en-US"/>
        </w:rPr>
        <w:t>Peter Orosz</w:t>
      </w:r>
      <w:r w:rsidR="00297B1D">
        <w:rPr>
          <w:rFonts w:ascii="Book Antiqua" w:eastAsia="SimSun" w:hAnsi="Book Antiqua" w:cs="Arial" w:hint="eastAsia"/>
          <w:b/>
          <w:lang w:val="en-US" w:eastAsia="zh-CN"/>
        </w:rPr>
        <w:t>,</w:t>
      </w:r>
      <w:r w:rsidRPr="0088290D">
        <w:rPr>
          <w:rFonts w:ascii="Book Antiqua" w:hAnsi="Book Antiqua" w:cs="Arial"/>
          <w:lang w:val="en-US"/>
        </w:rPr>
        <w:t xml:space="preserve"> Gastroenterology Department of Medicine, Borsod-Abauj Zemplen County Hospital</w:t>
      </w:r>
      <w:r w:rsidR="00E9312E" w:rsidRPr="0088290D">
        <w:rPr>
          <w:rFonts w:ascii="Book Antiqua" w:hAnsi="Book Antiqua" w:cs="Arial"/>
          <w:lang w:val="en-US"/>
        </w:rPr>
        <w:t>,</w:t>
      </w:r>
      <w:r w:rsidR="00C17A64" w:rsidRPr="0088290D">
        <w:rPr>
          <w:rFonts w:ascii="Book Antiqua" w:hAnsi="Book Antiqua" w:cs="Arial"/>
          <w:lang w:val="en-US"/>
        </w:rPr>
        <w:t xml:space="preserve"> H-3526 Miskolc, Hungary</w:t>
      </w:r>
    </w:p>
    <w:p w14:paraId="7420E2C6" w14:textId="77777777" w:rsidR="0088290D" w:rsidRPr="0088290D" w:rsidRDefault="0088290D" w:rsidP="007940D7">
      <w:pPr>
        <w:spacing w:line="360" w:lineRule="auto"/>
        <w:jc w:val="both"/>
        <w:rPr>
          <w:rFonts w:ascii="Book Antiqua" w:eastAsia="SimSun" w:hAnsi="Book Antiqua" w:cs="Arial"/>
          <w:lang w:val="en-US" w:eastAsia="zh-CN"/>
        </w:rPr>
      </w:pPr>
    </w:p>
    <w:p w14:paraId="503DE215" w14:textId="7AC02352" w:rsidR="00146F4E" w:rsidRPr="0088290D" w:rsidRDefault="00B47BCB" w:rsidP="007940D7">
      <w:pPr>
        <w:spacing w:line="360" w:lineRule="auto"/>
        <w:jc w:val="both"/>
        <w:outlineLvl w:val="0"/>
        <w:rPr>
          <w:rFonts w:ascii="Book Antiqua" w:hAnsi="Book Antiqua"/>
          <w:bCs/>
          <w:lang w:val="en-US"/>
        </w:rPr>
      </w:pPr>
      <w:r w:rsidRPr="0088290D">
        <w:rPr>
          <w:rFonts w:ascii="Book Antiqua" w:hAnsi="Book Antiqua"/>
          <w:b/>
          <w:lang w:val="en-US"/>
        </w:rPr>
        <w:t xml:space="preserve">Ferenc Szalay, </w:t>
      </w:r>
      <w:r w:rsidR="00AC63ED" w:rsidRPr="0088290D">
        <w:rPr>
          <w:rFonts w:ascii="Book Antiqua" w:hAnsi="Book Antiqua"/>
          <w:b/>
          <w:lang w:val="en-US"/>
        </w:rPr>
        <w:t>Peter L</w:t>
      </w:r>
      <w:r w:rsidR="00297B1D">
        <w:rPr>
          <w:rFonts w:ascii="Book Antiqua" w:eastAsia="SimSun" w:hAnsi="Book Antiqua" w:hint="eastAsia"/>
          <w:b/>
          <w:lang w:val="en-US" w:eastAsia="zh-CN"/>
        </w:rPr>
        <w:t xml:space="preserve"> </w:t>
      </w:r>
      <w:r w:rsidR="00AC63ED" w:rsidRPr="0088290D">
        <w:rPr>
          <w:rFonts w:ascii="Book Antiqua" w:hAnsi="Book Antiqua"/>
          <w:b/>
          <w:lang w:val="en-US"/>
        </w:rPr>
        <w:t>Lakatos</w:t>
      </w:r>
      <w:r w:rsidR="00297B1D">
        <w:rPr>
          <w:rFonts w:ascii="Book Antiqua" w:eastAsia="SimSun" w:hAnsi="Book Antiqua" w:hint="eastAsia"/>
          <w:b/>
          <w:lang w:val="en-US" w:eastAsia="zh-CN"/>
        </w:rPr>
        <w:t>,</w:t>
      </w:r>
      <w:r w:rsidR="00AC63ED" w:rsidRPr="0088290D">
        <w:rPr>
          <w:rFonts w:ascii="Book Antiqua" w:hAnsi="Book Antiqua"/>
          <w:vertAlign w:val="superscript"/>
          <w:lang w:val="en-US"/>
        </w:rPr>
        <w:t xml:space="preserve"> </w:t>
      </w:r>
      <w:r w:rsidR="00AC63ED" w:rsidRPr="0088290D">
        <w:rPr>
          <w:rFonts w:ascii="Book Antiqua" w:hAnsi="Book Antiqua"/>
          <w:bCs/>
          <w:lang w:val="en-US"/>
        </w:rPr>
        <w:t>1</w:t>
      </w:r>
      <w:r w:rsidR="00AC63ED" w:rsidRPr="0088290D">
        <w:rPr>
          <w:rFonts w:ascii="Book Antiqua" w:hAnsi="Book Antiqua"/>
          <w:bCs/>
          <w:vertAlign w:val="superscript"/>
          <w:lang w:val="en-US"/>
        </w:rPr>
        <w:t>st</w:t>
      </w:r>
      <w:r w:rsidR="00AC63ED" w:rsidRPr="0088290D">
        <w:rPr>
          <w:rFonts w:ascii="Book Antiqua" w:hAnsi="Book Antiqua"/>
          <w:bCs/>
          <w:lang w:val="en-US"/>
        </w:rPr>
        <w:t xml:space="preserve"> Department of Medicine, Semmelweis University, </w:t>
      </w:r>
      <w:bookmarkStart w:id="17" w:name="OLE_LINK6"/>
      <w:bookmarkStart w:id="18" w:name="OLE_LINK7"/>
      <w:r w:rsidR="00AC63ED" w:rsidRPr="0088290D">
        <w:rPr>
          <w:rFonts w:ascii="Book Antiqua" w:hAnsi="Book Antiqua"/>
          <w:bCs/>
          <w:lang w:val="en-US"/>
        </w:rPr>
        <w:t>H-1083 Budapest, Hungary</w:t>
      </w:r>
      <w:bookmarkEnd w:id="17"/>
      <w:bookmarkEnd w:id="18"/>
    </w:p>
    <w:p w14:paraId="1875F616" w14:textId="77777777" w:rsidR="00A86D1C" w:rsidRPr="0088290D" w:rsidRDefault="00A86D1C" w:rsidP="007940D7">
      <w:pPr>
        <w:autoSpaceDE w:val="0"/>
        <w:autoSpaceDN w:val="0"/>
        <w:adjustRightInd w:val="0"/>
        <w:spacing w:line="360" w:lineRule="auto"/>
        <w:jc w:val="both"/>
        <w:rPr>
          <w:rFonts w:ascii="Book Antiqua" w:hAnsi="Book Antiqua"/>
          <w:b/>
          <w:lang w:val="en-US"/>
        </w:rPr>
      </w:pPr>
    </w:p>
    <w:p w14:paraId="38E20166" w14:textId="3C606EC3" w:rsidR="001404F7" w:rsidRPr="0088290D" w:rsidRDefault="001404F7" w:rsidP="007940D7">
      <w:pPr>
        <w:autoSpaceDE w:val="0"/>
        <w:autoSpaceDN w:val="0"/>
        <w:adjustRightInd w:val="0"/>
        <w:spacing w:line="360" w:lineRule="auto"/>
        <w:jc w:val="both"/>
        <w:rPr>
          <w:rFonts w:ascii="Book Antiqua" w:hAnsi="Book Antiqua"/>
          <w:lang w:val="en-US"/>
        </w:rPr>
      </w:pPr>
      <w:r w:rsidRPr="0088290D">
        <w:rPr>
          <w:rFonts w:ascii="Book Antiqua" w:hAnsi="Book Antiqua"/>
          <w:b/>
          <w:lang w:val="en-US"/>
        </w:rPr>
        <w:t xml:space="preserve">Author contributions: </w:t>
      </w:r>
      <w:r w:rsidRPr="0088290D">
        <w:rPr>
          <w:rFonts w:ascii="Book Antiqua" w:hAnsi="Book Antiqua"/>
          <w:lang w:val="en-US"/>
        </w:rPr>
        <w:t xml:space="preserve">Papp M, </w:t>
      </w:r>
      <w:r w:rsidR="00D21142" w:rsidRPr="0088290D">
        <w:rPr>
          <w:rFonts w:ascii="Book Antiqua" w:hAnsi="Book Antiqua"/>
          <w:lang w:val="en-US"/>
        </w:rPr>
        <w:t xml:space="preserve">Tornai I, </w:t>
      </w:r>
      <w:r w:rsidRPr="0088290D">
        <w:rPr>
          <w:rFonts w:ascii="Book Antiqua" w:hAnsi="Book Antiqua"/>
          <w:lang w:val="en-US"/>
        </w:rPr>
        <w:t xml:space="preserve">Antal-Szamas P designed research; </w:t>
      </w:r>
      <w:r w:rsidR="00C36FAD" w:rsidRPr="0088290D">
        <w:rPr>
          <w:rFonts w:ascii="Book Antiqua" w:hAnsi="Book Antiqua"/>
          <w:lang w:val="en-US"/>
        </w:rPr>
        <w:t xml:space="preserve">Papp M, </w:t>
      </w:r>
      <w:r w:rsidRPr="0088290D">
        <w:rPr>
          <w:rFonts w:ascii="Book Antiqua" w:hAnsi="Book Antiqua"/>
          <w:lang w:val="en-US"/>
        </w:rPr>
        <w:t xml:space="preserve">Tornai T, </w:t>
      </w:r>
      <w:r w:rsidR="00F61CA1" w:rsidRPr="0088290D">
        <w:rPr>
          <w:rFonts w:ascii="Book Antiqua" w:hAnsi="Book Antiqua"/>
          <w:lang w:val="en-US"/>
        </w:rPr>
        <w:t xml:space="preserve">Tornai D, </w:t>
      </w:r>
      <w:r w:rsidR="00A86D1C" w:rsidRPr="0088290D">
        <w:rPr>
          <w:rFonts w:ascii="Book Antiqua" w:hAnsi="Book Antiqua"/>
          <w:lang w:val="en-US"/>
        </w:rPr>
        <w:t>Palyu E</w:t>
      </w:r>
      <w:r w:rsidR="00137823" w:rsidRPr="0088290D">
        <w:rPr>
          <w:rFonts w:ascii="Book Antiqua" w:hAnsi="Book Antiqua"/>
          <w:lang w:val="en-US"/>
        </w:rPr>
        <w:t xml:space="preserve">, </w:t>
      </w:r>
      <w:r w:rsidR="00F61CA1" w:rsidRPr="0088290D">
        <w:rPr>
          <w:rFonts w:ascii="Book Antiqua" w:hAnsi="Book Antiqua"/>
          <w:lang w:val="en-US"/>
        </w:rPr>
        <w:t xml:space="preserve">Vitalis Zs, </w:t>
      </w:r>
      <w:r w:rsidR="00FA1CEF" w:rsidRPr="0088290D">
        <w:rPr>
          <w:rFonts w:ascii="Book Antiqua" w:hAnsi="Book Antiqua"/>
          <w:lang w:val="en-US"/>
        </w:rPr>
        <w:t xml:space="preserve">Norman G.L, Shums Z, </w:t>
      </w:r>
      <w:r w:rsidR="0015573E" w:rsidRPr="0088290D">
        <w:rPr>
          <w:rFonts w:ascii="Book Antiqua" w:hAnsi="Book Antiqua"/>
          <w:lang w:val="en-US"/>
        </w:rPr>
        <w:t xml:space="preserve">Veres G, Antalfi D, </w:t>
      </w:r>
      <w:r w:rsidR="00695DCD" w:rsidRPr="0088290D">
        <w:rPr>
          <w:rFonts w:ascii="Book Antiqua" w:hAnsi="Book Antiqua"/>
          <w:lang w:val="en-US"/>
        </w:rPr>
        <w:t>Par G, Par A, Orosz P, Szalay F, Lakatos PL</w:t>
      </w:r>
      <w:r w:rsidRPr="0088290D">
        <w:rPr>
          <w:rFonts w:ascii="Book Antiqua" w:hAnsi="Book Antiqua"/>
          <w:lang w:val="en-US"/>
        </w:rPr>
        <w:t xml:space="preserve"> performed research; </w:t>
      </w:r>
      <w:r w:rsidR="00695DCD" w:rsidRPr="0088290D">
        <w:rPr>
          <w:rFonts w:ascii="Book Antiqua" w:hAnsi="Book Antiqua"/>
          <w:lang w:val="en-US"/>
        </w:rPr>
        <w:t xml:space="preserve">Papp M, Tamas T </w:t>
      </w:r>
      <w:r w:rsidRPr="0088290D">
        <w:rPr>
          <w:rFonts w:ascii="Book Antiqua" w:hAnsi="Book Antiqua"/>
          <w:lang w:val="en-US"/>
        </w:rPr>
        <w:t>analyzed data; Papp M, Tornai T wrote paper.</w:t>
      </w:r>
    </w:p>
    <w:p w14:paraId="73E32E37" w14:textId="77777777" w:rsidR="00CF1043" w:rsidRPr="0088290D" w:rsidRDefault="00CF1043" w:rsidP="007940D7">
      <w:pPr>
        <w:autoSpaceDE w:val="0"/>
        <w:autoSpaceDN w:val="0"/>
        <w:adjustRightInd w:val="0"/>
        <w:spacing w:line="360" w:lineRule="auto"/>
        <w:jc w:val="both"/>
        <w:rPr>
          <w:rFonts w:ascii="Book Antiqua" w:hAnsi="Book Antiqua"/>
          <w:lang w:val="en-US"/>
        </w:rPr>
      </w:pPr>
    </w:p>
    <w:p w14:paraId="307D891F" w14:textId="372664F5" w:rsidR="001404F7" w:rsidRPr="0088290D" w:rsidRDefault="001404F7" w:rsidP="007940D7">
      <w:pPr>
        <w:autoSpaceDE w:val="0"/>
        <w:autoSpaceDN w:val="0"/>
        <w:adjustRightInd w:val="0"/>
        <w:spacing w:line="360" w:lineRule="auto"/>
        <w:jc w:val="both"/>
        <w:rPr>
          <w:rFonts w:ascii="Book Antiqua" w:hAnsi="Book Antiqua" w:cs="Arial"/>
          <w:color w:val="000000"/>
          <w:shd w:val="clear" w:color="auto" w:fill="FFFFFF"/>
          <w:lang w:val="en-US"/>
        </w:rPr>
      </w:pPr>
      <w:r w:rsidRPr="0088290D">
        <w:rPr>
          <w:rFonts w:ascii="Book Antiqua" w:hAnsi="Book Antiqua"/>
          <w:b/>
          <w:lang w:val="en-US"/>
        </w:rPr>
        <w:t xml:space="preserve">Support by </w:t>
      </w:r>
      <w:r w:rsidRPr="0088290D">
        <w:rPr>
          <w:rFonts w:ascii="Book Antiqua" w:hAnsi="Book Antiqua" w:cs="Arial"/>
          <w:color w:val="000000"/>
          <w:shd w:val="clear" w:color="auto" w:fill="FFFFFF"/>
          <w:lang w:val="en-US"/>
        </w:rPr>
        <w:t>Research Grant of National Research Development and Innovation Office</w:t>
      </w:r>
      <w:r w:rsidR="0088290D" w:rsidRPr="0088290D">
        <w:rPr>
          <w:rFonts w:ascii="Book Antiqua" w:eastAsia="SimSun" w:hAnsi="Book Antiqua" w:cs="Arial"/>
          <w:color w:val="000000"/>
          <w:shd w:val="clear" w:color="auto" w:fill="FFFFFF"/>
          <w:lang w:val="en-US" w:eastAsia="zh-CN"/>
        </w:rPr>
        <w:t>,</w:t>
      </w:r>
      <w:r w:rsidRPr="0088290D">
        <w:rPr>
          <w:rFonts w:ascii="Book Antiqua" w:hAnsi="Book Antiqua" w:cs="Arial"/>
          <w:color w:val="000000"/>
          <w:shd w:val="clear" w:color="auto" w:fill="FFFFFF"/>
          <w:lang w:val="en-US"/>
        </w:rPr>
        <w:t xml:space="preserve"> </w:t>
      </w:r>
      <w:r w:rsidR="0088290D" w:rsidRPr="0088290D">
        <w:rPr>
          <w:rFonts w:ascii="Book Antiqua" w:eastAsia="SimSun" w:hAnsi="Book Antiqua" w:cs="Arial"/>
          <w:color w:val="000000"/>
          <w:shd w:val="clear" w:color="auto" w:fill="FFFFFF"/>
          <w:lang w:val="en-US" w:eastAsia="zh-CN"/>
        </w:rPr>
        <w:t>No.</w:t>
      </w:r>
      <w:r w:rsidRPr="0088290D">
        <w:rPr>
          <w:rFonts w:ascii="Book Antiqua" w:hAnsi="Book Antiqua" w:cs="Arial"/>
          <w:color w:val="000000"/>
          <w:shd w:val="clear" w:color="auto" w:fill="FFFFFF"/>
          <w:lang w:val="en-US"/>
        </w:rPr>
        <w:t>K115818/2015/1</w:t>
      </w:r>
      <w:r w:rsidR="0088290D" w:rsidRPr="0088290D">
        <w:rPr>
          <w:rFonts w:ascii="Book Antiqua" w:eastAsia="SimSun" w:hAnsi="Book Antiqua" w:cs="Arial"/>
          <w:color w:val="000000"/>
          <w:shd w:val="clear" w:color="auto" w:fill="FFFFFF"/>
          <w:lang w:val="en-US" w:eastAsia="zh-CN"/>
        </w:rPr>
        <w:t>;</w:t>
      </w:r>
      <w:r w:rsidR="0098649F" w:rsidRPr="0088290D">
        <w:rPr>
          <w:rFonts w:ascii="Book Antiqua" w:hAnsi="Book Antiqua" w:cs="Arial"/>
          <w:color w:val="000000"/>
          <w:shd w:val="clear" w:color="auto" w:fill="FFFFFF"/>
          <w:lang w:val="en-US"/>
        </w:rPr>
        <w:t xml:space="preserve"> </w:t>
      </w:r>
      <w:r w:rsidR="00A10335" w:rsidRPr="0088290D">
        <w:rPr>
          <w:rFonts w:ascii="Book Antiqua" w:hAnsi="Book Antiqua" w:cs="Arial"/>
          <w:color w:val="000000"/>
          <w:shd w:val="clear" w:color="auto" w:fill="FFFFFF"/>
          <w:lang w:val="en-US"/>
        </w:rPr>
        <w:t xml:space="preserve">Maria Papp was supported by János Bólyai Research Scholarship of Hungarian Academy of Sciences and </w:t>
      </w:r>
      <w:r w:rsidR="0098649F" w:rsidRPr="0088290D">
        <w:rPr>
          <w:rFonts w:ascii="Book Antiqua" w:hAnsi="Book Antiqua" w:cs="Arial"/>
          <w:color w:val="000000"/>
          <w:shd w:val="clear" w:color="auto" w:fill="FFFFFF"/>
          <w:lang w:val="en-US"/>
        </w:rPr>
        <w:t>Tamas Tornai was supported through the New National Excellence Program of the Ministry of Human Capacities</w:t>
      </w:r>
      <w:r w:rsidR="0088290D" w:rsidRPr="0088290D">
        <w:rPr>
          <w:rFonts w:ascii="Book Antiqua" w:eastAsia="SimSun" w:hAnsi="Book Antiqua" w:cs="Arial"/>
          <w:color w:val="000000"/>
          <w:shd w:val="clear" w:color="auto" w:fill="FFFFFF"/>
          <w:lang w:val="en-US" w:eastAsia="zh-CN"/>
        </w:rPr>
        <w:t>,</w:t>
      </w:r>
      <w:r w:rsidR="0098649F" w:rsidRPr="0088290D">
        <w:rPr>
          <w:rFonts w:ascii="Book Antiqua" w:hAnsi="Book Antiqua" w:cs="Arial"/>
          <w:color w:val="000000"/>
          <w:shd w:val="clear" w:color="auto" w:fill="FFFFFF"/>
          <w:lang w:val="en-US"/>
        </w:rPr>
        <w:t xml:space="preserve"> </w:t>
      </w:r>
      <w:r w:rsidR="0088290D" w:rsidRPr="0088290D">
        <w:rPr>
          <w:rFonts w:ascii="Book Antiqua" w:eastAsia="SimSun" w:hAnsi="Book Antiqua" w:cs="Arial"/>
          <w:color w:val="000000"/>
          <w:shd w:val="clear" w:color="auto" w:fill="FFFFFF"/>
          <w:lang w:val="en-US" w:eastAsia="zh-CN"/>
        </w:rPr>
        <w:t>No.</w:t>
      </w:r>
      <w:r w:rsidR="0088290D" w:rsidRPr="0088290D">
        <w:rPr>
          <w:rFonts w:ascii="Book Antiqua" w:hAnsi="Book Antiqua" w:cs="Arial"/>
          <w:color w:val="000000"/>
          <w:shd w:val="clear" w:color="auto" w:fill="FFFFFF"/>
          <w:lang w:val="en-US"/>
        </w:rPr>
        <w:t>ÚNKP-16-3</w:t>
      </w:r>
      <w:r w:rsidR="0098649F" w:rsidRPr="0088290D">
        <w:rPr>
          <w:rFonts w:ascii="Book Antiqua" w:hAnsi="Book Antiqua" w:cs="Arial"/>
          <w:color w:val="000000"/>
          <w:shd w:val="clear" w:color="auto" w:fill="FFFFFF"/>
          <w:lang w:val="en-US"/>
        </w:rPr>
        <w:t>.</w:t>
      </w:r>
    </w:p>
    <w:p w14:paraId="5B022C6C" w14:textId="77777777" w:rsidR="001404F7" w:rsidRPr="0088290D" w:rsidRDefault="001404F7" w:rsidP="007940D7">
      <w:pPr>
        <w:autoSpaceDE w:val="0"/>
        <w:autoSpaceDN w:val="0"/>
        <w:adjustRightInd w:val="0"/>
        <w:spacing w:line="360" w:lineRule="auto"/>
        <w:jc w:val="both"/>
        <w:rPr>
          <w:rFonts w:ascii="Book Antiqua" w:hAnsi="Book Antiqua"/>
          <w:b/>
          <w:lang w:val="en-US"/>
        </w:rPr>
      </w:pPr>
    </w:p>
    <w:p w14:paraId="7D6F13FB" w14:textId="74A512C3" w:rsidR="001404F7" w:rsidRPr="0088290D" w:rsidRDefault="0088290D" w:rsidP="007940D7">
      <w:pPr>
        <w:autoSpaceDE w:val="0"/>
        <w:autoSpaceDN w:val="0"/>
        <w:adjustRightInd w:val="0"/>
        <w:spacing w:line="360" w:lineRule="auto"/>
        <w:jc w:val="both"/>
        <w:rPr>
          <w:rFonts w:ascii="Book Antiqua" w:hAnsi="Book Antiqua"/>
          <w:b/>
          <w:bCs/>
          <w:iCs/>
          <w:color w:val="000000"/>
        </w:rPr>
      </w:pPr>
      <w:bookmarkStart w:id="19" w:name="OLE_LINK4"/>
      <w:bookmarkStart w:id="20" w:name="OLE_LINK5"/>
      <w:r w:rsidRPr="0088290D">
        <w:rPr>
          <w:rFonts w:ascii="Book Antiqua" w:hAnsi="Book Antiqua"/>
          <w:b/>
          <w:bCs/>
          <w:iCs/>
          <w:color w:val="000000"/>
        </w:rPr>
        <w:t>Institutional review board</w:t>
      </w:r>
      <w:r w:rsidRPr="0088290D">
        <w:rPr>
          <w:rFonts w:ascii="Book Antiqua" w:hAnsi="Book Antiqua"/>
          <w:b/>
          <w:bCs/>
          <w:iCs/>
        </w:rPr>
        <w:t xml:space="preserve"> statement</w:t>
      </w:r>
      <w:r w:rsidRPr="0088290D">
        <w:rPr>
          <w:rFonts w:ascii="Book Antiqua" w:hAnsi="Book Antiqua"/>
          <w:b/>
          <w:bCs/>
          <w:iCs/>
          <w:color w:val="000000"/>
        </w:rPr>
        <w:t>:</w:t>
      </w:r>
      <w:bookmarkEnd w:id="19"/>
      <w:bookmarkEnd w:id="20"/>
      <w:r w:rsidRPr="0088290D">
        <w:rPr>
          <w:rFonts w:ascii="Book Antiqua" w:eastAsia="SimSun" w:hAnsi="Book Antiqua"/>
          <w:b/>
          <w:bCs/>
          <w:iCs/>
          <w:color w:val="000000"/>
          <w:lang w:eastAsia="zh-CN"/>
        </w:rPr>
        <w:t xml:space="preserve"> </w:t>
      </w:r>
      <w:r w:rsidR="00E772BA" w:rsidRPr="0088290D">
        <w:rPr>
          <w:rFonts w:ascii="Book Antiqua" w:hAnsi="Book Antiqua"/>
          <w:color w:val="000000"/>
          <w:shd w:val="clear" w:color="auto" w:fill="FFFFFF"/>
          <w:lang w:val="en-US"/>
        </w:rPr>
        <w:t>The study protocol was approved by the Regional and Institutional Research Ethics Committee of University of Debrecen and the National Scientific and Research Ethics Committee (DEOEC-RKEB/IKEB 5306-9/2011, 3515-2011, 3885/2012/EKU [60/PI/2012], 3880/2012/EKU [59/PI/2012], 9485-1/2016/EKU ad 167/2016). Each patient was informed of the nature of the study and gave informed consent in writing.</w:t>
      </w:r>
    </w:p>
    <w:p w14:paraId="284D6532" w14:textId="019806B9" w:rsidR="001404F7" w:rsidRPr="0088290D" w:rsidRDefault="0088290D" w:rsidP="007940D7">
      <w:pPr>
        <w:autoSpaceDE w:val="0"/>
        <w:autoSpaceDN w:val="0"/>
        <w:adjustRightInd w:val="0"/>
        <w:spacing w:line="360" w:lineRule="auto"/>
        <w:jc w:val="both"/>
        <w:rPr>
          <w:rFonts w:ascii="Book Antiqua" w:eastAsia="SimSun" w:hAnsi="Book Antiqua"/>
          <w:b/>
          <w:bCs/>
          <w:iCs/>
          <w:lang w:val="en-US" w:eastAsia="zh-CN"/>
        </w:rPr>
      </w:pPr>
      <w:r w:rsidRPr="0088290D">
        <w:rPr>
          <w:rFonts w:ascii="Book Antiqua" w:eastAsia="SimSun" w:hAnsi="Book Antiqua"/>
          <w:b/>
          <w:bCs/>
          <w:iCs/>
          <w:lang w:val="en-US" w:eastAsia="zh-CN"/>
        </w:rPr>
        <w:t xml:space="preserve"> </w:t>
      </w:r>
    </w:p>
    <w:p w14:paraId="3C2FEC88" w14:textId="337A9AF9" w:rsidR="001404F7" w:rsidRPr="0088290D" w:rsidRDefault="0088290D" w:rsidP="007940D7">
      <w:pPr>
        <w:autoSpaceDE w:val="0"/>
        <w:autoSpaceDN w:val="0"/>
        <w:adjustRightInd w:val="0"/>
        <w:spacing w:line="360" w:lineRule="auto"/>
        <w:jc w:val="both"/>
        <w:rPr>
          <w:rFonts w:ascii="Book Antiqua" w:hAnsi="Book Antiqua"/>
          <w:b/>
          <w:bCs/>
          <w:iCs/>
          <w:color w:val="000000"/>
        </w:rPr>
      </w:pPr>
      <w:r w:rsidRPr="0088290D">
        <w:rPr>
          <w:rFonts w:ascii="Book Antiqua" w:hAnsi="Book Antiqua"/>
          <w:b/>
          <w:bCs/>
          <w:iCs/>
          <w:color w:val="000000"/>
        </w:rPr>
        <w:t>Informed consent</w:t>
      </w:r>
      <w:r w:rsidRPr="0088290D">
        <w:rPr>
          <w:rFonts w:ascii="Book Antiqua" w:hAnsi="Book Antiqua"/>
          <w:b/>
          <w:bCs/>
          <w:iCs/>
        </w:rPr>
        <w:t xml:space="preserve"> statement</w:t>
      </w:r>
      <w:r w:rsidRPr="0088290D">
        <w:rPr>
          <w:rFonts w:ascii="Book Antiqua" w:hAnsi="Book Antiqua"/>
          <w:b/>
          <w:bCs/>
          <w:iCs/>
          <w:color w:val="000000"/>
        </w:rPr>
        <w:t xml:space="preserve">: </w:t>
      </w:r>
      <w:r w:rsidR="001404F7" w:rsidRPr="0088290D">
        <w:rPr>
          <w:rFonts w:ascii="Book Antiqua" w:hAnsi="Book Antiqua"/>
          <w:bCs/>
          <w:iCs/>
          <w:lang w:val="en-US"/>
        </w:rPr>
        <w:t xml:space="preserve">All study participants, or their legal guardian, provided informed written consent prior to study </w:t>
      </w:r>
      <w:r w:rsidR="003A3B53" w:rsidRPr="0088290D">
        <w:rPr>
          <w:rFonts w:ascii="Book Antiqua" w:hAnsi="Book Antiqua"/>
          <w:bCs/>
          <w:iCs/>
          <w:lang w:val="en-US"/>
        </w:rPr>
        <w:t>enrolment</w:t>
      </w:r>
      <w:r w:rsidR="001404F7" w:rsidRPr="0088290D">
        <w:rPr>
          <w:rFonts w:ascii="Book Antiqua" w:hAnsi="Book Antiqua"/>
          <w:bCs/>
          <w:iCs/>
          <w:lang w:val="en-US"/>
        </w:rPr>
        <w:t>.</w:t>
      </w:r>
    </w:p>
    <w:p w14:paraId="1591EE2F" w14:textId="77777777" w:rsidR="001404F7" w:rsidRPr="0088290D" w:rsidRDefault="001404F7" w:rsidP="007940D7">
      <w:pPr>
        <w:autoSpaceDE w:val="0"/>
        <w:autoSpaceDN w:val="0"/>
        <w:adjustRightInd w:val="0"/>
        <w:spacing w:line="360" w:lineRule="auto"/>
        <w:jc w:val="both"/>
        <w:rPr>
          <w:rFonts w:ascii="Book Antiqua" w:hAnsi="Book Antiqua" w:cs="TimesNewRomanPS-BoldItalicMT"/>
          <w:b/>
          <w:bCs/>
          <w:iCs/>
          <w:lang w:val="en-US"/>
        </w:rPr>
      </w:pPr>
    </w:p>
    <w:p w14:paraId="1A6B2D36" w14:textId="083F7892" w:rsidR="001404F7" w:rsidRPr="0088290D" w:rsidRDefault="0088290D" w:rsidP="007940D7">
      <w:pPr>
        <w:autoSpaceDE w:val="0"/>
        <w:autoSpaceDN w:val="0"/>
        <w:adjustRightInd w:val="0"/>
        <w:spacing w:line="360" w:lineRule="auto"/>
        <w:jc w:val="both"/>
        <w:rPr>
          <w:rFonts w:ascii="Book Antiqua" w:hAnsi="Book Antiqua" w:cs="TimesNewRomanPS-BoldItalicMT"/>
          <w:b/>
          <w:bCs/>
          <w:iCs/>
          <w:color w:val="000000"/>
        </w:rPr>
      </w:pPr>
      <w:bookmarkStart w:id="21" w:name="OLE_LINK526"/>
      <w:bookmarkStart w:id="22" w:name="OLE_LINK527"/>
      <w:r w:rsidRPr="0088290D">
        <w:rPr>
          <w:rFonts w:ascii="Book Antiqua" w:hAnsi="Book Antiqua" w:cs="TimesNewRomanPS-BoldItalicMT"/>
          <w:b/>
          <w:bCs/>
          <w:iCs/>
          <w:color w:val="000000"/>
        </w:rPr>
        <w:lastRenderedPageBreak/>
        <w:t>Conflict-of-interest</w:t>
      </w:r>
      <w:r w:rsidRPr="0088290D">
        <w:rPr>
          <w:rFonts w:ascii="Book Antiqua" w:hAnsi="Book Antiqua"/>
          <w:b/>
          <w:bCs/>
          <w:iCs/>
        </w:rPr>
        <w:t xml:space="preserve"> statement</w:t>
      </w:r>
      <w:r w:rsidRPr="0088290D">
        <w:rPr>
          <w:rFonts w:ascii="Book Antiqua" w:hAnsi="Book Antiqua" w:cs="TimesNewRomanPS-BoldItalicMT"/>
          <w:b/>
          <w:bCs/>
          <w:iCs/>
          <w:color w:val="000000"/>
        </w:rPr>
        <w:t>:</w:t>
      </w:r>
      <w:bookmarkEnd w:id="21"/>
      <w:bookmarkEnd w:id="22"/>
      <w:r w:rsidRPr="0088290D">
        <w:rPr>
          <w:rFonts w:ascii="Book Antiqua" w:eastAsia="SimSun" w:hAnsi="Book Antiqua" w:cs="TimesNewRomanPS-BoldItalicMT"/>
          <w:b/>
          <w:bCs/>
          <w:iCs/>
          <w:color w:val="000000"/>
          <w:lang w:eastAsia="zh-CN"/>
        </w:rPr>
        <w:t xml:space="preserve"> </w:t>
      </w:r>
      <w:r w:rsidR="007558BE" w:rsidRPr="0088290D">
        <w:rPr>
          <w:rFonts w:ascii="Book Antiqua" w:hAnsi="Book Antiqua" w:cs="TimesNewRomanPS-BoldItalicMT"/>
          <w:bCs/>
          <w:iCs/>
          <w:lang w:val="en-US"/>
        </w:rPr>
        <w:t>Gary L</w:t>
      </w:r>
      <w:r w:rsidRPr="0088290D">
        <w:rPr>
          <w:rFonts w:ascii="Book Antiqua" w:eastAsia="SimSun" w:hAnsi="Book Antiqua" w:cs="TimesNewRomanPS-BoldItalicMT"/>
          <w:bCs/>
          <w:iCs/>
          <w:lang w:val="en-US" w:eastAsia="zh-CN"/>
        </w:rPr>
        <w:t xml:space="preserve"> </w:t>
      </w:r>
      <w:r w:rsidR="007558BE" w:rsidRPr="0088290D">
        <w:rPr>
          <w:rFonts w:ascii="Book Antiqua" w:hAnsi="Book Antiqua" w:cs="TimesNewRomanPS-BoldItalicMT"/>
          <w:bCs/>
          <w:iCs/>
          <w:lang w:val="en-US"/>
        </w:rPr>
        <w:t>Norman and Zakera Shums are</w:t>
      </w:r>
      <w:r w:rsidR="007558BE" w:rsidRPr="0088290D">
        <w:rPr>
          <w:rFonts w:ascii="Book Antiqua" w:hAnsi="Book Antiqua"/>
          <w:lang w:val="en-US"/>
        </w:rPr>
        <w:t xml:space="preserve"> employees of</w:t>
      </w:r>
      <w:r w:rsidR="00A654AC" w:rsidRPr="0088290D">
        <w:rPr>
          <w:rFonts w:ascii="Book Antiqua" w:hAnsi="Book Antiqua"/>
          <w:lang w:val="en-US"/>
        </w:rPr>
        <w:t xml:space="preserve"> Inova Diagnostics.</w:t>
      </w:r>
    </w:p>
    <w:p w14:paraId="1CB22392" w14:textId="77777777" w:rsidR="001404F7" w:rsidRPr="0088290D" w:rsidRDefault="001404F7" w:rsidP="007940D7">
      <w:pPr>
        <w:autoSpaceDE w:val="0"/>
        <w:autoSpaceDN w:val="0"/>
        <w:adjustRightInd w:val="0"/>
        <w:spacing w:line="360" w:lineRule="auto"/>
        <w:jc w:val="both"/>
        <w:rPr>
          <w:rFonts w:ascii="Book Antiqua" w:hAnsi="Book Antiqua" w:cs="TimesNewRomanPS-BoldItalicMT"/>
          <w:b/>
          <w:bCs/>
          <w:iCs/>
        </w:rPr>
      </w:pPr>
    </w:p>
    <w:p w14:paraId="67C65589" w14:textId="4594565F" w:rsidR="0088290D" w:rsidRPr="0088290D" w:rsidRDefault="0088290D" w:rsidP="007940D7">
      <w:pPr>
        <w:autoSpaceDE w:val="0"/>
        <w:autoSpaceDN w:val="0"/>
        <w:adjustRightInd w:val="0"/>
        <w:spacing w:line="360" w:lineRule="auto"/>
        <w:jc w:val="both"/>
        <w:rPr>
          <w:rFonts w:ascii="Book Antiqua" w:hAnsi="Book Antiqua" w:cs="TimesNewRomanPS-BoldItalicMT"/>
          <w:bCs/>
          <w:iCs/>
          <w:color w:val="000000"/>
        </w:rPr>
      </w:pPr>
      <w:r w:rsidRPr="0088290D">
        <w:rPr>
          <w:rFonts w:ascii="Book Antiqua" w:hAnsi="Book Antiqua" w:cs="TimesNewRomanPS-BoldItalicMT"/>
          <w:b/>
          <w:bCs/>
          <w:iCs/>
          <w:color w:val="000000"/>
        </w:rPr>
        <w:t>Data sharing</w:t>
      </w:r>
      <w:r w:rsidRPr="0088290D">
        <w:rPr>
          <w:rFonts w:ascii="Book Antiqua" w:hAnsi="Book Antiqua"/>
          <w:b/>
          <w:bCs/>
          <w:iCs/>
        </w:rPr>
        <w:t xml:space="preserve"> statement</w:t>
      </w:r>
      <w:r w:rsidRPr="0088290D">
        <w:rPr>
          <w:rFonts w:ascii="Book Antiqua" w:hAnsi="Book Antiqua" w:cs="TimesNewRomanPS-BoldItalicMT"/>
          <w:b/>
          <w:bCs/>
          <w:iCs/>
          <w:color w:val="000000"/>
        </w:rPr>
        <w:t>:</w:t>
      </w:r>
      <w:r w:rsidRPr="0088290D">
        <w:rPr>
          <w:rFonts w:ascii="Book Antiqua" w:eastAsia="SimSun" w:hAnsi="Book Antiqua" w:cs="TimesNewRomanPS-BoldItalicMT"/>
          <w:bCs/>
          <w:iCs/>
          <w:color w:val="000000"/>
          <w:lang w:eastAsia="zh-CN"/>
        </w:rPr>
        <w:t xml:space="preserve"> </w:t>
      </w:r>
      <w:r w:rsidRPr="0088290D">
        <w:rPr>
          <w:rFonts w:ascii="Book Antiqua" w:hAnsi="Book Antiqua"/>
          <w:color w:val="000000"/>
        </w:rPr>
        <w:t>No additional data are available.</w:t>
      </w:r>
    </w:p>
    <w:p w14:paraId="790B5F4B" w14:textId="5ABF5F9C" w:rsidR="001404F7" w:rsidRPr="0088290D" w:rsidRDefault="0088290D" w:rsidP="007940D7">
      <w:pPr>
        <w:autoSpaceDE w:val="0"/>
        <w:autoSpaceDN w:val="0"/>
        <w:adjustRightInd w:val="0"/>
        <w:spacing w:line="360" w:lineRule="auto"/>
        <w:jc w:val="both"/>
        <w:rPr>
          <w:rFonts w:ascii="Book Antiqua" w:eastAsia="SimSun" w:hAnsi="Book Antiqua" w:cs="TimesNewRomanPS-BoldItalicMT"/>
          <w:bCs/>
          <w:iCs/>
          <w:lang w:val="en-US" w:eastAsia="zh-CN"/>
        </w:rPr>
      </w:pPr>
      <w:r w:rsidRPr="0088290D">
        <w:rPr>
          <w:rFonts w:ascii="Book Antiqua" w:eastAsia="SimSun" w:hAnsi="Book Antiqua"/>
          <w:lang w:val="en-US" w:eastAsia="zh-CN"/>
        </w:rPr>
        <w:t xml:space="preserve"> </w:t>
      </w:r>
    </w:p>
    <w:p w14:paraId="41515387" w14:textId="77777777" w:rsidR="0088290D" w:rsidRPr="0088290D" w:rsidRDefault="0088290D" w:rsidP="007940D7">
      <w:pPr>
        <w:spacing w:line="360" w:lineRule="auto"/>
        <w:jc w:val="both"/>
        <w:rPr>
          <w:rFonts w:ascii="Book Antiqua" w:hAnsi="Book Antiqua"/>
          <w:b/>
          <w:color w:val="000000"/>
        </w:rPr>
      </w:pPr>
      <w:bookmarkStart w:id="23" w:name="OLE_LINK155"/>
      <w:bookmarkStart w:id="24" w:name="OLE_LINK183"/>
      <w:bookmarkStart w:id="25" w:name="OLE_LINK441"/>
      <w:r w:rsidRPr="0088290D">
        <w:rPr>
          <w:rFonts w:ascii="Book Antiqua" w:hAnsi="Book Antiqua"/>
          <w:b/>
          <w:color w:val="000000"/>
        </w:rPr>
        <w:t xml:space="preserve">Open-Access: </w:t>
      </w:r>
      <w:r w:rsidRPr="0088290D">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bookmarkEnd w:id="24"/>
    <w:bookmarkEnd w:id="25"/>
    <w:p w14:paraId="24B9232B" w14:textId="2C7D4BC1" w:rsidR="0088290D" w:rsidRPr="0088290D" w:rsidRDefault="0088290D" w:rsidP="007940D7">
      <w:pPr>
        <w:spacing w:line="360" w:lineRule="auto"/>
        <w:jc w:val="both"/>
        <w:rPr>
          <w:rFonts w:ascii="Book Antiqua" w:eastAsia="SimSun" w:hAnsi="Book Antiqua" w:cs="Arial Unicode MS"/>
          <w:color w:val="000000"/>
          <w:lang w:eastAsia="zh-CN"/>
        </w:rPr>
      </w:pPr>
      <w:r w:rsidRPr="0088290D">
        <w:rPr>
          <w:rFonts w:ascii="Book Antiqua" w:eastAsia="SimSun" w:hAnsi="Book Antiqua" w:cs="Arial Unicode MS"/>
          <w:color w:val="000000"/>
          <w:lang w:eastAsia="zh-CN"/>
        </w:rPr>
        <w:t xml:space="preserve"> </w:t>
      </w:r>
    </w:p>
    <w:p w14:paraId="6D86DEB8" w14:textId="77777777" w:rsidR="0088290D" w:rsidRPr="0088290D" w:rsidRDefault="0088290D" w:rsidP="007940D7">
      <w:pPr>
        <w:spacing w:line="360" w:lineRule="auto"/>
        <w:jc w:val="both"/>
        <w:rPr>
          <w:rFonts w:ascii="Book Antiqua" w:hAnsi="Book Antiqua" w:cs="Arial Unicode MS"/>
          <w:color w:val="000000"/>
        </w:rPr>
      </w:pPr>
      <w:r w:rsidRPr="0088290D">
        <w:rPr>
          <w:rFonts w:ascii="Book Antiqua" w:hAnsi="Book Antiqua" w:cs="Arial Unicode MS"/>
          <w:b/>
          <w:color w:val="000000"/>
        </w:rPr>
        <w:t xml:space="preserve">Manuscript source: </w:t>
      </w:r>
      <w:r w:rsidRPr="0088290D">
        <w:rPr>
          <w:rFonts w:ascii="Book Antiqua" w:hAnsi="Book Antiqua" w:cs="Arial Unicode MS"/>
          <w:color w:val="000000"/>
        </w:rPr>
        <w:t>Unsolicited manuscript</w:t>
      </w:r>
    </w:p>
    <w:p w14:paraId="5AE94A73" w14:textId="77777777" w:rsidR="001404F7" w:rsidRPr="0088290D" w:rsidRDefault="001404F7" w:rsidP="007940D7">
      <w:pPr>
        <w:spacing w:line="360" w:lineRule="auto"/>
        <w:jc w:val="both"/>
        <w:rPr>
          <w:rFonts w:ascii="Book Antiqua" w:eastAsia="MS Mincho" w:hAnsi="Book Antiqua"/>
          <w:b/>
          <w:lang w:val="en-US" w:eastAsia="ja-JP"/>
        </w:rPr>
      </w:pPr>
    </w:p>
    <w:p w14:paraId="3E15988B" w14:textId="0C8C76B6" w:rsidR="0088290D" w:rsidRPr="0088290D" w:rsidRDefault="001404F7" w:rsidP="007940D7">
      <w:pPr>
        <w:spacing w:line="360" w:lineRule="auto"/>
        <w:jc w:val="both"/>
        <w:rPr>
          <w:rFonts w:ascii="Book Antiqua" w:eastAsia="SimSun" w:hAnsi="Book Antiqua"/>
          <w:lang w:val="en-US" w:eastAsia="zh-CN"/>
        </w:rPr>
      </w:pPr>
      <w:r w:rsidRPr="0088290D">
        <w:rPr>
          <w:rFonts w:ascii="Book Antiqua" w:hAnsi="Book Antiqua"/>
          <w:b/>
          <w:lang w:val="en-US"/>
        </w:rPr>
        <w:t>Correspondence to:</w:t>
      </w:r>
      <w:r w:rsidR="0088290D" w:rsidRPr="0088290D">
        <w:rPr>
          <w:rFonts w:ascii="Book Antiqua" w:hAnsi="Book Antiqua"/>
          <w:lang w:val="en-US"/>
        </w:rPr>
        <w:t xml:space="preserve"> </w:t>
      </w:r>
      <w:r w:rsidR="0088290D" w:rsidRPr="0088290D">
        <w:rPr>
          <w:rFonts w:ascii="Book Antiqua" w:hAnsi="Book Antiqua"/>
          <w:b/>
          <w:lang w:val="en-US"/>
        </w:rPr>
        <w:t>Maria Papp, MD, PhD</w:t>
      </w:r>
      <w:r w:rsidRPr="0088290D">
        <w:rPr>
          <w:rFonts w:ascii="Book Antiqua" w:hAnsi="Book Antiqua"/>
          <w:b/>
          <w:lang w:val="en-US"/>
        </w:rPr>
        <w:t xml:space="preserve">, </w:t>
      </w:r>
      <w:r w:rsidRPr="0088290D">
        <w:rPr>
          <w:rFonts w:ascii="Book Antiqua" w:hAnsi="Book Antiqua"/>
          <w:lang w:val="en-US"/>
        </w:rPr>
        <w:t>Institute of Internal Medicine, Department of Gastroenterology, University of Debrecen, Faculty of Medicine,</w:t>
      </w:r>
      <w:r w:rsidRPr="0088290D">
        <w:rPr>
          <w:rFonts w:ascii="Book Antiqua" w:hAnsi="Book Antiqua"/>
          <w:b/>
          <w:lang w:val="en-US"/>
        </w:rPr>
        <w:t xml:space="preserve"> </w:t>
      </w:r>
      <w:r w:rsidRPr="0088290D">
        <w:rPr>
          <w:rFonts w:ascii="Book Antiqua" w:hAnsi="Book Antiqua"/>
          <w:lang w:val="en-US"/>
        </w:rPr>
        <w:t>Nagyerdei krt. 98, H-4032 Debrecen, Hungary</w:t>
      </w:r>
      <w:r w:rsidR="0088290D" w:rsidRPr="0088290D">
        <w:rPr>
          <w:rFonts w:ascii="Book Antiqua" w:eastAsia="SimSun" w:hAnsi="Book Antiqua"/>
          <w:lang w:val="en-US" w:eastAsia="zh-CN"/>
        </w:rPr>
        <w:t>.</w:t>
      </w:r>
      <w:r w:rsidR="0088290D" w:rsidRPr="0088290D">
        <w:rPr>
          <w:rFonts w:ascii="Book Antiqua" w:hAnsi="Book Antiqua"/>
          <w:lang w:val="en-US"/>
        </w:rPr>
        <w:t xml:space="preserve"> </w:t>
      </w:r>
      <w:hyperlink r:id="rId8" w:history="1">
        <w:r w:rsidR="0088290D" w:rsidRPr="0088290D">
          <w:rPr>
            <w:rStyle w:val="Hyperlink"/>
            <w:rFonts w:ascii="Book Antiqua" w:hAnsi="Book Antiqua"/>
            <w:lang w:val="en-US"/>
          </w:rPr>
          <w:t>papp.maria@med.unideb.hu</w:t>
        </w:r>
      </w:hyperlink>
    </w:p>
    <w:p w14:paraId="42D9FEA9" w14:textId="1DB4921D" w:rsidR="001404F7" w:rsidRPr="0088290D" w:rsidRDefault="0088290D" w:rsidP="007940D7">
      <w:pPr>
        <w:spacing w:line="360" w:lineRule="auto"/>
        <w:jc w:val="both"/>
        <w:rPr>
          <w:rStyle w:val="Hyperlink"/>
          <w:rFonts w:ascii="Book Antiqua" w:eastAsia="SimSun" w:hAnsi="Book Antiqua"/>
          <w:lang w:val="en-US" w:eastAsia="zh-CN"/>
        </w:rPr>
      </w:pPr>
      <w:r w:rsidRPr="0088290D">
        <w:rPr>
          <w:rFonts w:ascii="Book Antiqua" w:eastAsia="SimSun" w:hAnsi="Book Antiqua"/>
          <w:b/>
          <w:lang w:val="en-US" w:eastAsia="zh-CN"/>
        </w:rPr>
        <w:t>Telephone</w:t>
      </w:r>
      <w:r w:rsidR="001404F7" w:rsidRPr="0088290D">
        <w:rPr>
          <w:rFonts w:ascii="Book Antiqua" w:hAnsi="Book Antiqua"/>
          <w:lang w:val="en-US"/>
        </w:rPr>
        <w:t xml:space="preserve">: </w:t>
      </w:r>
      <w:r w:rsidRPr="0088290D">
        <w:rPr>
          <w:rFonts w:ascii="Book Antiqua" w:eastAsia="SimSun" w:hAnsi="Book Antiqua"/>
          <w:lang w:val="en-US" w:eastAsia="zh-CN"/>
        </w:rPr>
        <w:t>+</w:t>
      </w:r>
      <w:r w:rsidRPr="0088290D">
        <w:rPr>
          <w:rFonts w:ascii="Book Antiqua" w:hAnsi="Book Antiqua"/>
          <w:lang w:val="en-US"/>
        </w:rPr>
        <w:t>36-52-255</w:t>
      </w:r>
      <w:r w:rsidR="001404F7" w:rsidRPr="0088290D">
        <w:rPr>
          <w:rFonts w:ascii="Book Antiqua" w:hAnsi="Book Antiqua"/>
          <w:lang w:val="en-US"/>
        </w:rPr>
        <w:t>152</w:t>
      </w:r>
      <w:r w:rsidRPr="0088290D">
        <w:rPr>
          <w:rFonts w:ascii="Book Antiqua" w:eastAsia="SimSun" w:hAnsi="Book Antiqua"/>
          <w:lang w:val="en-US" w:eastAsia="zh-CN"/>
        </w:rPr>
        <w:t xml:space="preserve"> </w:t>
      </w:r>
    </w:p>
    <w:p w14:paraId="400B6DEA" w14:textId="41EC9994" w:rsidR="001404F7" w:rsidRPr="0088290D" w:rsidRDefault="0088290D" w:rsidP="007940D7">
      <w:pPr>
        <w:spacing w:line="360" w:lineRule="auto"/>
        <w:jc w:val="both"/>
        <w:rPr>
          <w:rFonts w:ascii="Book Antiqua" w:hAnsi="Book Antiqua"/>
          <w:b/>
          <w:lang w:val="en-US"/>
        </w:rPr>
      </w:pPr>
      <w:r w:rsidRPr="0088290D">
        <w:rPr>
          <w:rFonts w:ascii="Book Antiqua" w:hAnsi="Book Antiqua"/>
          <w:b/>
          <w:lang w:val="en-US"/>
        </w:rPr>
        <w:t>Fax</w:t>
      </w:r>
      <w:r w:rsidRPr="0088290D">
        <w:rPr>
          <w:rFonts w:ascii="Book Antiqua" w:hAnsi="Book Antiqua"/>
          <w:lang w:val="en-US"/>
        </w:rPr>
        <w:t xml:space="preserve">: </w:t>
      </w:r>
      <w:r w:rsidRPr="0088290D">
        <w:rPr>
          <w:rFonts w:ascii="Book Antiqua" w:eastAsia="SimSun" w:hAnsi="Book Antiqua"/>
          <w:lang w:val="en-US" w:eastAsia="zh-CN"/>
        </w:rPr>
        <w:t>+</w:t>
      </w:r>
      <w:r w:rsidRPr="0088290D">
        <w:rPr>
          <w:rFonts w:ascii="Book Antiqua" w:hAnsi="Book Antiqua"/>
          <w:lang w:val="en-US"/>
        </w:rPr>
        <w:t>36-52-255152</w:t>
      </w:r>
    </w:p>
    <w:p w14:paraId="11847FA7" w14:textId="77777777" w:rsidR="001404F7" w:rsidRPr="0088290D" w:rsidRDefault="001404F7" w:rsidP="007940D7">
      <w:pPr>
        <w:spacing w:line="360" w:lineRule="auto"/>
        <w:jc w:val="both"/>
        <w:rPr>
          <w:rFonts w:ascii="Book Antiqua" w:hAnsi="Book Antiqua"/>
          <w:b/>
          <w:lang w:val="en-US"/>
        </w:rPr>
      </w:pPr>
    </w:p>
    <w:p w14:paraId="3B5D4A6F" w14:textId="1E94E3A9" w:rsidR="0088290D" w:rsidRPr="007940D7" w:rsidRDefault="0088290D" w:rsidP="007940D7">
      <w:pPr>
        <w:spacing w:line="360" w:lineRule="auto"/>
        <w:jc w:val="both"/>
        <w:rPr>
          <w:rFonts w:ascii="Book Antiqua" w:eastAsia="SimSun" w:hAnsi="Book Antiqua"/>
          <w:b/>
          <w:lang w:eastAsia="zh-CN"/>
        </w:rPr>
      </w:pPr>
      <w:bookmarkStart w:id="26" w:name="OLE_LINK476"/>
      <w:bookmarkStart w:id="27" w:name="OLE_LINK477"/>
      <w:bookmarkStart w:id="28" w:name="OLE_LINK117"/>
      <w:bookmarkStart w:id="29" w:name="OLE_LINK528"/>
      <w:bookmarkStart w:id="30" w:name="OLE_LINK557"/>
      <w:bookmarkStart w:id="31" w:name="OLE_LINK12"/>
      <w:bookmarkStart w:id="32" w:name="OLE_LINK212"/>
      <w:r w:rsidRPr="0088290D">
        <w:rPr>
          <w:rFonts w:ascii="Book Antiqua" w:hAnsi="Book Antiqua"/>
          <w:b/>
        </w:rPr>
        <w:t>Received:</w:t>
      </w:r>
      <w:r w:rsidR="007940D7">
        <w:rPr>
          <w:rFonts w:ascii="Book Antiqua" w:eastAsia="SimSun" w:hAnsi="Book Antiqua" w:hint="eastAsia"/>
          <w:b/>
          <w:lang w:eastAsia="zh-CN"/>
        </w:rPr>
        <w:t xml:space="preserve"> </w:t>
      </w:r>
      <w:r w:rsidR="007940D7" w:rsidRPr="007940D7">
        <w:rPr>
          <w:rFonts w:ascii="Book Antiqua" w:eastAsia="SimSun" w:hAnsi="Book Antiqua" w:hint="eastAsia"/>
          <w:lang w:eastAsia="zh-CN"/>
        </w:rPr>
        <w:t>March 27, 2017</w:t>
      </w:r>
    </w:p>
    <w:p w14:paraId="04FD6AAE" w14:textId="5B89119E" w:rsidR="0088290D" w:rsidRPr="0088290D" w:rsidRDefault="0088290D" w:rsidP="007940D7">
      <w:pPr>
        <w:spacing w:line="360" w:lineRule="auto"/>
        <w:jc w:val="both"/>
        <w:rPr>
          <w:rFonts w:ascii="Book Antiqua" w:hAnsi="Book Antiqua"/>
          <w:b/>
        </w:rPr>
      </w:pPr>
      <w:r w:rsidRPr="0088290D">
        <w:rPr>
          <w:rFonts w:ascii="Book Antiqua" w:hAnsi="Book Antiqua"/>
          <w:b/>
        </w:rPr>
        <w:t>Peer-review started:</w:t>
      </w:r>
      <w:r w:rsidR="007940D7" w:rsidRPr="007940D7">
        <w:rPr>
          <w:rFonts w:ascii="Book Antiqua" w:eastAsia="SimSun" w:hAnsi="Book Antiqua" w:hint="eastAsia"/>
          <w:lang w:eastAsia="zh-CN"/>
        </w:rPr>
        <w:t xml:space="preserve"> March </w:t>
      </w:r>
      <w:r w:rsidR="007940D7">
        <w:rPr>
          <w:rFonts w:ascii="Book Antiqua" w:eastAsia="SimSun" w:hAnsi="Book Antiqua" w:hint="eastAsia"/>
          <w:lang w:eastAsia="zh-CN"/>
        </w:rPr>
        <w:t>29</w:t>
      </w:r>
      <w:r w:rsidR="007940D7" w:rsidRPr="007940D7">
        <w:rPr>
          <w:rFonts w:ascii="Book Antiqua" w:eastAsia="SimSun" w:hAnsi="Book Antiqua" w:hint="eastAsia"/>
          <w:lang w:eastAsia="zh-CN"/>
        </w:rPr>
        <w:t>, 2017</w:t>
      </w:r>
    </w:p>
    <w:p w14:paraId="08F24D56" w14:textId="3475B656" w:rsidR="0088290D" w:rsidRPr="007940D7" w:rsidRDefault="0088290D" w:rsidP="007940D7">
      <w:pPr>
        <w:spacing w:line="360" w:lineRule="auto"/>
        <w:jc w:val="both"/>
        <w:rPr>
          <w:rFonts w:ascii="Book Antiqua" w:eastAsia="SimSun" w:hAnsi="Book Antiqua"/>
          <w:b/>
          <w:lang w:eastAsia="zh-CN"/>
        </w:rPr>
      </w:pPr>
      <w:r w:rsidRPr="0088290D">
        <w:rPr>
          <w:rFonts w:ascii="Book Antiqua" w:hAnsi="Book Antiqua"/>
          <w:b/>
        </w:rPr>
        <w:t>First decision:</w:t>
      </w:r>
      <w:r w:rsidR="007940D7">
        <w:rPr>
          <w:rFonts w:ascii="Book Antiqua" w:eastAsia="SimSun" w:hAnsi="Book Antiqua" w:hint="eastAsia"/>
          <w:b/>
          <w:lang w:eastAsia="zh-CN"/>
        </w:rPr>
        <w:t xml:space="preserve"> </w:t>
      </w:r>
      <w:r w:rsidR="007940D7" w:rsidRPr="007940D7">
        <w:rPr>
          <w:rFonts w:ascii="Book Antiqua" w:eastAsia="SimSun" w:hAnsi="Book Antiqua" w:hint="eastAsia"/>
          <w:lang w:eastAsia="zh-CN"/>
        </w:rPr>
        <w:t>April 28, 2017</w:t>
      </w:r>
    </w:p>
    <w:p w14:paraId="528D9197" w14:textId="22E0D637" w:rsidR="0088290D" w:rsidRPr="007940D7" w:rsidRDefault="0088290D" w:rsidP="007940D7">
      <w:pPr>
        <w:spacing w:line="360" w:lineRule="auto"/>
        <w:jc w:val="both"/>
        <w:rPr>
          <w:rFonts w:ascii="Book Antiqua" w:eastAsia="SimSun" w:hAnsi="Book Antiqua"/>
          <w:b/>
          <w:lang w:eastAsia="zh-CN"/>
        </w:rPr>
      </w:pPr>
      <w:r w:rsidRPr="0088290D">
        <w:rPr>
          <w:rFonts w:ascii="Book Antiqua" w:hAnsi="Book Antiqua"/>
          <w:b/>
        </w:rPr>
        <w:t>Revised:</w:t>
      </w:r>
      <w:r w:rsidR="007940D7">
        <w:rPr>
          <w:rFonts w:ascii="Book Antiqua" w:eastAsia="SimSun" w:hAnsi="Book Antiqua" w:hint="eastAsia"/>
          <w:b/>
          <w:lang w:eastAsia="zh-CN"/>
        </w:rPr>
        <w:t xml:space="preserve"> </w:t>
      </w:r>
      <w:r w:rsidR="007940D7" w:rsidRPr="007940D7">
        <w:rPr>
          <w:rFonts w:ascii="Book Antiqua" w:eastAsia="SimSun" w:hAnsi="Book Antiqua" w:hint="eastAsia"/>
          <w:lang w:eastAsia="zh-CN"/>
        </w:rPr>
        <w:t>May 9, 2017</w:t>
      </w:r>
    </w:p>
    <w:p w14:paraId="1C173449" w14:textId="0E2C299C" w:rsidR="0088290D" w:rsidRPr="00E916CE" w:rsidRDefault="0088290D" w:rsidP="00E916CE">
      <w:pPr>
        <w:spacing w:line="360" w:lineRule="auto"/>
        <w:rPr>
          <w:rFonts w:ascii="Book Antiqua" w:hAnsi="Book Antiqua"/>
          <w:color w:val="000000"/>
        </w:rPr>
      </w:pPr>
      <w:r w:rsidRPr="0088290D">
        <w:rPr>
          <w:rFonts w:ascii="Book Antiqua" w:hAnsi="Book Antiqua"/>
          <w:b/>
        </w:rPr>
        <w:t>Accepted:</w:t>
      </w:r>
      <w:bookmarkStart w:id="33" w:name="OLE_LINK118"/>
      <w:bookmarkStart w:id="34" w:name="OLE_LINK125"/>
      <w:bookmarkStart w:id="35" w:name="OLE_LINK122"/>
      <w:bookmarkStart w:id="36" w:name="OLE_LINK126"/>
      <w:bookmarkStart w:id="37" w:name="OLE_LINK127"/>
      <w:r w:rsidR="00E916CE" w:rsidRPr="00E916CE">
        <w:rPr>
          <w:rFonts w:ascii="Book Antiqua" w:hAnsi="Book Antiqua"/>
          <w:color w:val="000000"/>
        </w:rPr>
        <w:t xml:space="preserve"> </w:t>
      </w:r>
      <w:r w:rsidR="00E916CE">
        <w:rPr>
          <w:rFonts w:ascii="Book Antiqua" w:hAnsi="Book Antiqua"/>
          <w:color w:val="000000"/>
        </w:rPr>
        <w:t>June 18, 2017</w:t>
      </w:r>
      <w:bookmarkStart w:id="38" w:name="_GoBack"/>
      <w:bookmarkEnd w:id="33"/>
      <w:bookmarkEnd w:id="34"/>
      <w:bookmarkEnd w:id="35"/>
      <w:bookmarkEnd w:id="36"/>
      <w:bookmarkEnd w:id="37"/>
      <w:bookmarkEnd w:id="38"/>
      <w:r w:rsidRPr="0088290D">
        <w:rPr>
          <w:rFonts w:ascii="Book Antiqua" w:hAnsi="Book Antiqua"/>
          <w:b/>
        </w:rPr>
        <w:t xml:space="preserve">  </w:t>
      </w:r>
    </w:p>
    <w:p w14:paraId="413D939C" w14:textId="77777777" w:rsidR="0088290D" w:rsidRPr="0088290D" w:rsidRDefault="0088290D" w:rsidP="007940D7">
      <w:pPr>
        <w:spacing w:line="360" w:lineRule="auto"/>
        <w:jc w:val="both"/>
        <w:rPr>
          <w:rFonts w:ascii="Book Antiqua" w:hAnsi="Book Antiqua"/>
          <w:b/>
        </w:rPr>
      </w:pPr>
      <w:r w:rsidRPr="0088290D">
        <w:rPr>
          <w:rFonts w:ascii="Book Antiqua" w:hAnsi="Book Antiqua"/>
          <w:b/>
        </w:rPr>
        <w:t>Article in press:</w:t>
      </w:r>
    </w:p>
    <w:p w14:paraId="72549F43" w14:textId="77777777" w:rsidR="0088290D" w:rsidRPr="0088290D" w:rsidRDefault="0088290D" w:rsidP="007940D7">
      <w:pPr>
        <w:spacing w:line="360" w:lineRule="auto"/>
        <w:jc w:val="both"/>
        <w:rPr>
          <w:rFonts w:ascii="Book Antiqua" w:hAnsi="Book Antiqua"/>
          <w:b/>
        </w:rPr>
      </w:pPr>
      <w:r w:rsidRPr="0088290D">
        <w:rPr>
          <w:rFonts w:ascii="Book Antiqua" w:hAnsi="Book Antiqua"/>
          <w:b/>
        </w:rPr>
        <w:t>Published online:</w:t>
      </w:r>
    </w:p>
    <w:bookmarkEnd w:id="26"/>
    <w:bookmarkEnd w:id="27"/>
    <w:bookmarkEnd w:id="28"/>
    <w:bookmarkEnd w:id="29"/>
    <w:bookmarkEnd w:id="30"/>
    <w:p w14:paraId="336EB424" w14:textId="77777777" w:rsidR="0088290D" w:rsidRPr="0088290D" w:rsidRDefault="0088290D" w:rsidP="007940D7">
      <w:pPr>
        <w:spacing w:line="360" w:lineRule="auto"/>
        <w:jc w:val="both"/>
        <w:rPr>
          <w:rFonts w:ascii="Book Antiqua" w:hAnsi="Book Antiqua"/>
          <w:color w:val="000000"/>
        </w:rPr>
      </w:pPr>
    </w:p>
    <w:bookmarkEnd w:id="31"/>
    <w:bookmarkEnd w:id="32"/>
    <w:p w14:paraId="2321F4C0" w14:textId="100A5514" w:rsidR="001404F7" w:rsidRPr="0088290D" w:rsidRDefault="001404F7" w:rsidP="007940D7">
      <w:pPr>
        <w:widowControl w:val="0"/>
        <w:autoSpaceDE w:val="0"/>
        <w:autoSpaceDN w:val="0"/>
        <w:adjustRightInd w:val="0"/>
        <w:spacing w:line="360" w:lineRule="auto"/>
        <w:jc w:val="both"/>
        <w:rPr>
          <w:rFonts w:ascii="Book Antiqua" w:hAnsi="Book Antiqua"/>
          <w:b/>
          <w:lang w:val="en-US"/>
        </w:rPr>
      </w:pPr>
      <w:r w:rsidRPr="0088290D">
        <w:rPr>
          <w:rFonts w:ascii="Book Antiqua" w:hAnsi="Book Antiqua"/>
          <w:b/>
          <w:lang w:val="en-US"/>
        </w:rPr>
        <w:br w:type="column"/>
      </w:r>
      <w:r w:rsidRPr="0088290D">
        <w:rPr>
          <w:rFonts w:ascii="Book Antiqua" w:hAnsi="Book Antiqua"/>
          <w:b/>
          <w:lang w:val="en-US"/>
        </w:rPr>
        <w:lastRenderedPageBreak/>
        <w:t>A</w:t>
      </w:r>
      <w:r w:rsidR="0088290D" w:rsidRPr="0088290D">
        <w:rPr>
          <w:rFonts w:ascii="Book Antiqua" w:hAnsi="Book Antiqua"/>
          <w:b/>
          <w:lang w:val="en-US"/>
        </w:rPr>
        <w:t>bstract</w:t>
      </w:r>
    </w:p>
    <w:p w14:paraId="24C6E5E6" w14:textId="77777777" w:rsidR="00297B1D" w:rsidRPr="00297B1D" w:rsidRDefault="00297B1D" w:rsidP="007940D7">
      <w:pPr>
        <w:spacing w:line="360" w:lineRule="auto"/>
        <w:jc w:val="both"/>
        <w:rPr>
          <w:rFonts w:ascii="Book Antiqua" w:eastAsia="SimSun" w:hAnsi="Book Antiqua" w:cs="Arial"/>
          <w:b/>
          <w:i/>
          <w:lang w:val="en-US" w:eastAsia="zh-CN"/>
        </w:rPr>
      </w:pPr>
      <w:r w:rsidRPr="00297B1D">
        <w:rPr>
          <w:rFonts w:ascii="Book Antiqua" w:eastAsia="SimSun" w:hAnsi="Book Antiqua" w:cs="Arial" w:hint="eastAsia"/>
          <w:b/>
          <w:i/>
          <w:lang w:val="en-US" w:eastAsia="zh-CN"/>
        </w:rPr>
        <w:t>AIM</w:t>
      </w:r>
    </w:p>
    <w:p w14:paraId="0CD62877" w14:textId="135EF7A8" w:rsidR="0088290D" w:rsidRPr="00297B1D" w:rsidRDefault="00297B1D" w:rsidP="007940D7">
      <w:pPr>
        <w:spacing w:line="360" w:lineRule="auto"/>
        <w:jc w:val="both"/>
        <w:rPr>
          <w:rFonts w:ascii="Book Antiqua" w:eastAsia="SimSun" w:hAnsi="Book Antiqua" w:cs="Arial"/>
          <w:lang w:val="en-US" w:eastAsia="zh-CN"/>
        </w:rPr>
      </w:pPr>
      <w:r w:rsidRPr="0088290D">
        <w:rPr>
          <w:rFonts w:ascii="Book Antiqua" w:hAnsi="Book Antiqua" w:cs="Arial"/>
          <w:lang w:val="en-US"/>
        </w:rPr>
        <w:t>To assess</w:t>
      </w:r>
      <w:r>
        <w:rPr>
          <w:rFonts w:ascii="Book Antiqua" w:eastAsia="SimSun" w:hAnsi="Book Antiqua" w:cs="Arial" w:hint="eastAsia"/>
          <w:lang w:val="en-US" w:eastAsia="zh-CN"/>
        </w:rPr>
        <w:t xml:space="preserve"> </w:t>
      </w:r>
      <w:r w:rsidRPr="0088290D">
        <w:rPr>
          <w:rFonts w:ascii="Book Antiqua" w:hAnsi="Book Antiqua" w:cs="Arial"/>
          <w:lang w:val="en-US"/>
        </w:rPr>
        <w:t xml:space="preserve">the prevalence of a panel of </w:t>
      </w:r>
      <w:r w:rsidRPr="0088290D">
        <w:rPr>
          <w:rFonts w:ascii="Book Antiqua" w:hAnsi="Book Antiqua" w:cs="Times"/>
          <w:lang w:val="en-US"/>
        </w:rPr>
        <w:t xml:space="preserve">serologic markers that reflect </w:t>
      </w:r>
      <w:r w:rsidRPr="0088290D">
        <w:rPr>
          <w:rFonts w:ascii="Book Antiqua" w:hAnsi="Book Antiqua"/>
          <w:lang w:val="en-US"/>
        </w:rPr>
        <w:t xml:space="preserve">gut barrier dysfunction </w:t>
      </w:r>
      <w:r w:rsidRPr="0088290D">
        <w:rPr>
          <w:rFonts w:ascii="Book Antiqua" w:hAnsi="Book Antiqua" w:cs="Arial"/>
          <w:lang w:val="en-US"/>
        </w:rPr>
        <w:t>in a mixed cohort of pediatric and adult primary sclerosing cholangitis (PSC)</w:t>
      </w:r>
      <w:r>
        <w:rPr>
          <w:rFonts w:ascii="Book Antiqua" w:eastAsia="SimSun" w:hAnsi="Book Antiqua" w:cs="Arial" w:hint="eastAsia"/>
          <w:lang w:val="en-US" w:eastAsia="zh-CN"/>
        </w:rPr>
        <w:t xml:space="preserve"> </w:t>
      </w:r>
      <w:r w:rsidRPr="0088290D">
        <w:rPr>
          <w:rFonts w:ascii="Book Antiqua" w:hAnsi="Book Antiqua" w:cs="Arial"/>
          <w:lang w:val="en-US"/>
        </w:rPr>
        <w:t>patients</w:t>
      </w:r>
      <w:r>
        <w:rPr>
          <w:rFonts w:ascii="Book Antiqua" w:eastAsia="SimSun" w:hAnsi="Book Antiqua" w:cs="Arial" w:hint="eastAsia"/>
          <w:lang w:val="en-US" w:eastAsia="zh-CN"/>
        </w:rPr>
        <w:t>.</w:t>
      </w:r>
    </w:p>
    <w:p w14:paraId="0129B137" w14:textId="77777777" w:rsidR="00297B1D" w:rsidRPr="00297B1D" w:rsidRDefault="00297B1D" w:rsidP="007940D7">
      <w:pPr>
        <w:spacing w:line="360" w:lineRule="auto"/>
        <w:jc w:val="both"/>
        <w:rPr>
          <w:rFonts w:ascii="Book Antiqua" w:eastAsia="SimSun" w:hAnsi="Book Antiqua"/>
          <w:b/>
          <w:color w:val="000000"/>
          <w:lang w:val="en-US" w:eastAsia="zh-CN"/>
        </w:rPr>
      </w:pPr>
    </w:p>
    <w:p w14:paraId="2BC214FC" w14:textId="77777777" w:rsidR="0088290D" w:rsidRPr="0088290D" w:rsidRDefault="0088290D" w:rsidP="007940D7">
      <w:pPr>
        <w:spacing w:line="360" w:lineRule="auto"/>
        <w:jc w:val="both"/>
        <w:rPr>
          <w:rFonts w:ascii="Book Antiqua" w:eastAsia="SimSun" w:hAnsi="Book Antiqua"/>
          <w:i/>
          <w:color w:val="000000"/>
          <w:lang w:val="en-US" w:eastAsia="zh-CN"/>
        </w:rPr>
      </w:pPr>
      <w:r w:rsidRPr="0088290D">
        <w:rPr>
          <w:rFonts w:ascii="Book Antiqua" w:hAnsi="Book Antiqua"/>
          <w:b/>
          <w:i/>
          <w:color w:val="000000"/>
          <w:lang w:val="en-US"/>
        </w:rPr>
        <w:t>METHODS</w:t>
      </w:r>
    </w:p>
    <w:p w14:paraId="4D2D1C4F" w14:textId="374A7684" w:rsidR="0088290D" w:rsidRPr="0088290D" w:rsidRDefault="000C29D3" w:rsidP="007940D7">
      <w:pPr>
        <w:spacing w:line="360" w:lineRule="auto"/>
        <w:jc w:val="both"/>
        <w:rPr>
          <w:rFonts w:ascii="Book Antiqua" w:eastAsia="SimSun" w:hAnsi="Book Antiqua" w:cs="Times"/>
          <w:lang w:val="en-US" w:eastAsia="zh-CN"/>
        </w:rPr>
      </w:pPr>
      <w:r w:rsidRPr="0088290D">
        <w:rPr>
          <w:rFonts w:ascii="Book Antiqua" w:hAnsi="Book Antiqua"/>
          <w:color w:val="000000"/>
          <w:lang w:val="en-US"/>
        </w:rPr>
        <w:t>Sera of 6</w:t>
      </w:r>
      <w:r w:rsidR="006B0768" w:rsidRPr="0088290D">
        <w:rPr>
          <w:rFonts w:ascii="Book Antiqua" w:hAnsi="Book Antiqua"/>
          <w:color w:val="000000"/>
          <w:lang w:val="en-US"/>
        </w:rPr>
        <w:t>7</w:t>
      </w:r>
      <w:r w:rsidRPr="0088290D">
        <w:rPr>
          <w:rFonts w:ascii="Book Antiqua" w:hAnsi="Book Antiqua"/>
          <w:color w:val="000000"/>
          <w:lang w:val="en-US"/>
        </w:rPr>
        <w:t xml:space="preserve"> PSC patients (</w:t>
      </w:r>
      <w:r w:rsidRPr="0088290D">
        <w:rPr>
          <w:rFonts w:ascii="Book Antiqua" w:hAnsi="Book Antiqua" w:cs="Times"/>
          <w:lang w:val="en-US"/>
        </w:rPr>
        <w:t>median age</w:t>
      </w:r>
      <w:r w:rsidR="0088290D">
        <w:rPr>
          <w:rFonts w:ascii="Book Antiqua" w:eastAsia="SimSun" w:hAnsi="Book Antiqua" w:cs="Times" w:hint="eastAsia"/>
          <w:lang w:val="en-US" w:eastAsia="zh-CN"/>
        </w:rPr>
        <w:t xml:space="preserve"> </w:t>
      </w:r>
      <w:r w:rsidRPr="0088290D">
        <w:rPr>
          <w:rFonts w:ascii="Book Antiqua" w:hAnsi="Book Antiqua" w:cs="Times"/>
          <w:lang w:val="en-US"/>
        </w:rPr>
        <w:t>[range]:</w:t>
      </w:r>
      <w:r w:rsidR="0088290D">
        <w:rPr>
          <w:rFonts w:ascii="Book Antiqua" w:eastAsia="SimSun" w:hAnsi="Book Antiqua" w:cs="Times" w:hint="eastAsia"/>
          <w:lang w:val="en-US" w:eastAsia="zh-CN"/>
        </w:rPr>
        <w:t xml:space="preserve"> </w:t>
      </w:r>
      <w:r w:rsidRPr="0088290D">
        <w:rPr>
          <w:rFonts w:ascii="Book Antiqua" w:hAnsi="Book Antiqua" w:cs="Times"/>
          <w:lang w:val="en-US"/>
        </w:rPr>
        <w:t>32</w:t>
      </w:r>
      <w:r w:rsidR="00297B1D">
        <w:rPr>
          <w:rFonts w:ascii="Book Antiqua" w:eastAsia="SimSun" w:hAnsi="Book Antiqua" w:cs="Times" w:hint="eastAsia"/>
          <w:lang w:val="en-US" w:eastAsia="zh-CN"/>
        </w:rPr>
        <w:t xml:space="preserve"> </w:t>
      </w:r>
      <w:r w:rsidRPr="0088290D">
        <w:rPr>
          <w:rFonts w:ascii="Book Antiqua" w:hAnsi="Book Antiqua" w:cs="Times"/>
          <w:lang w:val="en-US"/>
        </w:rPr>
        <w:t xml:space="preserve">[5-79] </w:t>
      </w:r>
      <w:r w:rsidRPr="0088290D">
        <w:rPr>
          <w:rFonts w:ascii="Book Antiqua" w:hAnsi="Book Antiqua"/>
          <w:color w:val="000000"/>
          <w:lang w:val="en-US"/>
        </w:rPr>
        <w:t>years, concomitant IBD:</w:t>
      </w:r>
      <w:r w:rsidR="0088290D">
        <w:rPr>
          <w:rFonts w:ascii="Book Antiqua" w:eastAsia="SimSun" w:hAnsi="Book Antiqua" w:hint="eastAsia"/>
          <w:color w:val="000000"/>
          <w:lang w:val="en-US" w:eastAsia="zh-CN"/>
        </w:rPr>
        <w:t xml:space="preserve"> </w:t>
      </w:r>
      <w:r w:rsidRPr="0088290D">
        <w:rPr>
          <w:rFonts w:ascii="Book Antiqua" w:hAnsi="Book Antiqua"/>
          <w:color w:val="000000"/>
          <w:lang w:val="en-US"/>
        </w:rPr>
        <w:t>67% and cirrhosis:</w:t>
      </w:r>
      <w:r w:rsidR="0088290D">
        <w:rPr>
          <w:rFonts w:ascii="Book Antiqua" w:eastAsia="SimSun" w:hAnsi="Book Antiqua" w:hint="eastAsia"/>
          <w:color w:val="000000"/>
          <w:lang w:val="en-US" w:eastAsia="zh-CN"/>
        </w:rPr>
        <w:t xml:space="preserve"> </w:t>
      </w:r>
      <w:r w:rsidRPr="0088290D">
        <w:rPr>
          <w:rFonts w:ascii="Book Antiqua" w:hAnsi="Book Antiqua"/>
          <w:color w:val="000000"/>
          <w:lang w:val="en-US"/>
        </w:rPr>
        <w:t xml:space="preserve">20%) </w:t>
      </w:r>
      <w:r w:rsidRPr="0088290D">
        <w:rPr>
          <w:rFonts w:ascii="Book Antiqua" w:hAnsi="Book Antiqua" w:cs="Times"/>
          <w:lang w:val="en-US"/>
        </w:rPr>
        <w:t xml:space="preserve">were assayed for </w:t>
      </w:r>
      <w:r w:rsidR="006E3548" w:rsidRPr="0088290D">
        <w:rPr>
          <w:rFonts w:ascii="Book Antiqua" w:hAnsi="Book Antiqua" w:cs="Times"/>
          <w:lang w:val="en-US"/>
        </w:rPr>
        <w:t xml:space="preserve">the </w:t>
      </w:r>
      <w:r w:rsidR="00537EB9" w:rsidRPr="0088290D">
        <w:rPr>
          <w:rFonts w:ascii="Book Antiqua" w:hAnsi="Book Antiqua" w:cs="Times"/>
          <w:lang w:val="en-US"/>
        </w:rPr>
        <w:t>presence of antibodies against</w:t>
      </w:r>
      <w:r w:rsidR="00D00E51" w:rsidRPr="0088290D">
        <w:rPr>
          <w:rFonts w:ascii="Book Antiqua" w:hAnsi="Book Antiqua" w:cs="Times"/>
          <w:lang w:val="en-US"/>
        </w:rPr>
        <w:t xml:space="preserve"> to F-actin</w:t>
      </w:r>
      <w:r w:rsidR="00297B1D">
        <w:rPr>
          <w:rFonts w:ascii="Book Antiqua" w:eastAsia="SimSun" w:hAnsi="Book Antiqua" w:cs="Times" w:hint="eastAsia"/>
          <w:lang w:val="en-US" w:eastAsia="zh-CN"/>
        </w:rPr>
        <w:t xml:space="preserve"> </w:t>
      </w:r>
      <w:r w:rsidR="00D00E51" w:rsidRPr="0088290D">
        <w:rPr>
          <w:rFonts w:ascii="Book Antiqua" w:hAnsi="Book Antiqua" w:cs="Times"/>
          <w:lang w:val="en-US"/>
        </w:rPr>
        <w:t>[AAA IgA/IgG] and gliadin[AGA IgA/IgG])</w:t>
      </w:r>
      <w:r w:rsidR="00D00E51" w:rsidRPr="0088290D">
        <w:rPr>
          <w:rFonts w:ascii="Book Antiqua" w:hAnsi="Book Antiqua"/>
          <w:color w:val="000000"/>
          <w:lang w:val="en-US"/>
        </w:rPr>
        <w:t xml:space="preserve"> </w:t>
      </w:r>
      <w:r w:rsidR="006E3548" w:rsidRPr="0088290D">
        <w:rPr>
          <w:rFonts w:ascii="Book Antiqua" w:hAnsi="Book Antiqua"/>
          <w:color w:val="000000"/>
          <w:lang w:val="en-US"/>
        </w:rPr>
        <w:t xml:space="preserve">and for </w:t>
      </w:r>
      <w:r w:rsidR="00E01584" w:rsidRPr="0088290D">
        <w:rPr>
          <w:rFonts w:ascii="Book Antiqua" w:hAnsi="Book Antiqua"/>
          <w:color w:val="000000"/>
          <w:lang w:val="en-US"/>
        </w:rPr>
        <w:t xml:space="preserve">serum level of </w:t>
      </w:r>
      <w:r w:rsidR="006E3548" w:rsidRPr="0088290D">
        <w:rPr>
          <w:rFonts w:ascii="Book Antiqua" w:hAnsi="Book Antiqua"/>
          <w:lang w:val="en-US"/>
        </w:rPr>
        <w:t>intestinal fatty acid-binding protein</w:t>
      </w:r>
      <w:r w:rsidR="0088290D">
        <w:rPr>
          <w:rFonts w:ascii="Book Antiqua" w:eastAsia="SimSun" w:hAnsi="Book Antiqua" w:hint="eastAsia"/>
          <w:lang w:val="en-US" w:eastAsia="zh-CN"/>
        </w:rPr>
        <w:t xml:space="preserve"> </w:t>
      </w:r>
      <w:r w:rsidR="006E3548" w:rsidRPr="0088290D">
        <w:rPr>
          <w:rFonts w:ascii="Book Antiqua" w:hAnsi="Book Antiqua"/>
          <w:lang w:val="en-US"/>
        </w:rPr>
        <w:t>(I-FABP)</w:t>
      </w:r>
      <w:r w:rsidR="001B48B4" w:rsidRPr="0088290D">
        <w:rPr>
          <w:rFonts w:ascii="Book Antiqua" w:hAnsi="Book Antiqua" w:cs="Times"/>
          <w:lang w:val="en-US"/>
        </w:rPr>
        <w:t xml:space="preserve"> </w:t>
      </w:r>
      <w:r w:rsidR="00D00E51" w:rsidRPr="0088290D">
        <w:rPr>
          <w:rFonts w:ascii="Book Antiqua" w:hAnsi="Book Antiqua"/>
          <w:color w:val="000000"/>
          <w:lang w:val="en-US"/>
        </w:rPr>
        <w:t>by ELISA</w:t>
      </w:r>
      <w:r w:rsidR="00D00E51" w:rsidRPr="0088290D">
        <w:rPr>
          <w:rFonts w:ascii="Book Antiqua" w:hAnsi="Book Antiqua" w:cs="Times"/>
          <w:lang w:val="en-US"/>
        </w:rPr>
        <w:t>.</w:t>
      </w:r>
      <w:r w:rsidR="00E71AB8" w:rsidRPr="0088290D">
        <w:rPr>
          <w:rFonts w:ascii="Book Antiqua" w:hAnsi="Book Antiqua" w:cs="Times"/>
          <w:lang w:val="en-US"/>
        </w:rPr>
        <w:t xml:space="preserve"> </w:t>
      </w:r>
      <w:r w:rsidR="00193DBD" w:rsidRPr="0088290D">
        <w:rPr>
          <w:rFonts w:ascii="Book Antiqua" w:hAnsi="Book Antiqua" w:cs="Times"/>
          <w:lang w:val="en-US"/>
        </w:rPr>
        <w:t>M</w:t>
      </w:r>
      <w:r w:rsidR="00C04556" w:rsidRPr="0088290D">
        <w:rPr>
          <w:rFonts w:ascii="Book Antiqua" w:hAnsi="Book Antiqua" w:cs="Times"/>
          <w:lang w:val="en-US"/>
        </w:rPr>
        <w:t>arkers of lipopolysaccharide</w:t>
      </w:r>
      <w:r w:rsidR="0088290D">
        <w:rPr>
          <w:rFonts w:ascii="Book Antiqua" w:eastAsia="SimSun" w:hAnsi="Book Antiqua" w:cs="Times" w:hint="eastAsia"/>
          <w:lang w:val="en-US" w:eastAsia="zh-CN"/>
        </w:rPr>
        <w:t xml:space="preserve"> </w:t>
      </w:r>
      <w:r w:rsidR="007659ED" w:rsidRPr="0088290D">
        <w:rPr>
          <w:rFonts w:ascii="Book Antiqua" w:hAnsi="Book Antiqua" w:cs="Times"/>
          <w:lang w:val="en-US"/>
        </w:rPr>
        <w:t>(LPS)</w:t>
      </w:r>
      <w:r w:rsidR="00C04556" w:rsidRPr="0088290D">
        <w:rPr>
          <w:rFonts w:ascii="Book Antiqua" w:hAnsi="Book Antiqua" w:cs="Times"/>
          <w:lang w:val="en-US"/>
        </w:rPr>
        <w:t xml:space="preserve"> </w:t>
      </w:r>
      <w:r w:rsidR="007659ED" w:rsidRPr="0088290D">
        <w:rPr>
          <w:rFonts w:ascii="Book Antiqua" w:hAnsi="Book Antiqua" w:cs="Times"/>
          <w:lang w:val="en-US"/>
        </w:rPr>
        <w:t xml:space="preserve">exposure </w:t>
      </w:r>
      <w:r w:rsidR="00193DBD" w:rsidRPr="0088290D">
        <w:rPr>
          <w:rFonts w:ascii="Book Antiqua" w:hAnsi="Book Antiqua" w:cs="Times"/>
          <w:lang w:val="en-US"/>
        </w:rPr>
        <w:t>(</w:t>
      </w:r>
      <w:r w:rsidR="00193DBD" w:rsidRPr="0088290D">
        <w:rPr>
          <w:rFonts w:ascii="Book Antiqua" w:hAnsi="Book Antiqua" w:cs="Arial"/>
          <w:lang w:val="en-US"/>
        </w:rPr>
        <w:t>LPS binding protein</w:t>
      </w:r>
      <w:r w:rsidR="0088290D">
        <w:rPr>
          <w:rFonts w:ascii="Book Antiqua" w:eastAsia="SimSun" w:hAnsi="Book Antiqua" w:cs="Arial" w:hint="eastAsia"/>
          <w:lang w:val="en-US" w:eastAsia="zh-CN"/>
        </w:rPr>
        <w:t xml:space="preserve"> </w:t>
      </w:r>
      <w:r w:rsidR="00193DBD" w:rsidRPr="0088290D">
        <w:rPr>
          <w:rFonts w:ascii="Book Antiqua" w:hAnsi="Book Antiqua" w:cs="Arial"/>
          <w:lang w:val="en-US"/>
        </w:rPr>
        <w:t>[LBP])</w:t>
      </w:r>
      <w:r w:rsidR="00E17A06" w:rsidRPr="0088290D">
        <w:rPr>
          <w:rFonts w:ascii="Book Antiqua" w:hAnsi="Book Antiqua" w:cs="Arial"/>
          <w:lang w:val="en-US"/>
        </w:rPr>
        <w:t xml:space="preserve"> and various anti-microbial antibodies</w:t>
      </w:r>
      <w:r w:rsidR="007659ED" w:rsidRPr="0088290D">
        <w:rPr>
          <w:rFonts w:ascii="Book Antiqua" w:hAnsi="Book Antiqua" w:cs="Times"/>
          <w:lang w:val="en-US"/>
        </w:rPr>
        <w:t xml:space="preserve"> </w:t>
      </w:r>
      <w:r w:rsidR="00961E1F" w:rsidRPr="0088290D">
        <w:rPr>
          <w:rFonts w:ascii="Book Antiqua" w:hAnsi="Book Antiqua" w:cs="Times"/>
          <w:lang w:val="en-US"/>
        </w:rPr>
        <w:t>(</w:t>
      </w:r>
      <w:r w:rsidR="00E17A06" w:rsidRPr="0088290D">
        <w:rPr>
          <w:rFonts w:ascii="Book Antiqua" w:hAnsi="Book Antiqua" w:cs="Times"/>
          <w:lang w:val="en-US"/>
        </w:rPr>
        <w:t>anti-OMP</w:t>
      </w:r>
      <w:r w:rsidR="00905C61" w:rsidRPr="0088290D">
        <w:rPr>
          <w:rFonts w:ascii="Book Antiqua" w:hAnsi="Book Antiqua" w:cs="Times"/>
          <w:lang w:val="en-US"/>
        </w:rPr>
        <w:t xml:space="preserve"> Plus IgA</w:t>
      </w:r>
      <w:r w:rsidR="00E17A06" w:rsidRPr="0088290D">
        <w:rPr>
          <w:rFonts w:ascii="Book Antiqua" w:hAnsi="Book Antiqua" w:cs="Times"/>
          <w:lang w:val="en-US"/>
        </w:rPr>
        <w:t xml:space="preserve"> and </w:t>
      </w:r>
      <w:r w:rsidR="007659ED" w:rsidRPr="0088290D">
        <w:rPr>
          <w:rFonts w:ascii="Book Antiqua" w:hAnsi="Book Antiqua" w:cs="Arial"/>
          <w:lang w:val="en-US"/>
        </w:rPr>
        <w:t>endotoxin core IgA antibody</w:t>
      </w:r>
      <w:r w:rsidR="00297B1D">
        <w:rPr>
          <w:rFonts w:ascii="Book Antiqua" w:eastAsia="SimSun" w:hAnsi="Book Antiqua" w:cs="Arial" w:hint="eastAsia"/>
          <w:lang w:val="en-US" w:eastAsia="zh-CN"/>
        </w:rPr>
        <w:t xml:space="preserve"> </w:t>
      </w:r>
      <w:r w:rsidR="004920AD" w:rsidRPr="0088290D">
        <w:rPr>
          <w:rFonts w:ascii="Book Antiqua" w:hAnsi="Book Antiqua" w:cs="Arial"/>
          <w:lang w:val="en-US"/>
        </w:rPr>
        <w:t>[</w:t>
      </w:r>
      <w:r w:rsidR="007659ED" w:rsidRPr="0088290D">
        <w:rPr>
          <w:rFonts w:ascii="Book Antiqua" w:hAnsi="Book Antiqua" w:cs="Arial"/>
          <w:lang w:val="en-US"/>
        </w:rPr>
        <w:t>EndoCAb]</w:t>
      </w:r>
      <w:r w:rsidR="00961E1F" w:rsidRPr="0088290D">
        <w:rPr>
          <w:rFonts w:ascii="Book Antiqua" w:hAnsi="Book Antiqua" w:cs="Arial"/>
          <w:lang w:val="en-US"/>
        </w:rPr>
        <w:t>)</w:t>
      </w:r>
      <w:r w:rsidR="00622785" w:rsidRPr="0088290D">
        <w:rPr>
          <w:rFonts w:ascii="Book Antiqua" w:hAnsi="Book Antiqua" w:cs="Arial"/>
          <w:lang w:val="en-US"/>
        </w:rPr>
        <w:t xml:space="preserve"> </w:t>
      </w:r>
      <w:r w:rsidR="00E17A06" w:rsidRPr="0088290D">
        <w:rPr>
          <w:rFonts w:ascii="Book Antiqua" w:hAnsi="Book Antiqua" w:cs="Times"/>
          <w:lang w:val="en-US"/>
        </w:rPr>
        <w:t>were also determined</w:t>
      </w:r>
      <w:r w:rsidR="00622785" w:rsidRPr="0088290D">
        <w:rPr>
          <w:rFonts w:ascii="Book Antiqua" w:hAnsi="Book Antiqua" w:cs="Times"/>
          <w:lang w:val="en-US"/>
        </w:rPr>
        <w:t xml:space="preserve">. </w:t>
      </w:r>
      <w:r w:rsidRPr="0088290D">
        <w:rPr>
          <w:rFonts w:ascii="Book Antiqua" w:hAnsi="Book Antiqua" w:cs="Times"/>
          <w:lang w:val="en-US"/>
        </w:rPr>
        <w:t xml:space="preserve">Poor disease outcome was defined as </w:t>
      </w:r>
      <w:r w:rsidRPr="0088290D">
        <w:rPr>
          <w:rFonts w:ascii="Book Antiqua" w:hAnsi="Book Antiqua" w:cs="Arial"/>
          <w:lang w:val="en-US"/>
        </w:rPr>
        <w:t>orthotopic liver transplantation</w:t>
      </w:r>
      <w:r w:rsidR="00FB059C">
        <w:rPr>
          <w:rFonts w:ascii="Book Antiqua" w:eastAsia="SimSun" w:hAnsi="Book Antiqua" w:cs="Arial" w:hint="eastAsia"/>
          <w:lang w:val="en-US" w:eastAsia="zh-CN"/>
        </w:rPr>
        <w:t xml:space="preserve"> </w:t>
      </w:r>
      <w:r w:rsidRPr="0088290D">
        <w:rPr>
          <w:rFonts w:ascii="Book Antiqua" w:hAnsi="Book Antiqua" w:cs="Times"/>
          <w:lang w:val="en-US"/>
        </w:rPr>
        <w:t>and/or liver-related death during the follow-up (median:</w:t>
      </w:r>
      <w:r w:rsidR="006D0A78" w:rsidRPr="0088290D">
        <w:rPr>
          <w:rFonts w:ascii="Book Antiqua" w:hAnsi="Book Antiqua" w:cs="Times"/>
          <w:lang w:val="en-US"/>
        </w:rPr>
        <w:t xml:space="preserve"> </w:t>
      </w:r>
      <w:r w:rsidR="00A5085A" w:rsidRPr="0088290D">
        <w:rPr>
          <w:rFonts w:ascii="Book Antiqua" w:hAnsi="Book Antiqua" w:cs="Arial"/>
          <w:lang w:val="en-US"/>
        </w:rPr>
        <w:t>99</w:t>
      </w:r>
      <w:r w:rsidR="0088290D">
        <w:rPr>
          <w:rFonts w:ascii="Book Antiqua" w:eastAsia="SimSun" w:hAnsi="Book Antiqua" w:cs="Arial" w:hint="eastAsia"/>
          <w:lang w:val="en-US" w:eastAsia="zh-CN"/>
        </w:rPr>
        <w:t xml:space="preserve"> </w:t>
      </w:r>
      <w:r w:rsidR="006D0A78" w:rsidRPr="0088290D">
        <w:rPr>
          <w:rFonts w:ascii="Book Antiqua" w:hAnsi="Book Antiqua" w:cs="Arial"/>
          <w:lang w:val="en-US"/>
        </w:rPr>
        <w:t>[</w:t>
      </w:r>
      <w:r w:rsidR="00A5085A" w:rsidRPr="0088290D">
        <w:rPr>
          <w:rFonts w:ascii="Book Antiqua" w:hAnsi="Book Antiqua" w:cs="Arial"/>
          <w:lang w:val="en-US"/>
        </w:rPr>
        <w:t>14</w:t>
      </w:r>
      <w:r w:rsidR="006D0A78" w:rsidRPr="0088290D">
        <w:rPr>
          <w:rFonts w:ascii="Book Antiqua" w:hAnsi="Book Antiqua" w:cs="Arial"/>
          <w:lang w:val="en-US"/>
        </w:rPr>
        <w:t>-10</w:t>
      </w:r>
      <w:r w:rsidR="00A5085A" w:rsidRPr="0088290D">
        <w:rPr>
          <w:rFonts w:ascii="Book Antiqua" w:hAnsi="Book Antiqua" w:cs="Arial"/>
          <w:lang w:val="en-US"/>
        </w:rPr>
        <w:t>6</w:t>
      </w:r>
      <w:r w:rsidR="006D0A78" w:rsidRPr="0088290D">
        <w:rPr>
          <w:rFonts w:ascii="Book Antiqua" w:hAnsi="Book Antiqua" w:cs="Arial"/>
          <w:lang w:val="en-US"/>
        </w:rPr>
        <w:t xml:space="preserve">] </w:t>
      </w:r>
      <w:r w:rsidR="0088290D">
        <w:rPr>
          <w:rFonts w:ascii="Book Antiqua" w:eastAsia="SimSun" w:hAnsi="Book Antiqua" w:cs="Arial" w:hint="eastAsia"/>
          <w:lang w:val="en-US" w:eastAsia="zh-CN"/>
        </w:rPr>
        <w:t>mo</w:t>
      </w:r>
      <w:r w:rsidR="00A5085A" w:rsidRPr="0088290D">
        <w:rPr>
          <w:rFonts w:ascii="Book Antiqua" w:hAnsi="Book Antiqua" w:cs="Times"/>
          <w:lang w:val="en-US"/>
        </w:rPr>
        <w:t>)</w:t>
      </w:r>
      <w:r w:rsidRPr="0088290D">
        <w:rPr>
          <w:rFonts w:ascii="Book Antiqua" w:hAnsi="Book Antiqua" w:cs="Times"/>
          <w:lang w:val="en-US"/>
        </w:rPr>
        <w:t xml:space="preserve">. </w:t>
      </w:r>
      <w:r w:rsidR="00297B1D" w:rsidRPr="00297B1D">
        <w:rPr>
          <w:rFonts w:ascii="Book Antiqua" w:hAnsi="Book Antiqua" w:cs="Times"/>
          <w:lang w:val="en-US"/>
        </w:rPr>
        <w:t>One hundred and fifty-three</w:t>
      </w:r>
      <w:r w:rsidR="00297B1D">
        <w:rPr>
          <w:rFonts w:ascii="Book Antiqua" w:eastAsia="SimSun" w:hAnsi="Book Antiqua" w:cs="Times" w:hint="eastAsia"/>
          <w:lang w:val="en-US" w:eastAsia="zh-CN"/>
        </w:rPr>
        <w:t xml:space="preserve"> </w:t>
      </w:r>
      <w:r w:rsidRPr="0088290D">
        <w:rPr>
          <w:rFonts w:ascii="Book Antiqua" w:hAnsi="Book Antiqua" w:cs="Times"/>
          <w:lang w:val="en-US"/>
        </w:rPr>
        <w:t>healthy subjects</w:t>
      </w:r>
      <w:r w:rsidR="0088290D">
        <w:rPr>
          <w:rFonts w:ascii="Book Antiqua" w:eastAsia="SimSun" w:hAnsi="Book Antiqua" w:cs="Times" w:hint="eastAsia"/>
          <w:lang w:val="en-US" w:eastAsia="zh-CN"/>
        </w:rPr>
        <w:t xml:space="preserve"> </w:t>
      </w:r>
      <w:r w:rsidRPr="0088290D">
        <w:rPr>
          <w:rFonts w:ascii="Book Antiqua" w:hAnsi="Book Antiqua" w:cs="Times"/>
          <w:lang w:val="en-US"/>
        </w:rPr>
        <w:t>(HCONT) and 17</w:t>
      </w:r>
      <w:r w:rsidR="00D323E1" w:rsidRPr="0088290D">
        <w:rPr>
          <w:rFonts w:ascii="Book Antiqua" w:hAnsi="Book Antiqua" w:cs="Times"/>
          <w:lang w:val="en-US"/>
        </w:rPr>
        <w:t>2</w:t>
      </w:r>
      <w:r w:rsidRPr="0088290D">
        <w:rPr>
          <w:rFonts w:ascii="Book Antiqua" w:hAnsi="Book Antiqua" w:cs="Times"/>
          <w:lang w:val="en-US"/>
        </w:rPr>
        <w:t xml:space="preserve"> ulcerative colitis</w:t>
      </w:r>
      <w:r w:rsidR="0088290D">
        <w:rPr>
          <w:rFonts w:ascii="Book Antiqua" w:eastAsia="SimSun" w:hAnsi="Book Antiqua" w:cs="Times" w:hint="eastAsia"/>
          <w:lang w:val="en-US" w:eastAsia="zh-CN"/>
        </w:rPr>
        <w:t xml:space="preserve"> </w:t>
      </w:r>
      <w:r w:rsidRPr="0088290D">
        <w:rPr>
          <w:rFonts w:ascii="Book Antiqua" w:hAnsi="Book Antiqua" w:cs="Times"/>
          <w:lang w:val="en-US"/>
        </w:rPr>
        <w:t xml:space="preserve">(UC) patients were the controls. </w:t>
      </w:r>
    </w:p>
    <w:p w14:paraId="69B79020" w14:textId="77777777" w:rsidR="0088290D" w:rsidRPr="0088290D" w:rsidRDefault="0088290D" w:rsidP="007940D7">
      <w:pPr>
        <w:spacing w:line="360" w:lineRule="auto"/>
        <w:jc w:val="both"/>
        <w:rPr>
          <w:rFonts w:ascii="Book Antiqua" w:eastAsia="SimSun" w:hAnsi="Book Antiqua" w:cs="Times"/>
          <w:lang w:val="en-US" w:eastAsia="zh-CN"/>
        </w:rPr>
      </w:pPr>
    </w:p>
    <w:p w14:paraId="586C656B" w14:textId="65A4B2A5" w:rsidR="0088290D" w:rsidRPr="0088290D" w:rsidRDefault="0088290D" w:rsidP="007940D7">
      <w:pPr>
        <w:spacing w:line="360" w:lineRule="auto"/>
        <w:jc w:val="both"/>
        <w:rPr>
          <w:rFonts w:ascii="Book Antiqua" w:eastAsia="SimSun" w:hAnsi="Book Antiqua"/>
          <w:i/>
          <w:lang w:val="en-US" w:eastAsia="zh-CN"/>
        </w:rPr>
      </w:pPr>
      <w:r w:rsidRPr="0088290D">
        <w:rPr>
          <w:rFonts w:ascii="Book Antiqua" w:hAnsi="Book Antiqua"/>
          <w:b/>
          <w:i/>
          <w:lang w:val="en-US"/>
        </w:rPr>
        <w:t>RESULTS</w:t>
      </w:r>
    </w:p>
    <w:p w14:paraId="262C705D" w14:textId="77777777" w:rsidR="0088290D" w:rsidRDefault="00641571" w:rsidP="007940D7">
      <w:pPr>
        <w:spacing w:line="360" w:lineRule="auto"/>
        <w:jc w:val="both"/>
        <w:rPr>
          <w:rFonts w:ascii="Book Antiqua" w:eastAsia="SimSun" w:hAnsi="Book Antiqua" w:cs="Arial"/>
          <w:lang w:val="en-US" w:eastAsia="zh-CN"/>
        </w:rPr>
      </w:pPr>
      <w:r w:rsidRPr="0088290D">
        <w:rPr>
          <w:rFonts w:ascii="Book Antiqua" w:hAnsi="Book Antiqua"/>
          <w:lang w:val="en-US"/>
        </w:rPr>
        <w:t xml:space="preserve">A total of </w:t>
      </w:r>
      <w:r w:rsidR="000C29D3" w:rsidRPr="0088290D">
        <w:rPr>
          <w:rFonts w:ascii="Book Antiqua" w:eastAsia="MS Gothic" w:hAnsi="Book Antiqua"/>
          <w:color w:val="000000"/>
          <w:lang w:val="en-US"/>
        </w:rPr>
        <w:t xml:space="preserve">28.4%, </w:t>
      </w:r>
      <w:r w:rsidR="0099067A" w:rsidRPr="0088290D">
        <w:rPr>
          <w:rFonts w:ascii="Book Antiqua" w:eastAsia="MS Gothic" w:hAnsi="Book Antiqua"/>
          <w:color w:val="000000"/>
          <w:lang w:val="en-US"/>
        </w:rPr>
        <w:t>28</w:t>
      </w:r>
      <w:r w:rsidR="00BC3D79" w:rsidRPr="0088290D">
        <w:rPr>
          <w:rFonts w:ascii="Book Antiqua" w:eastAsia="MS Gothic" w:hAnsi="Book Antiqua"/>
          <w:color w:val="000000"/>
          <w:lang w:val="en-US"/>
        </w:rPr>
        <w:t>.0</w:t>
      </w:r>
      <w:r w:rsidR="0099067A" w:rsidRPr="0088290D">
        <w:rPr>
          <w:rFonts w:ascii="Book Antiqua" w:eastAsia="MS Gothic" w:hAnsi="Book Antiqua"/>
          <w:color w:val="000000"/>
          <w:lang w:val="en-US"/>
        </w:rPr>
        <w:t xml:space="preserve">%, </w:t>
      </w:r>
      <w:r w:rsidR="000C29D3" w:rsidRPr="0088290D">
        <w:rPr>
          <w:rFonts w:ascii="Book Antiqua" w:eastAsia="MS Gothic" w:hAnsi="Book Antiqua"/>
          <w:color w:val="000000"/>
          <w:lang w:val="en-US"/>
        </w:rPr>
        <w:t xml:space="preserve">9% and 20.9% of PSC patients were positive for AAA IgA, </w:t>
      </w:r>
      <w:r w:rsidR="0099067A" w:rsidRPr="0088290D">
        <w:rPr>
          <w:rFonts w:ascii="Book Antiqua" w:eastAsia="MS Gothic" w:hAnsi="Book Antiqua"/>
          <w:color w:val="000000"/>
          <w:lang w:val="en-US"/>
        </w:rPr>
        <w:t xml:space="preserve">AAA IgG, </w:t>
      </w:r>
      <w:r w:rsidR="000C29D3" w:rsidRPr="0088290D">
        <w:rPr>
          <w:rFonts w:ascii="Book Antiqua" w:eastAsia="MS Gothic" w:hAnsi="Book Antiqua"/>
          <w:color w:val="000000"/>
          <w:lang w:val="en-US"/>
        </w:rPr>
        <w:t xml:space="preserve">AGA IgA and AGA IgG, respectively. Frequencies of AAA IgA </w:t>
      </w:r>
      <w:r w:rsidR="00EF760E" w:rsidRPr="0088290D">
        <w:rPr>
          <w:rFonts w:ascii="Book Antiqua" w:eastAsia="MS Gothic" w:hAnsi="Book Antiqua"/>
          <w:color w:val="000000"/>
          <w:lang w:val="en-US"/>
        </w:rPr>
        <w:t>and AAA IgG</w:t>
      </w:r>
      <w:r w:rsidR="0088290D">
        <w:rPr>
          <w:rFonts w:ascii="Book Antiqua" w:eastAsia="SimSun" w:hAnsi="Book Antiqua" w:hint="eastAsia"/>
          <w:color w:val="000000"/>
          <w:lang w:val="en-US" w:eastAsia="zh-CN"/>
        </w:rPr>
        <w:t xml:space="preserve"> </w:t>
      </w:r>
      <w:r w:rsidR="000C29D3" w:rsidRPr="0088290D">
        <w:rPr>
          <w:rFonts w:ascii="Book Antiqua" w:eastAsia="MS Gothic" w:hAnsi="Book Antiqua"/>
          <w:color w:val="000000"/>
          <w:lang w:val="en-US"/>
        </w:rPr>
        <w:t>(</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0C29D3" w:rsidRPr="0088290D">
        <w:rPr>
          <w:rFonts w:ascii="Book Antiqua" w:eastAsia="MS Gothic" w:hAnsi="Book Antiqua"/>
          <w:color w:val="000000"/>
          <w:lang w:val="en-US"/>
        </w:rPr>
        <w:t>&lt;</w:t>
      </w:r>
      <w:r w:rsidR="0088290D">
        <w:rPr>
          <w:rFonts w:ascii="Book Antiqua" w:eastAsia="SimSun" w:hAnsi="Book Antiqua" w:hint="eastAsia"/>
          <w:color w:val="000000"/>
          <w:lang w:val="en-US" w:eastAsia="zh-CN"/>
        </w:rPr>
        <w:t xml:space="preserve"> </w:t>
      </w:r>
      <w:r w:rsidR="000C29D3" w:rsidRPr="0088290D">
        <w:rPr>
          <w:rFonts w:ascii="Book Antiqua" w:eastAsia="MS Gothic" w:hAnsi="Book Antiqua"/>
          <w:color w:val="000000"/>
          <w:lang w:val="en-US"/>
        </w:rPr>
        <w:t>0.001, for both) and AGA IgG (</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0C29D3" w:rsidRPr="0088290D">
        <w:rPr>
          <w:rFonts w:ascii="Book Antiqua" w:eastAsia="MS Gothic" w:hAnsi="Book Antiqua"/>
          <w:color w:val="000000"/>
          <w:lang w:val="en-US"/>
        </w:rPr>
        <w:t>=</w:t>
      </w:r>
      <w:r w:rsidR="0088290D">
        <w:rPr>
          <w:rFonts w:ascii="Book Antiqua" w:eastAsia="SimSun" w:hAnsi="Book Antiqua" w:hint="eastAsia"/>
          <w:color w:val="000000"/>
          <w:lang w:val="en-US" w:eastAsia="zh-CN"/>
        </w:rPr>
        <w:t xml:space="preserve"> </w:t>
      </w:r>
      <w:r w:rsidR="000C29D3" w:rsidRPr="0088290D">
        <w:rPr>
          <w:rFonts w:ascii="Book Antiqua" w:eastAsia="MS Gothic" w:hAnsi="Book Antiqua"/>
          <w:color w:val="000000"/>
          <w:lang w:val="en-US"/>
        </w:rPr>
        <w:t xml:space="preserve">0.01, for both) but not AGA IgA were significantly higher compared to </w:t>
      </w:r>
      <w:r w:rsidR="00317963" w:rsidRPr="0088290D">
        <w:rPr>
          <w:rFonts w:ascii="Book Antiqua" w:eastAsia="MS Gothic" w:hAnsi="Book Antiqua"/>
          <w:color w:val="000000"/>
          <w:lang w:val="en-US"/>
        </w:rPr>
        <w:t xml:space="preserve">both </w:t>
      </w:r>
      <w:r w:rsidR="00A47DAE" w:rsidRPr="0088290D">
        <w:rPr>
          <w:rFonts w:ascii="Book Antiqua" w:eastAsia="MS Gothic" w:hAnsi="Book Antiqua"/>
          <w:color w:val="000000"/>
          <w:lang w:val="en-US"/>
        </w:rPr>
        <w:t xml:space="preserve">of </w:t>
      </w:r>
      <w:r w:rsidR="00317963" w:rsidRPr="0088290D">
        <w:rPr>
          <w:rFonts w:ascii="Book Antiqua" w:eastAsia="MS Gothic" w:hAnsi="Book Antiqua"/>
          <w:color w:val="000000"/>
          <w:lang w:val="en-US"/>
        </w:rPr>
        <w:t xml:space="preserve">the </w:t>
      </w:r>
      <w:r w:rsidR="000C29D3" w:rsidRPr="0088290D">
        <w:rPr>
          <w:rFonts w:ascii="Book Antiqua" w:eastAsia="MS Gothic" w:hAnsi="Book Antiqua"/>
          <w:color w:val="000000"/>
          <w:lang w:val="en-US"/>
        </w:rPr>
        <w:t xml:space="preserve">HCONT and </w:t>
      </w:r>
      <w:r w:rsidR="00A47DAE" w:rsidRPr="0088290D">
        <w:rPr>
          <w:rFonts w:ascii="Book Antiqua" w:eastAsia="MS Gothic" w:hAnsi="Book Antiqua"/>
          <w:color w:val="000000"/>
          <w:lang w:val="en-US"/>
        </w:rPr>
        <w:t xml:space="preserve">the </w:t>
      </w:r>
      <w:r w:rsidR="000C29D3" w:rsidRPr="0088290D">
        <w:rPr>
          <w:rFonts w:ascii="Book Antiqua" w:eastAsia="MS Gothic" w:hAnsi="Book Antiqua"/>
          <w:color w:val="000000"/>
          <w:lang w:val="en-US"/>
        </w:rPr>
        <w:t>UC</w:t>
      </w:r>
      <w:r w:rsidR="004B0A8B" w:rsidRPr="0088290D">
        <w:rPr>
          <w:rFonts w:ascii="Book Antiqua" w:eastAsia="MS Gothic" w:hAnsi="Book Antiqua"/>
          <w:color w:val="000000"/>
          <w:lang w:val="en-US"/>
        </w:rPr>
        <w:t xml:space="preserve"> groups</w:t>
      </w:r>
      <w:r w:rsidR="000C29D3" w:rsidRPr="0088290D">
        <w:rPr>
          <w:rFonts w:ascii="Book Antiqua" w:eastAsia="MS Gothic" w:hAnsi="Book Antiqua"/>
          <w:color w:val="000000"/>
          <w:lang w:val="en-US"/>
        </w:rPr>
        <w:t xml:space="preserve">. </w:t>
      </w:r>
      <w:r w:rsidR="000C29D3" w:rsidRPr="0088290D">
        <w:rPr>
          <w:rFonts w:ascii="Book Antiqua" w:hAnsi="Book Antiqua"/>
          <w:color w:val="000000"/>
          <w:shd w:val="clear" w:color="auto" w:fill="FFFFFF"/>
          <w:lang w:val="en-US"/>
        </w:rPr>
        <w:t xml:space="preserve">In </w:t>
      </w:r>
      <w:r w:rsidR="00F368EB" w:rsidRPr="0088290D">
        <w:rPr>
          <w:rFonts w:ascii="Book Antiqua" w:hAnsi="Book Antiqua"/>
          <w:color w:val="000000"/>
          <w:shd w:val="clear" w:color="auto" w:fill="FFFFFF"/>
          <w:lang w:val="en-US"/>
        </w:rPr>
        <w:t>survival analysis</w:t>
      </w:r>
      <w:r w:rsidR="00F322F9" w:rsidRPr="0088290D">
        <w:rPr>
          <w:rFonts w:ascii="Book Antiqua" w:hAnsi="Book Antiqua"/>
          <w:color w:val="000000"/>
          <w:shd w:val="clear" w:color="auto" w:fill="FFFFFF"/>
          <w:lang w:val="en-US"/>
        </w:rPr>
        <w:t>,</w:t>
      </w:r>
      <w:r w:rsidR="00F368EB" w:rsidRPr="0088290D">
        <w:rPr>
          <w:rFonts w:ascii="Book Antiqua" w:hAnsi="Book Antiqua"/>
          <w:color w:val="000000"/>
          <w:shd w:val="clear" w:color="auto" w:fill="FFFFFF"/>
          <w:lang w:val="en-US"/>
        </w:rPr>
        <w:t xml:space="preserve"> AAA</w:t>
      </w:r>
      <w:r w:rsidR="00F322F9" w:rsidRPr="0088290D">
        <w:rPr>
          <w:rFonts w:ascii="Book Antiqua" w:hAnsi="Book Antiqua"/>
          <w:color w:val="000000"/>
          <w:shd w:val="clear" w:color="auto" w:fill="FFFFFF"/>
          <w:lang w:val="en-US"/>
        </w:rPr>
        <w:t xml:space="preserve"> </w:t>
      </w:r>
      <w:r w:rsidR="00F322F9" w:rsidRPr="0088290D">
        <w:rPr>
          <w:rFonts w:ascii="Book Antiqua" w:hAnsi="Book Antiqua" w:cs="Arial"/>
          <w:lang w:val="en-US"/>
        </w:rPr>
        <w:t xml:space="preserve">IgA-positivity was </w:t>
      </w:r>
      <w:r w:rsidR="00545187" w:rsidRPr="0088290D">
        <w:rPr>
          <w:rFonts w:ascii="Book Antiqua" w:hAnsi="Book Antiqua" w:cs="Arial"/>
          <w:lang w:val="en-US"/>
        </w:rPr>
        <w:t xml:space="preserve">revealed as </w:t>
      </w:r>
      <w:r w:rsidR="00F322F9" w:rsidRPr="0088290D">
        <w:rPr>
          <w:rFonts w:ascii="Book Antiqua" w:hAnsi="Book Antiqua" w:cs="Arial"/>
          <w:lang w:val="en-US"/>
        </w:rPr>
        <w:t xml:space="preserve">an independent predictor of poor disease outcome after adjusting </w:t>
      </w:r>
      <w:r w:rsidR="00AF28DC" w:rsidRPr="0088290D">
        <w:rPr>
          <w:rFonts w:ascii="Book Antiqua" w:hAnsi="Book Antiqua" w:cs="Arial"/>
          <w:lang w:val="en-US"/>
        </w:rPr>
        <w:t xml:space="preserve">either </w:t>
      </w:r>
      <w:r w:rsidR="00F322F9" w:rsidRPr="0088290D">
        <w:rPr>
          <w:rFonts w:ascii="Book Antiqua" w:hAnsi="Book Antiqua" w:cs="Arial"/>
          <w:lang w:val="en-US"/>
        </w:rPr>
        <w:t>for the presence of cirrhosis (HR</w:t>
      </w:r>
      <w:r w:rsidR="0088290D">
        <w:rPr>
          <w:rFonts w:ascii="Book Antiqua" w:eastAsia="SimSun" w:hAnsi="Book Antiqua" w:cs="Arial" w:hint="eastAsia"/>
          <w:lang w:val="en-US" w:eastAsia="zh-CN"/>
        </w:rPr>
        <w:t xml:space="preserve"> =</w:t>
      </w:r>
      <w:r w:rsidR="00F322F9" w:rsidRPr="0088290D">
        <w:rPr>
          <w:rFonts w:ascii="Book Antiqua" w:hAnsi="Book Antiqua" w:cs="Arial"/>
          <w:lang w:val="en-US"/>
        </w:rPr>
        <w:t xml:space="preserve"> 5.15 [1.27-20.86], </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F322F9" w:rsidRPr="0088290D">
        <w:rPr>
          <w:rFonts w:ascii="Book Antiqua" w:hAnsi="Book Antiqua" w:cs="Arial"/>
          <w:lang w:val="en-US"/>
        </w:rPr>
        <w:t>=</w:t>
      </w:r>
      <w:r w:rsidR="0088290D">
        <w:rPr>
          <w:rFonts w:ascii="Book Antiqua" w:eastAsia="SimSun" w:hAnsi="Book Antiqua" w:cs="Arial" w:hint="eastAsia"/>
          <w:lang w:val="en-US" w:eastAsia="zh-CN"/>
        </w:rPr>
        <w:t xml:space="preserve"> </w:t>
      </w:r>
      <w:r w:rsidR="00F322F9" w:rsidRPr="0088290D">
        <w:rPr>
          <w:rFonts w:ascii="Book Antiqua" w:hAnsi="Book Antiqua" w:cs="Arial"/>
          <w:lang w:val="en-US"/>
        </w:rPr>
        <w:t>0.022</w:t>
      </w:r>
      <w:r w:rsidR="00F322F9" w:rsidRPr="0088290D">
        <w:rPr>
          <w:rFonts w:ascii="Book Antiqua" w:hAnsi="Book Antiqua" w:cs="Arial"/>
          <w:i/>
          <w:lang w:val="en-US"/>
        </w:rPr>
        <w:t xml:space="preserve"> </w:t>
      </w:r>
      <w:r w:rsidR="00255587" w:rsidRPr="0088290D">
        <w:rPr>
          <w:rFonts w:ascii="Book Antiqua" w:hAnsi="Book Antiqua" w:cs="Arial"/>
          <w:lang w:val="en-US"/>
        </w:rPr>
        <w:t xml:space="preserve">or for the Mayo risk score </w:t>
      </w:r>
      <w:r w:rsidR="00F322F9" w:rsidRPr="0088290D">
        <w:rPr>
          <w:rFonts w:ascii="Book Antiqua" w:hAnsi="Book Antiqua" w:cs="Arial"/>
          <w:lang w:val="en-US"/>
        </w:rPr>
        <w:t>(HR</w:t>
      </w:r>
      <w:r w:rsidR="0088290D">
        <w:rPr>
          <w:rFonts w:ascii="Book Antiqua" w:eastAsia="SimSun" w:hAnsi="Book Antiqua" w:cs="Arial" w:hint="eastAsia"/>
          <w:lang w:val="en-US" w:eastAsia="zh-CN"/>
        </w:rPr>
        <w:t xml:space="preserve"> =</w:t>
      </w:r>
      <w:r w:rsidR="00F322F9" w:rsidRPr="0088290D">
        <w:rPr>
          <w:rFonts w:ascii="Book Antiqua" w:hAnsi="Book Antiqua" w:cs="Arial"/>
          <w:lang w:val="en-US"/>
        </w:rPr>
        <w:t xml:space="preserve"> 4.24 [0.99-18.21], </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F322F9" w:rsidRPr="0088290D">
        <w:rPr>
          <w:rFonts w:ascii="Book Antiqua" w:hAnsi="Book Antiqua" w:cs="Arial"/>
          <w:lang w:val="en-US"/>
        </w:rPr>
        <w:t>=</w:t>
      </w:r>
      <w:r w:rsidR="0088290D">
        <w:rPr>
          <w:rFonts w:ascii="Book Antiqua" w:eastAsia="SimSun" w:hAnsi="Book Antiqua" w:cs="Arial" w:hint="eastAsia"/>
          <w:lang w:val="en-US" w:eastAsia="zh-CN"/>
        </w:rPr>
        <w:t xml:space="preserve"> </w:t>
      </w:r>
      <w:r w:rsidR="00F322F9" w:rsidRPr="0088290D">
        <w:rPr>
          <w:rFonts w:ascii="Book Antiqua" w:hAnsi="Book Antiqua" w:cs="Arial"/>
          <w:lang w:val="en-US"/>
        </w:rPr>
        <w:t>0.052)</w:t>
      </w:r>
      <w:r w:rsidR="00255587" w:rsidRPr="0088290D">
        <w:rPr>
          <w:rFonts w:ascii="Book Antiqua" w:hAnsi="Book Antiqua" w:cs="Arial"/>
          <w:lang w:val="en-US"/>
        </w:rPr>
        <w:t>.</w:t>
      </w:r>
      <w:r w:rsidR="00B86518" w:rsidRPr="0088290D">
        <w:rPr>
          <w:rFonts w:ascii="Book Antiqua" w:hAnsi="Book Antiqua" w:cs="Arial"/>
          <w:lang w:val="en-US"/>
        </w:rPr>
        <w:t xml:space="preserve"> AAA IgA-positivity </w:t>
      </w:r>
      <w:r w:rsidR="001B68AB" w:rsidRPr="0088290D">
        <w:rPr>
          <w:rFonts w:ascii="Book Antiqua" w:hAnsi="Book Antiqua" w:cs="Arial"/>
          <w:lang w:val="en-US"/>
        </w:rPr>
        <w:t xml:space="preserve">was significantly associated with </w:t>
      </w:r>
      <w:r w:rsidR="00B86518" w:rsidRPr="0088290D">
        <w:rPr>
          <w:rFonts w:ascii="Book Antiqua" w:hAnsi="Book Antiqua" w:cs="Arial"/>
          <w:lang w:val="en-US"/>
        </w:rPr>
        <w:t xml:space="preserve">higher </w:t>
      </w:r>
      <w:r w:rsidR="00844C78" w:rsidRPr="0088290D">
        <w:rPr>
          <w:rFonts w:ascii="Book Antiqua" w:hAnsi="Book Antiqua" w:cs="Arial"/>
          <w:lang w:val="en-US"/>
        </w:rPr>
        <w:t>frequency of anti-microbial antibodies</w:t>
      </w:r>
      <w:r w:rsidR="00D60073" w:rsidRPr="0088290D">
        <w:rPr>
          <w:rFonts w:ascii="Book Antiqua" w:hAnsi="Book Antiqua" w:cs="Arial"/>
          <w:lang w:val="en-US"/>
        </w:rPr>
        <w:t xml:space="preserve"> (</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D60073" w:rsidRPr="0088290D">
        <w:rPr>
          <w:rFonts w:ascii="Book Antiqua" w:hAnsi="Book Antiqua"/>
          <w:lang w:val="en-US"/>
        </w:rPr>
        <w:t>&lt;</w:t>
      </w:r>
      <w:r w:rsidR="0088290D">
        <w:rPr>
          <w:rFonts w:ascii="Book Antiqua" w:eastAsia="SimSun" w:hAnsi="Book Antiqua" w:hint="eastAsia"/>
          <w:lang w:val="en-US" w:eastAsia="zh-CN"/>
        </w:rPr>
        <w:t xml:space="preserve"> </w:t>
      </w:r>
      <w:r w:rsidR="00D60073" w:rsidRPr="0088290D">
        <w:rPr>
          <w:rFonts w:ascii="Book Antiqua" w:hAnsi="Book Antiqua"/>
          <w:lang w:val="en-US"/>
        </w:rPr>
        <w:t>0.001 for</w:t>
      </w:r>
      <w:r w:rsidR="00844C78" w:rsidRPr="0088290D">
        <w:rPr>
          <w:rFonts w:ascii="Book Antiqua" w:hAnsi="Book Antiqua" w:cs="Arial"/>
          <w:lang w:val="en-US"/>
        </w:rPr>
        <w:t xml:space="preserve"> </w:t>
      </w:r>
      <w:r w:rsidR="00D60073" w:rsidRPr="0088290D">
        <w:rPr>
          <w:rFonts w:ascii="Book Antiqua" w:hAnsi="Book Antiqua" w:cs="Arial"/>
          <w:lang w:val="en-US"/>
        </w:rPr>
        <w:t xml:space="preserve">EndoCab </w:t>
      </w:r>
      <w:r w:rsidR="003B3777" w:rsidRPr="0088290D">
        <w:rPr>
          <w:rFonts w:ascii="Book Antiqua" w:hAnsi="Book Antiqua" w:cs="Arial"/>
          <w:lang w:val="en-US"/>
        </w:rPr>
        <w:t xml:space="preserve">IgA </w:t>
      </w:r>
      <w:r w:rsidR="00D60073" w:rsidRPr="0088290D">
        <w:rPr>
          <w:rFonts w:ascii="Book Antiqua" w:hAnsi="Book Antiqua" w:cs="Arial"/>
          <w:lang w:val="en-US"/>
        </w:rPr>
        <w:t xml:space="preserve">and </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3B3777" w:rsidRPr="0088290D">
        <w:rPr>
          <w:rFonts w:ascii="Book Antiqua" w:hAnsi="Book Antiqua" w:cs="Arial"/>
          <w:lang w:val="en-US"/>
        </w:rPr>
        <w:t>=</w:t>
      </w:r>
      <w:r w:rsidR="0088290D">
        <w:rPr>
          <w:rFonts w:ascii="Book Antiqua" w:eastAsia="SimSun" w:hAnsi="Book Antiqua" w:cs="Arial" w:hint="eastAsia"/>
          <w:lang w:val="en-US" w:eastAsia="zh-CN"/>
        </w:rPr>
        <w:t xml:space="preserve"> </w:t>
      </w:r>
      <w:r w:rsidR="003B3777" w:rsidRPr="0088290D">
        <w:rPr>
          <w:rFonts w:ascii="Book Antiqua" w:hAnsi="Book Antiqua" w:cs="Arial"/>
          <w:lang w:val="en-US"/>
        </w:rPr>
        <w:t xml:space="preserve">0.012 for </w:t>
      </w:r>
      <w:r w:rsidR="00D60073" w:rsidRPr="0088290D">
        <w:rPr>
          <w:rFonts w:ascii="Book Antiqua" w:hAnsi="Book Antiqua" w:cs="Arial"/>
          <w:lang w:val="en-US"/>
        </w:rPr>
        <w:t>anti-OMP Plus IgA</w:t>
      </w:r>
      <w:r w:rsidR="003B3777" w:rsidRPr="0088290D">
        <w:rPr>
          <w:rFonts w:ascii="Book Antiqua" w:hAnsi="Book Antiqua" w:cs="Arial"/>
          <w:lang w:val="en-US"/>
        </w:rPr>
        <w:t>)</w:t>
      </w:r>
      <w:r w:rsidR="00D60073" w:rsidRPr="0088290D">
        <w:rPr>
          <w:rFonts w:ascii="Book Antiqua" w:hAnsi="Book Antiqua" w:cs="Arial"/>
          <w:lang w:val="en-US"/>
        </w:rPr>
        <w:t xml:space="preserve"> </w:t>
      </w:r>
      <w:r w:rsidR="00844C78" w:rsidRPr="0088290D">
        <w:rPr>
          <w:rFonts w:ascii="Book Antiqua" w:hAnsi="Book Antiqua" w:cs="Arial"/>
          <w:lang w:val="en-US"/>
        </w:rPr>
        <w:t xml:space="preserve">and higher level </w:t>
      </w:r>
      <w:r w:rsidR="00554F79" w:rsidRPr="0088290D">
        <w:rPr>
          <w:rFonts w:ascii="Book Antiqua" w:hAnsi="Book Antiqua" w:cs="Arial"/>
          <w:lang w:val="en-US"/>
        </w:rPr>
        <w:t>of the enterocyte damage marker (median I-FABP</w:t>
      </w:r>
      <w:r w:rsidR="00554F79" w:rsidRPr="0088290D">
        <w:rPr>
          <w:rFonts w:ascii="Book Antiqua" w:hAnsi="Book Antiqua" w:cs="Arial"/>
          <w:vertAlign w:val="subscript"/>
          <w:lang w:val="en-US"/>
        </w:rPr>
        <w:t>AAA IgA pos vs. neg</w:t>
      </w:r>
      <w:r w:rsidR="00554F79" w:rsidRPr="0088290D">
        <w:rPr>
          <w:rFonts w:ascii="Book Antiqua" w:hAnsi="Book Antiqua" w:cs="Arial"/>
          <w:lang w:val="en-US"/>
        </w:rPr>
        <w:t xml:space="preserve">:  </w:t>
      </w:r>
      <w:r w:rsidR="00B86518" w:rsidRPr="0088290D">
        <w:rPr>
          <w:rFonts w:ascii="Book Antiqua" w:hAnsi="Book Antiqua" w:cs="Arial"/>
          <w:lang w:val="en-US"/>
        </w:rPr>
        <w:t xml:space="preserve">365 </w:t>
      </w:r>
      <w:r w:rsidR="00B86518" w:rsidRPr="0088290D">
        <w:rPr>
          <w:rFonts w:ascii="Book Antiqua" w:hAnsi="Book Antiqua" w:cs="Arial"/>
          <w:i/>
          <w:lang w:val="en-US"/>
        </w:rPr>
        <w:t>vs</w:t>
      </w:r>
      <w:r w:rsidR="0088290D">
        <w:rPr>
          <w:rFonts w:ascii="Book Antiqua" w:eastAsia="SimSun" w:hAnsi="Book Antiqua" w:cs="Arial" w:hint="eastAsia"/>
          <w:lang w:val="en-US" w:eastAsia="zh-CN"/>
        </w:rPr>
        <w:t xml:space="preserve"> </w:t>
      </w:r>
      <w:r w:rsidR="00B86518" w:rsidRPr="0088290D">
        <w:rPr>
          <w:rFonts w:ascii="Book Antiqua" w:hAnsi="Book Antiqua" w:cs="Arial"/>
          <w:lang w:val="en-US"/>
        </w:rPr>
        <w:t xml:space="preserve">166 pg/mL, </w:t>
      </w:r>
      <w:r w:rsidR="0088290D" w:rsidRPr="0088290D">
        <w:rPr>
          <w:rFonts w:ascii="Book Antiqua" w:eastAsia="MS Gothic" w:hAnsi="Book Antiqua"/>
          <w:i/>
          <w:color w:val="000000"/>
          <w:lang w:val="en-US"/>
        </w:rPr>
        <w:t>P</w:t>
      </w:r>
      <w:r w:rsidR="0088290D" w:rsidRPr="0088290D">
        <w:rPr>
          <w:rFonts w:ascii="Book Antiqua" w:eastAsia="SimSun" w:hAnsi="Book Antiqua"/>
          <w:i/>
          <w:color w:val="000000"/>
          <w:lang w:val="en-US" w:eastAsia="zh-CN"/>
        </w:rPr>
        <w:t xml:space="preserve"> </w:t>
      </w:r>
      <w:r w:rsidR="00B86518" w:rsidRPr="0088290D">
        <w:rPr>
          <w:rFonts w:ascii="Book Antiqua" w:hAnsi="Book Antiqua" w:cs="Arial"/>
          <w:lang w:val="en-US"/>
        </w:rPr>
        <w:t>=</w:t>
      </w:r>
      <w:r w:rsidR="0088290D">
        <w:rPr>
          <w:rFonts w:ascii="Book Antiqua" w:eastAsia="SimSun" w:hAnsi="Book Antiqua" w:cs="Arial" w:hint="eastAsia"/>
          <w:lang w:val="en-US" w:eastAsia="zh-CN"/>
        </w:rPr>
        <w:t xml:space="preserve"> </w:t>
      </w:r>
      <w:r w:rsidR="00B86518" w:rsidRPr="0088290D">
        <w:rPr>
          <w:rFonts w:ascii="Book Antiqua" w:hAnsi="Book Antiqua" w:cs="Arial"/>
          <w:lang w:val="en-US"/>
        </w:rPr>
        <w:t>0.011</w:t>
      </w:r>
      <w:r w:rsidR="001E0185" w:rsidRPr="0088290D">
        <w:rPr>
          <w:rFonts w:ascii="Book Antiqua" w:hAnsi="Book Antiqua" w:cs="Arial"/>
          <w:lang w:val="en-US"/>
        </w:rPr>
        <w:t>),</w:t>
      </w:r>
      <w:r w:rsidR="001B68AB" w:rsidRPr="0088290D">
        <w:rPr>
          <w:rFonts w:ascii="Book Antiqua" w:hAnsi="Book Antiqua" w:cs="Arial"/>
          <w:lang w:val="en-US"/>
        </w:rPr>
        <w:t xml:space="preserve"> but not with </w:t>
      </w:r>
      <w:r w:rsidR="00C8002A" w:rsidRPr="0088290D">
        <w:rPr>
          <w:rFonts w:ascii="Book Antiqua" w:hAnsi="Book Antiqua" w:cs="Arial"/>
          <w:lang w:val="en-US"/>
        </w:rPr>
        <w:t xml:space="preserve">serum </w:t>
      </w:r>
      <w:r w:rsidR="001B68AB" w:rsidRPr="0088290D">
        <w:rPr>
          <w:rFonts w:ascii="Book Antiqua" w:hAnsi="Book Antiqua" w:cs="Arial"/>
          <w:lang w:val="en-US"/>
        </w:rPr>
        <w:t xml:space="preserve">LBP level. </w:t>
      </w:r>
      <w:bookmarkStart w:id="39" w:name="151a77a34e56a445__GoBack"/>
      <w:bookmarkEnd w:id="39"/>
    </w:p>
    <w:p w14:paraId="42CE7D61" w14:textId="77777777" w:rsidR="0088290D" w:rsidRDefault="0088290D" w:rsidP="007940D7">
      <w:pPr>
        <w:spacing w:line="360" w:lineRule="auto"/>
        <w:jc w:val="both"/>
        <w:rPr>
          <w:rFonts w:ascii="Book Antiqua" w:eastAsia="SimSun" w:hAnsi="Book Antiqua" w:cs="Arial"/>
          <w:lang w:val="en-US" w:eastAsia="zh-CN"/>
        </w:rPr>
      </w:pPr>
    </w:p>
    <w:p w14:paraId="51094BCE" w14:textId="48E94A9F" w:rsidR="0088290D" w:rsidRPr="0088290D" w:rsidRDefault="0088290D" w:rsidP="007940D7">
      <w:pPr>
        <w:spacing w:line="360" w:lineRule="auto"/>
        <w:jc w:val="both"/>
        <w:rPr>
          <w:rFonts w:ascii="Book Antiqua" w:eastAsia="SimSun" w:hAnsi="Book Antiqua"/>
          <w:i/>
          <w:lang w:val="en-US" w:eastAsia="zh-CN"/>
        </w:rPr>
      </w:pPr>
      <w:r w:rsidRPr="0088290D">
        <w:rPr>
          <w:rFonts w:ascii="Book Antiqua" w:hAnsi="Book Antiqua"/>
          <w:b/>
          <w:i/>
          <w:lang w:val="en-US"/>
        </w:rPr>
        <w:t>CONCLUSION</w:t>
      </w:r>
    </w:p>
    <w:p w14:paraId="1298FB36" w14:textId="6CAE06CF" w:rsidR="000C29D3" w:rsidRPr="0088290D" w:rsidRDefault="002E7C62" w:rsidP="007940D7">
      <w:pPr>
        <w:spacing w:line="360" w:lineRule="auto"/>
        <w:jc w:val="both"/>
        <w:rPr>
          <w:rFonts w:ascii="Book Antiqua" w:hAnsi="Book Antiqua" w:cs="Arial"/>
          <w:color w:val="000000" w:themeColor="text1"/>
          <w:lang w:val="en-US"/>
        </w:rPr>
      </w:pPr>
      <w:r w:rsidRPr="0088290D">
        <w:rPr>
          <w:rFonts w:ascii="Book Antiqua" w:hAnsi="Book Antiqua"/>
          <w:lang w:val="en-US"/>
        </w:rPr>
        <w:t xml:space="preserve">Presence of </w:t>
      </w:r>
      <w:r w:rsidR="00866D7C" w:rsidRPr="0088290D">
        <w:rPr>
          <w:rFonts w:ascii="Book Antiqua" w:hAnsi="Book Antiqua"/>
          <w:lang w:val="en-US"/>
        </w:rPr>
        <w:t xml:space="preserve">IgA type </w:t>
      </w:r>
      <w:r w:rsidR="00866D7C" w:rsidRPr="0088290D">
        <w:rPr>
          <w:rFonts w:ascii="Book Antiqua" w:hAnsi="Book Antiqua" w:cs="Times"/>
          <w:lang w:val="en-US"/>
        </w:rPr>
        <w:t xml:space="preserve">AAA </w:t>
      </w:r>
      <w:r w:rsidR="000C29D3" w:rsidRPr="0088290D">
        <w:rPr>
          <w:rFonts w:ascii="Book Antiqua" w:hAnsi="Book Antiqua" w:cs="Arial"/>
          <w:color w:val="000000" w:themeColor="text1"/>
          <w:lang w:val="en-US"/>
        </w:rPr>
        <w:t>identified PSC patients with progressive disease</w:t>
      </w:r>
      <w:r w:rsidR="00A45CB8" w:rsidRPr="0088290D">
        <w:rPr>
          <w:rFonts w:ascii="Book Antiqua" w:hAnsi="Book Antiqua" w:cs="Arial"/>
          <w:color w:val="000000" w:themeColor="text1"/>
          <w:lang w:val="en-US"/>
        </w:rPr>
        <w:t xml:space="preserve">. Moreover, it is </w:t>
      </w:r>
      <w:r w:rsidR="00F85E6D" w:rsidRPr="0088290D">
        <w:rPr>
          <w:rFonts w:ascii="Book Antiqua" w:hAnsi="Book Antiqua" w:cs="Arial"/>
          <w:color w:val="000000" w:themeColor="text1"/>
          <w:lang w:val="en-US"/>
        </w:rPr>
        <w:t xml:space="preserve">associated with </w:t>
      </w:r>
      <w:r w:rsidR="005F02D6" w:rsidRPr="0088290D">
        <w:rPr>
          <w:rFonts w:ascii="Book Antiqua" w:hAnsi="Book Antiqua" w:cs="Arial"/>
          <w:lang w:val="en-US"/>
        </w:rPr>
        <w:t>enhanced mucosal immune response to various microbial antigens</w:t>
      </w:r>
      <w:r w:rsidR="005F02D6" w:rsidRPr="0088290D">
        <w:rPr>
          <w:rFonts w:ascii="Book Antiqua" w:hAnsi="Book Antiqua" w:cs="Arial"/>
          <w:color w:val="000000" w:themeColor="text1"/>
          <w:lang w:val="en-US"/>
        </w:rPr>
        <w:t xml:space="preserve"> </w:t>
      </w:r>
      <w:r w:rsidRPr="0088290D">
        <w:rPr>
          <w:rFonts w:ascii="Book Antiqua" w:hAnsi="Book Antiqua" w:cs="Arial"/>
          <w:color w:val="000000" w:themeColor="text1"/>
          <w:lang w:val="en-US"/>
        </w:rPr>
        <w:t xml:space="preserve">and </w:t>
      </w:r>
      <w:r w:rsidR="00041682" w:rsidRPr="0088290D">
        <w:rPr>
          <w:rFonts w:ascii="Book Antiqua" w:hAnsi="Book Antiqua" w:cs="Arial"/>
          <w:color w:val="000000" w:themeColor="text1"/>
          <w:lang w:val="en-US"/>
        </w:rPr>
        <w:t>enterocyte damage</w:t>
      </w:r>
      <w:r w:rsidR="00A23D93" w:rsidRPr="0088290D">
        <w:rPr>
          <w:rFonts w:ascii="Book Antiqua" w:hAnsi="Book Antiqua" w:cs="Arial"/>
          <w:color w:val="000000" w:themeColor="text1"/>
          <w:lang w:val="en-US"/>
        </w:rPr>
        <w:t xml:space="preserve"> </w:t>
      </w:r>
      <w:r w:rsidR="000C29D3" w:rsidRPr="0088290D">
        <w:rPr>
          <w:rFonts w:ascii="Book Antiqua" w:hAnsi="Book Antiqua" w:cs="Arial"/>
          <w:color w:val="000000" w:themeColor="text1"/>
          <w:lang w:val="en-US"/>
        </w:rPr>
        <w:t>further highlighting the importance of the gut-liver interaction in PSC.</w:t>
      </w:r>
    </w:p>
    <w:p w14:paraId="180EEE59" w14:textId="77777777" w:rsidR="0088290D" w:rsidRDefault="0088290D" w:rsidP="007940D7">
      <w:pPr>
        <w:widowControl w:val="0"/>
        <w:autoSpaceDE w:val="0"/>
        <w:autoSpaceDN w:val="0"/>
        <w:adjustRightInd w:val="0"/>
        <w:spacing w:line="360" w:lineRule="auto"/>
        <w:jc w:val="both"/>
        <w:rPr>
          <w:rFonts w:ascii="Book Antiqua" w:eastAsia="SimSun" w:hAnsi="Book Antiqua" w:cs="Arial"/>
          <w:color w:val="000000" w:themeColor="text1"/>
          <w:lang w:val="en-US" w:eastAsia="zh-CN"/>
        </w:rPr>
      </w:pPr>
    </w:p>
    <w:p w14:paraId="1390DBD9" w14:textId="77777777" w:rsidR="0088290D" w:rsidRDefault="001404F7" w:rsidP="007940D7">
      <w:pPr>
        <w:widowControl w:val="0"/>
        <w:autoSpaceDE w:val="0"/>
        <w:autoSpaceDN w:val="0"/>
        <w:adjustRightInd w:val="0"/>
        <w:spacing w:line="360" w:lineRule="auto"/>
        <w:jc w:val="both"/>
        <w:rPr>
          <w:rFonts w:ascii="Book Antiqua" w:eastAsia="SimSun" w:hAnsi="Book Antiqua"/>
          <w:lang w:val="en-US" w:eastAsia="zh-CN"/>
        </w:rPr>
      </w:pPr>
      <w:r w:rsidRPr="0088290D">
        <w:rPr>
          <w:rFonts w:ascii="Book Antiqua" w:hAnsi="Book Antiqua"/>
          <w:b/>
          <w:lang w:val="en-US"/>
        </w:rPr>
        <w:t>Key</w:t>
      </w:r>
      <w:r w:rsidR="0088290D">
        <w:rPr>
          <w:rFonts w:ascii="Book Antiqua" w:eastAsia="SimSun" w:hAnsi="Book Antiqua" w:hint="eastAsia"/>
          <w:b/>
          <w:lang w:val="en-US" w:eastAsia="zh-CN"/>
        </w:rPr>
        <w:t xml:space="preserve"> </w:t>
      </w:r>
      <w:r w:rsidRPr="0088290D">
        <w:rPr>
          <w:rFonts w:ascii="Book Antiqua" w:hAnsi="Book Antiqua"/>
          <w:b/>
          <w:lang w:val="en-US"/>
        </w:rPr>
        <w:t>words:</w:t>
      </w:r>
      <w:r w:rsidR="005433DF" w:rsidRPr="0088290D">
        <w:rPr>
          <w:rFonts w:ascii="Book Antiqua" w:hAnsi="Book Antiqua"/>
          <w:lang w:val="en-US"/>
        </w:rPr>
        <w:t xml:space="preserve"> </w:t>
      </w:r>
      <w:r w:rsidR="0088290D" w:rsidRPr="0088290D">
        <w:rPr>
          <w:rFonts w:ascii="Book Antiqua" w:hAnsi="Book Antiqua"/>
          <w:lang w:val="en-US"/>
        </w:rPr>
        <w:t xml:space="preserve">Primary </w:t>
      </w:r>
      <w:r w:rsidR="005433DF" w:rsidRPr="0088290D">
        <w:rPr>
          <w:rFonts w:ascii="Book Antiqua" w:hAnsi="Book Antiqua"/>
          <w:lang w:val="en-US"/>
        </w:rPr>
        <w:t>sclerosing cholangitis</w:t>
      </w:r>
      <w:r w:rsidRPr="0088290D">
        <w:rPr>
          <w:rFonts w:ascii="Book Antiqua" w:hAnsi="Book Antiqua"/>
          <w:lang w:val="en-US"/>
        </w:rPr>
        <w:t xml:space="preserve">; </w:t>
      </w:r>
      <w:r w:rsidR="0088290D" w:rsidRPr="0088290D">
        <w:rPr>
          <w:rFonts w:ascii="Book Antiqua" w:hAnsi="Book Antiqua"/>
          <w:lang w:val="en-US"/>
        </w:rPr>
        <w:t xml:space="preserve">Gut </w:t>
      </w:r>
      <w:r w:rsidR="00521B3C" w:rsidRPr="0088290D">
        <w:rPr>
          <w:rFonts w:ascii="Book Antiqua" w:hAnsi="Book Antiqua"/>
          <w:lang w:val="en-US"/>
        </w:rPr>
        <w:t xml:space="preserve">barrier dysfunction; </w:t>
      </w:r>
      <w:r w:rsidR="0088290D" w:rsidRPr="0088290D">
        <w:rPr>
          <w:rFonts w:ascii="Book Antiqua" w:hAnsi="Book Antiqua"/>
          <w:lang w:val="en-US"/>
        </w:rPr>
        <w:t xml:space="preserve">Intestinal </w:t>
      </w:r>
      <w:r w:rsidR="00CC6F6C" w:rsidRPr="0088290D">
        <w:rPr>
          <w:rFonts w:ascii="Book Antiqua" w:hAnsi="Book Antiqua"/>
          <w:lang w:val="en-US"/>
        </w:rPr>
        <w:t xml:space="preserve">fatty acid-binding protein; </w:t>
      </w:r>
      <w:r w:rsidR="0088290D" w:rsidRPr="0088290D">
        <w:rPr>
          <w:rFonts w:ascii="Book Antiqua" w:hAnsi="Book Antiqua"/>
          <w:lang w:val="en-US"/>
        </w:rPr>
        <w:t>Anti</w:t>
      </w:r>
      <w:r w:rsidR="005433E2" w:rsidRPr="0088290D">
        <w:rPr>
          <w:rFonts w:ascii="Book Antiqua" w:hAnsi="Book Antiqua"/>
          <w:lang w:val="en-US"/>
        </w:rPr>
        <w:t>-F-</w:t>
      </w:r>
      <w:r w:rsidR="000A022B" w:rsidRPr="0088290D">
        <w:rPr>
          <w:rFonts w:ascii="Book Antiqua" w:hAnsi="Book Antiqua"/>
          <w:lang w:val="en-US"/>
        </w:rPr>
        <w:t>actin antibod</w:t>
      </w:r>
      <w:r w:rsidR="00DC2363" w:rsidRPr="0088290D">
        <w:rPr>
          <w:rFonts w:ascii="Book Antiqua" w:hAnsi="Book Antiqua"/>
          <w:lang w:val="en-US"/>
        </w:rPr>
        <w:t>y;</w:t>
      </w:r>
      <w:r w:rsidR="000A022B" w:rsidRPr="0088290D">
        <w:rPr>
          <w:rFonts w:ascii="Book Antiqua" w:hAnsi="Book Antiqua"/>
          <w:lang w:val="en-US"/>
        </w:rPr>
        <w:t xml:space="preserve"> </w:t>
      </w:r>
      <w:r w:rsidR="0088290D" w:rsidRPr="0088290D">
        <w:rPr>
          <w:rFonts w:ascii="Book Antiqua" w:hAnsi="Book Antiqua"/>
          <w:lang w:val="en-US"/>
        </w:rPr>
        <w:t>Anti</w:t>
      </w:r>
      <w:r w:rsidR="000A022B" w:rsidRPr="0088290D">
        <w:rPr>
          <w:rFonts w:ascii="Book Antiqua" w:hAnsi="Book Antiqua"/>
          <w:lang w:val="en-US"/>
        </w:rPr>
        <w:t>-gliadin antibod</w:t>
      </w:r>
      <w:r w:rsidR="00DC2363" w:rsidRPr="0088290D">
        <w:rPr>
          <w:rFonts w:ascii="Book Antiqua" w:hAnsi="Book Antiqua"/>
          <w:lang w:val="en-US"/>
        </w:rPr>
        <w:t>y</w:t>
      </w:r>
    </w:p>
    <w:p w14:paraId="4B9734D5" w14:textId="77777777" w:rsidR="00297B1D" w:rsidRPr="00297B1D" w:rsidRDefault="00297B1D" w:rsidP="007940D7">
      <w:pPr>
        <w:widowControl w:val="0"/>
        <w:autoSpaceDE w:val="0"/>
        <w:autoSpaceDN w:val="0"/>
        <w:adjustRightInd w:val="0"/>
        <w:spacing w:line="360" w:lineRule="auto"/>
        <w:jc w:val="both"/>
        <w:rPr>
          <w:rFonts w:ascii="Book Antiqua" w:eastAsia="SimSun" w:hAnsi="Book Antiqua"/>
          <w:lang w:val="en-US" w:eastAsia="zh-CN"/>
        </w:rPr>
      </w:pPr>
    </w:p>
    <w:p w14:paraId="14F30F1B" w14:textId="77777777" w:rsidR="00297B1D" w:rsidRDefault="00297B1D" w:rsidP="007940D7">
      <w:pPr>
        <w:spacing w:line="360" w:lineRule="auto"/>
        <w:jc w:val="both"/>
        <w:rPr>
          <w:rFonts w:ascii="Book Antiqua" w:hAnsi="Book Antiqua" w:cs="Arial"/>
        </w:rPr>
      </w:pPr>
      <w:bookmarkStart w:id="40" w:name="OLE_LINK55"/>
      <w:bookmarkStart w:id="41" w:name="OLE_LINK56"/>
      <w:bookmarkStart w:id="42" w:name="OLE_LINK105"/>
      <w:bookmarkStart w:id="43" w:name="OLE_LINK116"/>
      <w:bookmarkStart w:id="44" w:name="OLE_LINK89"/>
      <w:r w:rsidRPr="0071780A">
        <w:rPr>
          <w:rFonts w:ascii="Book Antiqua" w:hAnsi="Book Antiqua"/>
          <w:b/>
        </w:rPr>
        <w:t>©</w:t>
      </w:r>
      <w:bookmarkEnd w:id="40"/>
      <w:bookmarkEnd w:id="41"/>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42"/>
    <w:bookmarkEnd w:id="43"/>
    <w:bookmarkEnd w:id="44"/>
    <w:p w14:paraId="29C3C15E" w14:textId="7FCAC254" w:rsidR="001404F7" w:rsidRPr="0088290D" w:rsidRDefault="001404F7" w:rsidP="007940D7">
      <w:pPr>
        <w:widowControl w:val="0"/>
        <w:autoSpaceDE w:val="0"/>
        <w:autoSpaceDN w:val="0"/>
        <w:adjustRightInd w:val="0"/>
        <w:spacing w:line="360" w:lineRule="auto"/>
        <w:jc w:val="both"/>
        <w:rPr>
          <w:rFonts w:ascii="Book Antiqua" w:hAnsi="Book Antiqua"/>
          <w:lang w:val="en-US"/>
        </w:rPr>
      </w:pPr>
    </w:p>
    <w:p w14:paraId="00214B0D" w14:textId="0A7954DC" w:rsidR="000512D3" w:rsidRPr="0088290D" w:rsidRDefault="001404F7" w:rsidP="007940D7">
      <w:pPr>
        <w:widowControl w:val="0"/>
        <w:autoSpaceDE w:val="0"/>
        <w:autoSpaceDN w:val="0"/>
        <w:adjustRightInd w:val="0"/>
        <w:spacing w:line="360" w:lineRule="auto"/>
        <w:jc w:val="both"/>
        <w:rPr>
          <w:rFonts w:ascii="Book Antiqua" w:hAnsi="Book Antiqua" w:cs="Arial"/>
          <w:color w:val="000000" w:themeColor="text1"/>
          <w:lang w:val="en-US"/>
        </w:rPr>
      </w:pPr>
      <w:r w:rsidRPr="0088290D">
        <w:rPr>
          <w:rFonts w:ascii="Book Antiqua" w:hAnsi="Book Antiqua" w:cs="Arial"/>
          <w:b/>
          <w:lang w:val="en-US"/>
        </w:rPr>
        <w:t>C</w:t>
      </w:r>
      <w:r w:rsidR="0088290D" w:rsidRPr="0088290D">
        <w:rPr>
          <w:rFonts w:ascii="Book Antiqua" w:hAnsi="Book Antiqua" w:cs="Arial"/>
          <w:b/>
          <w:lang w:val="en-US"/>
        </w:rPr>
        <w:t>ore tip</w:t>
      </w:r>
      <w:r w:rsidRPr="0088290D">
        <w:rPr>
          <w:rFonts w:ascii="Book Antiqua" w:hAnsi="Book Antiqua" w:cs="Arial"/>
          <w:b/>
          <w:lang w:val="en-US"/>
        </w:rPr>
        <w:t>:</w:t>
      </w:r>
      <w:r w:rsidR="000512D3" w:rsidRPr="0088290D">
        <w:rPr>
          <w:rFonts w:ascii="Book Antiqua" w:hAnsi="Book Antiqua" w:cs="Arial"/>
          <w:b/>
          <w:lang w:val="en-US"/>
        </w:rPr>
        <w:t xml:space="preserve"> </w:t>
      </w:r>
      <w:r w:rsidR="000512D3" w:rsidRPr="0088290D">
        <w:rPr>
          <w:rFonts w:ascii="Book Antiqua" w:hAnsi="Book Antiqua" w:cs="Arial"/>
          <w:lang w:val="en-US"/>
        </w:rPr>
        <w:t>Importance of gut-liver interaction in the pathogenesis of primary sclerosing cholangitis (PSC) has been certified by a variety of clinical and experimental evidences.</w:t>
      </w:r>
      <w:r w:rsidR="00FB059C">
        <w:rPr>
          <w:rFonts w:ascii="Book Antiqua" w:eastAsia="SimSun" w:hAnsi="Book Antiqua" w:cs="Arial" w:hint="eastAsia"/>
          <w:lang w:val="en-US" w:eastAsia="zh-CN"/>
        </w:rPr>
        <w:t xml:space="preserve"> </w:t>
      </w:r>
      <w:r w:rsidR="000512D3" w:rsidRPr="0088290D">
        <w:rPr>
          <w:rFonts w:ascii="Book Antiqua" w:hAnsi="Book Antiqua" w:cs="Arial"/>
          <w:lang w:val="en-US"/>
        </w:rPr>
        <w:t xml:space="preserve">Clinical manifestations and progression of the disease are heterogeneous. No reliable biomarkers have been identified to </w:t>
      </w:r>
      <w:r w:rsidR="00297B1D" w:rsidRPr="0088290D">
        <w:rPr>
          <w:rFonts w:ascii="Book Antiqua" w:hAnsi="Book Antiqua" w:cs="Arial"/>
          <w:lang w:val="en-US"/>
        </w:rPr>
        <w:t>this point that is</w:t>
      </w:r>
      <w:r w:rsidR="000512D3" w:rsidRPr="0088290D">
        <w:rPr>
          <w:rFonts w:ascii="Book Antiqua" w:hAnsi="Book Antiqua" w:cs="Arial"/>
          <w:lang w:val="en-US"/>
        </w:rPr>
        <w:t xml:space="preserve"> able to predict the pace of progression. </w:t>
      </w:r>
      <w:r w:rsidR="000512D3" w:rsidRPr="0088290D">
        <w:rPr>
          <w:rFonts w:ascii="Book Antiqua" w:hAnsi="Book Antiqua"/>
          <w:lang w:val="en-US"/>
        </w:rPr>
        <w:t>In the present, prospective follow-up study</w:t>
      </w:r>
      <w:r w:rsidR="00A03334" w:rsidRPr="0088290D">
        <w:rPr>
          <w:rFonts w:ascii="Book Antiqua" w:hAnsi="Book Antiqua"/>
          <w:lang w:val="en-US"/>
        </w:rPr>
        <w:t>,</w:t>
      </w:r>
      <w:r w:rsidR="000512D3" w:rsidRPr="0088290D">
        <w:rPr>
          <w:rFonts w:ascii="Book Antiqua" w:hAnsi="Book Antiqua"/>
          <w:lang w:val="en-US"/>
        </w:rPr>
        <w:t xml:space="preserve"> we evaluated </w:t>
      </w:r>
      <w:r w:rsidR="000512D3" w:rsidRPr="0088290D">
        <w:rPr>
          <w:rFonts w:ascii="Book Antiqua" w:hAnsi="Book Antiqua" w:cs="Times"/>
          <w:lang w:val="en-US"/>
        </w:rPr>
        <w:t xml:space="preserve">the clinical importance of novel serological markers related to gut barrier function in the prediction of progressive disease course in a cohort of PSC patients. </w:t>
      </w:r>
      <w:r w:rsidR="000512D3" w:rsidRPr="0088290D">
        <w:rPr>
          <w:rFonts w:ascii="Book Antiqua" w:hAnsi="Book Antiqua"/>
          <w:lang w:val="en-US"/>
        </w:rPr>
        <w:t>IgA type anti-</w:t>
      </w:r>
      <w:r w:rsidR="000512D3" w:rsidRPr="0088290D">
        <w:rPr>
          <w:rFonts w:ascii="Book Antiqua" w:hAnsi="Book Antiqua" w:cs="Times"/>
          <w:lang w:val="en-US"/>
        </w:rPr>
        <w:t xml:space="preserve">F-actin antibody was identified as </w:t>
      </w:r>
      <w:r w:rsidR="000512D3" w:rsidRPr="0088290D">
        <w:rPr>
          <w:rFonts w:ascii="Book Antiqua" w:hAnsi="Book Antiqua"/>
          <w:lang w:val="en-US"/>
        </w:rPr>
        <w:t>a novel serologic marker during the prognostic work-up of PSC. Presence of anti-F</w:t>
      </w:r>
      <w:r w:rsidR="000512D3" w:rsidRPr="0088290D">
        <w:rPr>
          <w:rFonts w:ascii="Book Antiqua" w:hAnsi="Book Antiqua" w:cs="Times"/>
          <w:lang w:val="en-US"/>
        </w:rPr>
        <w:t xml:space="preserve">-actin IgA </w:t>
      </w:r>
      <w:r w:rsidR="000512D3" w:rsidRPr="0088290D">
        <w:rPr>
          <w:rFonts w:ascii="Book Antiqua" w:hAnsi="Book Antiqua" w:cs="Arial"/>
          <w:color w:val="000000" w:themeColor="text1"/>
          <w:lang w:val="en-US"/>
        </w:rPr>
        <w:t xml:space="preserve">identified PSC patients with progressive disease course and </w:t>
      </w:r>
      <w:r w:rsidR="00D323E1" w:rsidRPr="0088290D">
        <w:rPr>
          <w:rFonts w:ascii="Book Antiqua" w:hAnsi="Book Antiqua" w:cs="Arial"/>
          <w:color w:val="000000" w:themeColor="text1"/>
          <w:lang w:val="en-US"/>
        </w:rPr>
        <w:t xml:space="preserve">was </w:t>
      </w:r>
      <w:r w:rsidR="000512D3" w:rsidRPr="0088290D">
        <w:rPr>
          <w:rFonts w:ascii="Book Antiqua" w:hAnsi="Book Antiqua" w:cs="Arial"/>
          <w:color w:val="000000" w:themeColor="text1"/>
          <w:lang w:val="en-US"/>
        </w:rPr>
        <w:t xml:space="preserve">associated with </w:t>
      </w:r>
      <w:r w:rsidR="000512D3" w:rsidRPr="0088290D">
        <w:rPr>
          <w:rFonts w:ascii="Book Antiqua" w:hAnsi="Book Antiqua" w:cs="Arial"/>
          <w:lang w:val="en-US"/>
        </w:rPr>
        <w:t>enhanced mucosal immune response to various microbial antigens</w:t>
      </w:r>
      <w:r w:rsidR="000512D3" w:rsidRPr="0088290D">
        <w:rPr>
          <w:rFonts w:ascii="Book Antiqua" w:hAnsi="Book Antiqua" w:cs="Arial"/>
          <w:color w:val="000000" w:themeColor="text1"/>
          <w:lang w:val="en-US"/>
        </w:rPr>
        <w:t xml:space="preserve"> and enterocyte damage further highlighting the importance of the gut-liver interaction in PSC.</w:t>
      </w:r>
    </w:p>
    <w:p w14:paraId="1B2C6C28" w14:textId="77777777" w:rsidR="006B0768" w:rsidRPr="0088290D" w:rsidRDefault="006B0768" w:rsidP="007940D7">
      <w:pPr>
        <w:widowControl w:val="0"/>
        <w:autoSpaceDE w:val="0"/>
        <w:autoSpaceDN w:val="0"/>
        <w:adjustRightInd w:val="0"/>
        <w:spacing w:line="360" w:lineRule="auto"/>
        <w:jc w:val="both"/>
        <w:rPr>
          <w:rFonts w:ascii="Book Antiqua" w:hAnsi="Book Antiqua"/>
          <w:lang w:val="en-US"/>
        </w:rPr>
      </w:pPr>
    </w:p>
    <w:p w14:paraId="485554AF" w14:textId="77777777" w:rsidR="00297B1D" w:rsidRDefault="00297B1D" w:rsidP="007940D7">
      <w:pPr>
        <w:spacing w:line="360" w:lineRule="auto"/>
        <w:jc w:val="both"/>
        <w:rPr>
          <w:rFonts w:ascii="Book Antiqua" w:eastAsia="SimSun" w:hAnsi="Book Antiqua" w:cs="Arial"/>
          <w:lang w:val="en-US" w:eastAsia="zh-CN"/>
        </w:rPr>
      </w:pPr>
      <w:r w:rsidRPr="0088290D">
        <w:rPr>
          <w:rFonts w:ascii="Book Antiqua" w:hAnsi="Book Antiqua" w:cs="Arial"/>
          <w:lang w:val="en-US"/>
        </w:rPr>
        <w:t>Tornai</w:t>
      </w:r>
      <w:r>
        <w:rPr>
          <w:rFonts w:ascii="Book Antiqua" w:eastAsia="SimSun" w:hAnsi="Book Antiqua" w:cs="Arial" w:hint="eastAsia"/>
          <w:lang w:val="en-US" w:eastAsia="zh-CN"/>
        </w:rPr>
        <w:t xml:space="preserve"> T, </w:t>
      </w:r>
      <w:r w:rsidRPr="0088290D">
        <w:rPr>
          <w:rFonts w:ascii="Book Antiqua" w:hAnsi="Book Antiqua" w:cs="Arial"/>
          <w:lang w:val="en-US"/>
        </w:rPr>
        <w:t>Palyu</w:t>
      </w:r>
      <w:r>
        <w:rPr>
          <w:rFonts w:ascii="Book Antiqua" w:eastAsia="SimSun" w:hAnsi="Book Antiqua" w:cs="Arial" w:hint="eastAsia"/>
          <w:lang w:val="en-US" w:eastAsia="zh-CN"/>
        </w:rPr>
        <w:t xml:space="preserve"> E, </w:t>
      </w:r>
      <w:r w:rsidRPr="0088290D">
        <w:rPr>
          <w:rFonts w:ascii="Book Antiqua" w:hAnsi="Book Antiqua" w:cs="Arial"/>
          <w:lang w:val="en-US"/>
        </w:rPr>
        <w:t>Vitalis</w:t>
      </w:r>
      <w:r>
        <w:rPr>
          <w:rFonts w:ascii="Book Antiqua" w:eastAsia="SimSun" w:hAnsi="Book Antiqua" w:cs="Arial" w:hint="eastAsia"/>
          <w:lang w:val="en-US" w:eastAsia="zh-CN"/>
        </w:rPr>
        <w:t xml:space="preserve"> Z, </w:t>
      </w:r>
      <w:r w:rsidRPr="0088290D">
        <w:rPr>
          <w:rFonts w:ascii="Book Antiqua" w:hAnsi="Book Antiqua" w:cs="Arial"/>
          <w:lang w:val="en-US"/>
        </w:rPr>
        <w:t>Tornai</w:t>
      </w:r>
      <w:r>
        <w:rPr>
          <w:rFonts w:ascii="Book Antiqua" w:eastAsia="SimSun" w:hAnsi="Book Antiqua" w:cs="Arial" w:hint="eastAsia"/>
          <w:lang w:val="en-US" w:eastAsia="zh-CN"/>
        </w:rPr>
        <w:t xml:space="preserve"> I, </w:t>
      </w:r>
      <w:r w:rsidRPr="0088290D">
        <w:rPr>
          <w:rFonts w:ascii="Book Antiqua" w:hAnsi="Book Antiqua" w:cs="Arial"/>
          <w:lang w:val="en-US"/>
        </w:rPr>
        <w:t>Tornai</w:t>
      </w:r>
      <w:r>
        <w:rPr>
          <w:rFonts w:ascii="Book Antiqua" w:eastAsia="SimSun" w:hAnsi="Book Antiqua" w:cs="Arial" w:hint="eastAsia"/>
          <w:lang w:val="en-US" w:eastAsia="zh-CN"/>
        </w:rPr>
        <w:t xml:space="preserve"> D, </w:t>
      </w:r>
      <w:r w:rsidRPr="0088290D">
        <w:rPr>
          <w:rFonts w:ascii="Book Antiqua" w:hAnsi="Book Antiqua" w:cs="Arial"/>
          <w:lang w:val="en-US"/>
        </w:rPr>
        <w:t>Antal-Szalmas</w:t>
      </w:r>
      <w:r>
        <w:rPr>
          <w:rFonts w:ascii="Book Antiqua" w:eastAsia="SimSun" w:hAnsi="Book Antiqua" w:cs="Arial" w:hint="eastAsia"/>
          <w:lang w:val="en-US" w:eastAsia="zh-CN"/>
        </w:rPr>
        <w:t xml:space="preserve"> P, </w:t>
      </w:r>
      <w:r w:rsidRPr="0088290D">
        <w:rPr>
          <w:rFonts w:ascii="Book Antiqua" w:hAnsi="Book Antiqua" w:cs="Arial"/>
          <w:lang w:val="en-US"/>
        </w:rPr>
        <w:t>Norman</w:t>
      </w:r>
      <w:r>
        <w:rPr>
          <w:rFonts w:ascii="Book Antiqua" w:eastAsia="SimSun" w:hAnsi="Book Antiqua" w:cs="Arial" w:hint="eastAsia"/>
          <w:lang w:val="en-US" w:eastAsia="zh-CN"/>
        </w:rPr>
        <w:t xml:space="preserve"> GL, </w:t>
      </w:r>
      <w:r w:rsidRPr="0088290D">
        <w:rPr>
          <w:rFonts w:ascii="Book Antiqua" w:hAnsi="Book Antiqua" w:cs="Arial"/>
          <w:lang w:val="en-US"/>
        </w:rPr>
        <w:t>Shums</w:t>
      </w:r>
      <w:r>
        <w:rPr>
          <w:rFonts w:ascii="Book Antiqua" w:eastAsia="SimSun" w:hAnsi="Book Antiqua" w:cs="Arial" w:hint="eastAsia"/>
          <w:lang w:val="en-US" w:eastAsia="zh-CN"/>
        </w:rPr>
        <w:t xml:space="preserve"> Z, </w:t>
      </w:r>
      <w:r w:rsidRPr="0088290D">
        <w:rPr>
          <w:rFonts w:ascii="Book Antiqua" w:hAnsi="Book Antiqua" w:cs="Arial"/>
          <w:lang w:val="en-US"/>
        </w:rPr>
        <w:t>Veres</w:t>
      </w:r>
      <w:r>
        <w:rPr>
          <w:rFonts w:ascii="Book Antiqua" w:eastAsia="SimSun" w:hAnsi="Book Antiqua" w:cs="Arial" w:hint="eastAsia"/>
          <w:lang w:val="en-US" w:eastAsia="zh-CN"/>
        </w:rPr>
        <w:t xml:space="preserve"> G, </w:t>
      </w:r>
      <w:r w:rsidRPr="0088290D">
        <w:rPr>
          <w:rFonts w:ascii="Book Antiqua" w:hAnsi="Book Antiqua" w:cs="Arial"/>
          <w:lang w:val="en-US"/>
        </w:rPr>
        <w:t>Dezsofi</w:t>
      </w:r>
      <w:r>
        <w:rPr>
          <w:rFonts w:ascii="Book Antiqua" w:eastAsia="SimSun" w:hAnsi="Book Antiqua" w:cs="Arial" w:hint="eastAsia"/>
          <w:lang w:val="en-US" w:eastAsia="zh-CN"/>
        </w:rPr>
        <w:t xml:space="preserve"> A, </w:t>
      </w:r>
      <w:r w:rsidRPr="0088290D">
        <w:rPr>
          <w:rFonts w:ascii="Book Antiqua" w:hAnsi="Book Antiqua" w:cs="Arial"/>
          <w:lang w:val="en-US"/>
        </w:rPr>
        <w:t>Par</w:t>
      </w:r>
      <w:r>
        <w:rPr>
          <w:rFonts w:ascii="Book Antiqua" w:eastAsia="SimSun" w:hAnsi="Book Antiqua" w:cs="Arial" w:hint="eastAsia"/>
          <w:lang w:val="en-US" w:eastAsia="zh-CN"/>
        </w:rPr>
        <w:t xml:space="preserve"> G, </w:t>
      </w:r>
      <w:r w:rsidRPr="0088290D">
        <w:rPr>
          <w:rFonts w:ascii="Book Antiqua" w:hAnsi="Book Antiqua" w:cs="Arial"/>
          <w:lang w:val="en-US"/>
        </w:rPr>
        <w:t>Par</w:t>
      </w:r>
      <w:r>
        <w:rPr>
          <w:rFonts w:ascii="Book Antiqua" w:eastAsia="SimSun" w:hAnsi="Book Antiqua" w:cs="Arial" w:hint="eastAsia"/>
          <w:lang w:val="en-US" w:eastAsia="zh-CN"/>
        </w:rPr>
        <w:t xml:space="preserve"> A, </w:t>
      </w:r>
      <w:r w:rsidRPr="0088290D">
        <w:rPr>
          <w:rFonts w:ascii="Book Antiqua" w:hAnsi="Book Antiqua" w:cs="Arial"/>
          <w:lang w:val="en-US"/>
        </w:rPr>
        <w:t>Orosz</w:t>
      </w:r>
      <w:r>
        <w:rPr>
          <w:rFonts w:ascii="Book Antiqua" w:eastAsia="SimSun" w:hAnsi="Book Antiqua" w:cs="Arial" w:hint="eastAsia"/>
          <w:lang w:val="en-US" w:eastAsia="zh-CN"/>
        </w:rPr>
        <w:t xml:space="preserve"> P, </w:t>
      </w:r>
      <w:r w:rsidRPr="0088290D">
        <w:rPr>
          <w:rFonts w:ascii="Book Antiqua" w:hAnsi="Book Antiqua" w:cs="Arial"/>
          <w:lang w:val="en-US"/>
        </w:rPr>
        <w:t>Szalay</w:t>
      </w:r>
      <w:r>
        <w:rPr>
          <w:rFonts w:ascii="Book Antiqua" w:eastAsia="SimSun" w:hAnsi="Book Antiqua" w:cs="Arial" w:hint="eastAsia"/>
          <w:lang w:val="en-US" w:eastAsia="zh-CN"/>
        </w:rPr>
        <w:t xml:space="preserve"> F, </w:t>
      </w:r>
      <w:r w:rsidRPr="00297B1D">
        <w:rPr>
          <w:rFonts w:ascii="Book Antiqua" w:hAnsi="Book Antiqua" w:cs="Arial"/>
          <w:lang w:val="en-US"/>
        </w:rPr>
        <w:t>Lakatos</w:t>
      </w:r>
      <w:r>
        <w:rPr>
          <w:rFonts w:ascii="Book Antiqua" w:eastAsia="SimSun" w:hAnsi="Book Antiqua" w:cs="Arial" w:hint="eastAsia"/>
          <w:lang w:val="en-US" w:eastAsia="zh-CN"/>
        </w:rPr>
        <w:t xml:space="preserve"> PL, </w:t>
      </w:r>
      <w:r w:rsidRPr="0088290D">
        <w:rPr>
          <w:rFonts w:ascii="Book Antiqua" w:hAnsi="Book Antiqua" w:cs="Arial"/>
          <w:lang w:val="en-US"/>
        </w:rPr>
        <w:t>Papp</w:t>
      </w:r>
      <w:r>
        <w:rPr>
          <w:rFonts w:ascii="Book Antiqua" w:eastAsia="SimSun" w:hAnsi="Book Antiqua" w:cs="Arial" w:hint="eastAsia"/>
          <w:lang w:val="en-US" w:eastAsia="zh-CN"/>
        </w:rPr>
        <w:t xml:space="preserve"> M. </w:t>
      </w:r>
      <w:r w:rsidRPr="00297B1D">
        <w:rPr>
          <w:rFonts w:ascii="Book Antiqua" w:eastAsia="SimSun" w:hAnsi="Book Antiqua" w:cs="Arial"/>
          <w:lang w:val="en-US" w:eastAsia="zh-CN"/>
        </w:rPr>
        <w:t>Gut barrier failure biomarkers are associated with poor disease outcome in patients with primary sclerosing cholangitis</w:t>
      </w:r>
      <w:r>
        <w:rPr>
          <w:rFonts w:ascii="Book Antiqua" w:eastAsia="SimSun" w:hAnsi="Book Antiqua" w:cs="Arial" w:hint="eastAsia"/>
          <w:lang w:val="en-US" w:eastAsia="zh-CN"/>
        </w:rPr>
        <w:t>.</w:t>
      </w:r>
    </w:p>
    <w:p w14:paraId="7BA49D6D" w14:textId="0C9E8D00" w:rsidR="00D825C0" w:rsidRPr="00297B1D" w:rsidRDefault="008404B8" w:rsidP="007940D7">
      <w:pPr>
        <w:widowControl w:val="0"/>
        <w:autoSpaceDE w:val="0"/>
        <w:autoSpaceDN w:val="0"/>
        <w:adjustRightInd w:val="0"/>
        <w:spacing w:line="360" w:lineRule="auto"/>
        <w:jc w:val="both"/>
        <w:rPr>
          <w:rFonts w:ascii="Book Antiqua" w:eastAsia="SimSun" w:hAnsi="Book Antiqua"/>
          <w:lang w:val="en-US" w:eastAsia="zh-CN"/>
        </w:rPr>
      </w:pPr>
      <w:r w:rsidRPr="0088290D">
        <w:rPr>
          <w:rFonts w:ascii="Book Antiqua" w:hAnsi="Book Antiqua" w:cs="Arial"/>
          <w:b/>
          <w:lang w:val="en-US"/>
        </w:rPr>
        <w:br w:type="column"/>
      </w:r>
      <w:r w:rsidR="001404F7" w:rsidRPr="0088290D">
        <w:rPr>
          <w:rFonts w:ascii="Book Antiqua" w:hAnsi="Book Antiqua" w:cs="Arial"/>
          <w:b/>
          <w:lang w:val="en-US"/>
        </w:rPr>
        <w:lastRenderedPageBreak/>
        <w:t>INTRODUCTION</w:t>
      </w:r>
    </w:p>
    <w:p w14:paraId="4BCD549F" w14:textId="011C64DF" w:rsidR="00385A55" w:rsidRPr="0088290D" w:rsidRDefault="00385A55" w:rsidP="007940D7">
      <w:pPr>
        <w:spacing w:line="360" w:lineRule="auto"/>
        <w:jc w:val="both"/>
        <w:rPr>
          <w:rFonts w:ascii="Book Antiqua" w:hAnsi="Book Antiqua" w:cs="Arial"/>
          <w:lang w:val="en-US"/>
        </w:rPr>
      </w:pPr>
      <w:r w:rsidRPr="0088290D">
        <w:rPr>
          <w:rFonts w:ascii="Book Antiqua" w:hAnsi="Book Antiqua" w:cs="Arial"/>
          <w:lang w:val="en-US"/>
        </w:rPr>
        <w:t>Primary sclerosing cholangitis (PSC) is a chronic cholestatic liver disease characterized by persistent, progr</w:t>
      </w:r>
      <w:r w:rsidR="00793A1A" w:rsidRPr="0088290D">
        <w:rPr>
          <w:rFonts w:ascii="Book Antiqua" w:hAnsi="Book Antiqua" w:cs="Arial"/>
          <w:lang w:val="en-US"/>
        </w:rPr>
        <w:t>essive biliary inflammation</w:t>
      </w:r>
      <w:r w:rsidR="00E72044" w:rsidRPr="0088290D">
        <w:rPr>
          <w:rFonts w:ascii="Book Antiqua" w:hAnsi="Book Antiqua" w:cs="Arial"/>
          <w:lang w:val="en-US"/>
        </w:rPr>
        <w:t>,</w:t>
      </w:r>
      <w:r w:rsidR="00793A1A" w:rsidRPr="0088290D">
        <w:rPr>
          <w:rFonts w:ascii="Book Antiqua" w:hAnsi="Book Antiqua" w:cs="Arial"/>
          <w:lang w:val="en-US"/>
        </w:rPr>
        <w:t xml:space="preserve"> </w:t>
      </w:r>
      <w:r w:rsidRPr="0088290D">
        <w:rPr>
          <w:rFonts w:ascii="Book Antiqua" w:hAnsi="Book Antiqua" w:cs="Arial"/>
          <w:lang w:val="en-US"/>
        </w:rPr>
        <w:t>fibrosis</w:t>
      </w:r>
      <w:r w:rsidR="00793A1A" w:rsidRPr="0088290D">
        <w:rPr>
          <w:rFonts w:ascii="Book Antiqua" w:hAnsi="Book Antiqua" w:cs="Arial"/>
          <w:lang w:val="en-US"/>
        </w:rPr>
        <w:t>, and eventually end-stage liver disease</w:t>
      </w:r>
      <w:r w:rsidRPr="0088290D">
        <w:rPr>
          <w:rFonts w:ascii="Book Antiqua" w:hAnsi="Book Antiqua" w:cs="Arial"/>
          <w:lang w:val="en-US"/>
        </w:rPr>
        <w:t>. Clinical manifestations and progression of the disease are heterogeneous.</w:t>
      </w:r>
      <w:r w:rsidR="00454C75" w:rsidRPr="0088290D">
        <w:rPr>
          <w:rFonts w:ascii="Book Antiqua" w:hAnsi="Book Antiqua" w:cs="Arial"/>
          <w:lang w:val="en-US"/>
        </w:rPr>
        <w:t xml:space="preserve"> </w:t>
      </w:r>
      <w:r w:rsidRPr="0088290D">
        <w:rPr>
          <w:rFonts w:ascii="Book Antiqua" w:hAnsi="Book Antiqua" w:cs="Arial"/>
          <w:lang w:val="en-US"/>
        </w:rPr>
        <w:t>No reliable biomarkers have been identified to this point that able to predict the pace of progression. Consequently, patients with PSC cannot be stratified properly</w:t>
      </w:r>
      <w:r w:rsidR="00EC12F7"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"DOI" : "10.1056/NEJMra1506330", "ISSN" : "1533-4406 (Electronic)", "PMID" : "27653566", "author" : [ { "dropping-particle" : "", "family" : "Lazaridis", "given" : "Konstantinos N", "non-dropping-particle" : "", "parse-names" : false, "suffix" : "" }, { "dropping-particle" : "", "family" : "LaRusso", "given" : "Nicholas F", "non-dropping-particle" : "", "parse-names" : false, "suffix" : "" } ], "container-title" : "The New England journal of medicine", "id" : "ITEM-1", "issue" : "12", "issued" : { "date-parts" : [ [ "2016", "9" ] ] }, "language" : "eng", "page" : "1161-1170", "publisher-place" : "United States", "title" : "Primary Sclerosing Cholangitis.", "type" : "article-journal", "volume" : "375" }, "uris" : [ "http://www.mendeley.com/documents/?uuid=f9c30c83-506f-4a9c-8a81-f9f9cdb6d81b" ] } ], "mendeley" : { "formattedCitation" : "&lt;sup&gt;[1]&lt;/sup&gt;", "plainTextFormattedCitation" : "[1]", "previouslyFormattedCitation" : "&lt;sup&gt;[1]&lt;/sup&gt;" }, "properties" : { "noteIndex" : 0 }, "schema" : "https://github.com/citation-style-language/schema/raw/master/csl-citation.json" }</w:instrText>
      </w:r>
      <w:r w:rsidR="00EC12F7"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[1]</w:t>
      </w:r>
      <w:r w:rsidR="00EC12F7" w:rsidRPr="0088290D">
        <w:rPr>
          <w:rFonts w:ascii="Book Antiqua" w:hAnsi="Book Antiqua" w:cs="Arial"/>
          <w:lang w:val="en-US"/>
        </w:rPr>
        <w:fldChar w:fldCharType="end"/>
      </w:r>
      <w:r w:rsidR="00516721" w:rsidRPr="0088290D">
        <w:rPr>
          <w:rFonts w:ascii="Book Antiqua" w:hAnsi="Book Antiqua" w:cs="Arial"/>
          <w:lang w:val="en-US"/>
        </w:rPr>
        <w:t>.</w:t>
      </w:r>
      <w:r w:rsidRPr="0088290D">
        <w:rPr>
          <w:rFonts w:ascii="Book Antiqua" w:hAnsi="Book Antiqua" w:cs="Arial"/>
          <w:lang w:val="en-US"/>
        </w:rPr>
        <w:t xml:space="preserve"> </w:t>
      </w:r>
    </w:p>
    <w:p w14:paraId="3E8EDF50" w14:textId="7B6C376C" w:rsidR="0042619E" w:rsidRPr="0088290D" w:rsidRDefault="00516721" w:rsidP="007940D7">
      <w:pPr>
        <w:spacing w:line="360" w:lineRule="auto"/>
        <w:jc w:val="both"/>
        <w:rPr>
          <w:rFonts w:ascii="Book Antiqua" w:hAnsi="Book Antiqua" w:cs="Arial"/>
          <w:lang w:val="en-US"/>
        </w:rPr>
      </w:pPr>
      <w:r w:rsidRPr="0088290D">
        <w:rPr>
          <w:rFonts w:ascii="Book Antiqua" w:hAnsi="Book Antiqua" w:cs="Arial"/>
          <w:lang w:val="en-US"/>
        </w:rPr>
        <w:tab/>
        <w:t xml:space="preserve">The etiology of </w:t>
      </w:r>
      <w:r w:rsidR="0057609F" w:rsidRPr="0088290D">
        <w:rPr>
          <w:rFonts w:ascii="Book Antiqua" w:hAnsi="Book Antiqua" w:cs="Arial"/>
          <w:lang w:val="en-US"/>
        </w:rPr>
        <w:t xml:space="preserve">PSC </w:t>
      </w:r>
      <w:r w:rsidRPr="0088290D">
        <w:rPr>
          <w:rFonts w:ascii="Book Antiqua" w:hAnsi="Book Antiqua" w:cs="Arial"/>
          <w:lang w:val="en-US"/>
        </w:rPr>
        <w:t>is poorly understood</w:t>
      </w:r>
      <w:r w:rsidR="00275572" w:rsidRPr="0088290D">
        <w:rPr>
          <w:rFonts w:ascii="Book Antiqua" w:hAnsi="Book Antiqua" w:cs="Arial"/>
          <w:lang w:val="en-US"/>
        </w:rPr>
        <w:t>. I</w:t>
      </w:r>
      <w:r w:rsidR="00DB20C5" w:rsidRPr="0088290D">
        <w:rPr>
          <w:rFonts w:ascii="Book Antiqua" w:hAnsi="Book Antiqua" w:cs="Arial"/>
          <w:lang w:val="en-US"/>
        </w:rPr>
        <w:t>mportance of gut-liver interaction in the pathogenesis</w:t>
      </w:r>
      <w:r w:rsidR="00275572" w:rsidRPr="0088290D">
        <w:rPr>
          <w:rFonts w:ascii="Book Antiqua" w:hAnsi="Book Antiqua" w:cs="Arial"/>
          <w:lang w:val="en-US"/>
        </w:rPr>
        <w:t xml:space="preserve"> of</w:t>
      </w:r>
      <w:r w:rsidR="0057609F" w:rsidRPr="0088290D">
        <w:rPr>
          <w:rFonts w:ascii="Book Antiqua" w:hAnsi="Book Antiqua" w:cs="Arial"/>
          <w:lang w:val="en-US"/>
        </w:rPr>
        <w:t xml:space="preserve"> the disease</w:t>
      </w:r>
      <w:r w:rsidR="005955F5" w:rsidRPr="0088290D">
        <w:rPr>
          <w:rFonts w:ascii="Book Antiqua" w:hAnsi="Book Antiqua" w:cs="Arial"/>
          <w:lang w:val="en-US"/>
        </w:rPr>
        <w:t xml:space="preserve"> however, has been</w:t>
      </w:r>
      <w:r w:rsidR="00DB20C5" w:rsidRPr="0088290D">
        <w:rPr>
          <w:rFonts w:ascii="Book Antiqua" w:hAnsi="Book Antiqua" w:cs="Arial"/>
          <w:lang w:val="en-US"/>
        </w:rPr>
        <w:t xml:space="preserve"> </w:t>
      </w:r>
      <w:r w:rsidR="008F5F86" w:rsidRPr="0088290D">
        <w:rPr>
          <w:rFonts w:ascii="Book Antiqua" w:hAnsi="Book Antiqua" w:cs="Arial"/>
          <w:lang w:val="en-US"/>
        </w:rPr>
        <w:t xml:space="preserve">certified </w:t>
      </w:r>
      <w:r w:rsidR="00DB20C5" w:rsidRPr="0088290D">
        <w:rPr>
          <w:rFonts w:ascii="Book Antiqua" w:hAnsi="Book Antiqua" w:cs="Arial"/>
          <w:lang w:val="en-US"/>
        </w:rPr>
        <w:t xml:space="preserve">by </w:t>
      </w:r>
      <w:r w:rsidR="00176678" w:rsidRPr="0088290D">
        <w:rPr>
          <w:rFonts w:ascii="Book Antiqua" w:hAnsi="Book Antiqua" w:cs="Arial"/>
          <w:lang w:val="en-US"/>
        </w:rPr>
        <w:t xml:space="preserve">a </w:t>
      </w:r>
      <w:r w:rsidR="00CF2052" w:rsidRPr="0088290D">
        <w:rPr>
          <w:rFonts w:ascii="Book Antiqua" w:hAnsi="Book Antiqua" w:cs="Arial"/>
          <w:lang w:val="en-US"/>
        </w:rPr>
        <w:t xml:space="preserve">large body </w:t>
      </w:r>
      <w:r w:rsidR="00176678" w:rsidRPr="0088290D">
        <w:rPr>
          <w:rFonts w:ascii="Book Antiqua" w:hAnsi="Book Antiqua" w:cs="Arial"/>
          <w:lang w:val="en-US"/>
        </w:rPr>
        <w:t xml:space="preserve">of </w:t>
      </w:r>
      <w:r w:rsidR="007F23B9" w:rsidRPr="0088290D">
        <w:rPr>
          <w:rFonts w:ascii="Book Antiqua" w:hAnsi="Book Antiqua" w:cs="Arial"/>
          <w:lang w:val="en-US"/>
        </w:rPr>
        <w:t xml:space="preserve">clinical </w:t>
      </w:r>
      <w:r w:rsidR="00407F68" w:rsidRPr="0088290D">
        <w:rPr>
          <w:rFonts w:ascii="Book Antiqua" w:hAnsi="Book Antiqua" w:cs="Arial"/>
          <w:lang w:val="en-US"/>
        </w:rPr>
        <w:t>evidence</w:t>
      </w:r>
      <w:r w:rsidR="00EC12F7"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"DOI" : "10.1016/j.cld.2015.08.012", "ISBN" : "9780323429917", "ISSN" : "15578224", "PMID" : "26593287", "abstract" : "Dysregulation of the key genetic, immunologic, and microbiome compounds of the gut-liver axis is the basis for inflammatory bowel disease (IBD) and primary sclerosing cholangitis (PSC). This creates opportunities to accelerate therapies that have been traditionally developed for IBD to be used in PSC to the benefit of both diseases. Shared genetic susceptibility loci has yielded important clues into the pathogenesis of PSC-IBD. Understanding of the critical links between PSC and IBD are essential in designing clinical care pathways for these complex patients.", "author" : [ { "dropping-particle" : "", "family" : "Eksteen", "given" : "Bertus", "non-dropping-particle" : "", "parse-names" : false, "suffix" : "" } ], "container-title" : "Clinics in Liver Disease", "id" : "ITEM-1", "issue" : "1", "issued" : { "date-parts" : [ [ "2016" ] ] }, "page" : "1-14", "publisher" : "Elsevier Inc", "title" : "The Gut-Liver Axis in Primary Sclerosing Cholangitis", "type" : "article", "volume" : "20" }, "uris" : [ "http://www.mendeley.com/documents/?uuid=9f226f94-1c29-437c-bf24-a1650f8ace74" ] } ], "mendeley" : { "formattedCitation" : "&lt;sup&gt;[2]&lt;/sup&gt;", "plainTextFormattedCitation" : "[2]", "previouslyFormattedCitation" : "&lt;sup&gt;[2]&lt;/sup&gt;" }, "properties" : { "noteIndex" : 0 }, "schema" : "https://github.com/citation-style-language/schema/raw/master/csl-citation.json" }</w:instrText>
      </w:r>
      <w:r w:rsidR="00EC12F7"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[2]</w:t>
      </w:r>
      <w:r w:rsidR="00EC12F7" w:rsidRPr="0088290D">
        <w:rPr>
          <w:rFonts w:ascii="Book Antiqua" w:hAnsi="Book Antiqua" w:cs="Arial"/>
          <w:lang w:val="en-US"/>
        </w:rPr>
        <w:fldChar w:fldCharType="end"/>
      </w:r>
      <w:r w:rsidR="00EC12F7" w:rsidRPr="0088290D">
        <w:rPr>
          <w:rFonts w:ascii="Book Antiqua" w:hAnsi="Book Antiqua" w:cs="Arial"/>
          <w:lang w:val="en-US"/>
        </w:rPr>
        <w:t>.</w:t>
      </w:r>
      <w:r w:rsidR="00A22179" w:rsidRPr="0088290D">
        <w:rPr>
          <w:rFonts w:ascii="Book Antiqua" w:hAnsi="Book Antiqua" w:cs="Arial"/>
          <w:lang w:val="en-US"/>
        </w:rPr>
        <w:t xml:space="preserve"> On the one hand, t</w:t>
      </w:r>
      <w:r w:rsidR="000854FC" w:rsidRPr="0088290D">
        <w:rPr>
          <w:rFonts w:ascii="Book Antiqua" w:hAnsi="Book Antiqua" w:cs="Arial"/>
          <w:lang w:val="en-US"/>
        </w:rPr>
        <w:t xml:space="preserve">here is a </w:t>
      </w:r>
      <w:r w:rsidR="00B00D77" w:rsidRPr="0088290D">
        <w:rPr>
          <w:rFonts w:ascii="Book Antiqua" w:hAnsi="Book Antiqua" w:cs="Arial"/>
          <w:lang w:val="en-US"/>
        </w:rPr>
        <w:t>c</w:t>
      </w:r>
      <w:r w:rsidRPr="0088290D">
        <w:rPr>
          <w:rFonts w:ascii="Book Antiqua" w:hAnsi="Book Antiqua" w:cs="Arial"/>
          <w:lang w:val="en-US"/>
        </w:rPr>
        <w:t xml:space="preserve">lose relation of </w:t>
      </w:r>
      <w:r w:rsidR="0012343A" w:rsidRPr="0088290D">
        <w:rPr>
          <w:rFonts w:ascii="Book Antiqua" w:hAnsi="Book Antiqua" w:cs="Arial"/>
          <w:lang w:val="en-US"/>
        </w:rPr>
        <w:t>the disease with inflammatory bowel diseases (IBD)</w:t>
      </w:r>
      <w:r w:rsidR="00CE4F6A" w:rsidRPr="0088290D">
        <w:rPr>
          <w:rFonts w:ascii="Book Antiqua" w:hAnsi="Book Antiqua" w:cs="Arial"/>
          <w:lang w:val="en-US"/>
        </w:rPr>
        <w:t>,</w:t>
      </w:r>
      <w:r w:rsidR="00082E91" w:rsidRPr="0088290D">
        <w:rPr>
          <w:rFonts w:ascii="Book Antiqua" w:hAnsi="Book Antiqua" w:cs="Arial"/>
          <w:lang w:val="en-US"/>
        </w:rPr>
        <w:t xml:space="preserve"> up to 80% of t</w:t>
      </w:r>
      <w:r w:rsidR="005955F5" w:rsidRPr="0088290D">
        <w:rPr>
          <w:rFonts w:ascii="Book Antiqua" w:hAnsi="Book Antiqua" w:cs="Arial"/>
          <w:lang w:val="en-US"/>
        </w:rPr>
        <w:t>he patients have both condition</w:t>
      </w:r>
      <w:r w:rsidR="00BE08D5" w:rsidRPr="0088290D">
        <w:rPr>
          <w:rFonts w:ascii="Book Antiqua" w:hAnsi="Book Antiqua" w:cs="Arial"/>
          <w:lang w:val="en-US"/>
        </w:rPr>
        <w:t>s</w:t>
      </w:r>
      <w:r w:rsidR="00FE7850"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"DOI" : "10.1053/j.gastro.2013.06.052", "ISSN" : "1528-0012 (Electronic)", "PMID" : "23827861", "abstract" : "Primary sclerosing cholangitis (PSC), first described in the mid-1850s, is a complex liver disease that is heterogeneous in its presentation. PSC is characterized by chronic cholestasis associated with chronic inflammation of the biliary epithelium, resulting in multifocal bile duct strictures that can affect the entire biliary tree. Chronic inflammation leads to fibrosis involving the hepatic parenchyma and biliary tree, which can lead to cirrhosis and malignancy. The etiology of PSC is not fully understood, which in part explains the lack of effective medical therapy for this condition. However, we have begun to better understand the molecular pathogenesis of PSC. The recognition of specific clinical subtypes and their pattern of progression could improve phenotypic and genotypic classification of the disease. We review our current understanding of this enigmatic disorder and discuss important topics for future studies.", "author" : [ { "dropping-particle" : "", "family" : "Eaton", "given" : "John E", "non-dropping-particle" : "", "parse-names" : false, "suffix" : "" }, { "dropping-particle" : "", "family" : "Talwalkar", "given" : "Jayant A", "non-dropping-particle" : "", "parse-names" : false, "suffix" : "" }, { "dropping-particle" : "", "family" : "Lazaridis", "given" : "Konstantinos N", "non-dropping-particle" : "", "parse-names" : false, "suffix" : "" }, { "dropping-particle" : "", "family" : "Gores", "given" : "Gregory J", "non-dropping-particle" : "", "parse-names" : false, "suffix" : "" }, { "dropping-particle" : "", "family" : "Lindor", "given" : "Keith D", "non-dropping-particle" : "", "parse-names" : false, "suffix" : "" } ], "container-title" : "Gastroenterology", "id" : "ITEM-1", "issue" : "3", "issued" : { "date-parts" : [ [ "2013", "9" ] ] }, "language" : "eng", "page" : "521-536", "publisher-place" : "United States", "title" : "Pathogenesis of primary sclerosing cholangitis and advances in diagnosis and management.", "type" : "article-journal", "volume" : "145" }, "uris" : [ "http://www.mendeley.com/documents/?uuid=1eca15e6-3653-4ef4-bff1-c71790173f76" ] } ], "mendeley" : { "formattedCitation" : "&lt;sup&gt;[3]&lt;/sup&gt;", "plainTextFormattedCitation" : "[3]", "previouslyFormattedCitation" : "&lt;sup&gt;[3]&lt;/sup&gt;" }, "properties" : { "noteIndex" : 0 }, "schema" : "https://github.com/citation-style-language/schema/raw/master/csl-citation.json" }</w:instrText>
      </w:r>
      <w:r w:rsidR="00FE7850"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[3]</w:t>
      </w:r>
      <w:r w:rsidR="00FE7850" w:rsidRPr="0088290D">
        <w:rPr>
          <w:rFonts w:ascii="Book Antiqua" w:hAnsi="Book Antiqua" w:cs="Arial"/>
          <w:lang w:val="en-US"/>
        </w:rPr>
        <w:fldChar w:fldCharType="end"/>
      </w:r>
      <w:r w:rsidR="00FE7850" w:rsidRPr="0088290D">
        <w:rPr>
          <w:rFonts w:ascii="Book Antiqua" w:hAnsi="Book Antiqua" w:cs="Arial"/>
          <w:lang w:val="en-US"/>
        </w:rPr>
        <w:t>.</w:t>
      </w:r>
      <w:r w:rsidR="00870B8D" w:rsidRPr="0088290D">
        <w:rPr>
          <w:rFonts w:ascii="Book Antiqua" w:hAnsi="Book Antiqua" w:cs="Arial"/>
          <w:lang w:val="en-US"/>
        </w:rPr>
        <w:t xml:space="preserve"> On the other hand, </w:t>
      </w:r>
      <w:r w:rsidR="005544F6" w:rsidRPr="0088290D">
        <w:rPr>
          <w:rFonts w:ascii="Book Antiqua" w:hAnsi="Book Antiqua" w:cs="Arial"/>
          <w:lang w:val="en-US"/>
        </w:rPr>
        <w:t xml:space="preserve">in PSC patients with concomitant </w:t>
      </w:r>
      <w:r w:rsidR="00DA25A4" w:rsidRPr="0088290D">
        <w:rPr>
          <w:rFonts w:ascii="Book Antiqua" w:hAnsi="Book Antiqua" w:cs="Arial"/>
          <w:lang w:val="en-US"/>
        </w:rPr>
        <w:t xml:space="preserve">IBD, </w:t>
      </w:r>
      <w:r w:rsidR="005544F6" w:rsidRPr="0088290D">
        <w:rPr>
          <w:rFonts w:ascii="Book Antiqua" w:hAnsi="Book Antiqua" w:cs="Arial"/>
          <w:lang w:val="en-US"/>
        </w:rPr>
        <w:t xml:space="preserve">high peritransplant </w:t>
      </w:r>
      <w:r w:rsidR="001E0185" w:rsidRPr="0088290D">
        <w:rPr>
          <w:rFonts w:ascii="Book Antiqua" w:hAnsi="Book Antiqua" w:cs="Arial"/>
          <w:lang w:val="en-US"/>
        </w:rPr>
        <w:t xml:space="preserve">IBD </w:t>
      </w:r>
      <w:r w:rsidR="005544F6" w:rsidRPr="0088290D">
        <w:rPr>
          <w:rFonts w:ascii="Book Antiqua" w:hAnsi="Book Antiqua" w:cs="Arial"/>
          <w:lang w:val="en-US"/>
        </w:rPr>
        <w:t>activity</w:t>
      </w:r>
      <w:r w:rsidR="00DA25A4" w:rsidRPr="0088290D">
        <w:rPr>
          <w:rFonts w:ascii="Book Antiqua" w:hAnsi="Book Antiqua" w:cs="Arial"/>
          <w:lang w:val="en-US"/>
        </w:rPr>
        <w:t xml:space="preserve"> was associated with</w:t>
      </w:r>
      <w:r w:rsidR="002F057A" w:rsidRPr="0088290D">
        <w:rPr>
          <w:rFonts w:ascii="Book Antiqua" w:hAnsi="Book Antiqua" w:cs="Arial"/>
          <w:lang w:val="en-US"/>
        </w:rPr>
        <w:t xml:space="preserve"> higher</w:t>
      </w:r>
      <w:r w:rsidR="00FE7850"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"DOI" : "10.1111/j.1478-3231.2011.02677.x", "ISSN" : "1478-3231 (Electronic)", "PMID" : "22103794", "abstract" : "BACKGROUND: An association between primary sclerosing cholangitis (PSC) and inflammatory bowel disease (IBD) is well recognized. However, the disease course of IBD following liver transplantation (LT) for PSC remains ill-defined. AIMS AND METHODS: We aimed to assess the impact of IBD in patients that had undergone LT for PSC to help identify risk factors for flare and to assess the impact of IBD on graft survival. RESULTS: 110 patients underwent LT for PSC (Oct 1990-Aug 2009) at King's College Hospital. 74 (67%) patients had concurrent IBD and 36 had PSC alone prior to transplant. 39 patients developed IBD (flare of IBD and de-novo) post transplant. Cumulative risk for IBD at 1-, 2-, 5- and 10-years was 16%, 24%, 38% and 72% respectively. Flare of IBD occurred in 33 patients with a mean time to flare of 30 +/- 28 months. De-novo IBD occurred in 6 patients (all UC). Mean time to diagnosis was 29 +/- 25 months. Multivariate cox-regression analysis identified active IBD at time of LT as a significant predictor of graft failure post LT (HR 10, CI 3-39, P = 0.001) and smoking at time of transplantation and subsequent cessation predictive of recurrent IBD post transplantation (HR 17, 2-180, P = 0.02). CONCLUSION: In conclusion, smoking at time of LT was predictive of flare of IBD and active IBD at time of transplantation had a significant effect on graft survival. Medical therapy needs to be maximised in the pre-LT period. Patients with poorly controlled IBD refractory to medical therapy should be considered for colectomy at time of transplantation.", "author" : [ { "dropping-particle" : "", "family" : "Joshi", "given" : "Deepak", "non-dropping-particle" : "", "parse-names" : false, "suffix" : "" }, { "dropping-particle" : "", "family" : "Bjarnason", "given" : "Ingvar", "non-dropping-particle" : "", "parse-names" : false, "suffix" : "" }, { "dropping-particle" : "", "family" : "Belgaumkar", "given" : "Ajay", "non-dropping-particle" : "", "parse-names" : false, "suffix" : "" }, { "dropping-particle" : "", "family" : "O'Grady", "given" : "John", "non-dropping-particle" : "", "parse-names" : false, "suffix" : "" }, { "dropping-particle" : "", "family" : "Suddle", "given" : "Abid", "non-dropping-particle" : "", "parse-names" : false, "suffix" : "" }, { "dropping-particle" : "", "family" : "Heneghan", "given" : "Michael A", "non-dropping-particle" : "", "parse-names" : false, "suffix" : "" }, { "dropping-particle" : "", "family" : "Aluvihare", "given" : "Varuna", "non-dropping-particle" : "", "parse-names" : false, "suffix" : "" }, { "dropping-particle" : "", "family" : "Rela", "given" : "Mohammed", "non-dropping-particle" : "", "parse-names" : false, "suffix" : "" }, { "dropping-particle" : "", "family" : "Heaton", "given" : "Nigel", "non-dropping-particle" : "", "parse-names" : false, "suffix" : "" }, { "dropping-particle" : "", "family" : "Agarwal", "given" : "Kosh", "non-dropping-particle" : "", "parse-names" : false, "suffix" : "" } ], "container-title" : "Liver international : official journal of the International Association for the Study of the Liver", "id" : "ITEM-1", "issue" : "1", "issued" : { "date-parts" : [ [ "2013", "1" ] ] }, "language" : "eng", "page" : "53-61", "publisher-place" : "United States", "title" : "The impact of inflammatory bowel disease post-liver transplantation for primary sclerosing cholangitis.", "type" : "article-journal", "volume" : "33" }, "uris" : [ "http://www.mendeley.com/documents/?uuid=c2ae4a28-7f0a-4198-a73c-d7b1314cc91d" ] } ], "mendeley" : { "formattedCitation" : "&lt;sup&gt;[4]&lt;/sup&gt;", "plainTextFormattedCitation" : "[4]", "previouslyFormattedCitation" : "&lt;sup&gt;[4]&lt;/sup&gt;" }, "properties" : { "noteIndex" : 0 }, "schema" : "https://github.com/citation-style-language/schema/raw/master/csl-citation.json" }</w:instrText>
      </w:r>
      <w:r w:rsidR="00FE7850"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[4]</w:t>
      </w:r>
      <w:r w:rsidR="00FE7850" w:rsidRPr="0088290D">
        <w:rPr>
          <w:rFonts w:ascii="Book Antiqua" w:hAnsi="Book Antiqua" w:cs="Arial"/>
          <w:lang w:val="en-US"/>
        </w:rPr>
        <w:fldChar w:fldCharType="end"/>
      </w:r>
      <w:r w:rsidR="005544F6" w:rsidRPr="0088290D">
        <w:rPr>
          <w:rFonts w:ascii="Book Antiqua" w:hAnsi="Book Antiqua" w:cs="Arial"/>
          <w:lang w:val="en-US"/>
        </w:rPr>
        <w:t xml:space="preserve">, while </w:t>
      </w:r>
      <w:r w:rsidR="00D72C7B" w:rsidRPr="0088290D">
        <w:rPr>
          <w:rFonts w:ascii="Book Antiqua" w:hAnsi="Book Antiqua" w:cs="Arial"/>
          <w:lang w:val="en-US"/>
        </w:rPr>
        <w:t>colectomy before liver transplantation</w:t>
      </w:r>
      <w:r w:rsidR="00EF24D8" w:rsidRPr="0088290D">
        <w:rPr>
          <w:rFonts w:ascii="Book Antiqua" w:hAnsi="Book Antiqua" w:cs="Arial"/>
          <w:lang w:val="en-US"/>
        </w:rPr>
        <w:t xml:space="preserve"> with </w:t>
      </w:r>
      <w:r w:rsidR="00751B27" w:rsidRPr="0088290D">
        <w:rPr>
          <w:rFonts w:ascii="Book Antiqua" w:hAnsi="Book Antiqua" w:cs="Arial"/>
          <w:lang w:val="en-US"/>
        </w:rPr>
        <w:t xml:space="preserve">considerably </w:t>
      </w:r>
      <w:r w:rsidR="00EF24D8" w:rsidRPr="0088290D">
        <w:rPr>
          <w:rFonts w:ascii="Book Antiqua" w:hAnsi="Book Antiqua" w:cs="Arial"/>
          <w:lang w:val="en-US"/>
        </w:rPr>
        <w:t>low</w:t>
      </w:r>
      <w:r w:rsidR="002F057A" w:rsidRPr="0088290D">
        <w:rPr>
          <w:rFonts w:ascii="Book Antiqua" w:hAnsi="Book Antiqua" w:cs="Arial"/>
          <w:lang w:val="en-US"/>
        </w:rPr>
        <w:t>er</w:t>
      </w:r>
      <w:r w:rsidR="00EF24D8" w:rsidRPr="0088290D">
        <w:rPr>
          <w:rFonts w:ascii="Book Antiqua" w:hAnsi="Book Antiqua" w:cs="Arial"/>
          <w:lang w:val="en-US"/>
        </w:rPr>
        <w:t xml:space="preserve"> recurrent rate of PSC</w:t>
      </w:r>
      <w:r w:rsidR="00FE7850"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"DOI" : "10.1002/lt.21679", "ISSN" : "1527-6473 (Electronic)", "PMID" : "19243003", "abstract" : "Previously, we have found that the absence of the colon after liver transplantation (LT) protects the patient from recurrent primary sclerosing cholangitis (rPSC). As our previous observation has not been confirmed in other series, we have reviewed our cohort of patients grafted for primary sclerosing cholangitis (PSC) with greater numbers and longer follow-up to reassess the rate, consequences, and risk factors for rPSC. We collected data on patients who underwent LT for PSC between January 1986 and April 2006. Data were collected for cytomegalovirus status, inflammatory bowel disease status, time of colectomy, type of colectomy, donor-recipient gender mismatch, recipient sex, extended donor criteria (EDC), and donor risk index. Accepted criteria were used to diagnose rPSC. Of a total of 230 consecutive adult patients, 61 (27%) underwent colectomy pre-/peri-LT, and 54 (23.5%) developed rPSC at a median of 4.6 (range, 0.5-12.9) years post-LT. A total of 263 deceased donor grafts were used, and 73 were EDC grafts. A diagnosis of rPSC was made in 61 of the 263 grafts (23%). The recurrence-free patient survival was significantly better (P &lt; 0.05) in patients who underwent pre-/peri-LT colectomy and in those with non-EDC grafts. In conclusion, in this larger cohort of 230 patients and with longer follow-up of 82.5 (range, 0.0-238.6) months [in comparison with the previous report of 152 recipients with a follow-up of 52.8 (range, 1-146) months], we have shown that colectomy remains a significant risk factor for rPSC and that colectomy before and during initial LT for PSC confers a protective effect against rPSC in subsequent graft(s). Moreover, we have shown that EDC grafts are also a significant risk factor for rPSC.", "author" : [ { "dropping-particle" : "", "family" : "Alabraba", "given" : "Edward", "non-dropping-particle" : "", "parse-names" : false, "suffix" : "" }, { "dropping-particle" : "", "family" : "Nightingale", "given" : "Peter", "non-dropping-particle" : "", "parse-names" : false, "suffix" : "" }, { "dropping-particle" : "", "family" : "Gunson", "given" : "Bridget", "non-dropping-particle" : "", "parse-names" : false, "suffix" : "" }, { "dropping-particle" : "", "family" : "Hubscher", "given" : "Stefan", "non-dropping-particle" : "", "parse-names" : false, "suffix" : "" }, { "dropping-particle" : "", "family" : "Olliff", "given" : "Simon", "non-dropping-particle" : "", "parse-names" : false, "suffix" : "" }, { "dropping-particle" : "", "family" : "Mirza", "given" : "Darius", "non-dropping-particle" : "", "parse-names" : false, "suffix" : "" }, { "dropping-particle" : "", "family" : "Neuberger", "given" : "James", "non-dropping-particle" : "", "parse-names" : false, "suffix" : "" } ], "container-title" : "Liver transplantation : official publication of the American Association for the  Study of Liver Diseases and the International Liver Transplantation Society", "id" : "ITEM-1", "issue" : "3", "issued" : { "date-parts" : [ [ "2009", "3" ] ] }, "language" : "eng", "page" : "330-340", "publisher-place" : "United States", "title" : "A re-evaluation of the risk factors for the recurrence of primary sclerosing cholangitis in liver allografts.", "type" : "article-journal", "volume" : "15" }, "uris" : [ "http://www.mendeley.com/documents/?uuid=241cf7ad-11a1-4508-bd54-04ec83df0566" ] } ], "mendeley" : { "formattedCitation" : "&lt;sup&gt;[5]&lt;/sup&gt;", "plainTextFormattedCitation" : "[5]", "previouslyFormattedCitation" : "&lt;sup&gt;[5]&lt;/sup&gt;" }, "properties" : { "noteIndex" : 0 }, "schema" : "https://github.com/citation-style-language/schema/raw/master/csl-citation.json" }</w:instrText>
      </w:r>
      <w:r w:rsidR="00FE7850"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[5]</w:t>
      </w:r>
      <w:r w:rsidR="00FE7850" w:rsidRPr="0088290D">
        <w:rPr>
          <w:rFonts w:ascii="Book Antiqua" w:hAnsi="Book Antiqua" w:cs="Arial"/>
          <w:lang w:val="en-US"/>
        </w:rPr>
        <w:fldChar w:fldCharType="end"/>
      </w:r>
      <w:r w:rsidR="00B07A0D" w:rsidRPr="0088290D">
        <w:rPr>
          <w:rFonts w:ascii="Book Antiqua" w:hAnsi="Book Antiqua" w:cs="Arial"/>
          <w:lang w:val="en-US"/>
        </w:rPr>
        <w:t>.</w:t>
      </w:r>
      <w:r w:rsidR="00CC3F42" w:rsidRPr="0088290D">
        <w:rPr>
          <w:rFonts w:ascii="Book Antiqua" w:hAnsi="Book Antiqua" w:cs="Arial"/>
          <w:lang w:val="en-US"/>
        </w:rPr>
        <w:t xml:space="preserve"> </w:t>
      </w:r>
      <w:r w:rsidR="00C627FA" w:rsidRPr="0088290D">
        <w:rPr>
          <w:rFonts w:ascii="Book Antiqua" w:hAnsi="Book Antiqua" w:cs="Arial"/>
          <w:lang w:val="en-US"/>
        </w:rPr>
        <w:t>E</w:t>
      </w:r>
      <w:r w:rsidR="00CC3F42" w:rsidRPr="0088290D">
        <w:rPr>
          <w:rFonts w:ascii="Book Antiqua" w:hAnsi="Book Antiqua" w:cs="Arial"/>
          <w:lang w:val="en-US"/>
        </w:rPr>
        <w:t xml:space="preserve">xperimental </w:t>
      </w:r>
      <w:r w:rsidR="00A35F4B" w:rsidRPr="0088290D">
        <w:rPr>
          <w:rFonts w:ascii="Book Antiqua" w:hAnsi="Book Antiqua" w:cs="Arial"/>
          <w:lang w:val="en-US"/>
        </w:rPr>
        <w:t>findings</w:t>
      </w:r>
      <w:r w:rsidR="0006595E" w:rsidRPr="0088290D">
        <w:rPr>
          <w:rFonts w:ascii="Book Antiqua" w:hAnsi="Book Antiqua" w:cs="Arial"/>
          <w:lang w:val="en-US"/>
        </w:rPr>
        <w:t xml:space="preserve"> </w:t>
      </w:r>
      <w:r w:rsidR="00EC6087" w:rsidRPr="0088290D">
        <w:rPr>
          <w:rFonts w:ascii="Book Antiqua" w:hAnsi="Book Antiqua" w:cs="Arial"/>
          <w:lang w:val="en-US"/>
        </w:rPr>
        <w:t xml:space="preserve">also </w:t>
      </w:r>
      <w:r w:rsidR="008C0935" w:rsidRPr="0088290D">
        <w:rPr>
          <w:rFonts w:ascii="Book Antiqua" w:hAnsi="Book Antiqua" w:cs="Arial"/>
          <w:lang w:val="en-US"/>
        </w:rPr>
        <w:t>supported the role of inflamed permeable gut in the subsequent in</w:t>
      </w:r>
      <w:r w:rsidR="00DF02DE" w:rsidRPr="0088290D">
        <w:rPr>
          <w:rFonts w:ascii="Book Antiqua" w:hAnsi="Book Antiqua" w:cs="Arial"/>
          <w:lang w:val="en-US"/>
        </w:rPr>
        <w:t>flammation of the biliary tract</w:t>
      </w:r>
      <w:r w:rsidR="00FE7850"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"ISSN" : "0016-5085 (Print)", "PMID" : "1985047", "abstract" : "Susceptible rat strains develop hepatobiliary injury following the surgical creation of self-filling blind loops that cause small bowel bacterial overgrowth. Luminal bacteria or their cell wall polymers were implicated in the pathogenesis of the lesions because sham-operated rats and rats with self-emptying blind loops, having only slightly increased bacterial counts, did not develop hepatic injury. In this study, antibiotics with different spectra of activities were continuously administered starting 1 day or 22 days after surgery to determine which intestinal flora may be responsible for the development of hepatic injury in rats with small bowel bacterial overgrowth. Four weeks following surgery, Lewis rats with self-filling blind loops receiving no antibiotics had elevated liver histology scores (8.2 +/- 1.3 vs. 0.7 +/- 0.4) and plasma aspartate aminotransferase levels (269 +/- 171 vs. 84 +/- 24) compared with sham-operated rats, P less than 0.001. Oral gentamicin as well as oral and intraperitoneal polymyxin B, which binds endotoxin, did not prevent hepatic injury in rats with self-filling blind loops. However, oral metronidazole and tetracycline therapy continuously administered beginning 1 day after surgery diminished hepatic injury (histology score 3.0 +/- 1.8, 2.9 +/- 1.1; aspartate aminotransferase 87 +/- 25, 98 +/- 34; respectively P less than 0.001 compared with self-filling blind loops receiving no antibiotics). Metronidazole also protected Wistar rats that require 12 weeks to develop hepatic injury following experimentally induced small bowel bacterial overgrowth compared with rats with self-filling blind loops that received no antibiotic treatment (histology score 10.4 +/- 1.3 vs. 0.7 +/- 1.1, and aspartate aminotransferase 273 +/- 239 vs. 76 +/- 20, P less than 0.001). When rats started metronidazole therapy 22 days after self-filling blind loop surgery, elevated aspartate aminotransferase values decreased to normal during the next 77 days and final histology scores were normal. All rats with self-filling blind loops had negative peritoneal, liver, spleen, and blood cultures but approximately 75% of mesenteric lymph node cultures were positive irrespective of antibiotic treatment. Because Bacteroides species have been implicated in causing vitamin B12 and disaccharidase deficiencies in rats with self-filling blind loops, we documented the presence or absence of these organisms from blind loops using selective culture techniques. Metronida\u2026", "author" : [ { "dropping-particle" : "", "family" : "Lichtman", "given" : "S N", "non-dropping-particle" : "", "parse-names" : false, "suffix" : "" }, { "dropping-particle" : "", "family" : "Keku", "given" : "J", "non-dropping-particle" : "", "parse-names" : false, "suffix" : "" }, { "dropping-particle" : "", "family" : "Schwab", "given" : "J H", "non-dropping-particle" : "", "parse-names" : false, "suffix" : "" }, { "dropping-particle" : "", "family" : "Sartor", "given" : "R B", "non-dropping-particle" : "", "parse-names" : false, "suffix" : "" } ], "container-title" : "Gastroenterology", "id" : "ITEM-1", "issue" : "2", "issued" : { "date-parts" : [ [ "1991", "2" ] ] }, "language" : "eng", "page" : "513-519", "publisher-place" : "United States", "title" : "Hepatic injury associated with small bowel bacterial overgrowth in rats is prevented by metronidazole and tetracycline.", "type" : "article-journal", "volume" : "100" }, "uris" : [ "http://www.mendeley.com/documents/?uuid=781e7b87-d39b-4374-847a-487e75af5c96" ] }, { "id" : "ITEM-2", "itemData" : { "ISSN" : "0944-1174 (Print)", "PMID" : "8000512", "abstract" : "Primary sclerosing cholangitis (PSC) frequently accompanies inflammatory bowel diseases. In an attempt to increase our understanding of the pathogenesis of PSC, we studied bile duct changes in rats with colitis which had been given N-formyl L-methionine L-leucine L-tyrosine (fMLT) rectally; fMLT is one of the chemotactic peptides produced by Escherichia coli, and is secreted into the bile by hepatocytes after it enters the portal blood. Transrectal administration of fMLT induced a marked inflammation in the portal triad and mild hepatocyte necrosis on the 4th day. The infiltrating leukocytes in the portal tract were mostly mononuclear cells, which densely infiltrated around the bile ducts. These mononuclear cells appeared to attach to bile duct epithelial cells, and they were more numerous in the smaller bile ducts. Electron microscopy revealed that lymphocytes were in direct contact with bile duct lining cells and that some epithelial cells had degenerated or collapsed. These results suggest that this E. coli-derived peptide may induce cholangitis in the small bile duct through cell-mediated mechanisms. Since these pathologic changes resemble those of the bile duct observed in the early stage of PSC, it can be concluded that bacterial chemotactic peptides may play a role in the pathogenesis of small-duct PSC.", "author" : [ { "dropping-particle" : "", "family" : "Yamada", "given" : "S", "non-dropping-particle" : "", "parse-names" : false, "suffix" : "" }, { "dropping-particle" : "", "family" : "Ishii", "given" : "M", "non-dropping-particle" : "", "parse-names" : false, "suffix" : "" }, { "dropping-particle" : "", "family" : "Liang", "given" : "L S", "non-dropping-particle" : "", "parse-names" : false, "suffix" : "" }, { "dropping-particle" : "", "family" : "Yamamoto", "given" : "T", "non-dropping-particle" : "", "parse-names" : false, "suffix" : "" }, { "dropping-particle" : "", "family" : "Toyota", "given" : "T", "non-dropping-particle" : "", "parse-names" : false, "suffix" : "" } ], "container-title" : "Journal of gastroenterology", "id" : "ITEM-2", "issue" : "5", "issued" : { "date-parts" : [ [ "1994", "10" ] ] }, "language" : "eng", "page" : "631-636", "publisher-place" : "Japan", "title" : "Small duct cholangitis induced by N-formyl L-methionine L-leucine L-tyrosine in rats.", "type" : "article-journal", "volume" : "29" }, "uris" : [ "http://www.mendeley.com/documents/?uuid=0f6c99d2-0967-4a96-a82b-7601468b1d1e" ] } ], "mendeley" : { "formattedCitation" : "&lt;sup&gt;[6,7]&lt;/sup&gt;", "plainTextFormattedCitation" : "[6,7]", "previouslyFormattedCitation" : "&lt;sup&gt;[6,7]&lt;/sup&gt;" }, "properties" : { "noteIndex" : 0 }, "schema" : "https://github.com/citation-style-language/schema/raw/master/csl-citation.json" }</w:instrText>
      </w:r>
      <w:r w:rsidR="00FE7850"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[6,7]</w:t>
      </w:r>
      <w:r w:rsidR="00FE7850" w:rsidRPr="0088290D">
        <w:rPr>
          <w:rFonts w:ascii="Book Antiqua" w:hAnsi="Book Antiqua" w:cs="Arial"/>
          <w:lang w:val="en-US"/>
        </w:rPr>
        <w:fldChar w:fldCharType="end"/>
      </w:r>
      <w:r w:rsidR="00FE7850" w:rsidRPr="0088290D">
        <w:rPr>
          <w:rFonts w:ascii="Book Antiqua" w:hAnsi="Book Antiqua" w:cs="Arial"/>
          <w:lang w:val="en-US"/>
        </w:rPr>
        <w:t xml:space="preserve">. </w:t>
      </w:r>
      <w:r w:rsidR="008C0935" w:rsidRPr="0088290D">
        <w:rPr>
          <w:rFonts w:ascii="Book Antiqua" w:hAnsi="Book Antiqua" w:cs="Arial"/>
          <w:lang w:val="en-US"/>
        </w:rPr>
        <w:t>P</w:t>
      </w:r>
      <w:r w:rsidR="0006595E" w:rsidRPr="0088290D">
        <w:rPr>
          <w:rFonts w:ascii="Book Antiqua" w:hAnsi="Book Antiqua" w:cs="Arial"/>
          <w:lang w:val="en-US"/>
        </w:rPr>
        <w:t xml:space="preserve">atients with PSC </w:t>
      </w:r>
      <w:r w:rsidR="00876BEB" w:rsidRPr="0088290D">
        <w:rPr>
          <w:rFonts w:ascii="Book Antiqua" w:hAnsi="Book Antiqua" w:cs="Arial"/>
          <w:lang w:val="en-US"/>
        </w:rPr>
        <w:t>display an</w:t>
      </w:r>
      <w:r w:rsidR="00E67C8F" w:rsidRPr="0088290D">
        <w:rPr>
          <w:rFonts w:ascii="Book Antiqua" w:hAnsi="Book Antiqua" w:cs="Arial"/>
          <w:lang w:val="en-US"/>
        </w:rPr>
        <w:t xml:space="preserve"> </w:t>
      </w:r>
      <w:r w:rsidR="0006595E" w:rsidRPr="0088290D">
        <w:rPr>
          <w:rFonts w:ascii="Book Antiqua" w:hAnsi="Book Antiqua" w:cs="Arial"/>
          <w:lang w:val="en-US"/>
        </w:rPr>
        <w:t>exaggerated immune response to intestinal</w:t>
      </w:r>
      <w:r w:rsidR="00017BC9" w:rsidRPr="0088290D">
        <w:rPr>
          <w:rFonts w:ascii="Book Antiqua" w:hAnsi="Book Antiqua" w:cs="Arial"/>
          <w:lang w:val="en-US"/>
        </w:rPr>
        <w:t xml:space="preserve"> endotoxins </w:t>
      </w:r>
      <w:r w:rsidR="008746D0" w:rsidRPr="0088290D">
        <w:rPr>
          <w:rFonts w:ascii="Book Antiqua" w:hAnsi="Book Antiqua" w:cs="Arial"/>
          <w:lang w:val="en-US"/>
        </w:rPr>
        <w:t>with</w:t>
      </w:r>
      <w:r w:rsidR="00017BC9" w:rsidRPr="0088290D">
        <w:rPr>
          <w:rFonts w:ascii="Book Antiqua" w:hAnsi="Book Antiqua" w:cs="Arial"/>
          <w:lang w:val="en-US"/>
        </w:rPr>
        <w:t xml:space="preserve"> a lack of tolerance</w:t>
      </w:r>
      <w:r w:rsidR="0006595E" w:rsidRPr="0088290D">
        <w:rPr>
          <w:rFonts w:ascii="Book Antiqua" w:hAnsi="Book Antiqua" w:cs="Arial"/>
          <w:lang w:val="en-US"/>
        </w:rPr>
        <w:t xml:space="preserve"> </w:t>
      </w:r>
      <w:r w:rsidR="00017BC9" w:rsidRPr="0088290D">
        <w:rPr>
          <w:rFonts w:ascii="Book Antiqua" w:hAnsi="Book Antiqua" w:cs="Arial"/>
          <w:lang w:val="en-US"/>
        </w:rPr>
        <w:t>to repeated endotoxin exposure</w:t>
      </w:r>
      <w:r w:rsidR="00FE7850" w:rsidRPr="0088290D">
        <w:rPr>
          <w:rFonts w:ascii="Book Antiqua" w:hAnsi="Book Antiqua" w:cs="Arial"/>
          <w:lang w:val="en-US"/>
        </w:rPr>
        <w:fldChar w:fldCharType="begin" w:fldLock="1"/>
      </w:r>
      <w:r w:rsidR="002E6E99" w:rsidRPr="0088290D">
        <w:rPr>
          <w:rFonts w:ascii="Book Antiqua" w:hAnsi="Book Antiqua" w:cs="Arial"/>
          <w:lang w:val="en-US"/>
        </w:rPr>
        <w:instrText>ADDIN CSL_CITATION { "citationItems" : [ { "id" : "ITEM-1", "itemData" : { "DOI" : "10.1111/j.1478-3231.2011.02635.x", "ISSN" : "1478-3231 (Electronic)", "PMID" : "22093333", "abstract" : "BACKGROUND: Pattern recognition receptors (PRRs) orchestrate the innate immune defence in human biliary epithelial cells (BECs). Tight control of PRR signalling provides tolerance to physiological amounts of intestinal endotoxins in human bile to avoid constant innate immune activation in BECs. AIMS: We wanted to determine whether inappropriate innate immune responses to intestinal endotoxins contribute to the development and perpetuation of chronic biliary inflammation. METHODS: We examined PRR-mediated innate immune responses and protective endotoxin tolerance in primary BECs isolated from patients with primary sclerosing cholangitis (PSC), alcoholic liver disease and patients without chronic liver disease. Expression studies comprised northern blots, RT-PCR, Western blots and immunocytochemistry. Functional studies comprised immuno-precipitation Western blots, FACS for endotoxin uptake, and NF-kappaB activation assays and ELISA for secreted IL-8 and tumour necrosis factor (TNF)-alpha. RESULTS: Primary BECs from explanted PSC livers showed reversibly increased TLR and NOD protein expression and activation of the MyD88/IRAK signalling complex. Consecutively, PSC BECs exhibited inappropriate innate immune responses to endotoxins and did not develop immune tolerance after repeated endotoxin exposures. This endotoxin hyper-responsiveness was probably because of the stimulatory effect of abundantly expressed IFN-gamma and TNF-alpha in PSC livers, which stimulated TLR4-mediated endotoxin signalling in BECs, leading to increased TLR4-mediated endotoxin incorporation and impaired inactivation of the TLR4 signalling cascade. As TNF-alpha inhibition partly restored protective innate immune tolerance, endogenous TNF-alpha secretion probably contributed to inappropriate endotoxin responses in BECs. CONCLUSION: Inappropriate innate immune responses to intestinal endotoxins and subsequent endotoxin intolerance because of enhanced PRR signalling in BECs probably contribute to chronic cholangitis.", "author" : [ { "dropping-particle" : "", "family" : "Mueller", "given" : "Tobias", "non-dropping-particle" : "", "parse-names" : false, "suffix" : "" }, { "dropping-particle" : "", "family" : "Beutler", "given" : "Claudia", "non-dropping-particle" : "", "parse-names" : false, "suffix" : "" }, { "dropping-particle" : "", "family" : "Pico", "given" : "Almudena Hurtado", "non-dropping-particle" : "", "parse-names" : false, "suffix" : "" }, { "dropping-particle" : "", "family" : "Shibolet", "given" : "Oren", "non-dropping-particle" : "", "parse-names" : false, "suffix" : "" }, { "dropping-particle" : "", "family" : "Pratt", "given" : "Daniel S", "non-dropping-particle" : "", "parse-names" : false, "suffix" : "" }, { "dropping-particle" : "", "family" : "Pascher", "given" : "Andreas", "non-dropping-particle" : "", "parse-names" : false, "suffix" : "" }, { "dropping-particle" : "", "family" : "Neuhaus", "given" : "Peter", "non-dropping-particle" : "", "parse-names" : false, "suffix" : "" }, { "dropping-particle" : "", "family" : "Wiedenmann", "given" : "Bertram", "non-dropping-particle" : "", "parse-names" : false, "suffix" : "" }, { "dropping-particle" : "", "family" : "Berg", "given" : "Thomas", "non-dropping-particle" : "", "parse-names" : false, "suffix" : "" }, { "dropping-particle" : "", "family" : "Podolsky", "given" : "Daniel K", "non-dropping-particle" : "", "parse-names" : false, "suffix" : "" } ], "container-title" : "Liver international : official journal of the International Association for the Study of the Liver", "id" : "ITEM-1", "issue" : "10", "issued" : { "date-parts" : [ [ "2011", "11" ] ] }, "language" : "eng", "page" : "1574-1588", "publisher-place" : "United States", "title" : "Enhanced innate immune responsiveness and intolerance to intestinal endotoxins in human biliary epithelial cells contributes to chronic cholangitis.", "type" : "article-journal", "volume" : "31" }, "uris" : [ "http://www.mendeley.com/documents/?uuid=efbe0d75-8714-4440-a061-00505368f40d" ] }, { "id" : "ITEM-2", "itemData" : { "DOI" : "10.1179/096805106X102255", "ISSN" : "0968-0519 (Print)", "PMID" : "16719986", "abstract" : "Many host cell types, including endothelial and epithelial cells, neutrophils, monocytes, natural killer cells, dendritic cells and macrophages, initiate the first line of defense against infection by sensing conserved microbial structures through Toll-like receptors (TLRs). Recognition of microbial ligands by TLRs induces their oligomerization and triggers intracellular signaling pathways, leading to production of pro- and anti-inflammatory cytokines. Dysregulation of the fine molecular mechanisms that tightly control TLR signaling may lead to hyperactivation of host cells by microbial products and septic shock. A prior exposure to bacterial products such as lipopolysaccharide (LPS) may result in a transient state of refractoriness to subsequent challenge that has been referred to as 'tolerance'. Tolerance has been postulated as a protective mechanism limiting excessive inflammation and preventing septic shock. However, tolerance may compromise the host's ability to counteract subsequent bacterial challenge since many septic patients exhibit an increased incidence of recurrent bacterial infection and suppressed monocyte responsiveness to LPS, closely resembling the tolerant phenotype. Thus, by studying mechanisms of microbial tolerance, we may gain insights into how normal regulatory mechanisms are dysregulated, leading ultimately to microbial hypo-responsiveness and life-threatening disease. In this review, we present current theories of the molecular mechanisms that underlie induction and maintenance of 'microbial tolerance', and discuss the possible relevance of tolerance to several infectious and non-infectious diseases.", "author" : [ { "dropping-particle" : "", "family" : "Medvedev", "given" : "Andrei E", "non-dropping-particle" : "", "parse-names" : false, "suffix" : "" }, { "dropping-particle" : "", "family" : "Sabroe", "given" : "Ian", "non-dropping-particle" : "", "parse-names" : false, "suffix" : "" }, { "dropping-particle" : "", "family" : "Hasday", "given" : "Jeffrey D", "non-dropping-particle" : "", "parse-names" : false, "suffix" : "" }, { "dropping-particle" : "", "family" : "Vogel", "given" : "Stefanie N", "non-dropping-particle" : "", "parse-names" : false, "suffix" : "" } ], "container-title" : "Journal of endotoxin research", "id" : "ITEM-2", "issue" : "3", "issued" : { "date-parts" : [ [ "2006" ] ] }, "language" : "eng", "page" : "133-150", "publisher-place" : "United States", "title" : "Tolerance to microbial TLR ligands: molecular mechanisms and relevance to disease.", "type" : "article-journal", "volume" : "12" }, "uris" : [ "http://www.mendeley.com/documents/?uuid=cae224fc-54c5-4aeb-84ec-de8de88604b5" ] } ], "mendeley" : { "formattedCitation" : "&lt;sup&gt;[8,9]&lt;/sup&gt;", "plainTextFormattedCitation" : "[8,9]", "previouslyFormattedCitation" : "&lt;sup&gt;[8,9]&lt;/sup&gt;" }, "properties" : { "noteIndex" : 0 }, "schema" : "https://github.com/citation-style-language/schema/raw/master/csl-citation.json" }</w:instrText>
      </w:r>
      <w:r w:rsidR="00FE7850" w:rsidRPr="0088290D">
        <w:rPr>
          <w:rFonts w:ascii="Book Antiqua" w:hAnsi="Book Antiqua" w:cs="Arial"/>
          <w:lang w:val="en-US"/>
        </w:rPr>
        <w:fldChar w:fldCharType="separate"/>
      </w:r>
      <w:r w:rsidR="002E6E99" w:rsidRPr="0088290D">
        <w:rPr>
          <w:rFonts w:ascii="Book Antiqua" w:hAnsi="Book Antiqua" w:cs="Arial"/>
          <w:noProof/>
          <w:vertAlign w:val="superscript"/>
          <w:lang w:val="en-US"/>
        </w:rPr>
        <w:t>[8,9]</w:t>
      </w:r>
      <w:r w:rsidR="00FE7850" w:rsidRPr="0088290D">
        <w:rPr>
          <w:rFonts w:ascii="Book Antiqua" w:hAnsi="Book Antiqua" w:cs="Arial"/>
          <w:lang w:val="en-US"/>
        </w:rPr>
        <w:fldChar w:fldCharType="end"/>
      </w:r>
      <w:r w:rsidR="00FE7850" w:rsidRPr="0088290D">
        <w:rPr>
          <w:rFonts w:ascii="Book Antiqua" w:hAnsi="Book Antiqua" w:cs="Arial"/>
          <w:lang w:val="en-US"/>
        </w:rPr>
        <w:t xml:space="preserve">. </w:t>
      </w:r>
      <w:r w:rsidR="00EC6087" w:rsidRPr="0088290D">
        <w:rPr>
          <w:rFonts w:ascii="Book Antiqua" w:hAnsi="Book Antiqua" w:cs="Arial"/>
          <w:lang w:val="en-US"/>
        </w:rPr>
        <w:t xml:space="preserve">Prolonged and active intestinal </w:t>
      </w:r>
      <w:r w:rsidR="004F5E53" w:rsidRPr="0088290D">
        <w:rPr>
          <w:rFonts w:ascii="Book Antiqua" w:hAnsi="Book Antiqua" w:cs="Arial"/>
          <w:lang w:val="en-US"/>
        </w:rPr>
        <w:t>inflammation interrupts the gut mucosal barrier function</w:t>
      </w:r>
      <w:r w:rsidR="006F7AE1" w:rsidRPr="0088290D">
        <w:rPr>
          <w:rFonts w:ascii="Book Antiqua" w:hAnsi="Book Antiqua" w:cs="Arial"/>
          <w:lang w:val="en-US"/>
        </w:rPr>
        <w:t xml:space="preserve"> </w:t>
      </w:r>
      <w:r w:rsidR="003B0709" w:rsidRPr="0088290D">
        <w:rPr>
          <w:rFonts w:ascii="Book Antiqua" w:hAnsi="Book Antiqua" w:cs="Arial"/>
          <w:lang w:val="en-US"/>
        </w:rPr>
        <w:t xml:space="preserve">with a subsequent </w:t>
      </w:r>
      <w:r w:rsidR="00CC2D84" w:rsidRPr="0088290D">
        <w:rPr>
          <w:rFonts w:ascii="Book Antiqua" w:hAnsi="Book Antiqua" w:cs="Arial"/>
          <w:lang w:val="en-US"/>
        </w:rPr>
        <w:t>endotoxin exposure to cholangiocytes</w:t>
      </w:r>
      <w:r w:rsidR="00673C01" w:rsidRPr="0088290D">
        <w:rPr>
          <w:rFonts w:ascii="Book Antiqua" w:hAnsi="Book Antiqua" w:cs="Arial"/>
          <w:lang w:val="en-US"/>
        </w:rPr>
        <w:t>. D</w:t>
      </w:r>
      <w:r w:rsidR="00676D1F" w:rsidRPr="0088290D">
        <w:rPr>
          <w:rFonts w:ascii="Book Antiqua" w:hAnsi="Book Antiqua" w:cs="Arial"/>
          <w:lang w:val="en-US"/>
        </w:rPr>
        <w:t xml:space="preserve">isruption of </w:t>
      </w:r>
      <w:r w:rsidR="00673C01" w:rsidRPr="0088290D">
        <w:rPr>
          <w:rFonts w:ascii="Book Antiqua" w:hAnsi="Book Antiqua" w:cs="Arial"/>
          <w:lang w:val="en-US"/>
        </w:rPr>
        <w:t xml:space="preserve">cholangiocytes’ </w:t>
      </w:r>
      <w:r w:rsidR="00676D1F" w:rsidRPr="0088290D">
        <w:rPr>
          <w:rFonts w:ascii="Book Antiqua" w:hAnsi="Book Antiqua" w:cs="Arial"/>
          <w:lang w:val="en-US"/>
        </w:rPr>
        <w:t>tight junctions</w:t>
      </w:r>
      <w:r w:rsidR="00673C01" w:rsidRPr="0088290D">
        <w:rPr>
          <w:rFonts w:ascii="Book Antiqua" w:hAnsi="Book Antiqua" w:cs="Arial"/>
          <w:lang w:val="en-US"/>
        </w:rPr>
        <w:t xml:space="preserve"> </w:t>
      </w:r>
      <w:r w:rsidR="00676D1F" w:rsidRPr="0088290D">
        <w:rPr>
          <w:rFonts w:ascii="Book Antiqua" w:hAnsi="Book Antiqua" w:cs="Arial"/>
          <w:lang w:val="en-US"/>
        </w:rPr>
        <w:t xml:space="preserve">expose </w:t>
      </w:r>
      <w:r w:rsidR="00673C01" w:rsidRPr="0088290D">
        <w:rPr>
          <w:rFonts w:ascii="Book Antiqua" w:hAnsi="Book Antiqua" w:cs="Arial"/>
          <w:lang w:val="en-US"/>
        </w:rPr>
        <w:t xml:space="preserve">them various </w:t>
      </w:r>
      <w:r w:rsidR="00676D1F" w:rsidRPr="0088290D">
        <w:rPr>
          <w:rFonts w:ascii="Book Antiqua" w:hAnsi="Book Antiqua" w:cs="Arial"/>
          <w:lang w:val="en-US"/>
        </w:rPr>
        <w:t xml:space="preserve">substances, </w:t>
      </w:r>
      <w:r w:rsidR="00673C01" w:rsidRPr="0088290D">
        <w:rPr>
          <w:rFonts w:ascii="Book Antiqua" w:hAnsi="Book Antiqua" w:cs="Arial"/>
          <w:lang w:val="en-US"/>
        </w:rPr>
        <w:t>s</w:t>
      </w:r>
      <w:r w:rsidR="00676D1F" w:rsidRPr="0088290D">
        <w:rPr>
          <w:rFonts w:ascii="Book Antiqua" w:hAnsi="Book Antiqua" w:cs="Arial"/>
          <w:lang w:val="en-US"/>
        </w:rPr>
        <w:t xml:space="preserve">uch as bile acids, that could promote injury and </w:t>
      </w:r>
      <w:r w:rsidR="00D3344B" w:rsidRPr="0088290D">
        <w:rPr>
          <w:rFonts w:ascii="Book Antiqua" w:hAnsi="Book Antiqua" w:cs="Arial"/>
          <w:lang w:val="en-US"/>
        </w:rPr>
        <w:t xml:space="preserve">inflammation </w:t>
      </w:r>
      <w:r w:rsidR="0031685F" w:rsidRPr="0088290D">
        <w:rPr>
          <w:rFonts w:ascii="Book Antiqua" w:hAnsi="Book Antiqua" w:cs="Arial"/>
          <w:lang w:val="en-US"/>
        </w:rPr>
        <w:fldChar w:fldCharType="begin" w:fldLock="1"/>
      </w:r>
      <w:r w:rsidR="00D6253D" w:rsidRPr="0088290D">
        <w:rPr>
          <w:rFonts w:ascii="Book Antiqua" w:hAnsi="Book Antiqua" w:cs="Arial"/>
          <w:lang w:val="en-US"/>
        </w:rPr>
        <w:instrText>ADDIN CSL_CITATION { "citationItems" : [ { "id" : "ITEM-1", "itemData" : { "DOI" : "10.1053/j.gastro.2013.06.052", "ISSN" : "1528-0012 (Electronic)", "PMID" : "23827861", "abstract" : "Primary sclerosing cholangitis (PSC), first described in the mid-1850s, is a complex liver disease that is heterogeneous in its presentation. PSC is characterized by chronic cholestasis associated with chronic inflammation of the biliary epithelium, resulting in multifocal bile duct strictures that can affect the entire biliary tree. Chronic inflammation leads to fibrosis involving the hepatic parenchyma and biliary tree, which can lead to cirrhosis and malignancy. The etiology of PSC is not fully understood, which in part explains the lack of effective medical therapy for this condition. However, we have begun to better understand the molecular pathogenesis of PSC. The recognition of specific clinical subtypes and their pattern of progression could improve phenotypic and genotypic classification of the disease. We review our current understanding of this enigmatic disorder and discuss important topics for future studies.", "author" : [ { "dropping-particle" : "", "family" : "Eaton", "given" : "John E", "non-dropping-particle" : "", "parse-names" : false, "suffix" : "" }, { "dropping-particle" : "", "family" : "Talwalkar", "given" : "Jayant A", "non-dropping-particle" : "", "parse-names" : false, "suffix" : "" }, { "dropping-particle" : "", "family" : "Lazaridis", "given" : "Konstantinos N", "non-dropping-particle" : "", "parse-names" : false, "suffix" : "" }, { "dropping-particle" : "", "family" : "Gores", "given" : "Gregory J", "non-dropping-particle" : "", "parse-names" : false, "suffix" : "" }, { "dropping-particle" : "", "family" : "Lindor", "given" : "Keith D", "non-dropping-particle" : "", "parse-names" : false, "suffix" : "" } ], "container-title" : "Gastroenterology", "id" : "ITEM-1", "issue" : "3", "issued" : { "date-parts" : [ [ "2013", "9" ] ] }, "language" : "eng", "page" : "521-536", "publisher-place" : "United States", "title" : "Pathogenesis of primary sclerosing cholangitis and advances in diagnosis and management.", "type" : "article-journal", "volume" : "145" }, "uris" : [ "http://www.mendeley.com/documents/?uuid=1eca15e6-3653-4ef4-bff1-c71790173f76" ] } ], "mendeley" : { "formattedCitation" : "&lt;sup&gt;[3]&lt;/sup&gt;", "plainTextFormattedCitation" : "[3]", "previouslyFormattedCitation" : "&lt;sup&gt;[3]&lt;/sup&gt;" }, "properties" : { "noteIndex" : 0 }, "schema" : "https://github.com/citation-style-language/schema/raw/master/csl-citation.json" }</w:instrText>
      </w:r>
      <w:r w:rsidR="0031685F" w:rsidRPr="0088290D">
        <w:rPr>
          <w:rFonts w:ascii="Book Antiqua" w:hAnsi="Book Antiqua" w:cs="Arial"/>
          <w:lang w:val="en-US"/>
        </w:rPr>
        <w:fldChar w:fldCharType="separate"/>
      </w:r>
      <w:r w:rsidR="0031685F" w:rsidRPr="0088290D">
        <w:rPr>
          <w:rFonts w:ascii="Book Antiqua" w:hAnsi="Book Antiqua" w:cs="Arial"/>
          <w:noProof/>
          <w:vertAlign w:val="superscript"/>
          <w:lang w:val="en-US"/>
        </w:rPr>
        <w:t>[3]</w:t>
      </w:r>
      <w:r w:rsidR="0031685F" w:rsidRPr="0088290D">
        <w:rPr>
          <w:rFonts w:ascii="Book Antiqua" w:hAnsi="Book Antiqua" w:cs="Arial"/>
          <w:lang w:val="en-US"/>
        </w:rPr>
        <w:fldChar w:fldCharType="end"/>
      </w:r>
      <w:r w:rsidR="00676D1F" w:rsidRPr="0088290D">
        <w:rPr>
          <w:rFonts w:ascii="Book Antiqua" w:hAnsi="Book Antiqua" w:cs="Arial"/>
          <w:lang w:val="en-US"/>
        </w:rPr>
        <w:t>. Disruption of cholangiocyte</w:t>
      </w:r>
      <w:r w:rsidR="00B05E38" w:rsidRPr="0088290D">
        <w:rPr>
          <w:rFonts w:ascii="Book Antiqua" w:hAnsi="Book Antiqua" w:cs="Arial"/>
          <w:lang w:val="en-US"/>
        </w:rPr>
        <w:t>s’</w:t>
      </w:r>
      <w:r w:rsidR="00676D1F" w:rsidRPr="0088290D">
        <w:rPr>
          <w:rFonts w:ascii="Book Antiqua" w:hAnsi="Book Antiqua" w:cs="Arial"/>
          <w:lang w:val="en-US"/>
        </w:rPr>
        <w:t xml:space="preserve"> tight junctions is </w:t>
      </w:r>
      <w:r w:rsidR="006B0768" w:rsidRPr="0088290D">
        <w:rPr>
          <w:rFonts w:ascii="Book Antiqua" w:hAnsi="Book Antiqua" w:cs="Arial"/>
          <w:lang w:val="en-US"/>
        </w:rPr>
        <w:t xml:space="preserve">an </w:t>
      </w:r>
      <w:r w:rsidR="00676D1F" w:rsidRPr="0088290D">
        <w:rPr>
          <w:rFonts w:ascii="Book Antiqua" w:hAnsi="Book Antiqua" w:cs="Arial"/>
          <w:lang w:val="en-US"/>
        </w:rPr>
        <w:t xml:space="preserve">important step in the development of PSC </w:t>
      </w:r>
      <w:r w:rsidR="00A932E3" w:rsidRPr="0088290D">
        <w:rPr>
          <w:rFonts w:ascii="Book Antiqua" w:hAnsi="Book Antiqua" w:cs="Arial"/>
          <w:lang w:val="en-US"/>
        </w:rPr>
        <w:t>in animal models</w:t>
      </w:r>
      <w:r w:rsidR="00A41B3F" w:rsidRPr="0088290D">
        <w:rPr>
          <w:rFonts w:ascii="Book Antiqua" w:hAnsi="Book Antiqua" w:cs="Arial"/>
          <w:lang w:val="en-US"/>
        </w:rPr>
        <w:fldChar w:fldCharType="begin" w:fldLock="1"/>
      </w:r>
      <w:r w:rsidR="006A009B" w:rsidRPr="0088290D">
        <w:rPr>
          <w:rFonts w:ascii="Book Antiqua" w:hAnsi="Book Antiqua" w:cs="Arial"/>
          <w:lang w:val="en-US"/>
        </w:rPr>
        <w:instrText>ADDIN CSL_CITATION { "citationItems" : [ { "id" : "ITEM-1", "itemData" : { "DOI" : "10.2353/ajpath.2006.050404", "ISSN" : "0002-9440 (Print)", "PMID" : "16436656", "abstract" : "We determined the mechanisms of hepatobiliary injury in the lithocholic acid (LCA)-fed mouse, an increasingly used model of cholestatic liver injury. Swiss albino mice received control diet or 1% (w/w) LCA diet (for 1, 2, and 4 days), followed by assessment of liver morphology and ultrastructure, tight junctions, markers of fibrosis and key proteins of hepatobiliary function, and bile flow and composition. As expected LCA feeding led to bile infarcts, which were followed by a destructive cholangitis with activation and proliferation of periductal myofibroblasts. At the ultrastructural level, small bile ducts were frequently obstructed by crystals. Biliary-excreted fluorescence-labeled ursodeoxycholic acid accumulated in bile infarcts, whereas most infarcts did not stain with India ink injected into the common bile duct; both findings are indicative of partial biliary obstruction. Expression of the main basolateral bile acid uptake proteins (sodium-taurocholate cotransporter and organic anion-transporting polypeptide 1) was reduced, the canalicular transporters bile salt export pump and multidrug-related protein 2 were preserved, and the basolateral transporter multidrug-related protein 3 and the detoxifying enzyme sulfotransferase 2a1 were induced. Thus, we demonstrate that LCA feeding in mice leads to segmental bile duct obstruction, destructive cholangitis, periductal fibrosis, and an adaptive transporter and metabolic enzyme response.", "author" : [ { "dropping-particle" : "", "family" : "Fickert", "given" : "Peter", "non-dropping-particle" : "", "parse-names" : false, "suffix" : "" }, { "dropping-particle" : "", "family" : "Fuchsbichler", "given" : "Andrea", "non-dropping-particle" : "", "parse-names" : false, "suffix" : "" }, { "dropping-particle" : "", "family" : "Marschall", "given" : "Hanns-Ulrich", "non-dropping-particle" : "", "parse-names" : false, "suffix" : "" }, { "dropping-particle" : "", "family" : "Wagner", "given" : "Martin", "non-dropping-particle" : "", "parse-names" : false, "suffix" : "" }, { "dropping-particle" : "", "family" : "Zollner", "given" : "Gernot", "non-dropping-particle" : "", "parse-names" : false, "suffix" : "" }, { "dropping-particle" : "", "family" : "Krause", "given" : "Robert", "non-dropping-particle" : "", "parse-names" : false, "suffix" : "" }, { "dropping-particle" : "", "family" : "Zatloukal", "given" : "Kurt", "non-dropping-particle" : "", "parse-names" : false, "suffix" : "" }, { "dropping-particle" : "", "family" : "Jaeschke", "given" : "Hartmut", "non-dropping-particle" : "", "parse-names" : false, "suffix" : "" }, { "dropping-particle" : "", "family" : "Denk", "given" : "Helmut", "non-dropping-particle" : "", "parse-names" : false, "suffix" : "" }, { "dropping-particle" : "", "family" : "Trauner", "given" : "Michael", "non-dropping-particle" : "", "parse-names" : false, "suffix" : "" } ], "container-title" : "The American journal of pathology", "id" : "ITEM-1", "issue" : "2", "issued" : { "date-parts" : [ [ "2006", "2" ] ] }, "language" : "eng", "page" : "410-422", "publisher-place" : "United States", "title" : "Lithocholic acid feeding induces segmental bile duct obstruction and destructive  cholangitis in mice.", "type" : "article-journal", "volume" : "168" }, "uris" : [ "http://www.mendeley.com/documents/?uuid=1d02f358-7d85-41aa-a6d7-e7cafe4bb415" ] }, { "id" : "ITEM-2", "itemData" : { "ISSN" : "0016-5085 (Print)", "PMID" : "15236191", "abstract" : "BACKGROUND &amp; AIMS: Because the mechanisms leading to bile duct damage in sclerosing cholangitis are unknown, we aimed to determine the pathogenesis of bile duct injury in multidrug resistance gene (Mdr2) (Abcb4) knockout mice (Mdr2(-/-)) as a novel model of the disease. METHODS: Mdr2(-/-) and wild-type controls (Mdr2(+/+)) were studied at 2, 4, and 8 weeks of age. Liver histology, ultrastructure, immunofluorescence microscopy (to study inflammatory cells, tight junction protein ZO-1, basement membrane protein laminin, fluorescence-labeled ursodeoxycholic acid), immunohistochemistry (for alpha-smooth muscle actin, nitrotyrosine), sirius red staining, bacterial cultures of intra-abdominal organs, and polymerase chain reaction (PCR) for Helicobacter bilis DNA were compared between both genotypes. Hepatic cytokine expression was determined by reverse-transcription PCR. RESULTS: Bile ducts of Mdr2(-/-) showed disrupted tight junctions and basement membranes, bile acid leakage into portal tracts, induction of a portal inflammatory (CD11b, CD4-positive) infiltrate, and activation of proinflammatory (tumor necrosis factor [TNF]-alpha, interleukin [IL]-1beta) and profibrogenic cytokines (transforming growth factor [TGF]-beta1). This resulted in activation of periductal myofibroblasts, leading to periductal fibrosis, separating the peribiliary plexus from bile duct epithelial cells and, finally, causing atrophy and death of the bile duct epithelium. Bacterial translocation was not increased and H. bilis was not detectable in Mdr2(-/-). CONCLUSIONS: Sclerosing cholangitis in Mdr2(-/-) mice is a multistep process with regurgitation of bile from leaky ducts into the portal tracts, leading to induction of periductal inflammation, followed by activation of periductal fibrogenesis, finally causing obliterative cholangitis owing to atrophy and death of bile duct epithelial cells.", "author" : [ { "dropping-particle" : "", "family" : "Fickert", "given" : "Peter", "non-dropping-particle" : "", "parse-names" : false, "suffix" : "" }, { "dropping-particle" : "", "family" : "Fuchsbichler", "given" : "Andrea", "non-dropping-particle" : "", "parse-names" : false, "suffix" : "" }, { "dropping-particle" : "", "family" : "Wagner", "given" : "Martin", "non-dropping-particle" : "", "parse-names" : false, "suffix" : "" }, { "dropping-particle" : "", "family" : "Zollner", "given" : "Gernot", "non-dropping-particle" : "", "parse-names" : false, "suffix" : "" }, { "dropping-particle" : "", "family" : "Kaser", "given" : "Arthur", "non-dropping-particle" : "", "parse-names" : false, "suffix" : "" }, { "dropping-particle" : "", "family" : "Tilg", "given" : "Herbert", "non-dropping-particle" : "", "parse-names" : false, "suffix" : "" }, { "dropping-particle" : "", "family" : "Krause", "given" : "Robert", "non-dropping-particle" : "", "parse-names" : false, "suffix" : "" }, { "dropping-particle" : "", "family" : "Lammert", "given" : "Frank", "non-dropping-particle" : "", "parse-names" : false, "suffix" : "" }, { "dropping-particle" : "", "family" : "Langner", "given" : "Cord", "non-dropping-particle" : "", "parse-names" : false, "suffix" : "" }, { "dropping-particle" : "", "family" : "Zatloukal", "given" : "Kurt", "non-dropping-particle" : "", "parse-names" : false, "suffix" : "" }, { "dropping-particle" : "", "family" : "Marschall", "given" : "Hanns-Ulrich", "non-dropping-particle" : "", "parse-names" : false, "suffix" : "" }, { "dropping-particle" : "", "family" : "Denk", "given" : "Helmut", "non-dropping-particle" : "", "parse-names" : false, "suffix" : "" }, { "dropping-particle" : "", "family" : "Trauner", "given" : "Michael", "non-dropping-particle" : "", "parse-names" : false, "suffix" : "" } ], "container-title" : "Gastroenterology", "id" : "ITEM-2", "issue" : "1", "issued" : { "date-parts" : [ [ "2004", "7" ] ] }, "language" : "eng", "page" : "261-274", "publisher-place" : "United States", "title" : "Regurgitation of bile acids from leaky bile ducts causes sclerosing cholangitis in Mdr2 (Abcb4) knockout mice.", "type" : "article-journal", "volume" : "127" }, "uris" : [ "http://www.mendeley.com/documents/?uuid=6c9d30a3-1883-4288-8ab3-5aa8c43a7205" ] } ], "mendeley" : { "formattedCitation" : "&lt;sup&gt;[10,11]&lt;/sup&gt;", "plainTextFormattedCitation" : "[10,11]", "previouslyFormattedCitation" : "&lt;sup&gt;[10,11]&lt;/sup&gt;" }, "properties" : { "noteIndex" : 0 }, "schema" : "https://github.com/citation-style-language/schema/raw/master/csl-citation.json" }</w:instrText>
      </w:r>
      <w:r w:rsidR="00A41B3F" w:rsidRPr="0088290D">
        <w:rPr>
          <w:rFonts w:ascii="Book Antiqua" w:hAnsi="Book Antiqua" w:cs="Arial"/>
          <w:lang w:val="en-US"/>
        </w:rPr>
        <w:fldChar w:fldCharType="separate"/>
      </w:r>
      <w:r w:rsidR="00A41B3F" w:rsidRPr="0088290D">
        <w:rPr>
          <w:rFonts w:ascii="Book Antiqua" w:hAnsi="Book Antiqua" w:cs="Arial"/>
          <w:noProof/>
          <w:vertAlign w:val="superscript"/>
          <w:lang w:val="en-US"/>
        </w:rPr>
        <w:t>[10,11]</w:t>
      </w:r>
      <w:r w:rsidR="00A41B3F" w:rsidRPr="0088290D">
        <w:rPr>
          <w:rFonts w:ascii="Book Antiqua" w:hAnsi="Book Antiqua" w:cs="Arial"/>
          <w:lang w:val="en-US"/>
        </w:rPr>
        <w:fldChar w:fldCharType="end"/>
      </w:r>
      <w:r w:rsidR="00A932E3" w:rsidRPr="0088290D">
        <w:rPr>
          <w:rFonts w:ascii="Book Antiqua" w:hAnsi="Book Antiqua" w:cs="Arial"/>
          <w:lang w:val="en-US"/>
        </w:rPr>
        <w:t xml:space="preserve">. </w:t>
      </w:r>
    </w:p>
    <w:p w14:paraId="1533FBBF" w14:textId="55CC72D1" w:rsidR="004C1FD6" w:rsidRPr="0088290D" w:rsidRDefault="008746D0" w:rsidP="007940D7">
      <w:pPr>
        <w:spacing w:line="360" w:lineRule="auto"/>
        <w:jc w:val="both"/>
        <w:rPr>
          <w:rFonts w:ascii="Book Antiqua" w:hAnsi="Book Antiqua" w:cs="Arial"/>
          <w:lang w:val="en-US"/>
        </w:rPr>
      </w:pPr>
      <w:r w:rsidRPr="0088290D">
        <w:rPr>
          <w:rFonts w:ascii="Book Antiqua" w:hAnsi="Book Antiqua"/>
          <w:lang w:val="en-US"/>
        </w:rPr>
        <w:tab/>
      </w:r>
      <w:r w:rsidRPr="0088290D">
        <w:rPr>
          <w:rFonts w:ascii="Book Antiqua" w:hAnsi="Book Antiqua" w:cs="Arial"/>
          <w:lang w:val="en-US"/>
        </w:rPr>
        <w:t xml:space="preserve">Recently, reliable biomarkers of gut barrier function have been identified. Concerning enterocyte integrity, </w:t>
      </w:r>
      <w:r w:rsidR="00F07D29" w:rsidRPr="0088290D">
        <w:rPr>
          <w:rFonts w:ascii="Book Antiqua" w:hAnsi="Book Antiqua" w:cs="Arial"/>
          <w:lang w:val="en-US"/>
        </w:rPr>
        <w:t>intestinal fatty acid-binding protein (I-FABP),</w:t>
      </w:r>
      <w:r w:rsidR="009155EC" w:rsidRPr="0088290D">
        <w:rPr>
          <w:rFonts w:ascii="Book Antiqua" w:hAnsi="Book Antiqua" w:cs="Arial"/>
          <w:lang w:val="en-US"/>
        </w:rPr>
        <w:t xml:space="preserve"> </w:t>
      </w:r>
      <w:r w:rsidRPr="0088290D">
        <w:rPr>
          <w:rFonts w:ascii="Book Antiqua" w:hAnsi="Book Antiqua" w:cs="Arial"/>
          <w:lang w:val="en-US"/>
        </w:rPr>
        <w:t xml:space="preserve">a cytoplasmic protein of enterocytes, </w:t>
      </w:r>
      <w:r w:rsidR="00221E51" w:rsidRPr="0088290D">
        <w:rPr>
          <w:rFonts w:ascii="Book Antiqua" w:hAnsi="Book Antiqua" w:cs="Arial"/>
          <w:lang w:val="en-US"/>
        </w:rPr>
        <w:t xml:space="preserve">was reported as </w:t>
      </w:r>
      <w:r w:rsidRPr="0088290D">
        <w:rPr>
          <w:rFonts w:ascii="Book Antiqua" w:hAnsi="Book Antiqua" w:cs="Arial"/>
          <w:lang w:val="en-US"/>
        </w:rPr>
        <w:t>marker of enterocyte damage that could be considered as the ‘troponin of the gut’</w:t>
      </w:r>
      <w:r w:rsidR="00FE7850" w:rsidRPr="0088290D">
        <w:rPr>
          <w:rFonts w:ascii="Book Antiqua" w:hAnsi="Book Antiqua" w:cs="Arial"/>
          <w:lang w:val="en-US"/>
        </w:rPr>
        <w:fldChar w:fldCharType="begin" w:fldLock="1"/>
      </w:r>
      <w:r w:rsidR="006A009B" w:rsidRPr="0088290D">
        <w:rPr>
          <w:rFonts w:ascii="Book Antiqua" w:hAnsi="Book Antiqua" w:cs="Arial"/>
          <w:lang w:val="en-US"/>
        </w:rPr>
        <w:instrText>ADDIN CSL_CITATION { "citationItems" : [ { "id" : "ITEM-1", "itemData" : { "DOI" : "10.1097/MCC.0000000000000283", "ISSN" : "1531-7072 (Electronic)", "PMID" : "26808138", "abstract" : "PURPOSE OF REVIEW: Gut barrier failure is associated with bacterial translocation, systemic inflammation, and is presumed to be associated with the development of multiple organ dysfunction syndrome. As the gut barrier function is carried out by a monolayer of enterocytes, a minimum requirement is the integrity of the enterocytes, and controlled paracellular permeability between adjacent enterocytes. Many factors can cause critically ill patients to lose gut barrier function by a mechanism of enterocyte damage; for example, small bowel ischemia or hypoxia, sepsis, systemic inflammatory response syndrome, or absence of enteral feeding. RECENT FINDINGS: Two enterocyte biomarkers may help the intensivist to identify enterocyte damage and dysfunction, namely plasma citrulline, a biomarker of functional enterocyte mass, and plasma or urinary intestinal fatty acid-binding protein, a marker of enterocyte damage. This review focuses on results obtained with these biomarkers in the context of critical care, in particular: prevalence of enterocyte biomarker abnormalities; mechanisms associated with enterocyte damage and dysfunction; link with systemic inflammation, bacterial translocation, and clinical intestinal dysfunction; prognostic value of enterocyte biomarkers. Lastly, we also review the limits of these biomarkers. SUMMARY: Enterocyte biomarkers may help the intensivist to identify patients presenting with intestinal damage, and who are at risk of bacterial translocation and systemic inflammatory response syndrome, as well as those with decreased enterocyte function, at risk of malabsorption. Enterocyte biomarkers should be interpreted with caution in the critically ill and should be interpreted within the overall clinical context of the patient.", "author" : [ { "dropping-particle" : "", "family" : "Piton", "given" : "Gael", "non-dropping-particle" : "", "parse-names" : false, "suffix" : "" }, { "dropping-particle" : "", "family" : "Capellier", "given" : "Gilles", "non-dropping-particle" : "", "parse-names" : false, "suffix" : "" } ], "container-title" : "Current opinion in critical care", "id" : "ITEM-1", "issue" : "2", "issued" : { "date-parts" : [ [ "2016", "4" ] ] }, "language" : "eng", "page" : "152-160", "publisher-place" : "United States", "title" : "Biomarkers of gut barrier failure in the ICU.", "type" : "article-journal", "volume" : "22" }, "uris" : [ "http://www.mendeley.com/documents/?uuid=8acd915c-a481-4f2c-a2e2-b5926f3e2353" ] } ], "mendeley" : { "formattedCitation" : "&lt;sup&gt;[12]&lt;/sup&gt;", "plainTextFormattedCitation" : "[12]", "previouslyFormattedCitation" : "&lt;sup&gt;[12]&lt;/sup&gt;" }, "properties" : { "noteIndex" : 0 }, "schema" : "https://github.com/citation-style-language/schema/raw/master/csl-citation.json" }</w:instrText>
      </w:r>
      <w:r w:rsidR="00FE7850" w:rsidRPr="0088290D">
        <w:rPr>
          <w:rFonts w:ascii="Book Antiqua" w:hAnsi="Book Antiqua" w:cs="Arial"/>
          <w:lang w:val="en-US"/>
        </w:rPr>
        <w:fldChar w:fldCharType="separate"/>
      </w:r>
      <w:r w:rsidR="00A41B3F" w:rsidRPr="0088290D">
        <w:rPr>
          <w:rFonts w:ascii="Book Antiqua" w:hAnsi="Book Antiqua" w:cs="Arial"/>
          <w:noProof/>
          <w:vertAlign w:val="superscript"/>
          <w:lang w:val="en-US"/>
        </w:rPr>
        <w:t>[12]</w:t>
      </w:r>
      <w:r w:rsidR="00FE7850" w:rsidRPr="0088290D">
        <w:rPr>
          <w:rFonts w:ascii="Book Antiqua" w:hAnsi="Book Antiqua" w:cs="Arial"/>
          <w:lang w:val="en-US"/>
        </w:rPr>
        <w:fldChar w:fldCharType="end"/>
      </w:r>
      <w:r w:rsidR="003338E6" w:rsidRPr="0088290D">
        <w:rPr>
          <w:rFonts w:ascii="Book Antiqua" w:hAnsi="Book Antiqua" w:cs="Arial"/>
          <w:lang w:val="en-US"/>
        </w:rPr>
        <w:t xml:space="preserve">. </w:t>
      </w:r>
      <w:r w:rsidRPr="0088290D">
        <w:rPr>
          <w:rFonts w:ascii="Book Antiqua" w:hAnsi="Book Antiqua" w:cs="Arial"/>
          <w:lang w:val="en-US"/>
        </w:rPr>
        <w:t>Anti-</w:t>
      </w:r>
      <w:r w:rsidR="008901D7" w:rsidRPr="0088290D">
        <w:rPr>
          <w:rFonts w:ascii="Book Antiqua" w:hAnsi="Book Antiqua" w:cs="Arial"/>
          <w:lang w:val="en-US"/>
        </w:rPr>
        <w:t>F-</w:t>
      </w:r>
      <w:r w:rsidRPr="0088290D">
        <w:rPr>
          <w:rFonts w:ascii="Book Antiqua" w:hAnsi="Book Antiqua" w:cs="Arial"/>
          <w:lang w:val="en-US"/>
        </w:rPr>
        <w:t xml:space="preserve">actin IgA antibodies (AAA-IgA) directed against intracellular cytoskeletal actin filaments </w:t>
      </w:r>
      <w:r w:rsidR="00297DF9" w:rsidRPr="0088290D">
        <w:rPr>
          <w:rFonts w:ascii="Book Antiqua" w:hAnsi="Book Antiqua" w:cs="Arial"/>
          <w:lang w:val="en-US"/>
        </w:rPr>
        <w:t>and</w:t>
      </w:r>
      <w:r w:rsidR="00A61286" w:rsidRPr="0088290D">
        <w:rPr>
          <w:rFonts w:ascii="Book Antiqua" w:hAnsi="Book Antiqua" w:cs="Arial"/>
          <w:lang w:val="en-US"/>
        </w:rPr>
        <w:t xml:space="preserve"> anti-gliadin </w:t>
      </w:r>
      <w:r w:rsidR="004F5FFE" w:rsidRPr="0088290D">
        <w:rPr>
          <w:rFonts w:ascii="Book Antiqua" w:hAnsi="Book Antiqua" w:cs="Arial"/>
          <w:lang w:val="en-US"/>
        </w:rPr>
        <w:t>I</w:t>
      </w:r>
      <w:r w:rsidR="00E67197" w:rsidRPr="0088290D">
        <w:rPr>
          <w:rFonts w:ascii="Book Antiqua" w:hAnsi="Book Antiqua" w:cs="Arial"/>
          <w:lang w:val="en-US"/>
        </w:rPr>
        <w:t xml:space="preserve">gA </w:t>
      </w:r>
      <w:r w:rsidR="00A61286" w:rsidRPr="0088290D">
        <w:rPr>
          <w:rFonts w:ascii="Book Antiqua" w:hAnsi="Book Antiqua" w:cs="Arial"/>
          <w:lang w:val="en-US"/>
        </w:rPr>
        <w:t>antibodies (AGA</w:t>
      </w:r>
      <w:r w:rsidR="00E67197" w:rsidRPr="0088290D">
        <w:rPr>
          <w:rFonts w:ascii="Book Antiqua" w:hAnsi="Book Antiqua" w:cs="Arial"/>
          <w:lang w:val="en-US"/>
        </w:rPr>
        <w:t>-IgA</w:t>
      </w:r>
      <w:r w:rsidR="00A61286" w:rsidRPr="0088290D">
        <w:rPr>
          <w:rFonts w:ascii="Book Antiqua" w:hAnsi="Book Antiqua" w:cs="Arial"/>
          <w:lang w:val="en-US"/>
        </w:rPr>
        <w:t xml:space="preserve">) </w:t>
      </w:r>
      <w:r w:rsidRPr="0088290D">
        <w:rPr>
          <w:rFonts w:ascii="Book Antiqua" w:hAnsi="Book Antiqua" w:cs="Arial"/>
          <w:lang w:val="en-US"/>
        </w:rPr>
        <w:t>serve as the marker</w:t>
      </w:r>
      <w:r w:rsidR="00A61286" w:rsidRPr="0088290D">
        <w:rPr>
          <w:rFonts w:ascii="Book Antiqua" w:hAnsi="Book Antiqua" w:cs="Arial"/>
          <w:lang w:val="en-US"/>
        </w:rPr>
        <w:t>s</w:t>
      </w:r>
      <w:r w:rsidRPr="0088290D">
        <w:rPr>
          <w:rFonts w:ascii="Book Antiqua" w:hAnsi="Book Antiqua" w:cs="Arial"/>
          <w:lang w:val="en-US"/>
        </w:rPr>
        <w:t xml:space="preserve"> of the structural intestinal mucosal damage. Presence of AAA-</w:t>
      </w:r>
      <w:r w:rsidRPr="0088290D">
        <w:rPr>
          <w:rFonts w:ascii="Book Antiqua" w:hAnsi="Book Antiqua" w:cs="Arial"/>
          <w:lang w:val="en-US"/>
        </w:rPr>
        <w:lastRenderedPageBreak/>
        <w:t>IgA strongly correlated with the histological findings of total or subtotal small intestinal atrophy in patients with celiac disease</w:t>
      </w:r>
      <w:r w:rsidR="00FD5B74" w:rsidRPr="0088290D">
        <w:rPr>
          <w:rFonts w:ascii="Book Antiqua" w:hAnsi="Book Antiqua" w:cs="Arial"/>
          <w:lang w:val="en-US"/>
        </w:rPr>
        <w:fldChar w:fldCharType="begin" w:fldLock="1"/>
      </w:r>
      <w:r w:rsidR="006A009B" w:rsidRPr="0088290D">
        <w:rPr>
          <w:rFonts w:ascii="Book Antiqua" w:hAnsi="Book Antiqua" w:cs="Arial"/>
          <w:lang w:val="en-US"/>
        </w:rPr>
        <w:instrText>ADDIN CSL_CITATION { "citationItems" : [ { "id" : "ITEM-1", "itemData" : { "DOI" : "10.1155/2013/630463", "ISSN" : "2314-6141 (Electronic)", "PMID" : "24083232", "abstract" : "A new diagnostic tool (algorithm-1) for coeliac disease (CD) permitting the diagnosis without performing the duodenal biopsy has been recently proposed by the European Society for Paediatric Gastroenterology, Hepatology, and Nutrition (ESPGHAN). It combines symptoms associated with CD, high anti-transglutaminase type 2 antibody (anti-TG2) levels, anti-endomysium-IgA antibodies (EMA), and at-risk HLA. Our aims were (i) to evaluate retrospectively in 227 individuals (149 CD patients and 78 controls) the algorithm-1, (ii) to reduce the number of duodenal biopsies among CD patients for whom algorithm-1 is not applicable through the addition of antiactin IgA antibodies (AAA-IgA), and (iii) to evaluate prospectively algorithm-1 and AAA-IgA in 50 patients with suspected CD. Algorithm-1 identified 70 out of 149 CD patients with Marsh 3 lesions. Adding AAA-IgA to the remaining patients with anti-TG2 levels comprised between 4 and 10 times upper limit of normal (ULN) allowed the detection of further 20 patients with a Marsh 3 damage. In our prospective study, algorithm-1 identified 23 out of 50 patients, whilst further 7 were recognized adding AAA-IgA. We confirm that algorithm-1 may avoid the duodenal biopsy in many CD patients and underscores the usefulness of AAA-IgA in reducing the number of duodenal biopsies in patients with moderate anti-TG2 levels.", "author" : [ { "dropping-particle" : "", "family" : "Schirru", "given" : "Enrico", "non-dropping-particle" : "", "parse-names" : false, "suffix" : "" }, { "dropping-particle" : "", "family" : "Danjou", "given" : "Fabrice", "non-dropping-particle" : "", "parse-names" : false, "suffix" : "" }, { "dropping-particle" : "", "family" : "Cicotto", "given" : "Lucia", "non-dropping-particle" : "", "parse-names" : false, "suffix" : "" }, { "dropping-particle" : "", "family" : "Rossino", "given" : "Rossano", "non-dropping-particle" : "", "parse-names" : false, "suffix" : "" }, { "dropping-particle" : "", "family" : "Macis", "given" : "Maria Doloretta", "non-dropping-particle" : "", "parse-names" : false, "suffix" : "" }, { "dropping-particle" : "", "family" : "Lampis", "given" : "Rosanna", "non-dropping-particle" : "", "parse-names" : false, "suffix" : "" }, { "dropping-particle" : "", "family" : "Jores", "given" : "Rita-Desiree", "non-dropping-particle" : "", "parse-names" : false, "suffix" : "" }, { "dropping-particle" : "", "family" : "Congia", "given" : "Mauro", "non-dropping-particle" : "", "parse-names" : false, "suffix" : "" } ], "container-title" : "BioMed research international", "id" : "ITEM-1", "issued" : { "date-parts" : [ [ "2013" ] ] }, "language" : "eng", "page" : "630463", "publisher-place" : "United States", "title" : "Anti-actin IgA antibodies identify celiac disease patients with a Marsh 3 intestinal damage among subjects with moderate anti-TG2 levels.", "type" : "article-journal", "volume" : "2013" }, "uris" : [ "http://www.mendeley.com/documents/?uuid=4cdf9d53-373e-4206-86c3-4843eca4a796" ] } ], "mendeley" : { "formattedCitation" : "&lt;sup&gt;[13]&lt;/sup&gt;", "plainTextFormattedCitation" : "[13]", "previouslyFormattedCitation" : "&lt;sup&gt;[13]&lt;/sup&gt;" }, "properties" : { "noteIndex" : 0 }, "schema" : "https://github.com/citation-style-language/schema/raw/master/csl-citation.json" }</w:instrText>
      </w:r>
      <w:r w:rsidR="00FD5B74" w:rsidRPr="0088290D">
        <w:rPr>
          <w:rFonts w:ascii="Book Antiqua" w:hAnsi="Book Antiqua" w:cs="Arial"/>
          <w:lang w:val="en-US"/>
        </w:rPr>
        <w:fldChar w:fldCharType="separate"/>
      </w:r>
      <w:r w:rsidR="00A41B3F" w:rsidRPr="0088290D">
        <w:rPr>
          <w:rFonts w:ascii="Book Antiqua" w:hAnsi="Book Antiqua" w:cs="Arial"/>
          <w:noProof/>
          <w:vertAlign w:val="superscript"/>
          <w:lang w:val="en-US"/>
        </w:rPr>
        <w:t>[13]</w:t>
      </w:r>
      <w:r w:rsidR="00FD5B74" w:rsidRPr="0088290D">
        <w:rPr>
          <w:rFonts w:ascii="Book Antiqua" w:hAnsi="Book Antiqua" w:cs="Arial"/>
          <w:lang w:val="en-US"/>
        </w:rPr>
        <w:fldChar w:fldCharType="end"/>
      </w:r>
      <w:r w:rsidRPr="0088290D">
        <w:rPr>
          <w:rFonts w:ascii="Book Antiqua" w:hAnsi="Book Antiqua" w:cs="Arial"/>
          <w:lang w:val="en-US"/>
        </w:rPr>
        <w:t>.</w:t>
      </w:r>
      <w:r w:rsidR="00550C18" w:rsidRPr="0088290D">
        <w:rPr>
          <w:rFonts w:ascii="Book Antiqua" w:hAnsi="Book Antiqua" w:cs="Arial"/>
          <w:lang w:val="en-US"/>
        </w:rPr>
        <w:t xml:space="preserve"> </w:t>
      </w:r>
      <w:r w:rsidR="004F5FFE" w:rsidRPr="0088290D">
        <w:rPr>
          <w:rFonts w:ascii="Book Antiqua" w:hAnsi="Book Antiqua" w:cs="Arial"/>
          <w:lang w:val="en-US"/>
        </w:rPr>
        <w:t>Presence of AGA-IgA</w:t>
      </w:r>
      <w:r w:rsidR="00A147ED" w:rsidRPr="0088290D">
        <w:rPr>
          <w:rFonts w:ascii="Book Antiqua" w:hAnsi="Book Antiqua" w:cs="Arial"/>
          <w:lang w:val="en-US"/>
        </w:rPr>
        <w:t xml:space="preserve"> </w:t>
      </w:r>
      <w:r w:rsidR="009A260F" w:rsidRPr="0088290D">
        <w:rPr>
          <w:rFonts w:ascii="Book Antiqua" w:hAnsi="Book Antiqua" w:cs="Arial"/>
          <w:lang w:val="en-US"/>
        </w:rPr>
        <w:t>was</w:t>
      </w:r>
      <w:r w:rsidR="005667C6" w:rsidRPr="0088290D">
        <w:rPr>
          <w:rFonts w:ascii="Book Antiqua" w:hAnsi="Book Antiqua" w:cs="Arial"/>
          <w:lang w:val="en-US"/>
        </w:rPr>
        <w:t xml:space="preserve"> associated with </w:t>
      </w:r>
      <w:r w:rsidR="00A147ED" w:rsidRPr="0088290D">
        <w:rPr>
          <w:rFonts w:ascii="Book Antiqua" w:hAnsi="Book Antiqua" w:cs="Arial"/>
          <w:lang w:val="en-US"/>
        </w:rPr>
        <w:t xml:space="preserve">increased </w:t>
      </w:r>
      <w:r w:rsidR="005667C6" w:rsidRPr="0088290D">
        <w:rPr>
          <w:rFonts w:ascii="Book Antiqua" w:hAnsi="Book Antiqua" w:cs="Arial"/>
          <w:lang w:val="en-US"/>
        </w:rPr>
        <w:t xml:space="preserve">intestinal permeability </w:t>
      </w:r>
      <w:r w:rsidR="00E117C2" w:rsidRPr="0088290D">
        <w:rPr>
          <w:rFonts w:ascii="Book Antiqua" w:hAnsi="Book Antiqua" w:cs="Arial"/>
          <w:lang w:val="en-US"/>
        </w:rPr>
        <w:t>in patients with cirrhosis and significant portal hypertension</w:t>
      </w:r>
      <w:r w:rsidR="00D6253D" w:rsidRPr="0088290D">
        <w:rPr>
          <w:rFonts w:ascii="Book Antiqua" w:hAnsi="Book Antiqua" w:cs="Arial"/>
          <w:lang w:val="en-US"/>
        </w:rPr>
        <w:t xml:space="preserve"> </w:t>
      </w:r>
      <w:r w:rsidR="00D6253D" w:rsidRPr="0088290D">
        <w:rPr>
          <w:rFonts w:ascii="Book Antiqua" w:hAnsi="Book Antiqua" w:cs="Arial"/>
          <w:lang w:val="en-US"/>
        </w:rPr>
        <w:fldChar w:fldCharType="begin" w:fldLock="1"/>
      </w:r>
      <w:r w:rsidR="006A009B" w:rsidRPr="0088290D">
        <w:rPr>
          <w:rFonts w:ascii="Book Antiqua" w:hAnsi="Book Antiqua" w:cs="Arial"/>
          <w:lang w:val="en-US"/>
        </w:rPr>
        <w:instrText>ADDIN CSL_CITATION { "citationItems" : [ { "id" : "ITEM-1", "itemData" : { "DOI" : "10.1016/j.jhep.2012.12.011", "ISSN" : "0168-8278", "author" : [ { "dropping-particle" : "", "family" : "Reiberger", "given" : "Thomas", "non-dropping-particle" : "", "parse-names" : false, "suffix" : "" }, { "dropping-particle" : "", "family" : "Ferlitsch", "given" : "Arnulf", "non-dropping-particle" : "", "parse-names" : false, "suffix" : "" }, { "dropping-particle" : "", "family" : "Payer", "given" : "Berit A", "non-dropping-particle" : "", "parse-names" : false, "suffix" : "" }, { "dropping-particle" : "", "family" : "Mandorfer", "given" : "Mattias", "non-dropping-particle" : "", "parse-names" : false, "suffix" : "" }, { "dropping-particle" : "", "family" : "Heinisch", "given" : "Birgit B", "non-dropping-particle" : "", "parse-names" : false, "suffix" : "" }, { "dropping-particle" : "", "family" : "Hayden", "given" : "Hubert", "non-dropping-particle" : "", "parse-names" : false, "suffix" : "" }, { "dropping-particle" : "", "family" : "Lammert", "given" : "Frank", "non-dropping-particle" : "", "parse-names" : false, "suffix" : "" }, { "dropping-particle" : "", "family" : "Trauner", "given" : "Michael", "non-dropping-particle" : "", "parse-names" : false, "suffix" : "" }, { "dropping-particle" : "", "family" : "Peck-radosavljevic", "given" : "Markus", "non-dropping-particle" : "", "parse-names" : false, "suffix" : "" }, { "dropping-particle" : "", "family" : "Vogelsang", "given" : "Harald", "non-dropping-particle" : "", "parse-names" : false, "suffix" : "" }, { "dropping-particle" : "", "family" : "Hepatic", "given" : "Vienna", "non-dropping-particle" : "", "parse-names" : false, "suffix" : "" } ], "container-title" : "Journal of Hepatology", "id" : "ITEM-1", "issue" : "5", "issued" : { "date-parts" : [ [ "2013" ] ] }, "page" : "911-921", "publisher" : "European Association for the Study of the Liver", "title" : "Non-selective betablocker therapy decreases intestinal permeability and serum levels of LBP and IL-6 in patients with cirrhosis", "type" : "article-journal", "volume" : "58" }, "uris" : [ "http://www.mendeley.com/documents/?uuid=f9c4addd-3dfe-423f-a45c-50cb2b0fb8d7" ] } ], "mendeley" : { "formattedCitation" : "&lt;sup&gt;[14]&lt;/sup&gt;", "plainTextFormattedCitation" : "[14]", "previouslyFormattedCitation" : "&lt;sup&gt;[14]&lt;/sup&gt;" }, "properties" : { "noteIndex" : 0 }, "schema" : "https://github.com/citation-style-language/schema/raw/master/csl-citation.json" }</w:instrText>
      </w:r>
      <w:r w:rsidR="00D6253D" w:rsidRPr="0088290D">
        <w:rPr>
          <w:rFonts w:ascii="Book Antiqua" w:hAnsi="Book Antiqua" w:cs="Arial"/>
          <w:lang w:val="en-US"/>
        </w:rPr>
        <w:fldChar w:fldCharType="separate"/>
      </w:r>
      <w:r w:rsidR="00A41B3F" w:rsidRPr="0088290D">
        <w:rPr>
          <w:rFonts w:ascii="Book Antiqua" w:hAnsi="Book Antiqua" w:cs="Arial"/>
          <w:noProof/>
          <w:vertAlign w:val="superscript"/>
          <w:lang w:val="en-US"/>
        </w:rPr>
        <w:t>[14]</w:t>
      </w:r>
      <w:r w:rsidR="00D6253D" w:rsidRPr="0088290D">
        <w:rPr>
          <w:rFonts w:ascii="Book Antiqua" w:hAnsi="Book Antiqua" w:cs="Arial"/>
          <w:lang w:val="en-US"/>
        </w:rPr>
        <w:fldChar w:fldCharType="end"/>
      </w:r>
      <w:r w:rsidR="005667C6" w:rsidRPr="0088290D">
        <w:rPr>
          <w:rFonts w:ascii="Book Antiqua" w:hAnsi="Book Antiqua" w:cs="Arial"/>
          <w:lang w:val="en-US"/>
        </w:rPr>
        <w:t>.</w:t>
      </w:r>
    </w:p>
    <w:p w14:paraId="5EC9C265" w14:textId="01971272" w:rsidR="00E86249" w:rsidRPr="0088290D" w:rsidRDefault="00635D6C"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ab/>
      </w:r>
      <w:r w:rsidR="003B088D" w:rsidRPr="0088290D">
        <w:rPr>
          <w:rFonts w:ascii="Book Antiqua" w:hAnsi="Book Antiqua" w:cs="Arial"/>
          <w:lang w:val="en-US"/>
        </w:rPr>
        <w:t>The aims of this study were to assess</w:t>
      </w:r>
      <w:r w:rsidR="00A654AC" w:rsidRPr="0088290D">
        <w:rPr>
          <w:rFonts w:ascii="Book Antiqua" w:hAnsi="Book Antiqua" w:cs="Arial"/>
          <w:lang w:val="en-US"/>
        </w:rPr>
        <w:t>:</w:t>
      </w:r>
      <w:r w:rsidRPr="0088290D">
        <w:rPr>
          <w:rFonts w:ascii="Book Antiqua" w:hAnsi="Book Antiqua" w:cs="Arial"/>
          <w:lang w:val="en-US"/>
        </w:rPr>
        <w:t xml:space="preserve"> </w:t>
      </w:r>
      <w:r w:rsidR="005F169A" w:rsidRPr="0088290D">
        <w:rPr>
          <w:rFonts w:ascii="Book Antiqua" w:hAnsi="Book Antiqua" w:cs="Arial"/>
          <w:lang w:val="en-US"/>
        </w:rPr>
        <w:t xml:space="preserve">(1) the prevalence of </w:t>
      </w:r>
      <w:r w:rsidR="00796004" w:rsidRPr="0088290D">
        <w:rPr>
          <w:rFonts w:ascii="Book Antiqua" w:hAnsi="Book Antiqua" w:cs="Arial"/>
          <w:lang w:val="en-US"/>
        </w:rPr>
        <w:t xml:space="preserve">a panel of </w:t>
      </w:r>
      <w:r w:rsidR="003B088D" w:rsidRPr="0088290D">
        <w:rPr>
          <w:rFonts w:ascii="Book Antiqua" w:hAnsi="Book Antiqua" w:cs="Times"/>
          <w:lang w:val="en-US"/>
        </w:rPr>
        <w:t xml:space="preserve">serologic markers </w:t>
      </w:r>
      <w:r w:rsidR="00EB70DF" w:rsidRPr="0088290D">
        <w:rPr>
          <w:rFonts w:ascii="Book Antiqua" w:hAnsi="Book Antiqua" w:cs="Times"/>
          <w:lang w:val="en-US"/>
        </w:rPr>
        <w:t xml:space="preserve">that reflect </w:t>
      </w:r>
      <w:r w:rsidR="003B088D" w:rsidRPr="0088290D">
        <w:rPr>
          <w:rFonts w:ascii="Book Antiqua" w:hAnsi="Book Antiqua"/>
          <w:lang w:val="en-US"/>
        </w:rPr>
        <w:t xml:space="preserve">gut barrier dysfunction </w:t>
      </w:r>
      <w:r w:rsidR="003B088D" w:rsidRPr="0088290D">
        <w:rPr>
          <w:rFonts w:ascii="Book Antiqua" w:hAnsi="Book Antiqua" w:cs="Arial"/>
          <w:lang w:val="en-US"/>
        </w:rPr>
        <w:t>in a mixed cohort of pediatric and adult PSC patients</w:t>
      </w:r>
      <w:r w:rsidR="005F169A" w:rsidRPr="0088290D">
        <w:rPr>
          <w:rFonts w:ascii="Book Antiqua" w:hAnsi="Book Antiqua" w:cs="Arial"/>
          <w:lang w:val="en-US"/>
        </w:rPr>
        <w:t xml:space="preserve">; (2) associations between these markers and both the clinical and laboratory characteristics of the disease;  (3) whether </w:t>
      </w:r>
      <w:r w:rsidR="00D738A5" w:rsidRPr="0088290D">
        <w:rPr>
          <w:rFonts w:ascii="Book Antiqua" w:hAnsi="Book Antiqua" w:cs="Arial"/>
          <w:lang w:val="en-US"/>
        </w:rPr>
        <w:t xml:space="preserve">serologic markers of </w:t>
      </w:r>
      <w:r w:rsidR="005F169A" w:rsidRPr="0088290D">
        <w:rPr>
          <w:rFonts w:ascii="Book Antiqua" w:hAnsi="Book Antiqua" w:cs="Arial"/>
          <w:lang w:val="en-US"/>
        </w:rPr>
        <w:t xml:space="preserve">gut failure is associated with the </w:t>
      </w:r>
      <w:r w:rsidR="00095BD2" w:rsidRPr="0088290D">
        <w:rPr>
          <w:rFonts w:ascii="Book Antiqua" w:hAnsi="Book Antiqua" w:cs="Times"/>
          <w:lang w:val="en-US"/>
        </w:rPr>
        <w:t>long-term disease course</w:t>
      </w:r>
      <w:r w:rsidR="00095BD2" w:rsidRPr="0088290D">
        <w:rPr>
          <w:rFonts w:ascii="Book Antiqua" w:hAnsi="Book Antiqua" w:cs="Arial"/>
          <w:lang w:val="en-US"/>
        </w:rPr>
        <w:t xml:space="preserve"> </w:t>
      </w:r>
      <w:r w:rsidR="005F169A" w:rsidRPr="0088290D">
        <w:rPr>
          <w:rFonts w:ascii="Book Antiqua" w:hAnsi="Book Antiqua" w:cs="Arial"/>
          <w:lang w:val="en-US"/>
        </w:rPr>
        <w:t>in PSC;</w:t>
      </w:r>
      <w:r w:rsidR="00085155" w:rsidRPr="0088290D">
        <w:rPr>
          <w:rFonts w:ascii="Book Antiqua" w:hAnsi="Book Antiqua" w:cs="Arial"/>
          <w:lang w:val="en-US"/>
        </w:rPr>
        <w:t xml:space="preserve"> </w:t>
      </w:r>
      <w:r w:rsidR="006716DE">
        <w:rPr>
          <w:rFonts w:ascii="Book Antiqua" w:eastAsia="SimSun" w:hAnsi="Book Antiqua" w:cs="Arial" w:hint="eastAsia"/>
          <w:lang w:val="en-US" w:eastAsia="zh-CN"/>
        </w:rPr>
        <w:t xml:space="preserve">and </w:t>
      </w:r>
      <w:r w:rsidR="006E472A" w:rsidRPr="0088290D">
        <w:rPr>
          <w:rFonts w:ascii="Book Antiqua" w:hAnsi="Book Antiqua" w:cs="Arial"/>
          <w:lang w:val="en-US"/>
        </w:rPr>
        <w:t>(</w:t>
      </w:r>
      <w:r w:rsidR="00297DF9" w:rsidRPr="0088290D">
        <w:rPr>
          <w:rFonts w:ascii="Book Antiqua" w:hAnsi="Book Antiqua" w:cs="Arial"/>
          <w:lang w:val="en-US"/>
        </w:rPr>
        <w:t>4</w:t>
      </w:r>
      <w:r w:rsidR="006E472A" w:rsidRPr="0088290D">
        <w:rPr>
          <w:rFonts w:ascii="Book Antiqua" w:hAnsi="Book Antiqua" w:cs="Arial"/>
          <w:lang w:val="en-US"/>
        </w:rPr>
        <w:t>) association of gut failure markers</w:t>
      </w:r>
      <w:r w:rsidR="00353517" w:rsidRPr="0088290D">
        <w:rPr>
          <w:rFonts w:ascii="Book Antiqua" w:hAnsi="Book Antiqua" w:cs="Arial"/>
          <w:lang w:val="en-US"/>
        </w:rPr>
        <w:t xml:space="preserve"> with the </w:t>
      </w:r>
      <w:r w:rsidR="00353517" w:rsidRPr="0088290D">
        <w:rPr>
          <w:rFonts w:ascii="Book Antiqua" w:hAnsi="Book Antiqua" w:cs="Times"/>
          <w:lang w:val="en-US"/>
        </w:rPr>
        <w:t xml:space="preserve">markers of lipopolysaccharide exposure </w:t>
      </w:r>
      <w:r w:rsidR="00950178" w:rsidRPr="0088290D">
        <w:rPr>
          <w:rFonts w:ascii="Book Antiqua" w:hAnsi="Book Antiqua" w:cs="Times"/>
          <w:lang w:val="en-US"/>
        </w:rPr>
        <w:t xml:space="preserve">and </w:t>
      </w:r>
      <w:r w:rsidR="00E86249" w:rsidRPr="0088290D">
        <w:rPr>
          <w:rFonts w:ascii="Book Antiqua" w:hAnsi="Book Antiqua" w:cs="Arial"/>
          <w:lang w:val="en-US"/>
        </w:rPr>
        <w:t>mucosal immune reactivity.</w:t>
      </w:r>
    </w:p>
    <w:p w14:paraId="5974A0A7" w14:textId="77777777" w:rsidR="00600A7F" w:rsidRPr="0088290D" w:rsidRDefault="00600A7F" w:rsidP="007940D7">
      <w:pPr>
        <w:widowControl w:val="0"/>
        <w:autoSpaceDE w:val="0"/>
        <w:autoSpaceDN w:val="0"/>
        <w:adjustRightInd w:val="0"/>
        <w:spacing w:line="360" w:lineRule="auto"/>
        <w:jc w:val="both"/>
        <w:rPr>
          <w:rFonts w:ascii="Book Antiqua" w:hAnsi="Book Antiqua" w:cs="Arial"/>
          <w:lang w:val="en-US"/>
        </w:rPr>
      </w:pPr>
    </w:p>
    <w:p w14:paraId="5CC669F3" w14:textId="153AF39F" w:rsidR="001A7698" w:rsidRPr="0088290D" w:rsidRDefault="001A7698" w:rsidP="007940D7">
      <w:pPr>
        <w:widowControl w:val="0"/>
        <w:autoSpaceDE w:val="0"/>
        <w:autoSpaceDN w:val="0"/>
        <w:adjustRightInd w:val="0"/>
        <w:spacing w:line="360" w:lineRule="auto"/>
        <w:jc w:val="both"/>
        <w:rPr>
          <w:rFonts w:ascii="Book Antiqua" w:hAnsi="Book Antiqua" w:cs="Arial"/>
          <w:b/>
          <w:lang w:val="en-US"/>
        </w:rPr>
      </w:pPr>
      <w:r w:rsidRPr="0088290D">
        <w:rPr>
          <w:rFonts w:ascii="Book Antiqua" w:hAnsi="Book Antiqua" w:cs="Arial"/>
          <w:b/>
          <w:lang w:val="en-US"/>
        </w:rPr>
        <w:t>MATERIAL AND METHODS</w:t>
      </w:r>
    </w:p>
    <w:p w14:paraId="42DB7208" w14:textId="77777777" w:rsidR="001A7698" w:rsidRPr="006716DE" w:rsidRDefault="001A7698" w:rsidP="007940D7">
      <w:pPr>
        <w:widowControl w:val="0"/>
        <w:autoSpaceDE w:val="0"/>
        <w:autoSpaceDN w:val="0"/>
        <w:adjustRightInd w:val="0"/>
        <w:spacing w:line="360" w:lineRule="auto"/>
        <w:jc w:val="both"/>
        <w:rPr>
          <w:rFonts w:ascii="Book Antiqua" w:hAnsi="Book Antiqua" w:cs="Arial"/>
          <w:b/>
          <w:i/>
          <w:lang w:val="en-US"/>
        </w:rPr>
      </w:pPr>
      <w:r w:rsidRPr="006716DE">
        <w:rPr>
          <w:rFonts w:ascii="Book Antiqua" w:hAnsi="Book Antiqua" w:cs="Arial"/>
          <w:b/>
          <w:i/>
          <w:lang w:val="en-US"/>
        </w:rPr>
        <w:t>Patient population</w:t>
      </w:r>
    </w:p>
    <w:p w14:paraId="24643488" w14:textId="314E1E30" w:rsidR="0019552E" w:rsidRPr="006716DE" w:rsidRDefault="0019552E"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 xml:space="preserve">We performed an observational cohort study among adult and pediatric PSC patients recruited in Hungarian referral hepatology centers (Hungarian Autoimmune Liver Disease Study Group). In total </w:t>
      </w:r>
      <w:r w:rsidR="0019525C" w:rsidRPr="0088290D">
        <w:rPr>
          <w:rFonts w:ascii="Book Antiqua" w:hAnsi="Book Antiqua" w:cs="Arial"/>
          <w:lang w:val="en-US"/>
        </w:rPr>
        <w:t>67</w:t>
      </w:r>
      <w:r w:rsidR="00A654AC" w:rsidRPr="0088290D">
        <w:rPr>
          <w:rFonts w:ascii="Book Antiqua" w:hAnsi="Book Antiqua" w:cs="Arial"/>
          <w:lang w:val="en-US"/>
        </w:rPr>
        <w:t>,</w:t>
      </w:r>
      <w:r w:rsidRPr="0088290D">
        <w:rPr>
          <w:rFonts w:ascii="Book Antiqua" w:hAnsi="Book Antiqua" w:cs="Arial"/>
          <w:lang w:val="en-US"/>
        </w:rPr>
        <w:t xml:space="preserve"> well-characterized PSC patients with a complete clinical follow-up (adult: 5</w:t>
      </w:r>
      <w:r w:rsidR="00297DF9" w:rsidRPr="0088290D">
        <w:rPr>
          <w:rFonts w:ascii="Book Antiqua" w:hAnsi="Book Antiqua" w:cs="Arial"/>
          <w:lang w:val="en-US"/>
        </w:rPr>
        <w:t>6</w:t>
      </w:r>
      <w:r w:rsidRPr="0088290D">
        <w:rPr>
          <w:rFonts w:ascii="Book Antiqua" w:hAnsi="Book Antiqua" w:cs="Arial"/>
          <w:lang w:val="en-US"/>
        </w:rPr>
        <w:t xml:space="preserve"> [male/female: 4</w:t>
      </w:r>
      <w:r w:rsidR="00297DF9" w:rsidRPr="0088290D">
        <w:rPr>
          <w:rFonts w:ascii="Book Antiqua" w:hAnsi="Book Antiqua" w:cs="Arial"/>
          <w:lang w:val="en-US"/>
        </w:rPr>
        <w:t>0</w:t>
      </w:r>
      <w:r w:rsidRPr="0088290D">
        <w:rPr>
          <w:rFonts w:ascii="Book Antiqua" w:hAnsi="Book Antiqua" w:cs="Arial"/>
          <w:lang w:val="en-US"/>
        </w:rPr>
        <w:t>/1</w:t>
      </w:r>
      <w:r w:rsidR="00297DF9" w:rsidRPr="0088290D">
        <w:rPr>
          <w:rFonts w:ascii="Book Antiqua" w:hAnsi="Book Antiqua" w:cs="Arial"/>
          <w:lang w:val="en-US"/>
        </w:rPr>
        <w:t>6</w:t>
      </w:r>
      <w:r w:rsidRPr="0088290D">
        <w:rPr>
          <w:rFonts w:ascii="Book Antiqua" w:hAnsi="Book Antiqua" w:cs="Arial"/>
          <w:lang w:val="en-US"/>
        </w:rPr>
        <w:t>], median age at presentation: 29 years [IQR: 19-37], median disease duration: 6 years [3-1</w:t>
      </w:r>
      <w:r w:rsidR="00297DF9" w:rsidRPr="0088290D">
        <w:rPr>
          <w:rFonts w:ascii="Book Antiqua" w:hAnsi="Book Antiqua" w:cs="Arial"/>
          <w:lang w:val="en-US"/>
        </w:rPr>
        <w:t>2</w:t>
      </w:r>
      <w:r w:rsidRPr="0088290D">
        <w:rPr>
          <w:rFonts w:ascii="Book Antiqua" w:hAnsi="Book Antiqua" w:cs="Arial"/>
          <w:lang w:val="en-US"/>
        </w:rPr>
        <w:t>] and children: 11 [male/female: 8/3], median age at presentation: 10 years [IQR: 6</w:t>
      </w:r>
      <w:r w:rsidR="00297DF9" w:rsidRPr="0088290D">
        <w:rPr>
          <w:rFonts w:ascii="Book Antiqua" w:hAnsi="Book Antiqua" w:cs="Arial"/>
          <w:lang w:val="en-US"/>
        </w:rPr>
        <w:t>-</w:t>
      </w:r>
      <w:r w:rsidRPr="0088290D">
        <w:rPr>
          <w:rFonts w:ascii="Book Antiqua" w:hAnsi="Book Antiqua" w:cs="Arial"/>
          <w:lang w:val="en-US"/>
        </w:rPr>
        <w:t>1</w:t>
      </w:r>
      <w:r w:rsidR="00297DF9" w:rsidRPr="0088290D">
        <w:rPr>
          <w:rFonts w:ascii="Book Antiqua" w:hAnsi="Book Antiqua" w:cs="Arial"/>
          <w:lang w:val="en-US"/>
        </w:rPr>
        <w:t>2</w:t>
      </w:r>
      <w:r w:rsidRPr="0088290D">
        <w:rPr>
          <w:rFonts w:ascii="Book Antiqua" w:hAnsi="Book Antiqua" w:cs="Arial"/>
          <w:lang w:val="en-US"/>
        </w:rPr>
        <w:t xml:space="preserve">], disease duration: 5 [1-7]) were included between January, 2006 and December, 2007. Clinical characteristics of patients at enrolment are presented in </w:t>
      </w:r>
      <w:r w:rsidRPr="006716DE">
        <w:rPr>
          <w:rFonts w:ascii="Book Antiqua" w:hAnsi="Book Antiqua" w:cs="Arial"/>
          <w:lang w:val="en-US"/>
        </w:rPr>
        <w:t>Table 1.</w:t>
      </w:r>
    </w:p>
    <w:p w14:paraId="33401DF9" w14:textId="11DFBCD8" w:rsidR="0019552E" w:rsidRPr="0088290D" w:rsidRDefault="0019552E"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ab/>
        <w:t>Diagnosis of PSC was based on clinical, biochemical, serological and cholangiographic (magnetic resonance or endoscopic imaging) features or, when indi</w:t>
      </w:r>
      <w:r w:rsidR="00FB059C">
        <w:rPr>
          <w:rFonts w:ascii="Book Antiqua" w:hAnsi="Book Antiqua" w:cs="Arial"/>
          <w:lang w:val="en-US"/>
        </w:rPr>
        <w:t>cated, on histological findings</w:t>
      </w:r>
      <w:r w:rsidR="00EF266F" w:rsidRPr="0088290D">
        <w:rPr>
          <w:rFonts w:ascii="Book Antiqua" w:hAnsi="Book Antiqua" w:cs="Arial"/>
          <w:lang w:val="en-US"/>
        </w:rPr>
        <w:fldChar w:fldCharType="begin" w:fldLock="1"/>
      </w:r>
      <w:r w:rsidR="00EF266F" w:rsidRPr="0088290D">
        <w:rPr>
          <w:rFonts w:ascii="Book Antiqua" w:hAnsi="Book Antiqua" w:cs="Arial"/>
          <w:lang w:val="en-US"/>
        </w:rPr>
        <w:instrText>ADDIN CSL_CITATION { "citationItems" : [ { "id" : "ITEM-1", "itemData" : { "ISSN" : "0267-1379 (Print)", "PMID" : "17031201", "abstract" : "Primary sclerosing cholangitis is a chronic cholestatic disease that may have an  autoimmune basis. Most patients have a circulating antineutrophil cytoplasmic antibody that appears to be targeted against a 50-kD nuclear envelope protein. The clinical applications of this antibody have not yet been defined. Other autoantibodies directed against antigens, such as cathepsin G, elastase, and anticardiolipin, may also be detected in some patients. It is suggested that primary sclerosing cholangitis may have a bacterial cause. Helicobacter gene sequences have been detected in liver tissues in primary sclerosing cholangitis. The role of Helicobacter spp and other bacteria in the etiopathogenesis of primary sclerosing cholangitis remains to be determined. Primary sclerosing cholangitis may overlap with autoimmune hepatitis in some cases, although the real prevalence of this association remains to be determined. Many prognostic models have been created, but they lack cross-validation, and their clinical usefulness remains limited. Endoscopic retrograde cholangiography remains the gold standard for diagnosis, but magnetic resonance imaging may be a viable alternative in many cases. Clinical trials with cladibrine, pentoxifylline, and budesonide have failed to demonstrate benefits. Orthotopic liver transplantation remains the only effective treatment.", "author" : [ { "dropping-particle" : "", "family" : "Martins", "given" : "E B", "non-dropping-particle" : "", "parse-names" : false, "suffix" : "" }, { "dropping-particle" : "", "family" : "Chapman", "given" : "R W", "non-dropping-particle" : "", "parse-names" : false, "suffix" : "" } ], "container-title" : "Current opinion in gastroenterology", "id" : "ITEM-1", "issue" : "5", "issued" : { "date-parts" : [ [ "2001", "9" ] ] }, "language" : "eng", "page" : "458-462", "publisher-place" : "United States", "title" : "Sclerosing cholangitis.", "type" : "article-journal", "volume" : "17" }, "uris" : [ "http://www.mendeley.com/documents/?uuid=db908477-28a3-4bc9-9a48-8bbd2d845e71" ] } ], "mendeley" : { "formattedCitation" : "&lt;sup&gt;[15]&lt;/sup&gt;", "plainTextFormattedCitation" : "[15]", "previouslyFormattedCitation" : "&lt;sup&gt;[15]&lt;/sup&gt;" }, "properties" : { "noteIndex" : 0 }, "schema" : "https://github.com/citation-style-language/schema/raw/master/csl-citation.json" }</w:instrText>
      </w:r>
      <w:r w:rsidR="00EF266F" w:rsidRPr="0088290D">
        <w:rPr>
          <w:rFonts w:ascii="Book Antiqua" w:hAnsi="Book Antiqua" w:cs="Arial"/>
          <w:lang w:val="en-US"/>
        </w:rPr>
        <w:fldChar w:fldCharType="separate"/>
      </w:r>
      <w:r w:rsidR="00EF266F" w:rsidRPr="0088290D">
        <w:rPr>
          <w:rFonts w:ascii="Book Antiqua" w:hAnsi="Book Antiqua" w:cs="Arial"/>
          <w:noProof/>
          <w:vertAlign w:val="superscript"/>
          <w:lang w:val="en-US"/>
        </w:rPr>
        <w:t>[15]</w:t>
      </w:r>
      <w:r w:rsidR="00EF266F" w:rsidRPr="0088290D">
        <w:rPr>
          <w:rFonts w:ascii="Book Antiqua" w:hAnsi="Book Antiqua" w:cs="Arial"/>
          <w:lang w:val="en-US"/>
        </w:rPr>
        <w:fldChar w:fldCharType="end"/>
      </w:r>
      <w:r w:rsidR="00FB059C">
        <w:rPr>
          <w:rFonts w:ascii="Book Antiqua" w:eastAsia="SimSun" w:hAnsi="Book Antiqua" w:cs="Arial" w:hint="eastAsia"/>
          <w:lang w:val="en-US" w:eastAsia="zh-CN"/>
        </w:rPr>
        <w:t xml:space="preserve">. </w:t>
      </w:r>
      <w:r w:rsidRPr="0088290D">
        <w:rPr>
          <w:rFonts w:ascii="Book Antiqua" w:hAnsi="Book Antiqua" w:cs="Arial"/>
          <w:lang w:val="en-US"/>
        </w:rPr>
        <w:t xml:space="preserve">Patients with any concomitant malignant disease were excluded. Blood samples and detailed description of clinical phenotypes were obtained at inclusion. Clinical data were determined by thorough review of patients’ medical records, which had been collected in a uniform format. Medical records that documented disease phenotype (age at onset, duration, type of PSC – large duct or small duct), presence and type </w:t>
      </w:r>
      <w:r w:rsidRPr="0088290D">
        <w:rPr>
          <w:rFonts w:ascii="Book Antiqua" w:hAnsi="Book Antiqua" w:cs="Arial"/>
          <w:lang w:val="en-US"/>
        </w:rPr>
        <w:lastRenderedPageBreak/>
        <w:t>of concomitant IBD, presence of overlap syndrome, presence of cirrhosis and portal hypertension related complications (</w:t>
      </w:r>
      <w:r w:rsidRPr="006716DE">
        <w:rPr>
          <w:rFonts w:ascii="Book Antiqua" w:hAnsi="Book Antiqua" w:cs="Arial"/>
          <w:i/>
          <w:lang w:val="en-US"/>
        </w:rPr>
        <w:t>e.g.</w:t>
      </w:r>
      <w:r w:rsidR="006716DE" w:rsidRPr="006716DE">
        <w:rPr>
          <w:rFonts w:ascii="Book Antiqua" w:eastAsia="SimSun" w:hAnsi="Book Antiqua" w:cs="Arial" w:hint="eastAsia"/>
          <w:i/>
          <w:lang w:val="en-US" w:eastAsia="zh-CN"/>
        </w:rPr>
        <w:t>,</w:t>
      </w:r>
      <w:r w:rsidRPr="0088290D">
        <w:rPr>
          <w:rFonts w:ascii="Book Antiqua" w:hAnsi="Book Antiqua" w:cs="Arial"/>
          <w:lang w:val="en-US"/>
        </w:rPr>
        <w:t xml:space="preserve"> ascites, encephalopathy, oesophageal varices or variceal bleeding), prior orthotopic liver transplantation (OLTx), co-morbidities and medication (</w:t>
      </w:r>
      <w:r w:rsidR="006716DE" w:rsidRPr="006716DE">
        <w:rPr>
          <w:rFonts w:ascii="Book Antiqua" w:hAnsi="Book Antiqua" w:cs="Arial"/>
          <w:i/>
          <w:lang w:val="en-US"/>
        </w:rPr>
        <w:t>e.g.</w:t>
      </w:r>
      <w:r w:rsidR="006716DE" w:rsidRPr="006716DE">
        <w:rPr>
          <w:rFonts w:ascii="Book Antiqua" w:eastAsia="SimSun" w:hAnsi="Book Antiqua" w:cs="Arial" w:hint="eastAsia"/>
          <w:i/>
          <w:lang w:val="en-US" w:eastAsia="zh-CN"/>
        </w:rPr>
        <w:t>,</w:t>
      </w:r>
      <w:r w:rsidRPr="0088290D">
        <w:rPr>
          <w:rFonts w:ascii="Book Antiqua" w:hAnsi="Book Antiqua" w:cs="Arial"/>
          <w:lang w:val="en-US"/>
        </w:rPr>
        <w:t xml:space="preserve"> ursodeoxycholic acid, steroid, immunosuppressive and/or biological therapy) at inclusion were retrospectively analyzed for the period prior to the prospective follow-up. At enrolment, revised Mayo risk score was calculated</w:t>
      </w:r>
      <w:r w:rsidR="00EF266F" w:rsidRPr="0088290D">
        <w:rPr>
          <w:rFonts w:ascii="Book Antiqua" w:hAnsi="Book Antiqua" w:cs="Arial"/>
          <w:lang w:val="en-US"/>
        </w:rPr>
        <w:fldChar w:fldCharType="begin" w:fldLock="1"/>
      </w:r>
      <w:r w:rsidR="00915AE0" w:rsidRPr="0088290D">
        <w:rPr>
          <w:rFonts w:ascii="Book Antiqua" w:hAnsi="Book Antiqua" w:cs="Arial"/>
          <w:lang w:val="en-US"/>
        </w:rPr>
        <w:instrText>ADDIN CSL_CITATION { "citationItems" : [ { "id" : "ITEM-1", "itemData" : { "DOI" : "10.4065/75.7.688", "ISSN" : "0025-6196 (Print)", "PMID" : "10907383", "abstract" : "OBJECTIVE: To describe a natural history model for primary sclerosing cholangitis (PSC) that is based on routine clinical findings and test results and eliminates the need for liver biopsy. PATIENTS AND METHODS: Using the Cox proportional hazards analysis, we created a survival model based on 405 patients with PSC from 5 clinical centers. Independent validation of the model was undertaken by applying it to 124 patients who were not included in the model creation. RESULTS: Based on the multivariate analysis of 405 patients, a risk score was defined by the following formula: R = 0.03 (age [y]) + 0.54 loge (bilirubin [mg/dL]) + 0.54 loge (aspartate aminotransferase [U/L]) + 1.24 (variceal bleeding [0/1]) - 0.84 (albumin [g/dL]). The risk score was used to obtain survival estimates up to 4 years of follow-up. Application of this model to an independent group of 124 patients showed good correlation between estimated and actual survival. CONCLUSIONS: A new model to estimate patient survival in PSC includes more reproducible variables (age, bilirubin, albumin, aspartate aminotransferase, and history of variceal bleeding), has accuracy comparable to previous models, and obviates the need for a liver biopsy.", "author" : [ { "dropping-particle" : "", "family" : "Kim", "given" : "W R", "non-dropping-particle" : "", "parse-names" : false, "suffix" : "" }, { "dropping-particle" : "", "family" : "Therneau", "given" : "T M", "non-dropping-particle" : "", "parse-names" : false, "suffix" : "" }, { "dropping-particle" : "", "family" : "Wiesner", "given" : "R H", "non-dropping-particle" : "", "parse-names" : false, "suffix" : "" }, { "dropping-particle" : "", "family" : "Poterucha", "given" : "J J", "non-dropping-particle" : "", "parse-names" : false, "suffix" : "" }, { "dropping-particle" : "", "family" : "Benson", "given" : "J T", "non-dropping-particle" : "", "parse-names" : false, "suffix" : "" }, { "dropping-particle" : "", "family" : "Malinchoc", "given" : "M", "non-dropping-particle" : "", "parse-names" : false, "suffix" : "" }, { "dropping-particle" : "", "family" : "LaRusso", "given" : "N F", "non-dropping-particle" : "", "parse-names" : false, "suffix" : "" }, { "dropping-particle" : "", "family" : "Lindor", "given" : "K D", "non-dropping-particle" : "", "parse-names" : false, "suffix" : "" }, { "dropping-particle" : "", "family" : "Dickson", "given" : "E R", "non-dropping-particle" : "", "parse-names" : false, "suffix" : "" } ], "container-title" : "Mayo Clinic proceedings", "id" : "ITEM-1", "issue" : "7", "issued" : { "date-parts" : [ [ "2000", "7" ] ] }, "language" : "eng", "page" : "688-694", "publisher-place" : "England", "title" : "A revised natural history model for primary sclerosing cholangitis.", "type" : "article-journal", "volume" : "75" }, "uris" : [ "http://www.mendeley.com/documents/?uuid=c7cf5265-1b61-411b-a813-91242bc3dc35" ] } ], "mendeley" : { "formattedCitation" : "&lt;sup&gt;[16]&lt;/sup&gt;", "plainTextFormattedCitation" : "[16]", "previouslyFormattedCitation" : "&lt;sup&gt;[16]&lt;/sup&gt;" }, "properties" : { "noteIndex" : 0 }, "schema" : "https://github.com/citation-style-language/schema/raw/master/csl-citation.json" }</w:instrText>
      </w:r>
      <w:r w:rsidR="00EF266F" w:rsidRPr="0088290D">
        <w:rPr>
          <w:rFonts w:ascii="Book Antiqua" w:hAnsi="Book Antiqua" w:cs="Arial"/>
          <w:lang w:val="en-US"/>
        </w:rPr>
        <w:fldChar w:fldCharType="separate"/>
      </w:r>
      <w:r w:rsidR="00EF266F" w:rsidRPr="0088290D">
        <w:rPr>
          <w:rFonts w:ascii="Book Antiqua" w:hAnsi="Book Antiqua" w:cs="Arial"/>
          <w:noProof/>
          <w:vertAlign w:val="superscript"/>
          <w:lang w:val="en-US"/>
        </w:rPr>
        <w:t>[16]</w:t>
      </w:r>
      <w:r w:rsidR="00EF266F" w:rsidRPr="0088290D">
        <w:rPr>
          <w:rFonts w:ascii="Book Antiqua" w:hAnsi="Book Antiqua" w:cs="Arial"/>
          <w:lang w:val="en-US"/>
        </w:rPr>
        <w:fldChar w:fldCharType="end"/>
      </w:r>
      <w:r w:rsidRPr="0088290D">
        <w:rPr>
          <w:rFonts w:ascii="Book Antiqua" w:hAnsi="Book Antiqua" w:cs="Arial"/>
          <w:lang w:val="en-US"/>
        </w:rPr>
        <w:t xml:space="preserve"> and biochemical analyses were performed using standard routine laboratory protocols for tests including platelet count, creatinine, total bilirubin, albumin, international normalized ratio (INR) of prothrombin time, aspartate aminotransferase (AST), alanine aminotransferase (ALT), alkaline phosphatase (ALP), and </w:t>
      </w:r>
      <w:r w:rsidR="00B05E38" w:rsidRPr="0088290D">
        <w:rPr>
          <w:rFonts w:ascii="Book Antiqua" w:hAnsi="Book Antiqua" w:cs="Arial"/>
          <w:lang w:val="en-US"/>
        </w:rPr>
        <w:t>γ-</w:t>
      </w:r>
      <w:r w:rsidRPr="0088290D">
        <w:rPr>
          <w:rFonts w:ascii="Book Antiqua" w:hAnsi="Book Antiqua" w:cs="Arial"/>
          <w:lang w:val="en-US"/>
        </w:rPr>
        <w:t xml:space="preserve">glutamyl-transferase (GGT). </w:t>
      </w:r>
    </w:p>
    <w:p w14:paraId="3DCAA7C2" w14:textId="77777777" w:rsidR="0019552E" w:rsidRPr="0088290D" w:rsidRDefault="0019552E" w:rsidP="007940D7">
      <w:pPr>
        <w:widowControl w:val="0"/>
        <w:autoSpaceDE w:val="0"/>
        <w:autoSpaceDN w:val="0"/>
        <w:adjustRightInd w:val="0"/>
        <w:spacing w:line="360" w:lineRule="auto"/>
        <w:jc w:val="both"/>
        <w:rPr>
          <w:rFonts w:ascii="Book Antiqua" w:hAnsi="Book Antiqua" w:cs="Arial"/>
          <w:highlight w:val="cyan"/>
          <w:lang w:val="en-US"/>
        </w:rPr>
      </w:pPr>
    </w:p>
    <w:p w14:paraId="22929033" w14:textId="77777777" w:rsidR="0019552E" w:rsidRPr="006716DE" w:rsidRDefault="0019552E" w:rsidP="007940D7">
      <w:pPr>
        <w:widowControl w:val="0"/>
        <w:autoSpaceDE w:val="0"/>
        <w:autoSpaceDN w:val="0"/>
        <w:adjustRightInd w:val="0"/>
        <w:spacing w:line="360" w:lineRule="auto"/>
        <w:jc w:val="both"/>
        <w:rPr>
          <w:rFonts w:ascii="Book Antiqua" w:hAnsi="Book Antiqua" w:cs="Arial"/>
          <w:b/>
          <w:i/>
          <w:lang w:val="en-US"/>
        </w:rPr>
      </w:pPr>
      <w:r w:rsidRPr="006716DE">
        <w:rPr>
          <w:rFonts w:ascii="Book Antiqua" w:hAnsi="Book Antiqua" w:cs="Arial"/>
          <w:b/>
          <w:i/>
          <w:lang w:val="en-US"/>
        </w:rPr>
        <w:t>Phenotypical characterization of PSC patients during prospective follow-up</w:t>
      </w:r>
    </w:p>
    <w:p w14:paraId="6BB2BC62" w14:textId="70EA652F" w:rsidR="0019552E" w:rsidRPr="0088290D" w:rsidRDefault="0019552E"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5</w:t>
      </w:r>
      <w:r w:rsidR="00EF266F" w:rsidRPr="0088290D">
        <w:rPr>
          <w:rFonts w:ascii="Book Antiqua" w:hAnsi="Book Antiqua" w:cs="Arial"/>
          <w:lang w:val="en-US"/>
        </w:rPr>
        <w:t>5</w:t>
      </w:r>
      <w:r w:rsidRPr="0088290D">
        <w:rPr>
          <w:rFonts w:ascii="Book Antiqua" w:hAnsi="Book Antiqua" w:cs="Arial"/>
          <w:lang w:val="en-US"/>
        </w:rPr>
        <w:t xml:space="preserve"> out of 6</w:t>
      </w:r>
      <w:r w:rsidR="00EF266F" w:rsidRPr="0088290D">
        <w:rPr>
          <w:rFonts w:ascii="Book Antiqua" w:hAnsi="Book Antiqua" w:cs="Arial"/>
          <w:lang w:val="en-US"/>
        </w:rPr>
        <w:t>7</w:t>
      </w:r>
      <w:r w:rsidRPr="0088290D">
        <w:rPr>
          <w:rFonts w:ascii="Book Antiqua" w:hAnsi="Book Antiqua" w:cs="Arial"/>
          <w:lang w:val="en-US"/>
        </w:rPr>
        <w:t xml:space="preserve"> PSC patients were available to be enrolled into a prospective follow-up study, where the treating physicians registered laboratory data, imaging and endoscopic findings, medical treatment, date and type of complications (cirrhosis, colorectal cancer, biliary tract cancer: cholangiocarcinoma</w:t>
      </w:r>
      <w:r w:rsidR="00FB059C">
        <w:rPr>
          <w:rFonts w:ascii="Book Antiqua" w:eastAsia="SimSun" w:hAnsi="Book Antiqua" w:cs="Arial" w:hint="eastAsia"/>
          <w:lang w:val="en-US" w:eastAsia="zh-CN"/>
        </w:rPr>
        <w:t xml:space="preserve"> </w:t>
      </w:r>
      <w:r w:rsidRPr="0088290D">
        <w:rPr>
          <w:rFonts w:ascii="Book Antiqua" w:hAnsi="Book Antiqua" w:cs="Arial"/>
          <w:lang w:val="en-US"/>
        </w:rPr>
        <w:t>gallbladder cancer</w:t>
      </w:r>
      <w:r w:rsidR="00FB059C">
        <w:rPr>
          <w:rFonts w:ascii="Book Antiqua" w:eastAsia="SimSun" w:hAnsi="Book Antiqua" w:cs="Arial" w:hint="eastAsia"/>
          <w:lang w:val="en-US" w:eastAsia="zh-CN"/>
        </w:rPr>
        <w:t xml:space="preserve"> </w:t>
      </w:r>
      <w:r w:rsidRPr="0088290D">
        <w:rPr>
          <w:rFonts w:ascii="Book Antiqua" w:hAnsi="Book Antiqua" w:cs="Arial"/>
          <w:lang w:val="en-US"/>
        </w:rPr>
        <w:t>or cholangitis) during regular and additional outpatient follow-up visits and inpatient stays. In Hungary, a follow-up visit is usually scheduled for every 6 mo</w:t>
      </w:r>
      <w:r w:rsidR="006716DE">
        <w:rPr>
          <w:rFonts w:ascii="Book Antiqua" w:eastAsia="SimSun" w:hAnsi="Book Antiqua" w:cs="Arial" w:hint="eastAsia"/>
          <w:lang w:val="en-US" w:eastAsia="zh-CN"/>
        </w:rPr>
        <w:t xml:space="preserve"> </w:t>
      </w:r>
      <w:r w:rsidRPr="0088290D">
        <w:rPr>
          <w:rFonts w:ascii="Book Antiqua" w:hAnsi="Book Antiqua" w:cs="Arial"/>
          <w:lang w:val="en-US"/>
        </w:rPr>
        <w:t xml:space="preserve">at a specialized hepatology center (the actual interval varies between 3–6 mo). Collected data were transferred and stored in a database for analysis. On December </w:t>
      </w:r>
      <w:r w:rsidR="00EF266F" w:rsidRPr="0088290D">
        <w:rPr>
          <w:rFonts w:ascii="Book Antiqua" w:hAnsi="Book Antiqua" w:cs="Arial"/>
          <w:lang w:val="en-US"/>
        </w:rPr>
        <w:t>1</w:t>
      </w:r>
      <w:r w:rsidRPr="0088290D">
        <w:rPr>
          <w:rFonts w:ascii="Book Antiqua" w:hAnsi="Book Antiqua" w:cs="Arial"/>
          <w:lang w:val="en-US"/>
        </w:rPr>
        <w:t>, 2015, all patients’ charts and data were reviewed and updated for the data points mentioned above. Adverse outcome was defined as need for OLTx and/or liver-related death (composite end-point). Follow-up for a particular patient was terminated if there was no further record available or adverse outcome occurred. Cases with non-liver related death were censored at the time of event. Median follow-up from inclusion was 264</w:t>
      </w:r>
      <w:r w:rsidR="00EF266F" w:rsidRPr="0088290D">
        <w:rPr>
          <w:rFonts w:ascii="Book Antiqua" w:hAnsi="Book Antiqua" w:cs="Arial"/>
          <w:lang w:val="en-US"/>
        </w:rPr>
        <w:t>6</w:t>
      </w:r>
      <w:r w:rsidRPr="0088290D">
        <w:rPr>
          <w:rFonts w:ascii="Book Antiqua" w:hAnsi="Book Antiqua" w:cs="Arial"/>
          <w:lang w:val="en-US"/>
        </w:rPr>
        <w:t xml:space="preserve"> [IQR: </w:t>
      </w:r>
      <w:r w:rsidR="00C170DF" w:rsidRPr="0088290D">
        <w:rPr>
          <w:rFonts w:ascii="Book Antiqua" w:hAnsi="Book Antiqua" w:cs="Arial"/>
          <w:lang w:val="en-US"/>
        </w:rPr>
        <w:t>401</w:t>
      </w:r>
      <w:r w:rsidRPr="0088290D">
        <w:rPr>
          <w:rFonts w:ascii="Book Antiqua" w:hAnsi="Book Antiqua" w:cs="Arial"/>
          <w:lang w:val="en-US"/>
        </w:rPr>
        <w:t>-31</w:t>
      </w:r>
      <w:r w:rsidR="00C170DF" w:rsidRPr="0088290D">
        <w:rPr>
          <w:rFonts w:ascii="Book Antiqua" w:hAnsi="Book Antiqua" w:cs="Arial"/>
          <w:lang w:val="en-US"/>
        </w:rPr>
        <w:t>30</w:t>
      </w:r>
      <w:r w:rsidRPr="0088290D">
        <w:rPr>
          <w:rFonts w:ascii="Book Antiqua" w:hAnsi="Book Antiqua" w:cs="Arial"/>
          <w:lang w:val="en-US"/>
        </w:rPr>
        <w:t xml:space="preserve">] days.  </w:t>
      </w:r>
    </w:p>
    <w:p w14:paraId="13C18E28" w14:textId="77777777" w:rsidR="00966A55" w:rsidRPr="0088290D" w:rsidRDefault="00966A55" w:rsidP="007940D7">
      <w:pPr>
        <w:widowControl w:val="0"/>
        <w:autoSpaceDE w:val="0"/>
        <w:autoSpaceDN w:val="0"/>
        <w:adjustRightInd w:val="0"/>
        <w:spacing w:line="360" w:lineRule="auto"/>
        <w:jc w:val="both"/>
        <w:rPr>
          <w:rFonts w:ascii="Book Antiqua" w:hAnsi="Book Antiqua" w:cs="Arial"/>
          <w:b/>
          <w:lang w:val="en-US"/>
        </w:rPr>
      </w:pPr>
    </w:p>
    <w:p w14:paraId="037754D3" w14:textId="77777777" w:rsidR="00966A55" w:rsidRPr="006716DE" w:rsidRDefault="00966A55" w:rsidP="007940D7">
      <w:pPr>
        <w:widowControl w:val="0"/>
        <w:autoSpaceDE w:val="0"/>
        <w:autoSpaceDN w:val="0"/>
        <w:adjustRightInd w:val="0"/>
        <w:spacing w:line="360" w:lineRule="auto"/>
        <w:jc w:val="both"/>
        <w:rPr>
          <w:rFonts w:ascii="Book Antiqua" w:hAnsi="Book Antiqua" w:cs="Arial"/>
          <w:b/>
          <w:i/>
          <w:lang w:val="en-US"/>
        </w:rPr>
      </w:pPr>
      <w:r w:rsidRPr="006716DE">
        <w:rPr>
          <w:rFonts w:ascii="Book Antiqua" w:hAnsi="Book Antiqua" w:cs="Arial"/>
          <w:b/>
          <w:i/>
          <w:lang w:val="en-US"/>
        </w:rPr>
        <w:t>Control groups</w:t>
      </w:r>
    </w:p>
    <w:p w14:paraId="13FDD049" w14:textId="189BEF70" w:rsidR="00966A55" w:rsidRPr="0088290D" w:rsidRDefault="00966A55"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lastRenderedPageBreak/>
        <w:t xml:space="preserve">Healthy controls and </w:t>
      </w:r>
      <w:r w:rsidR="004E676B" w:rsidRPr="0088290D">
        <w:rPr>
          <w:rFonts w:ascii="Book Antiqua" w:hAnsi="Book Antiqua" w:cs="Arial"/>
          <w:lang w:val="en-US"/>
        </w:rPr>
        <w:t xml:space="preserve">patients with ulcerative colitis (UC) as </w:t>
      </w:r>
      <w:r w:rsidRPr="0088290D">
        <w:rPr>
          <w:rFonts w:ascii="Book Antiqua" w:hAnsi="Book Antiqua" w:cs="Arial"/>
          <w:lang w:val="en-US"/>
        </w:rPr>
        <w:t>disease control group</w:t>
      </w:r>
      <w:r w:rsidR="004E676B" w:rsidRPr="0088290D">
        <w:rPr>
          <w:rFonts w:ascii="Book Antiqua" w:hAnsi="Book Antiqua" w:cs="Arial"/>
          <w:lang w:val="en-US"/>
        </w:rPr>
        <w:t xml:space="preserve"> </w:t>
      </w:r>
      <w:r w:rsidRPr="0088290D">
        <w:rPr>
          <w:rFonts w:ascii="Book Antiqua" w:hAnsi="Book Antiqua" w:cs="Arial"/>
          <w:lang w:val="en-US"/>
        </w:rPr>
        <w:t>were included.</w:t>
      </w:r>
    </w:p>
    <w:p w14:paraId="0B2C4BC0" w14:textId="44406173" w:rsidR="00966A55" w:rsidRPr="0088290D" w:rsidRDefault="00966A55" w:rsidP="007940D7">
      <w:pPr>
        <w:autoSpaceDE w:val="0"/>
        <w:autoSpaceDN w:val="0"/>
        <w:adjustRightInd w:val="0"/>
        <w:spacing w:line="360" w:lineRule="auto"/>
        <w:ind w:firstLine="709"/>
        <w:jc w:val="both"/>
        <w:rPr>
          <w:rFonts w:ascii="Book Antiqua" w:hAnsi="Book Antiqua" w:cs="Arial"/>
          <w:lang w:val="en-US"/>
        </w:rPr>
      </w:pPr>
      <w:r w:rsidRPr="0088290D">
        <w:rPr>
          <w:rFonts w:ascii="Book Antiqua" w:hAnsi="Book Antiqua" w:cs="Arial"/>
          <w:lang w:val="en-US"/>
        </w:rPr>
        <w:t>Healthy control group consisted of 1</w:t>
      </w:r>
      <w:r w:rsidR="00985C89" w:rsidRPr="0088290D">
        <w:rPr>
          <w:rFonts w:ascii="Book Antiqua" w:hAnsi="Book Antiqua" w:cs="Arial"/>
          <w:lang w:val="en-US"/>
        </w:rPr>
        <w:t>53</w:t>
      </w:r>
      <w:r w:rsidRPr="0088290D">
        <w:rPr>
          <w:rFonts w:ascii="Book Antiqua" w:hAnsi="Book Antiqua" w:cs="Arial"/>
          <w:lang w:val="en-US"/>
        </w:rPr>
        <w:t xml:space="preserve"> individuals selected from consecutive blood donors in Debrecen. Control subjects did not have any known gastrointestinal or liver diseases.</w:t>
      </w:r>
    </w:p>
    <w:p w14:paraId="3D62C650" w14:textId="3802EBB0" w:rsidR="00966A55" w:rsidRPr="006716DE" w:rsidRDefault="0048411D" w:rsidP="007940D7">
      <w:pPr>
        <w:autoSpaceDE w:val="0"/>
        <w:autoSpaceDN w:val="0"/>
        <w:adjustRightInd w:val="0"/>
        <w:spacing w:line="360" w:lineRule="auto"/>
        <w:ind w:firstLine="708"/>
        <w:jc w:val="both"/>
        <w:rPr>
          <w:rFonts w:ascii="Book Antiqua" w:eastAsia="SimSun" w:hAnsi="Book Antiqua" w:cs="Arial"/>
          <w:lang w:val="en-US" w:eastAsia="zh-CN"/>
        </w:rPr>
      </w:pPr>
      <w:r w:rsidRPr="0088290D">
        <w:rPr>
          <w:rFonts w:ascii="Book Antiqua" w:hAnsi="Book Antiqua" w:cs="Arial"/>
          <w:lang w:val="en-US"/>
        </w:rPr>
        <w:t xml:space="preserve">Ulcerative colitis </w:t>
      </w:r>
      <w:r w:rsidR="00966A55" w:rsidRPr="0088290D">
        <w:rPr>
          <w:rFonts w:ascii="Book Antiqua" w:hAnsi="Book Antiqua" w:cs="Arial"/>
          <w:lang w:val="en-US"/>
        </w:rPr>
        <w:t xml:space="preserve">group consisted of a previously reported </w:t>
      </w:r>
      <w:r w:rsidR="005C36FE" w:rsidRPr="0088290D">
        <w:rPr>
          <w:rFonts w:ascii="Book Antiqua" w:hAnsi="Book Antiqua" w:cs="Arial"/>
          <w:lang w:val="en-US"/>
        </w:rPr>
        <w:t>cohort of 17</w:t>
      </w:r>
      <w:r w:rsidR="00777F57" w:rsidRPr="0088290D">
        <w:rPr>
          <w:rFonts w:ascii="Book Antiqua" w:hAnsi="Book Antiqua" w:cs="Arial"/>
          <w:lang w:val="en-US"/>
        </w:rPr>
        <w:t>2</w:t>
      </w:r>
      <w:r w:rsidR="005C36FE" w:rsidRPr="0088290D">
        <w:rPr>
          <w:rFonts w:ascii="Book Antiqua" w:hAnsi="Book Antiqua" w:cs="Arial"/>
          <w:lang w:val="en-US"/>
        </w:rPr>
        <w:t xml:space="preserve"> </w:t>
      </w:r>
      <w:r w:rsidR="00966A55" w:rsidRPr="0088290D">
        <w:rPr>
          <w:rFonts w:ascii="Book Antiqua" w:hAnsi="Book Antiqua" w:cs="Arial"/>
          <w:lang w:val="en-US"/>
        </w:rPr>
        <w:t>patient</w:t>
      </w:r>
      <w:r w:rsidR="005C36FE" w:rsidRPr="0088290D">
        <w:rPr>
          <w:rFonts w:ascii="Book Antiqua" w:hAnsi="Book Antiqua" w:cs="Arial"/>
          <w:lang w:val="en-US"/>
        </w:rPr>
        <w:t>s</w:t>
      </w:r>
      <w:r w:rsidR="00966A55" w:rsidRPr="0088290D">
        <w:rPr>
          <w:rFonts w:ascii="Book Antiqua" w:hAnsi="Book Antiqua" w:cs="Arial"/>
          <w:lang w:val="en-US"/>
        </w:rPr>
        <w:t xml:space="preserve"> </w:t>
      </w:r>
      <w:r w:rsidR="005163D8" w:rsidRPr="0088290D">
        <w:rPr>
          <w:rFonts w:ascii="Book Antiqua" w:hAnsi="Book Antiqua" w:cs="Arial"/>
          <w:lang w:val="en-US"/>
        </w:rPr>
        <w:t xml:space="preserve">without PSC </w:t>
      </w:r>
      <w:r w:rsidR="00966A55" w:rsidRPr="0088290D">
        <w:rPr>
          <w:rFonts w:ascii="Book Antiqua" w:hAnsi="Book Antiqua" w:cs="Arial"/>
          <w:lang w:val="en-US"/>
        </w:rPr>
        <w:t>(male/female: 7</w:t>
      </w:r>
      <w:r w:rsidR="00777F57" w:rsidRPr="0088290D">
        <w:rPr>
          <w:rFonts w:ascii="Book Antiqua" w:hAnsi="Book Antiqua" w:cs="Arial"/>
          <w:lang w:val="en-US"/>
        </w:rPr>
        <w:t>9</w:t>
      </w:r>
      <w:r w:rsidR="00966A55" w:rsidRPr="0088290D">
        <w:rPr>
          <w:rFonts w:ascii="Book Antiqua" w:hAnsi="Book Antiqua" w:cs="Arial"/>
          <w:lang w:val="en-US"/>
        </w:rPr>
        <w:t>/9</w:t>
      </w:r>
      <w:r w:rsidR="00777F57" w:rsidRPr="0088290D">
        <w:rPr>
          <w:rFonts w:ascii="Book Antiqua" w:hAnsi="Book Antiqua" w:cs="Arial"/>
          <w:lang w:val="en-US"/>
        </w:rPr>
        <w:t>3</w:t>
      </w:r>
      <w:r w:rsidR="006716DE">
        <w:rPr>
          <w:rFonts w:ascii="Book Antiqua" w:hAnsi="Book Antiqua" w:cs="Arial"/>
          <w:lang w:val="en-US"/>
        </w:rPr>
        <w:t>, age: 34 [23-44] years)</w:t>
      </w:r>
      <w:r w:rsidR="00966A55" w:rsidRPr="0088290D">
        <w:rPr>
          <w:rFonts w:ascii="Book Antiqua" w:hAnsi="Book Antiqua" w:cs="Arial"/>
          <w:lang w:val="en-US"/>
        </w:rPr>
        <w:fldChar w:fldCharType="begin" w:fldLock="1"/>
      </w:r>
      <w:r w:rsidR="00915AE0" w:rsidRPr="0088290D">
        <w:rPr>
          <w:rFonts w:ascii="Book Antiqua" w:hAnsi="Book Antiqua" w:cs="Arial"/>
          <w:lang w:val="en-US"/>
        </w:rPr>
        <w:instrText>ADDIN CSL_CITATION { "citationItems" : [ { "id" : "ITEM-1", "itemData" : { "DOI" : "10.1093/ecco-jcc/jjv087", "ISSN" : "1876-4479 (Electronic)", "PMID" : "25968583", "abstract" : "BACKGROUNDS: Glycoprotein 2[GP2] and CUB zona pellucida-like domain 1[CUZD1] belong to protein families involved in gut innate immunity processes and have recently been identified as specific targets of anti-pancreatic autoantibodies [PAbs] in Crohn's disease[CD]. We aimed to determine the prognostic potential of novel target-specific PAbs regarding long-term disease course of an adult CD patient cohort. METHODS: Sera of 458 consecutive well-characterised IBD patients from a single referral IBD centre were tested by enzyme-linked immunosorbent assay [ELISA] with isoform 4 of recombinant GP2 [anti-MZGP2 and anti-GP2 IgA/IgG] and indirect immunofluorescence test [IIFT] system with GP2 and CUZD1 expressing transfected HEK 293 cells [anti-rPAg2 and rPAg1 IgA/IgG]. Clinical data were available on complicated disease or surgical interventions as well as disease activity and medical treatment during the prospective follow-up [median, 108 months]. RESULTS: Totals of 12.4% and 20.8% of CD patients were positive for IgA/IgG type of anti-GP2 and anti-CUZD1, respectively, with a significant difference compared with UC [p &lt; 0.01]. Antibody status was stable over time. Agreement among three different anti-GP2 assays was good. Positivity for PAbs, mainly IgA subtypes, predicted a faster progression towards complicated disease course. In Kaplan-Meier analysis, time to surgery or development of perianal disease was associated with anti-GP2 IgA [pLogRank &lt; 0.01] or anti-CUZD1 IgA [pLogRank &lt; 0.001] positivity, respectively. Anti-CUZD1 IgA remained an independent predictor in the multivariate Cox-regression model (hazard ratio [HR]: 3.43, 95% confidence interval [CI]: 1.68-7.02, p &lt; 0.001). CONCLUSIONS: The present study has shown that specific PAbs [especially IgA subtype] predict complicated disease course including the development of perianal disease in CD.", "author" : [ { "dropping-particle" : "", "family" : "Papp", "given" : "Maria", "non-dropping-particle" : "", "parse-names" : false, "suffix" : "" }, { "dropping-particle" : "", "family" : "Sipeki", "given" : "Nora", "non-dropping-particle" : "", "parse-names" : false, "suffix" : "" }, { "dropping-particle" : "", "family" : "Tornai", "given" : "Tamas", "non-dropping-particle" : "", "parse-names" : false, "suffix" : "" }, { "dropping-particle" : "", "family" : "Altorjay", "given" : "Istvan", "non-dropping-particle" : "", "parse-names" : false, "suffix" : "" }, { "dropping-particle" : "", "family" : "Norman", "given" : "Gary L", "non-dropping-particle" : "", "parse-names" : false, "suffix" : "" }, { "dropping-particle" : "", "family" : "Shums", "given" : "Zakera", "non-dropping-particle" : "", "parse-names" : false, "suffix" : "" }, { "dropping-particle" : "", "family" : "Roggenbuck", "given" : "Dirk", "non-dropping-particle" : "", "parse-names" : false, "suffix" : "" }, { "dropping-particle" : "", "family" : "Fechner", "given" : "Kai", "non-dropping-particle" : "", "parse-names" : false, "suffix" : "" }, { "dropping-particle" : "", "family" : "Stocker", "given" : "Winfried", "non-dropping-particle" : "", "parse-names" : false, "suffix" : "" }, { "dropping-particle" : "", "family" : "Antal-Szalmas", "given" : "Peter", "non-dropping-particle" : "", "parse-names" : false, "suffix" : "" }, { "dropping-particle" : "", "family" : "Veres", "given" : "Gabor", "non-dropping-particle" : "", "parse-names" : false, "suffix" : "" }, { "dropping-particle" : "", "family" : "Lakatos", "given" : "Peter Laszlo", "non-dropping-particle" : "", "parse-names" : false, "suffix" : "" } ], "container-title" : "Journal of Crohn's &amp; colitis", "id" : "ITEM-1", "issue" : "8", "issued" : { "date-parts" : [ [ "2015", "8" ] ] }, "language" : "eng", "page" : "659-668", "publisher-place" : "England", "title" : "Rediscovery of the Anti-Pancreatic Antibodies and Evaluation of their Prognostic  Value in a Prospective Clinical Cohort of Crohn's Patients: The Importance of Specific Target Antigens [GP2 and CUZD1].", "type" : "article-journal", "volume" : "9" }, "uris" : [ "http://www.mendeley.com/documents/?uuid=7ef9274a-e9cb-4564-8a6d-1c6dc8e7e124" ] } ], "mendeley" : { "formattedCitation" : "&lt;sup&gt;[17]&lt;/sup&gt;", "plainTextFormattedCitation" : "[17]", "previouslyFormattedCitation" : "&lt;sup&gt;[17]&lt;/sup&gt;" }, "properties" : { "noteIndex" : 0 }, "schema" : "https://github.com/citation-style-language/schema/raw/master/csl-citation.json" }</w:instrText>
      </w:r>
      <w:r w:rsidR="00966A55" w:rsidRPr="0088290D">
        <w:rPr>
          <w:rFonts w:ascii="Book Antiqua" w:hAnsi="Book Antiqua" w:cs="Arial"/>
          <w:lang w:val="en-US"/>
        </w:rPr>
        <w:fldChar w:fldCharType="separate"/>
      </w:r>
      <w:r w:rsidR="00EF266F" w:rsidRPr="0088290D">
        <w:rPr>
          <w:rFonts w:ascii="Book Antiqua" w:hAnsi="Book Antiqua" w:cs="Arial"/>
          <w:noProof/>
          <w:vertAlign w:val="superscript"/>
          <w:lang w:val="en-US"/>
        </w:rPr>
        <w:t>[17]</w:t>
      </w:r>
      <w:r w:rsidR="00966A55" w:rsidRPr="0088290D">
        <w:rPr>
          <w:rFonts w:ascii="Book Antiqua" w:hAnsi="Book Antiqua" w:cs="Arial"/>
          <w:lang w:val="en-US"/>
        </w:rPr>
        <w:fldChar w:fldCharType="end"/>
      </w:r>
      <w:r w:rsidR="006716DE">
        <w:rPr>
          <w:rFonts w:ascii="Book Antiqua" w:eastAsia="SimSun" w:hAnsi="Book Antiqua" w:cs="Arial" w:hint="eastAsia"/>
          <w:lang w:val="en-US" w:eastAsia="zh-CN"/>
        </w:rPr>
        <w:t>.</w:t>
      </w:r>
    </w:p>
    <w:p w14:paraId="5B7FA6A5" w14:textId="77777777" w:rsidR="00F672FE" w:rsidRPr="0088290D" w:rsidRDefault="00F672FE" w:rsidP="007940D7">
      <w:pPr>
        <w:widowControl w:val="0"/>
        <w:autoSpaceDE w:val="0"/>
        <w:autoSpaceDN w:val="0"/>
        <w:adjustRightInd w:val="0"/>
        <w:spacing w:line="360" w:lineRule="auto"/>
        <w:jc w:val="both"/>
        <w:rPr>
          <w:rFonts w:ascii="Book Antiqua" w:hAnsi="Book Antiqua" w:cs="Arial"/>
          <w:b/>
          <w:lang w:val="en-US"/>
        </w:rPr>
      </w:pPr>
    </w:p>
    <w:p w14:paraId="63FC8173" w14:textId="395352A8" w:rsidR="00FF5822" w:rsidRPr="006716DE" w:rsidRDefault="00FF5822" w:rsidP="007940D7">
      <w:pPr>
        <w:widowControl w:val="0"/>
        <w:autoSpaceDE w:val="0"/>
        <w:autoSpaceDN w:val="0"/>
        <w:adjustRightInd w:val="0"/>
        <w:spacing w:line="360" w:lineRule="auto"/>
        <w:jc w:val="both"/>
        <w:rPr>
          <w:rFonts w:ascii="Book Antiqua" w:hAnsi="Book Antiqua" w:cs="Arial"/>
          <w:b/>
          <w:i/>
          <w:lang w:val="en-US"/>
        </w:rPr>
      </w:pPr>
      <w:r w:rsidRPr="006716DE">
        <w:rPr>
          <w:rFonts w:ascii="Book Antiqua" w:hAnsi="Book Antiqua" w:cs="Arial"/>
          <w:b/>
          <w:i/>
          <w:lang w:val="en-US"/>
        </w:rPr>
        <w:t xml:space="preserve">Serological </w:t>
      </w:r>
      <w:r w:rsidR="006716DE" w:rsidRPr="006716DE">
        <w:rPr>
          <w:rFonts w:ascii="Book Antiqua" w:hAnsi="Book Antiqua" w:cs="Arial"/>
          <w:b/>
          <w:i/>
          <w:lang w:val="en-US"/>
        </w:rPr>
        <w:t>analysis</w:t>
      </w:r>
    </w:p>
    <w:p w14:paraId="282B8E8D" w14:textId="2CB143C5" w:rsidR="00D242C8" w:rsidRPr="0088290D" w:rsidRDefault="00FF5822" w:rsidP="007940D7">
      <w:pPr>
        <w:widowControl w:val="0"/>
        <w:autoSpaceDE w:val="0"/>
        <w:autoSpaceDN w:val="0"/>
        <w:adjustRightInd w:val="0"/>
        <w:spacing w:line="360" w:lineRule="auto"/>
        <w:jc w:val="both"/>
        <w:rPr>
          <w:rFonts w:ascii="Book Antiqua" w:hAnsi="Book Antiqua" w:cs="Arial"/>
          <w:bCs/>
          <w:lang w:val="en-US"/>
        </w:rPr>
      </w:pPr>
      <w:r w:rsidRPr="0088290D">
        <w:rPr>
          <w:rFonts w:ascii="Book Antiqua" w:hAnsi="Book Antiqua" w:cs="Times"/>
          <w:lang w:val="en-US"/>
        </w:rPr>
        <w:t>Blood samples were obtained at enrolment from each patient and were frozen at -70</w:t>
      </w:r>
      <w:r w:rsidR="006716DE">
        <w:rPr>
          <w:rFonts w:ascii="Book Antiqua" w:eastAsia="SimSun" w:hAnsi="Book Antiqua" w:cs="Times" w:hint="eastAsia"/>
          <w:lang w:val="en-US" w:eastAsia="zh-CN"/>
        </w:rPr>
        <w:t xml:space="preserve"> </w:t>
      </w:r>
      <w:r w:rsidRPr="0088290D">
        <w:rPr>
          <w:rFonts w:ascii="Book Antiqua" w:hAnsi="Book Antiqua" w:cs="Times"/>
          <w:lang w:val="en-US"/>
        </w:rPr>
        <w:t>°C until testing. All the serological assays were performed in a blinded fashion without prior knowledge of the patient’s clinical information.</w:t>
      </w:r>
      <w:r w:rsidR="002B6085" w:rsidRPr="0088290D">
        <w:rPr>
          <w:rFonts w:ascii="Book Antiqua" w:hAnsi="Book Antiqua" w:cs="Times"/>
          <w:lang w:val="en-US"/>
        </w:rPr>
        <w:t xml:space="preserve"> </w:t>
      </w:r>
      <w:r w:rsidR="00130954" w:rsidRPr="0088290D">
        <w:rPr>
          <w:rFonts w:ascii="Book Antiqua" w:hAnsi="Book Antiqua" w:cs="Arial"/>
          <w:lang w:val="en-US"/>
        </w:rPr>
        <w:t xml:space="preserve">Commercially available </w:t>
      </w:r>
      <w:r w:rsidR="00130954" w:rsidRPr="0088290D">
        <w:rPr>
          <w:rFonts w:ascii="Book Antiqua" w:hAnsi="Book Antiqua" w:cs="Arial"/>
          <w:bCs/>
          <w:lang w:val="en-US"/>
        </w:rPr>
        <w:t xml:space="preserve">ELISAs were used </w:t>
      </w:r>
      <w:r w:rsidR="00CD3C63" w:rsidRPr="0088290D">
        <w:rPr>
          <w:rFonts w:ascii="Book Antiqua" w:hAnsi="Book Antiqua" w:cs="Times"/>
          <w:lang w:val="en-US"/>
        </w:rPr>
        <w:t>according to the manufacturer’s protocol</w:t>
      </w:r>
      <w:r w:rsidR="00CD3C63" w:rsidRPr="0088290D">
        <w:rPr>
          <w:rFonts w:ascii="Book Antiqua" w:hAnsi="Book Antiqua" w:cs="Arial"/>
          <w:bCs/>
          <w:lang w:val="en-US"/>
        </w:rPr>
        <w:t xml:space="preserve"> </w:t>
      </w:r>
      <w:r w:rsidR="00130954" w:rsidRPr="0088290D">
        <w:rPr>
          <w:rFonts w:ascii="Book Antiqua" w:hAnsi="Book Antiqua" w:cs="Arial"/>
          <w:bCs/>
          <w:lang w:val="en-US"/>
        </w:rPr>
        <w:t xml:space="preserve">to determine </w:t>
      </w:r>
      <w:r w:rsidR="00130954" w:rsidRPr="0088290D">
        <w:rPr>
          <w:rFonts w:ascii="Book Antiqua" w:hAnsi="Book Antiqua" w:cs="Arial"/>
          <w:lang w:val="en-US"/>
        </w:rPr>
        <w:t>serologic markers of gut barrier function</w:t>
      </w:r>
      <w:r w:rsidR="00130954" w:rsidRPr="0088290D">
        <w:rPr>
          <w:rFonts w:ascii="Book Antiqua" w:hAnsi="Book Antiqua" w:cs="Arial"/>
          <w:bCs/>
          <w:lang w:val="en-US"/>
        </w:rPr>
        <w:t xml:space="preserve">, </w:t>
      </w:r>
      <w:r w:rsidR="00130954" w:rsidRPr="0088290D">
        <w:rPr>
          <w:rFonts w:ascii="Book Antiqua" w:hAnsi="Book Antiqua" w:cs="Arial"/>
          <w:lang w:val="en-US"/>
        </w:rPr>
        <w:t xml:space="preserve">lipopolysaccharide </w:t>
      </w:r>
      <w:r w:rsidR="00130954" w:rsidRPr="0088290D">
        <w:rPr>
          <w:rFonts w:ascii="Book Antiqua" w:hAnsi="Book Antiqua" w:cs="Arial"/>
          <w:b/>
          <w:lang w:val="en-US"/>
        </w:rPr>
        <w:t>(</w:t>
      </w:r>
      <w:r w:rsidR="00130954" w:rsidRPr="0088290D">
        <w:rPr>
          <w:rFonts w:ascii="Book Antiqua" w:hAnsi="Book Antiqua" w:cs="Arial"/>
          <w:lang w:val="en-US"/>
        </w:rPr>
        <w:t xml:space="preserve">LPS) </w:t>
      </w:r>
      <w:r w:rsidR="00130954" w:rsidRPr="0088290D">
        <w:rPr>
          <w:rFonts w:ascii="Book Antiqua" w:hAnsi="Book Antiqua" w:cs="Arial"/>
          <w:bCs/>
          <w:lang w:val="en-US"/>
        </w:rPr>
        <w:t>exposure and anti-microbial antibodies</w:t>
      </w:r>
      <w:r w:rsidR="002D7EC6" w:rsidRPr="0088290D">
        <w:rPr>
          <w:rFonts w:ascii="Book Antiqua" w:hAnsi="Book Antiqua" w:cs="Arial"/>
          <w:bCs/>
          <w:lang w:val="en-US"/>
        </w:rPr>
        <w:t xml:space="preserve">. </w:t>
      </w:r>
      <w:r w:rsidR="00D242C8" w:rsidRPr="0088290D">
        <w:rPr>
          <w:rFonts w:ascii="Book Antiqua" w:hAnsi="Book Antiqua" w:cs="Arial"/>
          <w:lang w:val="en-US"/>
        </w:rPr>
        <w:t>P</w:t>
      </w:r>
      <w:r w:rsidR="00D242C8" w:rsidRPr="0088290D">
        <w:rPr>
          <w:rFonts w:ascii="Book Antiqua" w:hAnsi="Book Antiqua" w:cs="Arial"/>
          <w:bCs/>
          <w:lang w:val="en-US"/>
        </w:rPr>
        <w:t>ositive</w:t>
      </w:r>
      <w:r w:rsidR="00D242C8" w:rsidRPr="0088290D">
        <w:rPr>
          <w:rFonts w:ascii="Book Antiqua" w:hAnsi="Book Antiqua" w:cs="Arial"/>
          <w:lang w:val="en-US"/>
        </w:rPr>
        <w:t xml:space="preserve"> cut-off levels </w:t>
      </w:r>
      <w:r w:rsidR="007E239D" w:rsidRPr="0088290D">
        <w:rPr>
          <w:rFonts w:ascii="Book Antiqua" w:hAnsi="Book Antiqua" w:cs="Arial"/>
          <w:lang w:val="en-US"/>
        </w:rPr>
        <w:t xml:space="preserve">for individual markers </w:t>
      </w:r>
      <w:r w:rsidR="00D242C8" w:rsidRPr="0088290D">
        <w:rPr>
          <w:rFonts w:ascii="Book Antiqua" w:hAnsi="Book Antiqua" w:cs="Arial"/>
          <w:lang w:val="en-US"/>
        </w:rPr>
        <w:t xml:space="preserve">were defined </w:t>
      </w:r>
      <w:r w:rsidR="00BD1EAD" w:rsidRPr="0088290D">
        <w:rPr>
          <w:rFonts w:ascii="Book Antiqua" w:hAnsi="Book Antiqua" w:cs="Arial"/>
          <w:lang w:val="en-US"/>
        </w:rPr>
        <w:t xml:space="preserve">either by the manufacturer’s recommendation or by </w:t>
      </w:r>
      <w:r w:rsidR="00D242C8" w:rsidRPr="0088290D">
        <w:rPr>
          <w:rFonts w:ascii="Book Antiqua" w:hAnsi="Book Antiqua" w:cs="Arial"/>
          <w:lang w:val="en-US"/>
        </w:rPr>
        <w:t>the 95</w:t>
      </w:r>
      <w:r w:rsidR="00D242C8" w:rsidRPr="0088290D">
        <w:rPr>
          <w:rFonts w:ascii="Book Antiqua" w:hAnsi="Book Antiqua" w:cs="Arial"/>
          <w:vertAlign w:val="superscript"/>
          <w:lang w:val="en-US"/>
        </w:rPr>
        <w:t>th</w:t>
      </w:r>
      <w:r w:rsidR="00D242C8" w:rsidRPr="0088290D">
        <w:rPr>
          <w:rFonts w:ascii="Book Antiqua" w:hAnsi="Book Antiqua" w:cs="Arial"/>
          <w:lang w:val="en-US"/>
        </w:rPr>
        <w:t xml:space="preserve"> percentile of healthy controls </w:t>
      </w:r>
      <w:r w:rsidR="002E5ED7" w:rsidRPr="0088290D">
        <w:rPr>
          <w:rFonts w:ascii="Book Antiqua" w:hAnsi="Book Antiqua" w:cs="Arial"/>
          <w:lang w:val="en-US"/>
        </w:rPr>
        <w:t>and used to dichotomize absolute values.</w:t>
      </w:r>
      <w:r w:rsidR="008A35C6" w:rsidRPr="0088290D">
        <w:rPr>
          <w:rFonts w:ascii="Book Antiqua" w:hAnsi="Book Antiqua" w:cs="Arial"/>
          <w:lang w:val="en-US"/>
        </w:rPr>
        <w:t xml:space="preserve"> </w:t>
      </w:r>
    </w:p>
    <w:p w14:paraId="19109F49" w14:textId="02BCF607" w:rsidR="00580DF9" w:rsidRPr="0088290D" w:rsidRDefault="009715F9" w:rsidP="007940D7">
      <w:pPr>
        <w:widowControl w:val="0"/>
        <w:autoSpaceDE w:val="0"/>
        <w:autoSpaceDN w:val="0"/>
        <w:adjustRightInd w:val="0"/>
        <w:spacing w:line="360" w:lineRule="auto"/>
        <w:jc w:val="both"/>
        <w:rPr>
          <w:rFonts w:ascii="Book Antiqua" w:hAnsi="Book Antiqua" w:cs="Times"/>
          <w:lang w:val="en-US"/>
        </w:rPr>
      </w:pPr>
      <w:r w:rsidRPr="0088290D">
        <w:rPr>
          <w:rFonts w:ascii="Book Antiqua" w:hAnsi="Book Antiqua" w:cs="Arial"/>
          <w:color w:val="000000"/>
          <w:lang w:val="en-US"/>
        </w:rPr>
        <w:tab/>
      </w:r>
      <w:r w:rsidR="00B1402E" w:rsidRPr="0088290D">
        <w:rPr>
          <w:rFonts w:ascii="Book Antiqua" w:hAnsi="Book Antiqua" w:cs="Arial"/>
          <w:lang w:val="en-US"/>
        </w:rPr>
        <w:t>P</w:t>
      </w:r>
      <w:r w:rsidR="00385F46" w:rsidRPr="0088290D">
        <w:rPr>
          <w:rFonts w:ascii="Book Antiqua" w:hAnsi="Book Antiqua" w:cs="Arial"/>
          <w:lang w:val="en-US"/>
        </w:rPr>
        <w:t xml:space="preserve">resence of IgA or IgG type antibodies against </w:t>
      </w:r>
      <w:r w:rsidR="00385F46" w:rsidRPr="0088290D">
        <w:rPr>
          <w:rFonts w:ascii="Book Antiqua" w:hAnsi="Book Antiqua" w:cs="Times"/>
          <w:lang w:val="en-US"/>
        </w:rPr>
        <w:t>F-actin (</w:t>
      </w:r>
      <w:r w:rsidR="00385F46" w:rsidRPr="0088290D">
        <w:rPr>
          <w:rFonts w:ascii="Book Antiqua" w:hAnsi="Book Antiqua" w:cs="Arial"/>
          <w:lang w:val="en-US"/>
        </w:rPr>
        <w:t>AAA)</w:t>
      </w:r>
      <w:r w:rsidR="00B1402E" w:rsidRPr="0088290D">
        <w:rPr>
          <w:rFonts w:ascii="Book Antiqua" w:hAnsi="Book Antiqua" w:cs="Times"/>
          <w:lang w:val="en-US"/>
        </w:rPr>
        <w:t xml:space="preserve">, and </w:t>
      </w:r>
      <w:r w:rsidR="00385F46" w:rsidRPr="0088290D">
        <w:rPr>
          <w:rFonts w:ascii="Book Antiqua" w:hAnsi="Book Antiqua" w:cs="Times"/>
          <w:lang w:val="en-US"/>
        </w:rPr>
        <w:t>gliadin (AGA) (QUANTA Lite</w:t>
      </w:r>
      <w:r w:rsidR="00472AB2" w:rsidRPr="0088290D">
        <w:rPr>
          <w:rFonts w:ascii="Book Antiqua" w:hAnsi="Book Antiqua" w:cs="Arial"/>
          <w:vertAlign w:val="superscript"/>
          <w:lang w:val="en-US"/>
        </w:rPr>
        <w:t>®</w:t>
      </w:r>
      <w:r w:rsidR="00385F46" w:rsidRPr="0088290D">
        <w:rPr>
          <w:rFonts w:ascii="Book Antiqua" w:hAnsi="Book Antiqua" w:cs="Times"/>
          <w:lang w:val="en-US"/>
        </w:rPr>
        <w:t>; INOVA Diagnostics, San Diego, CA)</w:t>
      </w:r>
      <w:r w:rsidR="00B1402E" w:rsidRPr="0088290D">
        <w:rPr>
          <w:rFonts w:ascii="Book Antiqua" w:hAnsi="Book Antiqua" w:cs="Times"/>
          <w:lang w:val="en-US"/>
        </w:rPr>
        <w:t xml:space="preserve">, and </w:t>
      </w:r>
      <w:r w:rsidR="00B1402E" w:rsidRPr="0088290D">
        <w:rPr>
          <w:rFonts w:ascii="Book Antiqua" w:hAnsi="Book Antiqua" w:cs="Arial"/>
          <w:lang w:val="en-US"/>
        </w:rPr>
        <w:t xml:space="preserve">level of intestinal fatty acid-binding protein (I-FABP) </w:t>
      </w:r>
      <w:r w:rsidR="00B1402E" w:rsidRPr="0088290D">
        <w:rPr>
          <w:rFonts w:ascii="Book Antiqua" w:hAnsi="Book Antiqua" w:cs="Arial"/>
          <w:bCs/>
          <w:lang w:val="en-US"/>
        </w:rPr>
        <w:t>(</w:t>
      </w:r>
      <w:r w:rsidR="00B1402E" w:rsidRPr="0088290D">
        <w:rPr>
          <w:rFonts w:ascii="Book Antiqua" w:hAnsi="Book Antiqua" w:cs="Arial"/>
          <w:lang w:val="en-US"/>
        </w:rPr>
        <w:t xml:space="preserve">Hycult Biotechnology, Uden, Netherlands) </w:t>
      </w:r>
      <w:r w:rsidR="00E66B70" w:rsidRPr="0088290D">
        <w:rPr>
          <w:rFonts w:ascii="Book Antiqua" w:hAnsi="Book Antiqua" w:cs="Times"/>
          <w:lang w:val="en-US"/>
        </w:rPr>
        <w:t xml:space="preserve">were determined as the </w:t>
      </w:r>
      <w:r w:rsidR="00E66B70" w:rsidRPr="0088290D">
        <w:rPr>
          <w:rFonts w:ascii="Book Antiqua" w:hAnsi="Book Antiqua" w:cs="Arial"/>
          <w:lang w:val="en-US"/>
        </w:rPr>
        <w:t>serologic markers of gut barrier function.</w:t>
      </w:r>
      <w:r w:rsidR="00E66B70" w:rsidRPr="0088290D">
        <w:rPr>
          <w:rFonts w:ascii="Book Antiqua" w:hAnsi="Book Antiqua" w:cs="Times"/>
          <w:lang w:val="en-US"/>
        </w:rPr>
        <w:t xml:space="preserve"> </w:t>
      </w:r>
      <w:r w:rsidR="00E36891" w:rsidRPr="0088290D">
        <w:rPr>
          <w:rFonts w:ascii="Book Antiqua" w:hAnsi="Book Antiqua" w:cs="Times"/>
          <w:lang w:val="en-US"/>
        </w:rPr>
        <w:t xml:space="preserve">The cut-off </w:t>
      </w:r>
      <w:r w:rsidR="00A654AC" w:rsidRPr="0088290D">
        <w:rPr>
          <w:rFonts w:ascii="Book Antiqua" w:hAnsi="Book Antiqua" w:cs="Times"/>
          <w:lang w:val="en-US"/>
        </w:rPr>
        <w:t xml:space="preserve">for </w:t>
      </w:r>
      <w:r w:rsidR="00E36891" w:rsidRPr="0088290D">
        <w:rPr>
          <w:rFonts w:ascii="Book Antiqua" w:hAnsi="Book Antiqua" w:cs="Times"/>
          <w:lang w:val="en-US"/>
        </w:rPr>
        <w:t xml:space="preserve">positivity was </w:t>
      </w:r>
      <w:r w:rsidR="00613C28" w:rsidRPr="0088290D">
        <w:rPr>
          <w:rFonts w:ascii="Book Antiqua" w:hAnsi="Book Antiqua" w:cs="Times"/>
          <w:lang w:val="en-US"/>
        </w:rPr>
        <w:t>35 and 25 U for both types of AAA and AGA, respectively</w:t>
      </w:r>
      <w:r w:rsidR="007F7EF4" w:rsidRPr="0088290D">
        <w:rPr>
          <w:rFonts w:ascii="Book Antiqua" w:hAnsi="Book Antiqua" w:cs="Times"/>
          <w:lang w:val="en-US"/>
        </w:rPr>
        <w:t>.</w:t>
      </w:r>
      <w:r w:rsidR="00613C28" w:rsidRPr="0088290D">
        <w:rPr>
          <w:rFonts w:ascii="Book Antiqua" w:hAnsi="Book Antiqua" w:cs="Arial"/>
          <w:color w:val="000000"/>
          <w:lang w:val="en-US"/>
        </w:rPr>
        <w:t xml:space="preserve"> </w:t>
      </w:r>
    </w:p>
    <w:p w14:paraId="795512EC" w14:textId="34345CFE" w:rsidR="00E36891" w:rsidRPr="0088290D" w:rsidRDefault="00540D53"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lang w:val="en-US"/>
        </w:rPr>
        <w:tab/>
      </w:r>
      <w:r w:rsidR="00E36891" w:rsidRPr="0088290D">
        <w:rPr>
          <w:rFonts w:ascii="Book Antiqua" w:hAnsi="Book Antiqua" w:cs="Arial"/>
          <w:lang w:val="en-US"/>
        </w:rPr>
        <w:t xml:space="preserve">Level of acute phase protein, </w:t>
      </w:r>
      <w:r w:rsidR="00885361" w:rsidRPr="0088290D">
        <w:rPr>
          <w:rFonts w:ascii="Book Antiqua" w:hAnsi="Book Antiqua" w:cs="Arial"/>
          <w:lang w:val="en-US"/>
        </w:rPr>
        <w:t xml:space="preserve">lipopolysaccharide </w:t>
      </w:r>
      <w:r w:rsidR="00885361" w:rsidRPr="0088290D">
        <w:rPr>
          <w:rFonts w:ascii="Book Antiqua" w:hAnsi="Book Antiqua" w:cs="Arial"/>
          <w:b/>
          <w:lang w:val="en-US"/>
        </w:rPr>
        <w:t>(</w:t>
      </w:r>
      <w:r w:rsidR="00E36891" w:rsidRPr="0088290D">
        <w:rPr>
          <w:rFonts w:ascii="Book Antiqua" w:hAnsi="Book Antiqua" w:cs="Arial"/>
          <w:lang w:val="en-US"/>
        </w:rPr>
        <w:t>LPS</w:t>
      </w:r>
      <w:r w:rsidR="00885361" w:rsidRPr="0088290D">
        <w:rPr>
          <w:rFonts w:ascii="Book Antiqua" w:hAnsi="Book Antiqua" w:cs="Arial"/>
          <w:lang w:val="en-US"/>
        </w:rPr>
        <w:t>)</w:t>
      </w:r>
      <w:r w:rsidR="007F2A4F" w:rsidRPr="0088290D">
        <w:rPr>
          <w:rFonts w:ascii="Book Antiqua" w:hAnsi="Book Antiqua" w:cs="Arial"/>
          <w:lang w:val="en-US"/>
        </w:rPr>
        <w:t xml:space="preserve"> </w:t>
      </w:r>
      <w:r w:rsidR="00885361" w:rsidRPr="0088290D">
        <w:rPr>
          <w:rFonts w:ascii="Book Antiqua" w:hAnsi="Book Antiqua" w:cs="Arial"/>
          <w:lang w:val="en-US"/>
        </w:rPr>
        <w:t xml:space="preserve">- </w:t>
      </w:r>
      <w:r w:rsidR="00E36891" w:rsidRPr="0088290D">
        <w:rPr>
          <w:rFonts w:ascii="Book Antiqua" w:hAnsi="Book Antiqua" w:cs="Arial"/>
          <w:lang w:val="en-US"/>
        </w:rPr>
        <w:t>binding protein (LBP) and endotoxin core IgA antibody (EndoCAb</w:t>
      </w:r>
      <w:r w:rsidRPr="0088290D">
        <w:rPr>
          <w:rFonts w:ascii="Book Antiqua" w:hAnsi="Book Antiqua" w:cs="Arial"/>
          <w:lang w:val="en-US"/>
        </w:rPr>
        <w:t xml:space="preserve"> IgA</w:t>
      </w:r>
      <w:r w:rsidR="00E36891" w:rsidRPr="0088290D">
        <w:rPr>
          <w:rFonts w:ascii="Book Antiqua" w:hAnsi="Book Antiqua" w:cs="Arial"/>
          <w:lang w:val="en-US"/>
        </w:rPr>
        <w:t>)</w:t>
      </w:r>
      <w:r w:rsidR="009715F9" w:rsidRPr="0088290D">
        <w:rPr>
          <w:rFonts w:ascii="Book Antiqua" w:hAnsi="Book Antiqua" w:cs="Arial"/>
          <w:lang w:val="en-US"/>
        </w:rPr>
        <w:t xml:space="preserve"> (Hycult Biotechnology, Uden, Netherlands)</w:t>
      </w:r>
      <w:r w:rsidR="00E36891" w:rsidRPr="0088290D">
        <w:rPr>
          <w:rFonts w:ascii="Book Antiqua" w:hAnsi="Book Antiqua" w:cs="Arial"/>
          <w:lang w:val="en-US"/>
        </w:rPr>
        <w:t xml:space="preserve"> were </w:t>
      </w:r>
      <w:r w:rsidR="009715F9" w:rsidRPr="0088290D">
        <w:rPr>
          <w:rFonts w:ascii="Book Antiqua" w:hAnsi="Book Antiqua" w:cs="Arial"/>
          <w:lang w:val="en-US"/>
        </w:rPr>
        <w:t xml:space="preserve">determined </w:t>
      </w:r>
      <w:r w:rsidR="00885361" w:rsidRPr="0088290D">
        <w:rPr>
          <w:rFonts w:ascii="Book Antiqua" w:hAnsi="Book Antiqua" w:cs="Arial"/>
          <w:lang w:val="en-US"/>
        </w:rPr>
        <w:t xml:space="preserve">as markers of </w:t>
      </w:r>
      <w:r w:rsidRPr="0088290D">
        <w:rPr>
          <w:rFonts w:ascii="Book Antiqua" w:hAnsi="Book Antiqua" w:cs="Arial"/>
          <w:lang w:val="en-US"/>
        </w:rPr>
        <w:t xml:space="preserve">LPS </w:t>
      </w:r>
      <w:r w:rsidR="00885361" w:rsidRPr="0088290D">
        <w:rPr>
          <w:rFonts w:ascii="Book Antiqua" w:hAnsi="Book Antiqua" w:cs="Arial"/>
          <w:lang w:val="en-US"/>
        </w:rPr>
        <w:t>exposure</w:t>
      </w:r>
      <w:r w:rsidRPr="0088290D">
        <w:rPr>
          <w:rFonts w:ascii="Book Antiqua" w:hAnsi="Book Antiqua" w:cs="Arial"/>
          <w:b/>
          <w:lang w:val="en-US"/>
        </w:rPr>
        <w:t xml:space="preserve">. </w:t>
      </w:r>
      <w:r w:rsidR="00E36891" w:rsidRPr="0088290D">
        <w:rPr>
          <w:rFonts w:ascii="Book Antiqua" w:hAnsi="Book Antiqua" w:cs="Arial"/>
          <w:lang w:val="en-US"/>
        </w:rPr>
        <w:t xml:space="preserve">The cut-off </w:t>
      </w:r>
      <w:r w:rsidR="00A654AC" w:rsidRPr="0088290D">
        <w:rPr>
          <w:rFonts w:ascii="Book Antiqua" w:hAnsi="Book Antiqua" w:cs="Arial"/>
          <w:lang w:val="en-US"/>
        </w:rPr>
        <w:t xml:space="preserve">for </w:t>
      </w:r>
      <w:r w:rsidR="00E36891" w:rsidRPr="0088290D">
        <w:rPr>
          <w:rFonts w:ascii="Book Antiqua" w:hAnsi="Book Antiqua" w:cs="Arial"/>
          <w:lang w:val="en-US"/>
        </w:rPr>
        <w:t>positivity was 195 U/m</w:t>
      </w:r>
      <w:r w:rsidR="006716DE" w:rsidRPr="0088290D">
        <w:rPr>
          <w:rFonts w:ascii="Book Antiqua" w:hAnsi="Book Antiqua" w:cs="Arial"/>
          <w:lang w:val="en-US"/>
        </w:rPr>
        <w:t>L</w:t>
      </w:r>
      <w:r w:rsidR="00E36891" w:rsidRPr="0088290D">
        <w:rPr>
          <w:rFonts w:ascii="Book Antiqua" w:hAnsi="Book Antiqua" w:cs="Arial"/>
          <w:lang w:val="en-US"/>
        </w:rPr>
        <w:t xml:space="preserve"> for EndoCAb IgA. </w:t>
      </w:r>
    </w:p>
    <w:p w14:paraId="023508BB" w14:textId="53C04B61" w:rsidR="00613C28" w:rsidRPr="0088290D" w:rsidRDefault="00540D53" w:rsidP="007940D7">
      <w:pPr>
        <w:widowControl w:val="0"/>
        <w:autoSpaceDE w:val="0"/>
        <w:autoSpaceDN w:val="0"/>
        <w:adjustRightInd w:val="0"/>
        <w:spacing w:line="360" w:lineRule="auto"/>
        <w:jc w:val="both"/>
        <w:rPr>
          <w:rFonts w:ascii="Book Antiqua" w:hAnsi="Book Antiqua" w:cs="Times"/>
          <w:lang w:val="en-US"/>
        </w:rPr>
      </w:pPr>
      <w:r w:rsidRPr="0088290D">
        <w:rPr>
          <w:rFonts w:ascii="Book Antiqua" w:hAnsi="Book Antiqua" w:cs="Arial"/>
          <w:b/>
          <w:lang w:val="en-US"/>
        </w:rPr>
        <w:tab/>
      </w:r>
      <w:r w:rsidRPr="0088290D">
        <w:rPr>
          <w:rFonts w:ascii="Book Antiqua" w:hAnsi="Book Antiqua" w:cs="Arial"/>
          <w:lang w:val="en-US"/>
        </w:rPr>
        <w:t xml:space="preserve">Of the classic anti-microbial serologic antibodies, </w:t>
      </w:r>
      <w:r w:rsidRPr="0088290D">
        <w:rPr>
          <w:rFonts w:ascii="Book Antiqua" w:hAnsi="Book Antiqua" w:cs="Arial"/>
          <w:i/>
          <w:lang w:val="en-US"/>
        </w:rPr>
        <w:t>anti-OMP Plus</w:t>
      </w:r>
      <w:r w:rsidRPr="0088290D">
        <w:rPr>
          <w:rFonts w:ascii="Book Antiqua" w:hAnsi="Book Antiqua" w:cs="Arial"/>
          <w:lang w:val="en-US"/>
        </w:rPr>
        <w:t xml:space="preserve"> antibod</w:t>
      </w:r>
      <w:r w:rsidR="00613C28" w:rsidRPr="0088290D">
        <w:rPr>
          <w:rFonts w:ascii="Book Antiqua" w:hAnsi="Book Antiqua" w:cs="Arial"/>
          <w:lang w:val="en-US"/>
        </w:rPr>
        <w:t>y</w:t>
      </w:r>
      <w:r w:rsidRPr="0088290D">
        <w:rPr>
          <w:rFonts w:ascii="Book Antiqua" w:hAnsi="Book Antiqua" w:cs="Arial"/>
          <w:lang w:val="en-US"/>
        </w:rPr>
        <w:t xml:space="preserve"> (QUANTA Lite</w:t>
      </w:r>
      <w:r w:rsidRPr="0088290D">
        <w:rPr>
          <w:rFonts w:ascii="Book Antiqua" w:hAnsi="Book Antiqua" w:cs="Arial"/>
          <w:vertAlign w:val="superscript"/>
          <w:lang w:val="en-US"/>
        </w:rPr>
        <w:t>®</w:t>
      </w:r>
      <w:r w:rsidRPr="0088290D">
        <w:rPr>
          <w:rFonts w:ascii="Book Antiqua" w:hAnsi="Book Antiqua" w:cs="Arial"/>
          <w:lang w:val="en-US"/>
        </w:rPr>
        <w:t>, Inova Diagnostics, San Diego, CA)</w:t>
      </w:r>
      <w:r w:rsidR="00201621" w:rsidRPr="0088290D">
        <w:rPr>
          <w:rFonts w:ascii="Book Antiqua" w:hAnsi="Book Antiqua" w:cs="Arial"/>
          <w:lang w:val="en-US"/>
        </w:rPr>
        <w:t xml:space="preserve"> </w:t>
      </w:r>
      <w:r w:rsidR="00613C28" w:rsidRPr="0088290D">
        <w:rPr>
          <w:rFonts w:ascii="Book Antiqua" w:hAnsi="Book Antiqua" w:cs="Arial"/>
          <w:lang w:val="en-US"/>
        </w:rPr>
        <w:t xml:space="preserve">was </w:t>
      </w:r>
      <w:r w:rsidRPr="0088290D">
        <w:rPr>
          <w:rFonts w:ascii="Book Antiqua" w:hAnsi="Book Antiqua" w:cs="Arial"/>
          <w:lang w:val="en-US"/>
        </w:rPr>
        <w:t>detected.</w:t>
      </w:r>
      <w:r w:rsidR="00CD3C63" w:rsidRPr="0088290D">
        <w:rPr>
          <w:rFonts w:ascii="Book Antiqua" w:hAnsi="Book Antiqua" w:cs="Arial"/>
          <w:lang w:val="en-US"/>
        </w:rPr>
        <w:t xml:space="preserve"> </w:t>
      </w:r>
      <w:r w:rsidR="00A654AC" w:rsidRPr="0088290D">
        <w:rPr>
          <w:rFonts w:ascii="Book Antiqua" w:hAnsi="Book Antiqua" w:cs="Arial"/>
          <w:lang w:val="en-US"/>
        </w:rPr>
        <w:t>This assay detects</w:t>
      </w:r>
      <w:r w:rsidR="00CD3C63" w:rsidRPr="0088290D">
        <w:rPr>
          <w:rFonts w:ascii="Book Antiqua" w:hAnsi="Book Antiqua" w:cs="Arial"/>
          <w:lang w:val="en-US"/>
        </w:rPr>
        <w:t xml:space="preserve"> </w:t>
      </w:r>
      <w:r w:rsidR="00CD3C63" w:rsidRPr="0088290D">
        <w:rPr>
          <w:rFonts w:ascii="Book Antiqua" w:hAnsi="Book Antiqua" w:cs="Times"/>
          <w:lang w:val="en-US"/>
        </w:rPr>
        <w:t xml:space="preserve">IgA antibody against multiple bacterial proteins derived </w:t>
      </w:r>
      <w:r w:rsidR="00CD3C63" w:rsidRPr="0088290D">
        <w:rPr>
          <w:rFonts w:ascii="Book Antiqua" w:hAnsi="Book Antiqua" w:cs="Times"/>
          <w:lang w:val="en-US"/>
        </w:rPr>
        <w:lastRenderedPageBreak/>
        <w:t xml:space="preserve">from two species of intestinal bacteria (one Gram-positive and one Gram-negative). Neither bacteria are from the phylum Proteobacteria, of which Escherichia coli is a member. </w:t>
      </w:r>
      <w:r w:rsidRPr="0088290D">
        <w:rPr>
          <w:rFonts w:ascii="Book Antiqua" w:hAnsi="Book Antiqua" w:cs="Arial"/>
          <w:lang w:val="en-US"/>
        </w:rPr>
        <w:t xml:space="preserve">The cut-off </w:t>
      </w:r>
      <w:r w:rsidR="00A654AC" w:rsidRPr="0088290D">
        <w:rPr>
          <w:rFonts w:ascii="Book Antiqua" w:hAnsi="Book Antiqua" w:cs="Arial"/>
          <w:lang w:val="en-US"/>
        </w:rPr>
        <w:t xml:space="preserve">for </w:t>
      </w:r>
      <w:r w:rsidRPr="0088290D">
        <w:rPr>
          <w:rFonts w:ascii="Book Antiqua" w:hAnsi="Book Antiqua" w:cs="Arial"/>
          <w:lang w:val="en-US"/>
        </w:rPr>
        <w:t xml:space="preserve">positivity was 25 U </w:t>
      </w:r>
      <w:r w:rsidR="007E239D" w:rsidRPr="0088290D">
        <w:rPr>
          <w:rFonts w:ascii="Book Antiqua" w:hAnsi="Book Antiqua" w:cs="Arial"/>
          <w:lang w:val="en-US"/>
        </w:rPr>
        <w:t>as recommended by the manufacturer.</w:t>
      </w:r>
      <w:r w:rsidR="00613C28" w:rsidRPr="0088290D">
        <w:rPr>
          <w:rFonts w:ascii="Book Antiqua" w:hAnsi="Book Antiqua" w:cs="Times"/>
          <w:lang w:val="en-US"/>
        </w:rPr>
        <w:t xml:space="preserve"> </w:t>
      </w:r>
    </w:p>
    <w:p w14:paraId="7EDC169D" w14:textId="57E0446E" w:rsidR="00B6169D" w:rsidRPr="0088290D" w:rsidRDefault="00CD3C63" w:rsidP="007940D7">
      <w:pPr>
        <w:widowControl w:val="0"/>
        <w:autoSpaceDE w:val="0"/>
        <w:autoSpaceDN w:val="0"/>
        <w:adjustRightInd w:val="0"/>
        <w:spacing w:line="360" w:lineRule="auto"/>
        <w:jc w:val="both"/>
        <w:rPr>
          <w:rFonts w:ascii="Book Antiqua" w:hAnsi="Book Antiqua" w:cs="Arial"/>
          <w:color w:val="1A1718"/>
          <w:lang w:val="en-US"/>
        </w:rPr>
      </w:pPr>
      <w:r w:rsidRPr="0088290D">
        <w:rPr>
          <w:rFonts w:ascii="Book Antiqua" w:hAnsi="Book Antiqua" w:cs="Arial"/>
          <w:color w:val="1A1718"/>
          <w:lang w:val="en-US"/>
        </w:rPr>
        <w:tab/>
      </w:r>
      <w:r w:rsidR="00130954" w:rsidRPr="0088290D">
        <w:rPr>
          <w:rFonts w:ascii="Book Antiqua" w:hAnsi="Book Antiqua" w:cs="Arial"/>
          <w:color w:val="1A1718"/>
          <w:lang w:val="en-US"/>
        </w:rPr>
        <w:t xml:space="preserve">Atypical P-ANCA and </w:t>
      </w:r>
      <w:r w:rsidR="00130954" w:rsidRPr="0088290D">
        <w:rPr>
          <w:rFonts w:ascii="Book Antiqua" w:hAnsi="Book Antiqua" w:cs="Arial"/>
          <w:lang w:val="en-US"/>
        </w:rPr>
        <w:t>anti-endomysial (EMA) antibodies</w:t>
      </w:r>
      <w:r w:rsidR="00130954" w:rsidRPr="0088290D">
        <w:rPr>
          <w:rFonts w:ascii="Book Antiqua" w:hAnsi="Book Antiqua" w:cs="Arial"/>
          <w:color w:val="1A1718"/>
          <w:lang w:val="en-US"/>
        </w:rPr>
        <w:t xml:space="preserve"> were determined </w:t>
      </w:r>
      <w:r w:rsidRPr="0088290D">
        <w:rPr>
          <w:rFonts w:ascii="Book Antiqua" w:hAnsi="Book Antiqua" w:cs="Arial"/>
          <w:color w:val="1A1718"/>
          <w:lang w:val="en-US"/>
        </w:rPr>
        <w:t xml:space="preserve">by commercially available indirect immunofluorescence test (IIF) </w:t>
      </w:r>
      <w:r w:rsidR="00130954" w:rsidRPr="0088290D">
        <w:rPr>
          <w:rFonts w:ascii="Book Antiqua" w:hAnsi="Book Antiqua" w:cs="Arial"/>
          <w:color w:val="1A1718"/>
          <w:lang w:val="en-US"/>
        </w:rPr>
        <w:t xml:space="preserve">as a part of the </w:t>
      </w:r>
      <w:r w:rsidRPr="0088290D">
        <w:rPr>
          <w:rFonts w:ascii="Book Antiqua" w:hAnsi="Book Antiqua" w:cs="Arial"/>
          <w:color w:val="1A1718"/>
          <w:lang w:val="en-US"/>
        </w:rPr>
        <w:t xml:space="preserve">differential </w:t>
      </w:r>
      <w:r w:rsidR="00130954" w:rsidRPr="0088290D">
        <w:rPr>
          <w:rFonts w:ascii="Book Antiqua" w:hAnsi="Book Antiqua" w:cs="Arial"/>
          <w:color w:val="1A1718"/>
          <w:lang w:val="en-US"/>
        </w:rPr>
        <w:t>diagnostic procedure of autoimmune liv</w:t>
      </w:r>
      <w:r w:rsidRPr="0088290D">
        <w:rPr>
          <w:rFonts w:ascii="Book Antiqua" w:hAnsi="Book Antiqua" w:cs="Arial"/>
          <w:color w:val="1A1718"/>
          <w:lang w:val="en-US"/>
        </w:rPr>
        <w:t>er diseases and celiac disease.</w:t>
      </w:r>
      <w:r w:rsidR="00D70CBA" w:rsidRPr="0088290D">
        <w:rPr>
          <w:rFonts w:ascii="Book Antiqua" w:hAnsi="Book Antiqua" w:cs="Arial"/>
          <w:color w:val="1A1718"/>
          <w:lang w:val="en-US"/>
        </w:rPr>
        <w:t xml:space="preserve"> </w:t>
      </w:r>
      <w:r w:rsidR="007670CF" w:rsidRPr="0088290D">
        <w:rPr>
          <w:rFonts w:ascii="Book Antiqua" w:hAnsi="Book Antiqua" w:cs="Arial"/>
          <w:color w:val="1A1718"/>
          <w:lang w:val="en-US"/>
        </w:rPr>
        <w:t>Atypical P-</w:t>
      </w:r>
      <w:r w:rsidR="007670CF" w:rsidRPr="0088290D">
        <w:rPr>
          <w:rFonts w:ascii="Book Antiqua" w:hAnsi="Book Antiqua" w:cs="Arial"/>
          <w:lang w:val="en-US"/>
        </w:rPr>
        <w:t>ANCA</w:t>
      </w:r>
      <w:r w:rsidR="005E000D" w:rsidRPr="0088290D">
        <w:rPr>
          <w:rFonts w:ascii="Book Antiqua" w:hAnsi="Book Antiqua" w:cs="Arial"/>
          <w:lang w:val="en-US"/>
        </w:rPr>
        <w:t xml:space="preserve"> </w:t>
      </w:r>
      <w:r w:rsidR="007670CF" w:rsidRPr="0088290D">
        <w:rPr>
          <w:rFonts w:ascii="Book Antiqua" w:hAnsi="Book Antiqua" w:cs="Arial"/>
          <w:lang w:val="en-US"/>
        </w:rPr>
        <w:t>(IgA and IgG)</w:t>
      </w:r>
      <w:r w:rsidR="00635DC7" w:rsidRPr="0088290D">
        <w:rPr>
          <w:rFonts w:ascii="Book Antiqua" w:hAnsi="Book Antiqua" w:cs="Arial"/>
          <w:lang w:val="en-US"/>
        </w:rPr>
        <w:t xml:space="preserve"> </w:t>
      </w:r>
      <w:r w:rsidR="00B13C6C" w:rsidRPr="0088290D">
        <w:rPr>
          <w:rFonts w:ascii="Book Antiqua" w:hAnsi="Book Antiqua" w:cs="Arial"/>
          <w:lang w:val="en-US"/>
        </w:rPr>
        <w:t xml:space="preserve">and </w:t>
      </w:r>
      <w:r w:rsidR="000E67A0" w:rsidRPr="0088290D">
        <w:rPr>
          <w:rFonts w:ascii="Book Antiqua" w:hAnsi="Book Antiqua" w:cs="Arial"/>
          <w:lang w:val="en-US"/>
        </w:rPr>
        <w:t>EMA</w:t>
      </w:r>
      <w:r w:rsidR="00B13C6C" w:rsidRPr="0088290D">
        <w:rPr>
          <w:rFonts w:ascii="Book Antiqua" w:hAnsi="Book Antiqua" w:cs="Arial"/>
          <w:lang w:val="en-US"/>
        </w:rPr>
        <w:t xml:space="preserve"> (IgA and IgG) antibody</w:t>
      </w:r>
      <w:r w:rsidR="00B13C6C" w:rsidRPr="0088290D">
        <w:rPr>
          <w:rFonts w:ascii="Book Antiqua" w:hAnsi="Book Antiqua" w:cs="Arial"/>
          <w:color w:val="1A1718"/>
          <w:lang w:val="en-US"/>
        </w:rPr>
        <w:t xml:space="preserve"> </w:t>
      </w:r>
      <w:r w:rsidR="00B13C6C" w:rsidRPr="0088290D">
        <w:rPr>
          <w:rFonts w:ascii="Book Antiqua" w:hAnsi="Book Antiqua" w:cs="Arial"/>
          <w:lang w:val="en-US"/>
        </w:rPr>
        <w:t>positivities</w:t>
      </w:r>
      <w:r w:rsidR="00635DC7" w:rsidRPr="0088290D">
        <w:rPr>
          <w:rFonts w:ascii="Book Antiqua" w:hAnsi="Book Antiqua" w:cs="Arial"/>
          <w:lang w:val="en-US"/>
        </w:rPr>
        <w:t xml:space="preserve"> </w:t>
      </w:r>
      <w:r w:rsidR="00B13C6C" w:rsidRPr="0088290D">
        <w:rPr>
          <w:rFonts w:ascii="Book Antiqua" w:hAnsi="Book Antiqua" w:cs="Arial"/>
          <w:lang w:val="en-US"/>
        </w:rPr>
        <w:t>were</w:t>
      </w:r>
      <w:r w:rsidR="00635DC7" w:rsidRPr="0088290D">
        <w:rPr>
          <w:rFonts w:ascii="Book Antiqua" w:hAnsi="Book Antiqua" w:cs="Arial"/>
          <w:lang w:val="en-US"/>
        </w:rPr>
        <w:t xml:space="preserve"> </w:t>
      </w:r>
      <w:r w:rsidR="008E6A4F" w:rsidRPr="0088290D">
        <w:rPr>
          <w:rFonts w:ascii="Book Antiqua" w:hAnsi="Book Antiqua" w:cs="Arial"/>
          <w:lang w:val="en-US"/>
        </w:rPr>
        <w:t xml:space="preserve">considered </w:t>
      </w:r>
      <w:r w:rsidR="00635DC7" w:rsidRPr="0088290D">
        <w:rPr>
          <w:rFonts w:ascii="Book Antiqua" w:hAnsi="Book Antiqua" w:cs="Arial"/>
          <w:lang w:val="en-US"/>
        </w:rPr>
        <w:t xml:space="preserve">in case of </w:t>
      </w:r>
      <w:r w:rsidR="00635DC7" w:rsidRPr="0088290D">
        <w:rPr>
          <w:rFonts w:ascii="Book Antiqua" w:hAnsi="Book Antiqua" w:cs="Arial"/>
          <w:color w:val="1A1718"/>
          <w:lang w:val="en-US"/>
        </w:rPr>
        <w:t>specific fluorescence</w:t>
      </w:r>
      <w:r w:rsidR="00A654AC" w:rsidRPr="0088290D">
        <w:rPr>
          <w:rFonts w:ascii="Book Antiqua" w:hAnsi="Book Antiqua" w:cs="Arial"/>
          <w:color w:val="1A1718"/>
          <w:lang w:val="en-US"/>
        </w:rPr>
        <w:t>nt</w:t>
      </w:r>
      <w:r w:rsidR="008702A1" w:rsidRPr="0088290D">
        <w:rPr>
          <w:rFonts w:ascii="Book Antiqua" w:hAnsi="Book Antiqua" w:cs="Arial"/>
          <w:color w:val="1A1718"/>
          <w:lang w:val="en-US"/>
        </w:rPr>
        <w:t xml:space="preserve"> patterns</w:t>
      </w:r>
      <w:r w:rsidR="00635DC7" w:rsidRPr="0088290D">
        <w:rPr>
          <w:rFonts w:ascii="Book Antiqua" w:hAnsi="Book Antiqua" w:cs="Arial"/>
          <w:lang w:val="en-US"/>
        </w:rPr>
        <w:t xml:space="preserve"> in IIFT</w:t>
      </w:r>
      <w:r w:rsidR="00C0031E" w:rsidRPr="0088290D">
        <w:rPr>
          <w:rFonts w:ascii="Book Antiqua" w:hAnsi="Book Antiqua" w:cs="Arial"/>
          <w:lang w:val="en-US"/>
        </w:rPr>
        <w:t xml:space="preserve"> </w:t>
      </w:r>
      <w:r w:rsidR="00635DC7" w:rsidRPr="0088290D">
        <w:rPr>
          <w:rFonts w:ascii="Book Antiqua" w:hAnsi="Book Antiqua" w:cs="Arial"/>
          <w:lang w:val="en-US"/>
        </w:rPr>
        <w:t>[Euroimmun Medizinische Labordiagnostika AG, Lübeck, Germany]</w:t>
      </w:r>
      <w:r w:rsidR="00C0031E" w:rsidRPr="0088290D">
        <w:rPr>
          <w:rFonts w:ascii="Book Antiqua" w:hAnsi="Book Antiqua" w:cs="Arial"/>
          <w:lang w:val="en-US"/>
        </w:rPr>
        <w:t xml:space="preserve"> </w:t>
      </w:r>
      <w:r w:rsidR="00C0031E" w:rsidRPr="0088290D">
        <w:rPr>
          <w:rFonts w:ascii="Book Antiqua" w:hAnsi="Book Antiqua" w:cs="Arial"/>
          <w:color w:val="1A1718"/>
          <w:lang w:val="en-US"/>
        </w:rPr>
        <w:t xml:space="preserve">at a dilution </w:t>
      </w:r>
      <w:r w:rsidR="008702A1" w:rsidRPr="0088290D">
        <w:rPr>
          <w:rFonts w:ascii="Book Antiqua" w:eastAsia="MS Gothic" w:hAnsi="Book Antiqua"/>
          <w:color w:val="000000"/>
          <w:lang w:val="en-US"/>
        </w:rPr>
        <w:t>≥</w:t>
      </w:r>
      <w:r w:rsidR="006716DE">
        <w:rPr>
          <w:rFonts w:ascii="Book Antiqua" w:eastAsia="SimSun" w:hAnsi="Book Antiqua" w:hint="eastAsia"/>
          <w:color w:val="000000"/>
          <w:lang w:val="en-US" w:eastAsia="zh-CN"/>
        </w:rPr>
        <w:t xml:space="preserve"> </w:t>
      </w:r>
      <w:r w:rsidR="00C0031E" w:rsidRPr="0088290D">
        <w:rPr>
          <w:rFonts w:ascii="Book Antiqua" w:hAnsi="Book Antiqua" w:cs="Arial"/>
          <w:color w:val="1A1718"/>
          <w:lang w:val="en-US"/>
        </w:rPr>
        <w:t>1:32 or</w:t>
      </w:r>
      <w:r w:rsidR="00037B9B" w:rsidRPr="0088290D">
        <w:rPr>
          <w:rFonts w:ascii="Book Antiqua" w:hAnsi="Book Antiqua" w:cs="Arial"/>
          <w:color w:val="1A1718"/>
          <w:lang w:val="en-US"/>
        </w:rPr>
        <w:t xml:space="preserve"> 1:10, respectively</w:t>
      </w:r>
      <w:r w:rsidR="00C0031E" w:rsidRPr="0088290D">
        <w:rPr>
          <w:rFonts w:ascii="Book Antiqua" w:hAnsi="Book Antiqua" w:cs="Arial"/>
          <w:color w:val="1A1718"/>
          <w:lang w:val="en-US"/>
        </w:rPr>
        <w:t xml:space="preserve"> </w:t>
      </w:r>
      <w:r w:rsidR="00C0031E" w:rsidRPr="0088290D">
        <w:rPr>
          <w:rFonts w:ascii="Book Antiqua" w:hAnsi="Book Antiqua" w:cs="Arial"/>
          <w:lang w:val="en-US"/>
        </w:rPr>
        <w:t xml:space="preserve">as recommended by the manufacturer. </w:t>
      </w:r>
      <w:r w:rsidR="00C0031E" w:rsidRPr="0088290D">
        <w:rPr>
          <w:rFonts w:ascii="Book Antiqua" w:hAnsi="Book Antiqua" w:cs="Arial"/>
          <w:color w:val="1A1718"/>
          <w:lang w:val="en-US"/>
        </w:rPr>
        <w:t>Detailed description has been reported previously</w:t>
      </w:r>
      <w:r w:rsidR="00EC12F7" w:rsidRPr="0088290D">
        <w:rPr>
          <w:rFonts w:ascii="Book Antiqua" w:hAnsi="Book Antiqua" w:cs="Arial"/>
          <w:color w:val="1A1718"/>
          <w:lang w:val="en-US"/>
        </w:rPr>
        <w:fldChar w:fldCharType="begin" w:fldLock="1"/>
      </w:r>
      <w:r w:rsidR="00915AE0" w:rsidRPr="0088290D">
        <w:rPr>
          <w:rFonts w:ascii="Book Antiqua" w:hAnsi="Book Antiqua" w:cs="Arial"/>
          <w:color w:val="1A1718"/>
          <w:lang w:val="en-US"/>
        </w:rPr>
        <w:instrText>ADDIN CSL_CITATION { "citationItems" : [ { "id" : "ITEM-1", "itemData" : { "DOI" : "10.1093/ecco-jcc/jjv087", "ISSN" : "1876-4479 (Electronic)", "PMID" : "25968583", "abstract" : "BACKGROUNDS: Glycoprotein 2[GP2] and CUB zona pellucida-like domain 1[CUZD1] belong to protein families involved in gut innate immunity processes and have recently been identified as specific targets of anti-pancreatic autoantibodies [PAbs] in Crohn's disease[CD]. We aimed to determine the prognostic potential of novel target-specific PAbs regarding long-term disease course of an adult CD patient cohort. METHODS: Sera of 458 consecutive well-characterised IBD patients from a single referral IBD centre were tested by enzyme-linked immunosorbent assay [ELISA] with isoform 4 of recombinant GP2 [anti-MZGP2 and anti-GP2 IgA/IgG] and indirect immunofluorescence test [IIFT] system with GP2 and CUZD1 expressing transfected HEK 293 cells [anti-rPAg2 and rPAg1 IgA/IgG]. Clinical data were available on complicated disease or surgical interventions as well as disease activity and medical treatment during the prospective follow-up [median, 108 months]. RESULTS: Totals of 12.4% and 20.8% of CD patients were positive for IgA/IgG type of anti-GP2 and anti-CUZD1, respectively, with a significant difference compared with UC [p &lt; 0.01]. Antibody status was stable over time. Agreement among three different anti-GP2 assays was good. Positivity for PAbs, mainly IgA subtypes, predicted a faster progression towards complicated disease course. In Kaplan-Meier analysis, time to surgery or development of perianal disease was associated with anti-GP2 IgA [pLogRank &lt; 0.01] or anti-CUZD1 IgA [pLogRank &lt; 0.001] positivity, respectively. Anti-CUZD1 IgA remained an independent predictor in the multivariate Cox-regression model (hazard ratio [HR]: 3.43, 95% confidence interval [CI]: 1.68-7.02, p &lt; 0.001). CONCLUSIONS: The present study has shown that specific PAbs [especially IgA subtype] predict complicated disease course including the development of perianal disease in CD.", "author" : [ { "dropping-particle" : "", "family" : "Papp", "given" : "Maria", "non-dropping-particle" : "", "parse-names" : false, "suffix" : "" }, { "dropping-particle" : "", "family" : "Sipeki", "given" : "Nora", "non-dropping-particle" : "", "parse-names" : false, "suffix" : "" }, { "dropping-particle" : "", "family" : "Tornai", "given" : "Tamas", "non-dropping-particle" : "", "parse-names" : false, "suffix" : "" }, { "dropping-particle" : "", "family" : "Altorjay", "given" : "Istvan", "non-dropping-particle" : "", "parse-names" : false, "suffix" : "" }, { "dropping-particle" : "", "family" : "Norman", "given" : "Gary L", "non-dropping-particle" : "", "parse-names" : false, "suffix" : "" }, { "dropping-particle" : "", "family" : "Shums", "given" : "Zakera", "non-dropping-particle" : "", "parse-names" : false, "suffix" : "" }, { "dropping-particle" : "", "family" : "Roggenbuck", "given" : "Dirk", "non-dropping-particle" : "", "parse-names" : false, "suffix" : "" }, { "dropping-particle" : "", "family" : "Fechner", "given" : "Kai", "non-dropping-particle" : "", "parse-names" : false, "suffix" : "" }, { "dropping-particle" : "", "family" : "Stocker", "given" : "Winfried", "non-dropping-particle" : "", "parse-names" : false, "suffix" : "" }, { "dropping-particle" : "", "family" : "Antal-Szalmas", "given" : "Peter", "non-dropping-particle" : "", "parse-names" : false, "suffix" : "" }, { "dropping-particle" : "", "family" : "Veres", "given" : "Gabor", "non-dropping-particle" : "", "parse-names" : false, "suffix" : "" }, { "dropping-particle" : "", "family" : "Lakatos", "given" : "Peter Laszlo", "non-dropping-particle" : "", "parse-names" : false, "suffix" : "" } ], "container-title" : "Journal of Crohn's &amp; colitis", "id" : "ITEM-1", "issue" : "8", "issued" : { "date-parts" : [ [ "2015", "8" ] ] }, "language" : "eng", "page" : "659-668", "publisher-place" : "England", "title" : "Rediscovery of the Anti-Pancreatic Antibodies and Evaluation of their Prognostic  Value in a Prospective Clinical Cohort of Crohn's Patients: The Importance of Specific Target Antigens [GP2 and CUZD1].", "type" : "article-journal", "volume" : "9" }, "uris" : [ "http://www.mendeley.com/documents/?uuid=7ef9274a-e9cb-4564-8a6d-1c6dc8e7e124" ] }, { "id" : "ITEM-2", "itemData" : { "DOI" : "10.1016/j.jhep.2013.04.018", "ISSN" : "0168-8278", "author" : [ { "dropping-particle" : "", "family" : "Papp", "given" : "Maria", "non-dropping-particle" : "", "parse-names" : false, "suffix" : "" }, { "dropping-particle" : "", "family" : "Sipeki", "given" : "Nora", "non-dropping-particle" : "", "parse-names" : false, "suffix" : "" }, { "dropping-particle" : "", "family" : "Vitalis", "given" : "Zsuzsanna", "non-dropping-particle" : "", "parse-names" : false, "suffix" : "" }, { "dropping-particle" : "", "family" : "Tornai", "given" : "Tamas", "non-dropping-particle" : "", "parse-names" : false, "suffix" : "" }, { "dropping-particle" : "", "family" : "Altorjay", "given" : "Istvan", "non-dropping-particle" : "", "parse-names" : false, "suffix" : "" }, { "dropping-particle" : "", "family" : "Tornai", "given" : "Istvan", "non-dropping-particle" : "", "parse-names" : false, "suffix" : "" }, { "dropping-particle" : "", "family" : "Udvardy", "given" : "Miklos", "non-dropping-particle" : "", "parse-names" : false, "suffix" : "" }, { "dropping-particle" : "", "family" : "Fechner", "given" : "Kai", "non-dropping-particle" : "", "parse-names" : false, "suffix" : "" }, { "dropping-particle" : "", "family" : "Jacobsen", "given" : "Silvia", "non-dropping-particle" : "", "parse-names" : false, "suffix" : "" }, { "dropping-particle" : "", "family" : "Teegen", "given" : "Bianca", "non-dropping-particle" : "", "parse-names" : false, "suffix" : "" }, { "dropping-particle" : "", "family" : "Sumegi", "given" : "Andrea", "non-dropping-particle" : "", "parse-names" : false, "suffix" : "" }, { "dropping-particle" : "", "family" : "Veres", "given" : "Gabor", "non-dropping-particle" : "", "parse-names" : false, "suffix" : "" }, { "dropping-particle" : "", "family" : "Lakatos", "given" : "Peter Laszlo", "non-dropping-particle" : "", "parse-names" : false, "suffix" : "" }, { "dropping-particle" : "", "family" : "Kappelmayer", "given" : "Janos", "non-dropping-particle" : "", "parse-names" : false, "suffix" : "" }, { "dropping-particle" : "", "family" : "Antal-Szalmas", "given" : "Peter", "non-dropping-particle" : "", "parse-names" : false, "suffix" : "" } ], "container-title" : "Journal of Hepatology", "id" : "ITEM-2", "issue" : "3", "issued" : { "date-parts" : [ [ "2013", "12", "20" ] ] }, "note" : "doi: 10.1016/j.jhep.2013.04.018", "page" : "457-466", "publisher" : "Elsevier", "title" : "High prevalence of IgA class anti-neutrophil cytoplasmic antibodies (ANCA) is associated with increased risk of bacterial infection in patients with cirrhosis", "type" : "article-journal", "volume" : "59" }, "uris" : [ "http://www.mendeley.com/documents/?uuid=4db17028-af4d-4ff1-a098-4c35cc742e4a" ] } ], "mendeley" : { "formattedCitation" : "&lt;sup&gt;[17,18]&lt;/sup&gt;", "plainTextFormattedCitation" : "[17,18]", "previouslyFormattedCitation" : "&lt;sup&gt;[17,18]&lt;/sup&gt;" }, "properties" : { "noteIndex" : 0 }, "schema" : "https://github.com/citation-style-language/schema/raw/master/csl-citation.json" }</w:instrText>
      </w:r>
      <w:r w:rsidR="00EC12F7" w:rsidRPr="0088290D">
        <w:rPr>
          <w:rFonts w:ascii="Book Antiqua" w:hAnsi="Book Antiqua" w:cs="Arial"/>
          <w:color w:val="1A1718"/>
          <w:lang w:val="en-US"/>
        </w:rPr>
        <w:fldChar w:fldCharType="separate"/>
      </w:r>
      <w:r w:rsidR="00EF266F" w:rsidRPr="0088290D">
        <w:rPr>
          <w:rFonts w:ascii="Book Antiqua" w:hAnsi="Book Antiqua" w:cs="Arial"/>
          <w:noProof/>
          <w:color w:val="1A1718"/>
          <w:vertAlign w:val="superscript"/>
          <w:lang w:val="en-US"/>
        </w:rPr>
        <w:t>[17,18]</w:t>
      </w:r>
      <w:r w:rsidR="00EC12F7" w:rsidRPr="0088290D">
        <w:rPr>
          <w:rFonts w:ascii="Book Antiqua" w:hAnsi="Book Antiqua" w:cs="Arial"/>
          <w:color w:val="1A1718"/>
          <w:lang w:val="en-US"/>
        </w:rPr>
        <w:fldChar w:fldCharType="end"/>
      </w:r>
      <w:r w:rsidR="00B6169D" w:rsidRPr="0088290D">
        <w:rPr>
          <w:rFonts w:ascii="Book Antiqua" w:hAnsi="Book Antiqua" w:cs="Arial"/>
          <w:color w:val="1A1718"/>
          <w:lang w:val="en-US"/>
        </w:rPr>
        <w:t>.</w:t>
      </w:r>
      <w:r w:rsidR="00B13C6C" w:rsidRPr="0088290D">
        <w:rPr>
          <w:rFonts w:ascii="Book Antiqua" w:hAnsi="Book Antiqua" w:cs="Arial"/>
          <w:color w:val="1A1718"/>
          <w:lang w:val="en-US"/>
        </w:rPr>
        <w:t xml:space="preserve"> </w:t>
      </w:r>
    </w:p>
    <w:p w14:paraId="23AB5624" w14:textId="5C5C6F6F" w:rsidR="00201621" w:rsidRPr="0088290D" w:rsidRDefault="00B6169D" w:rsidP="007940D7">
      <w:pPr>
        <w:widowControl w:val="0"/>
        <w:autoSpaceDE w:val="0"/>
        <w:autoSpaceDN w:val="0"/>
        <w:adjustRightInd w:val="0"/>
        <w:spacing w:line="360" w:lineRule="auto"/>
        <w:jc w:val="both"/>
        <w:rPr>
          <w:rFonts w:ascii="Book Antiqua" w:hAnsi="Book Antiqua" w:cs="Arial"/>
          <w:b/>
          <w:lang w:val="en-US"/>
        </w:rPr>
      </w:pPr>
      <w:r w:rsidRPr="0088290D">
        <w:rPr>
          <w:rFonts w:ascii="Book Antiqua" w:hAnsi="Book Antiqua" w:cs="Arial"/>
          <w:b/>
          <w:lang w:val="en-US"/>
        </w:rPr>
        <w:t xml:space="preserve"> </w:t>
      </w:r>
    </w:p>
    <w:p w14:paraId="094C97C9" w14:textId="37AE666F" w:rsidR="009806F7" w:rsidRPr="006716DE" w:rsidRDefault="009806F7" w:rsidP="007940D7">
      <w:pPr>
        <w:widowControl w:val="0"/>
        <w:autoSpaceDE w:val="0"/>
        <w:autoSpaceDN w:val="0"/>
        <w:adjustRightInd w:val="0"/>
        <w:spacing w:line="360" w:lineRule="auto"/>
        <w:jc w:val="both"/>
        <w:rPr>
          <w:rFonts w:ascii="Book Antiqua" w:hAnsi="Book Antiqua" w:cs="Arial"/>
          <w:b/>
          <w:i/>
          <w:lang w:val="en-US"/>
        </w:rPr>
      </w:pPr>
      <w:r w:rsidRPr="006716DE">
        <w:rPr>
          <w:rFonts w:ascii="Book Antiqua" w:hAnsi="Book Antiqua" w:cs="Arial"/>
          <w:b/>
          <w:i/>
          <w:lang w:val="en-US"/>
        </w:rPr>
        <w:t>Ethical permission</w:t>
      </w:r>
    </w:p>
    <w:p w14:paraId="389C825F" w14:textId="3EF3F7C9" w:rsidR="0098649F" w:rsidRPr="0088290D" w:rsidRDefault="0098649F"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The study protocol was approved by the Regional and Institutional Research Ethics Committee of University of Debrecen and the National Scientific and Research Ethics Committee (DEOEC-RKEB/IKEB 5306-9/2011, 3515-2011, 3885/2012/EKU [60/PI/2012], 3880/2012/EKU [59/PI/2012]). Each patient was informed of the nature of the study and gave informed consent in writing.</w:t>
      </w:r>
    </w:p>
    <w:p w14:paraId="3075A5B3" w14:textId="77777777" w:rsidR="0098649F" w:rsidRPr="0088290D" w:rsidRDefault="0098649F" w:rsidP="007940D7">
      <w:pPr>
        <w:widowControl w:val="0"/>
        <w:autoSpaceDE w:val="0"/>
        <w:autoSpaceDN w:val="0"/>
        <w:adjustRightInd w:val="0"/>
        <w:spacing w:line="360" w:lineRule="auto"/>
        <w:jc w:val="both"/>
        <w:rPr>
          <w:rFonts w:ascii="Book Antiqua" w:hAnsi="Book Antiqua" w:cs="Arial"/>
          <w:lang w:val="en-US"/>
        </w:rPr>
      </w:pPr>
    </w:p>
    <w:p w14:paraId="00713D4A" w14:textId="77777777" w:rsidR="0008302C" w:rsidRPr="006716DE" w:rsidRDefault="0008302C" w:rsidP="007940D7">
      <w:pPr>
        <w:widowControl w:val="0"/>
        <w:autoSpaceDE w:val="0"/>
        <w:autoSpaceDN w:val="0"/>
        <w:adjustRightInd w:val="0"/>
        <w:spacing w:line="360" w:lineRule="auto"/>
        <w:jc w:val="both"/>
        <w:rPr>
          <w:rFonts w:ascii="Book Antiqua" w:hAnsi="Book Antiqua" w:cs="Arial"/>
          <w:b/>
          <w:i/>
          <w:lang w:val="en-US"/>
        </w:rPr>
      </w:pPr>
      <w:r w:rsidRPr="006716DE">
        <w:rPr>
          <w:rFonts w:ascii="Book Antiqua" w:hAnsi="Book Antiqua" w:cs="Arial"/>
          <w:b/>
          <w:i/>
          <w:lang w:val="en-US"/>
        </w:rPr>
        <w:t>Statistical analysis</w:t>
      </w:r>
    </w:p>
    <w:p w14:paraId="6C5C9D39" w14:textId="783A8C5F" w:rsidR="00EA7CE1" w:rsidRPr="0088290D" w:rsidRDefault="00EA7CE1"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 xml:space="preserve">Variables were tested for normality using Shapiro Wilk’s W test. Continuous variables were summarized as medians (interquartile range [IQR, lowest 25% - highest 25%]) and were compared with the Mann-Whitney </w:t>
      </w:r>
      <w:r w:rsidRPr="006716DE">
        <w:rPr>
          <w:rFonts w:ascii="Book Antiqua" w:hAnsi="Book Antiqua" w:cs="Arial"/>
          <w:i/>
          <w:lang w:val="en-US"/>
        </w:rPr>
        <w:t>U</w:t>
      </w:r>
      <w:r w:rsidRPr="0088290D">
        <w:rPr>
          <w:rFonts w:ascii="Book Antiqua" w:hAnsi="Book Antiqua" w:cs="Arial"/>
          <w:lang w:val="en-US"/>
        </w:rPr>
        <w:t xml:space="preserve"> test. Categorical variables were compared with </w:t>
      </w:r>
      <w:r w:rsidR="006716DE">
        <w:rPr>
          <w:rFonts w:ascii="Book Antiqua" w:hAnsi="Book Antiqua" w:cs="Times New Roman"/>
          <w:lang w:val="en-US"/>
        </w:rPr>
        <w:sym w:font="Symbol" w:char="F063"/>
      </w:r>
      <w:r w:rsidRPr="0088290D">
        <w:rPr>
          <w:rFonts w:ascii="Book Antiqua" w:hAnsi="Book Antiqua" w:cs="Arial"/>
          <w:position w:val="8"/>
          <w:vertAlign w:val="superscript"/>
          <w:lang w:val="en-US"/>
        </w:rPr>
        <w:t>2</w:t>
      </w:r>
      <w:r w:rsidRPr="0088290D">
        <w:rPr>
          <w:rFonts w:ascii="Book Antiqua" w:hAnsi="Book Antiqua" w:cs="Arial"/>
          <w:position w:val="8"/>
          <w:lang w:val="en-US"/>
        </w:rPr>
        <w:t xml:space="preserve"> </w:t>
      </w:r>
      <w:r w:rsidRPr="0088290D">
        <w:rPr>
          <w:rFonts w:ascii="Book Antiqua" w:hAnsi="Book Antiqua" w:cs="Arial"/>
          <w:lang w:val="en-US"/>
        </w:rPr>
        <w:t xml:space="preserve">test or Fisher’s exact test, as appropriate. </w:t>
      </w:r>
      <w:r w:rsidR="006940FD" w:rsidRPr="0088290D">
        <w:rPr>
          <w:rFonts w:ascii="Book Antiqua" w:hAnsi="Book Antiqua" w:cs="Arial"/>
          <w:lang w:val="en-US"/>
        </w:rPr>
        <w:t xml:space="preserve">We used </w:t>
      </w:r>
      <w:r w:rsidRPr="0088290D">
        <w:rPr>
          <w:rFonts w:ascii="Book Antiqua" w:eastAsiaTheme="minorHAnsi" w:hAnsi="Book Antiqua" w:cs="Arial"/>
          <w:lang w:val="en-US"/>
        </w:rPr>
        <w:t>Kaplan–Meier analysis</w:t>
      </w:r>
      <w:r w:rsidRPr="0088290D">
        <w:rPr>
          <w:rFonts w:ascii="Book Antiqua" w:hAnsi="Book Antiqua" w:cs="Arial"/>
          <w:lang w:val="en-US"/>
        </w:rPr>
        <w:t xml:space="preserve"> </w:t>
      </w:r>
      <w:r w:rsidR="006940FD" w:rsidRPr="0088290D">
        <w:rPr>
          <w:rFonts w:ascii="Book Antiqua" w:hAnsi="Book Antiqua" w:cs="Arial"/>
          <w:lang w:val="en-US"/>
        </w:rPr>
        <w:t>t</w:t>
      </w:r>
      <w:r w:rsidRPr="0088290D">
        <w:rPr>
          <w:rFonts w:ascii="Book Antiqua" w:hAnsi="Book Antiqua" w:cs="Arial"/>
          <w:lang w:val="en-US"/>
        </w:rPr>
        <w:t xml:space="preserve">o determine association between serological antibodies and adverse disease outcome (OLTx and/or liver-related mortality). Differences in observed survival were assessed by the log-rank test. The association of categorical clinical variables or serological antibodies with adverse disease outcome during the follow-up was evaluated </w:t>
      </w:r>
      <w:r w:rsidRPr="0088290D">
        <w:rPr>
          <w:rFonts w:ascii="Book Antiqua" w:hAnsi="Book Antiqua" w:cs="Arial"/>
          <w:lang w:val="en-US"/>
        </w:rPr>
        <w:lastRenderedPageBreak/>
        <w:t>by univariate Cox-regression analysis. Multivariate analyses were performed to adjust for the Mayo risk score or presence of cirrhosis with forced entry method. Associations are given as hazard ratio [HR] with 95%</w:t>
      </w:r>
      <w:r w:rsidR="006716DE">
        <w:rPr>
          <w:rFonts w:ascii="Book Antiqua" w:hAnsi="Book Antiqua" w:cs="Arial"/>
          <w:lang w:val="en-US"/>
        </w:rPr>
        <w:t>CI</w:t>
      </w:r>
      <w:r w:rsidRPr="0088290D">
        <w:rPr>
          <w:rFonts w:ascii="Book Antiqua" w:hAnsi="Book Antiqua" w:cs="Arial"/>
          <w:lang w:val="en-US"/>
        </w:rPr>
        <w:t>. For statistical analysis and graphical presentation, the SPSS v.22.0 (SPSS, Chicago, IL), and GraphPad Prism 6 (San Diego, CA) programs were used. A two-sided probability value of &lt;</w:t>
      </w:r>
      <w:r w:rsidR="006716DE">
        <w:rPr>
          <w:rFonts w:ascii="Book Antiqua" w:eastAsia="SimSun" w:hAnsi="Book Antiqua" w:cs="Arial" w:hint="eastAsia"/>
          <w:lang w:val="en-US" w:eastAsia="zh-CN"/>
        </w:rPr>
        <w:t xml:space="preserve"> </w:t>
      </w:r>
      <w:r w:rsidRPr="0088290D">
        <w:rPr>
          <w:rFonts w:ascii="Book Antiqua" w:hAnsi="Book Antiqua" w:cs="Arial"/>
          <w:lang w:val="en-US"/>
        </w:rPr>
        <w:t>0.05 was considered to be statistically significant.</w:t>
      </w:r>
    </w:p>
    <w:p w14:paraId="3B6E806D" w14:textId="77777777" w:rsidR="0098649F" w:rsidRPr="0088290D" w:rsidRDefault="0098649F" w:rsidP="007940D7">
      <w:pPr>
        <w:widowControl w:val="0"/>
        <w:autoSpaceDE w:val="0"/>
        <w:autoSpaceDN w:val="0"/>
        <w:adjustRightInd w:val="0"/>
        <w:spacing w:line="360" w:lineRule="auto"/>
        <w:jc w:val="both"/>
        <w:rPr>
          <w:rFonts w:ascii="Book Antiqua" w:hAnsi="Book Antiqua" w:cs="Arial"/>
          <w:lang w:val="en-US"/>
        </w:rPr>
      </w:pPr>
    </w:p>
    <w:p w14:paraId="1C747877" w14:textId="77777777" w:rsidR="008D77FE" w:rsidRPr="0088290D" w:rsidRDefault="008D77FE" w:rsidP="007940D7">
      <w:pPr>
        <w:widowControl w:val="0"/>
        <w:autoSpaceDE w:val="0"/>
        <w:autoSpaceDN w:val="0"/>
        <w:adjustRightInd w:val="0"/>
        <w:spacing w:line="360" w:lineRule="auto"/>
        <w:jc w:val="both"/>
        <w:rPr>
          <w:rFonts w:ascii="Book Antiqua" w:hAnsi="Book Antiqua" w:cs="Arial"/>
          <w:b/>
          <w:lang w:val="en-US"/>
        </w:rPr>
      </w:pPr>
      <w:r w:rsidRPr="0088290D">
        <w:rPr>
          <w:rFonts w:ascii="Book Antiqua" w:hAnsi="Book Antiqua" w:cs="Arial"/>
          <w:b/>
          <w:lang w:val="en-US"/>
        </w:rPr>
        <w:t>RESULTS</w:t>
      </w:r>
    </w:p>
    <w:p w14:paraId="4EE9B1AF" w14:textId="12461649" w:rsidR="00CD3C63" w:rsidRPr="006716DE" w:rsidRDefault="0062368D" w:rsidP="007940D7">
      <w:pPr>
        <w:widowControl w:val="0"/>
        <w:autoSpaceDE w:val="0"/>
        <w:autoSpaceDN w:val="0"/>
        <w:adjustRightInd w:val="0"/>
        <w:spacing w:line="360" w:lineRule="auto"/>
        <w:jc w:val="both"/>
        <w:rPr>
          <w:rFonts w:ascii="Book Antiqua" w:eastAsia="SimSun" w:hAnsi="Book Antiqua" w:cs="Arial"/>
          <w:b/>
          <w:i/>
          <w:lang w:val="en-US" w:eastAsia="zh-CN"/>
        </w:rPr>
      </w:pPr>
      <w:r w:rsidRPr="006716DE">
        <w:rPr>
          <w:rFonts w:ascii="Book Antiqua" w:hAnsi="Book Antiqua" w:cs="Arial"/>
          <w:b/>
          <w:i/>
          <w:lang w:val="en-US"/>
        </w:rPr>
        <w:t>Biomarkers of gut barrier function in PSC</w:t>
      </w:r>
      <w:r w:rsidR="006A4854" w:rsidRPr="006716DE">
        <w:rPr>
          <w:rFonts w:ascii="Book Antiqua" w:hAnsi="Book Antiqua" w:cs="Arial"/>
          <w:b/>
          <w:i/>
          <w:lang w:val="en-US"/>
        </w:rPr>
        <w:t xml:space="preserve"> and their association with clinical or lab</w:t>
      </w:r>
      <w:r w:rsidR="006716DE">
        <w:rPr>
          <w:rFonts w:ascii="Book Antiqua" w:hAnsi="Book Antiqua" w:cs="Arial"/>
          <w:b/>
          <w:i/>
          <w:lang w:val="en-US"/>
        </w:rPr>
        <w:t xml:space="preserve">oratory characteristics of PSC </w:t>
      </w:r>
    </w:p>
    <w:p w14:paraId="0DAA1CF9" w14:textId="7180E98B" w:rsidR="001E7FC9" w:rsidRPr="0088290D" w:rsidRDefault="006746F3" w:rsidP="007940D7">
      <w:pPr>
        <w:spacing w:line="360" w:lineRule="auto"/>
        <w:jc w:val="both"/>
        <w:rPr>
          <w:rFonts w:ascii="Book Antiqua" w:hAnsi="Book Antiqua"/>
          <w:lang w:val="en-US"/>
        </w:rPr>
      </w:pPr>
      <w:r w:rsidRPr="0088290D">
        <w:rPr>
          <w:rFonts w:ascii="Book Antiqua" w:hAnsi="Book Antiqua"/>
          <w:lang w:val="en-US"/>
        </w:rPr>
        <w:t>F</w:t>
      </w:r>
      <w:r w:rsidR="00D6253D" w:rsidRPr="0088290D">
        <w:rPr>
          <w:rFonts w:ascii="Book Antiqua" w:hAnsi="Book Antiqua"/>
          <w:lang w:val="en-US"/>
        </w:rPr>
        <w:t xml:space="preserve">requencies of IgA and IgG isotype </w:t>
      </w:r>
      <w:r w:rsidRPr="0088290D">
        <w:rPr>
          <w:rFonts w:ascii="Book Antiqua" w:hAnsi="Book Antiqua"/>
          <w:lang w:val="en-US"/>
        </w:rPr>
        <w:t xml:space="preserve">AAA </w:t>
      </w:r>
      <w:r w:rsidR="00D6253D" w:rsidRPr="0088290D">
        <w:rPr>
          <w:rFonts w:ascii="Book Antiqua" w:hAnsi="Book Antiqua"/>
          <w:lang w:val="en-US"/>
        </w:rPr>
        <w:t xml:space="preserve">and </w:t>
      </w:r>
      <w:r w:rsidRPr="0088290D">
        <w:rPr>
          <w:rFonts w:ascii="Book Antiqua" w:hAnsi="Book Antiqua"/>
          <w:lang w:val="en-US"/>
        </w:rPr>
        <w:t xml:space="preserve">AGA </w:t>
      </w:r>
      <w:r w:rsidR="00D6253D" w:rsidRPr="0088290D">
        <w:rPr>
          <w:rFonts w:ascii="Book Antiqua" w:hAnsi="Book Antiqua"/>
          <w:lang w:val="en-US"/>
        </w:rPr>
        <w:t xml:space="preserve">in PSC and control groups comprising healthy blood-donors and patients with UC </w:t>
      </w:r>
      <w:r w:rsidR="00E5314C" w:rsidRPr="0088290D">
        <w:rPr>
          <w:rFonts w:ascii="Book Antiqua" w:hAnsi="Book Antiqua"/>
          <w:lang w:val="en-US"/>
        </w:rPr>
        <w:t xml:space="preserve">but </w:t>
      </w:r>
      <w:r w:rsidR="00D6253D" w:rsidRPr="0088290D">
        <w:rPr>
          <w:rFonts w:ascii="Book Antiqua" w:hAnsi="Book Antiqua"/>
          <w:lang w:val="en-US"/>
        </w:rPr>
        <w:t xml:space="preserve">without PSC </w:t>
      </w:r>
      <w:r w:rsidRPr="0088290D">
        <w:rPr>
          <w:rFonts w:ascii="Book Antiqua" w:hAnsi="Book Antiqua" w:cs="Arial"/>
          <w:lang w:val="en-US"/>
        </w:rPr>
        <w:t>are summarized</w:t>
      </w:r>
      <w:r w:rsidRPr="0088290D">
        <w:rPr>
          <w:rFonts w:ascii="Book Antiqua" w:hAnsi="Book Antiqua"/>
          <w:lang w:val="en-US"/>
        </w:rPr>
        <w:t xml:space="preserve"> </w:t>
      </w:r>
      <w:r w:rsidR="00D6253D" w:rsidRPr="0088290D">
        <w:rPr>
          <w:rFonts w:ascii="Book Antiqua" w:hAnsi="Book Antiqua"/>
          <w:lang w:val="en-US"/>
        </w:rPr>
        <w:t xml:space="preserve">in </w:t>
      </w:r>
      <w:r w:rsidR="00D6253D" w:rsidRPr="006716DE">
        <w:rPr>
          <w:rFonts w:ascii="Book Antiqua" w:hAnsi="Book Antiqua"/>
          <w:lang w:val="en-US"/>
        </w:rPr>
        <w:t>Table 2.</w:t>
      </w:r>
      <w:r w:rsidR="00D6253D" w:rsidRPr="0088290D">
        <w:rPr>
          <w:rFonts w:ascii="Book Antiqua" w:hAnsi="Book Antiqua"/>
          <w:lang w:val="en-US"/>
        </w:rPr>
        <w:t xml:space="preserve"> </w:t>
      </w:r>
      <w:r w:rsidR="00690E31" w:rsidRPr="0088290D">
        <w:rPr>
          <w:rFonts w:ascii="Book Antiqua" w:hAnsi="Book Antiqua"/>
          <w:lang w:val="en-US"/>
        </w:rPr>
        <w:t xml:space="preserve">A total of </w:t>
      </w:r>
      <w:r w:rsidR="000F33E6" w:rsidRPr="0088290D">
        <w:rPr>
          <w:rFonts w:ascii="Book Antiqua" w:hAnsi="Book Antiqua"/>
          <w:lang w:val="en-US"/>
        </w:rPr>
        <w:t>4</w:t>
      </w:r>
      <w:r w:rsidR="009C5A08" w:rsidRPr="0088290D">
        <w:rPr>
          <w:rFonts w:ascii="Book Antiqua" w:hAnsi="Book Antiqua"/>
          <w:lang w:val="en-US"/>
        </w:rPr>
        <w:t>0</w:t>
      </w:r>
      <w:r w:rsidR="000F33E6" w:rsidRPr="0088290D">
        <w:rPr>
          <w:rFonts w:ascii="Book Antiqua" w:hAnsi="Book Antiqua"/>
          <w:lang w:val="en-US"/>
        </w:rPr>
        <w:t>.</w:t>
      </w:r>
      <w:r w:rsidR="009C5A08" w:rsidRPr="0088290D">
        <w:rPr>
          <w:rFonts w:ascii="Book Antiqua" w:hAnsi="Book Antiqua"/>
          <w:lang w:val="en-US"/>
        </w:rPr>
        <w:t>3</w:t>
      </w:r>
      <w:r w:rsidR="000F33E6" w:rsidRPr="0088290D">
        <w:rPr>
          <w:rFonts w:ascii="Book Antiqua" w:hAnsi="Book Antiqua"/>
          <w:lang w:val="en-US"/>
        </w:rPr>
        <w:t>% (27/6</w:t>
      </w:r>
      <w:r w:rsidR="009C5A08" w:rsidRPr="0088290D">
        <w:rPr>
          <w:rFonts w:ascii="Book Antiqua" w:hAnsi="Book Antiqua"/>
          <w:lang w:val="en-US"/>
        </w:rPr>
        <w:t>7</w:t>
      </w:r>
      <w:r w:rsidR="000F33E6" w:rsidRPr="0088290D">
        <w:rPr>
          <w:rFonts w:ascii="Book Antiqua" w:hAnsi="Book Antiqua"/>
          <w:lang w:val="en-US"/>
        </w:rPr>
        <w:t xml:space="preserve">) and 22.4% (15/67) of PSC patients were positive for </w:t>
      </w:r>
      <w:r w:rsidR="005A58C7" w:rsidRPr="0088290D">
        <w:rPr>
          <w:rFonts w:ascii="Book Antiqua" w:hAnsi="Book Antiqua"/>
          <w:lang w:val="en-US"/>
        </w:rPr>
        <w:t xml:space="preserve">IgA or IgG isotype </w:t>
      </w:r>
      <w:r w:rsidR="00EC0B36" w:rsidRPr="0088290D">
        <w:rPr>
          <w:rFonts w:ascii="Book Antiqua" w:hAnsi="Book Antiqua"/>
          <w:lang w:val="en-US"/>
        </w:rPr>
        <w:t xml:space="preserve">AAA </w:t>
      </w:r>
      <w:r w:rsidR="000F33E6" w:rsidRPr="0088290D">
        <w:rPr>
          <w:rFonts w:ascii="Book Antiqua" w:hAnsi="Book Antiqua"/>
          <w:lang w:val="en-US"/>
        </w:rPr>
        <w:t xml:space="preserve">and </w:t>
      </w:r>
      <w:r w:rsidR="00EC0B36" w:rsidRPr="0088290D">
        <w:rPr>
          <w:rFonts w:ascii="Book Antiqua" w:hAnsi="Book Antiqua"/>
          <w:lang w:val="en-US"/>
        </w:rPr>
        <w:t>AGA</w:t>
      </w:r>
      <w:r w:rsidR="000F33E6" w:rsidRPr="0088290D">
        <w:rPr>
          <w:rFonts w:ascii="Book Antiqua" w:hAnsi="Book Antiqua"/>
          <w:lang w:val="en-US"/>
        </w:rPr>
        <w:t xml:space="preserve">, respectively. </w:t>
      </w:r>
      <w:r w:rsidR="002D7EC6" w:rsidRPr="0088290D">
        <w:rPr>
          <w:rFonts w:ascii="Book Antiqua" w:hAnsi="Book Antiqua"/>
          <w:lang w:val="en-US"/>
        </w:rPr>
        <w:t>A</w:t>
      </w:r>
      <w:r w:rsidR="00FB05F8" w:rsidRPr="0088290D">
        <w:rPr>
          <w:rFonts w:ascii="Book Antiqua" w:hAnsi="Book Antiqua"/>
          <w:lang w:val="en-US"/>
        </w:rPr>
        <w:t>ntibody</w:t>
      </w:r>
      <w:r w:rsidR="005A523A" w:rsidRPr="0088290D">
        <w:rPr>
          <w:rFonts w:ascii="Book Antiqua" w:hAnsi="Book Antiqua"/>
          <w:lang w:val="en-US"/>
        </w:rPr>
        <w:t xml:space="preserve"> prevalence </w:t>
      </w:r>
      <w:r w:rsidR="00FB05F8" w:rsidRPr="0088290D">
        <w:rPr>
          <w:rFonts w:ascii="Book Antiqua" w:hAnsi="Book Antiqua"/>
          <w:lang w:val="en-US"/>
        </w:rPr>
        <w:t>w</w:t>
      </w:r>
      <w:r w:rsidR="00A654AC" w:rsidRPr="0088290D">
        <w:rPr>
          <w:rFonts w:ascii="Book Antiqua" w:hAnsi="Book Antiqua"/>
          <w:lang w:val="en-US"/>
        </w:rPr>
        <w:t>as</w:t>
      </w:r>
      <w:r w:rsidR="005A523A" w:rsidRPr="0088290D">
        <w:rPr>
          <w:rFonts w:ascii="Book Antiqua" w:hAnsi="Book Antiqua"/>
          <w:lang w:val="en-US"/>
        </w:rPr>
        <w:t xml:space="preserve"> significantly higher compared to either</w:t>
      </w:r>
      <w:r w:rsidR="004743E2" w:rsidRPr="0088290D">
        <w:rPr>
          <w:rFonts w:ascii="Book Antiqua" w:hAnsi="Book Antiqua"/>
          <w:lang w:val="en-US"/>
        </w:rPr>
        <w:t xml:space="preserve"> that </w:t>
      </w:r>
      <w:r w:rsidR="005A523A" w:rsidRPr="0088290D">
        <w:rPr>
          <w:rFonts w:ascii="Book Antiqua" w:hAnsi="Book Antiqua"/>
          <w:lang w:val="en-US"/>
        </w:rPr>
        <w:t xml:space="preserve">in patients with UC </w:t>
      </w:r>
      <w:r w:rsidR="004743E2" w:rsidRPr="0088290D">
        <w:rPr>
          <w:rFonts w:ascii="Book Antiqua" w:hAnsi="Book Antiqua"/>
          <w:lang w:val="en-US"/>
        </w:rPr>
        <w:t>(14.7% [</w:t>
      </w:r>
      <w:r w:rsidR="002D7EC6" w:rsidRPr="0088290D">
        <w:rPr>
          <w:rFonts w:ascii="Book Antiqua" w:hAnsi="Book Antiqua"/>
          <w:lang w:val="en-US"/>
        </w:rPr>
        <w:t>25/170</w:t>
      </w:r>
      <w:r w:rsidR="004743E2" w:rsidRPr="0088290D">
        <w:rPr>
          <w:rFonts w:ascii="Book Antiqua" w:hAnsi="Book Antiqua"/>
          <w:lang w:val="en-US"/>
        </w:rPr>
        <w:t xml:space="preserve">], </w:t>
      </w:r>
      <w:r w:rsidR="006716DE" w:rsidRPr="006716DE">
        <w:rPr>
          <w:rFonts w:ascii="Book Antiqua" w:hAnsi="Book Antiqua"/>
          <w:i/>
          <w:lang w:val="en-US"/>
        </w:rPr>
        <w:t>P</w:t>
      </w:r>
      <w:r w:rsidR="006716DE">
        <w:rPr>
          <w:rFonts w:ascii="Book Antiqua" w:eastAsia="SimSun" w:hAnsi="Book Antiqua" w:hint="eastAsia"/>
          <w:lang w:val="en-US" w:eastAsia="zh-CN"/>
        </w:rPr>
        <w:t xml:space="preserve"> </w:t>
      </w:r>
      <w:r w:rsidR="002D7EC6" w:rsidRPr="0088290D">
        <w:rPr>
          <w:rFonts w:ascii="Book Antiqua" w:hAnsi="Book Antiqua"/>
          <w:lang w:val="en-US"/>
        </w:rPr>
        <w:t>&lt;</w:t>
      </w:r>
      <w:r w:rsidR="006716DE">
        <w:rPr>
          <w:rFonts w:ascii="Book Antiqua" w:eastAsia="SimSun" w:hAnsi="Book Antiqua" w:hint="eastAsia"/>
          <w:lang w:val="en-US" w:eastAsia="zh-CN"/>
        </w:rPr>
        <w:t xml:space="preserve"> </w:t>
      </w:r>
      <w:r w:rsidR="002D7EC6" w:rsidRPr="0088290D">
        <w:rPr>
          <w:rFonts w:ascii="Book Antiqua" w:hAnsi="Book Antiqua"/>
          <w:lang w:val="en-US"/>
        </w:rPr>
        <w:t>0.001</w:t>
      </w:r>
      <w:r w:rsidR="004743E2" w:rsidRPr="0088290D">
        <w:rPr>
          <w:rFonts w:ascii="Book Antiqua" w:hAnsi="Book Antiqua"/>
          <w:lang w:val="en-US"/>
        </w:rPr>
        <w:t xml:space="preserve"> for AAA and 11.6% [</w:t>
      </w:r>
      <w:r w:rsidR="002D7EC6" w:rsidRPr="0088290D">
        <w:rPr>
          <w:rFonts w:ascii="Book Antiqua" w:hAnsi="Book Antiqua"/>
          <w:lang w:val="en-US"/>
        </w:rPr>
        <w:t>20/172</w:t>
      </w:r>
      <w:r w:rsidR="004743E2" w:rsidRPr="0088290D">
        <w:rPr>
          <w:rFonts w:ascii="Book Antiqua" w:hAnsi="Book Antiqua"/>
          <w:lang w:val="en-US"/>
        </w:rPr>
        <w:t xml:space="preserve">], </w:t>
      </w:r>
      <w:r w:rsidR="006716DE" w:rsidRPr="006716DE">
        <w:rPr>
          <w:rFonts w:ascii="Book Antiqua" w:hAnsi="Book Antiqua"/>
          <w:i/>
          <w:lang w:val="en-US"/>
        </w:rPr>
        <w:t>P</w:t>
      </w:r>
      <w:r w:rsidR="006716DE" w:rsidRPr="0088290D">
        <w:rPr>
          <w:rFonts w:ascii="Book Antiqua" w:hAnsi="Book Antiqua"/>
          <w:lang w:val="en-US"/>
        </w:rPr>
        <w:t xml:space="preserve"> </w:t>
      </w:r>
      <w:r w:rsidR="004743E2" w:rsidRPr="0088290D">
        <w:rPr>
          <w:rFonts w:ascii="Book Antiqua" w:hAnsi="Book Antiqua"/>
          <w:lang w:val="en-US"/>
        </w:rPr>
        <w:t>=</w:t>
      </w:r>
      <w:r w:rsidR="006716DE">
        <w:rPr>
          <w:rFonts w:ascii="Book Antiqua" w:eastAsia="SimSun" w:hAnsi="Book Antiqua" w:hint="eastAsia"/>
          <w:lang w:val="en-US" w:eastAsia="zh-CN"/>
        </w:rPr>
        <w:t xml:space="preserve"> </w:t>
      </w:r>
      <w:r w:rsidR="002D7EC6" w:rsidRPr="0088290D">
        <w:rPr>
          <w:rFonts w:ascii="Book Antiqua" w:hAnsi="Book Antiqua"/>
          <w:lang w:val="en-US"/>
        </w:rPr>
        <w:t>0.042</w:t>
      </w:r>
      <w:r w:rsidR="004743E2" w:rsidRPr="0088290D">
        <w:rPr>
          <w:rFonts w:ascii="Book Antiqua" w:hAnsi="Book Antiqua"/>
          <w:lang w:val="en-US"/>
        </w:rPr>
        <w:t xml:space="preserve"> for AGA) </w:t>
      </w:r>
      <w:r w:rsidR="005A523A" w:rsidRPr="0088290D">
        <w:rPr>
          <w:rFonts w:ascii="Book Antiqua" w:hAnsi="Book Antiqua"/>
          <w:lang w:val="en-US"/>
        </w:rPr>
        <w:t xml:space="preserve">or in healthy </w:t>
      </w:r>
      <w:r w:rsidR="008F5A9A" w:rsidRPr="0088290D">
        <w:rPr>
          <w:rFonts w:ascii="Book Antiqua" w:hAnsi="Book Antiqua"/>
          <w:lang w:val="en-US"/>
        </w:rPr>
        <w:t>controls</w:t>
      </w:r>
      <w:r w:rsidR="004743E2" w:rsidRPr="0088290D">
        <w:rPr>
          <w:rFonts w:ascii="Book Antiqua" w:hAnsi="Book Antiqua"/>
          <w:lang w:val="en-US"/>
        </w:rPr>
        <w:t xml:space="preserve"> (</w:t>
      </w:r>
      <w:r w:rsidR="00B25686" w:rsidRPr="0088290D">
        <w:rPr>
          <w:rFonts w:ascii="Book Antiqua" w:hAnsi="Book Antiqua"/>
          <w:lang w:val="en-US"/>
        </w:rPr>
        <w:t>6</w:t>
      </w:r>
      <w:r w:rsidR="004743E2" w:rsidRPr="0088290D">
        <w:rPr>
          <w:rFonts w:ascii="Book Antiqua" w:hAnsi="Book Antiqua"/>
          <w:lang w:val="en-US"/>
        </w:rPr>
        <w:t>.2% [</w:t>
      </w:r>
      <w:r w:rsidR="00B25686" w:rsidRPr="0088290D">
        <w:rPr>
          <w:rFonts w:ascii="Book Antiqua" w:hAnsi="Book Antiqua"/>
          <w:lang w:val="en-US"/>
        </w:rPr>
        <w:t>7/113</w:t>
      </w:r>
      <w:r w:rsidR="004743E2" w:rsidRPr="0088290D">
        <w:rPr>
          <w:rFonts w:ascii="Book Antiqua" w:hAnsi="Book Antiqua"/>
          <w:lang w:val="en-US"/>
        </w:rPr>
        <w:t xml:space="preserve">], </w:t>
      </w:r>
      <w:r w:rsidR="006716DE" w:rsidRPr="006716DE">
        <w:rPr>
          <w:rFonts w:ascii="Book Antiqua" w:hAnsi="Book Antiqua"/>
          <w:i/>
          <w:lang w:val="en-US"/>
        </w:rPr>
        <w:t>P</w:t>
      </w:r>
      <w:r w:rsidR="006716DE" w:rsidRPr="0088290D">
        <w:rPr>
          <w:rFonts w:ascii="Book Antiqua" w:hAnsi="Book Antiqua"/>
          <w:lang w:val="en-US"/>
        </w:rPr>
        <w:t xml:space="preserve"> </w:t>
      </w:r>
      <w:r w:rsidR="00B25686" w:rsidRPr="0088290D">
        <w:rPr>
          <w:rFonts w:ascii="Book Antiqua" w:hAnsi="Book Antiqua"/>
          <w:lang w:val="en-US"/>
        </w:rPr>
        <w:t>&lt;</w:t>
      </w:r>
      <w:r w:rsidR="006716DE">
        <w:rPr>
          <w:rFonts w:ascii="Book Antiqua" w:eastAsia="SimSun" w:hAnsi="Book Antiqua" w:hint="eastAsia"/>
          <w:lang w:val="en-US" w:eastAsia="zh-CN"/>
        </w:rPr>
        <w:t xml:space="preserve"> </w:t>
      </w:r>
      <w:r w:rsidR="00B25686" w:rsidRPr="0088290D">
        <w:rPr>
          <w:rFonts w:ascii="Book Antiqua" w:hAnsi="Book Antiqua"/>
          <w:lang w:val="en-US"/>
        </w:rPr>
        <w:t>0.001</w:t>
      </w:r>
      <w:r w:rsidR="004743E2" w:rsidRPr="0088290D">
        <w:rPr>
          <w:rFonts w:ascii="Book Antiqua" w:hAnsi="Book Antiqua"/>
          <w:lang w:val="en-US"/>
        </w:rPr>
        <w:t xml:space="preserve"> for AAA and </w:t>
      </w:r>
      <w:r w:rsidR="00B25686" w:rsidRPr="0088290D">
        <w:rPr>
          <w:rFonts w:ascii="Book Antiqua" w:hAnsi="Book Antiqua"/>
          <w:lang w:val="en-US"/>
        </w:rPr>
        <w:t>7.2</w:t>
      </w:r>
      <w:r w:rsidR="004743E2" w:rsidRPr="0088290D">
        <w:rPr>
          <w:rFonts w:ascii="Book Antiqua" w:hAnsi="Book Antiqua"/>
          <w:lang w:val="en-US"/>
        </w:rPr>
        <w:t>% [</w:t>
      </w:r>
      <w:r w:rsidR="00B25686" w:rsidRPr="0088290D">
        <w:rPr>
          <w:rFonts w:ascii="Book Antiqua" w:hAnsi="Book Antiqua"/>
          <w:lang w:val="en-US"/>
        </w:rPr>
        <w:t>11/153</w:t>
      </w:r>
      <w:r w:rsidR="004743E2" w:rsidRPr="0088290D">
        <w:rPr>
          <w:rFonts w:ascii="Book Antiqua" w:hAnsi="Book Antiqua"/>
          <w:lang w:val="en-US"/>
        </w:rPr>
        <w:t xml:space="preserve">], </w:t>
      </w:r>
      <w:r w:rsidR="006716DE" w:rsidRPr="006716DE">
        <w:rPr>
          <w:rFonts w:ascii="Book Antiqua" w:hAnsi="Book Antiqua"/>
          <w:i/>
          <w:lang w:val="en-US"/>
        </w:rPr>
        <w:t>P</w:t>
      </w:r>
      <w:r w:rsidR="006716DE" w:rsidRPr="0088290D">
        <w:rPr>
          <w:rFonts w:ascii="Book Antiqua" w:hAnsi="Book Antiqua"/>
          <w:lang w:val="en-US"/>
        </w:rPr>
        <w:t xml:space="preserve"> </w:t>
      </w:r>
      <w:r w:rsidR="004743E2" w:rsidRPr="0088290D">
        <w:rPr>
          <w:rFonts w:ascii="Book Antiqua" w:hAnsi="Book Antiqua"/>
          <w:lang w:val="en-US"/>
        </w:rPr>
        <w:t>=</w:t>
      </w:r>
      <w:r w:rsidR="006716DE">
        <w:rPr>
          <w:rFonts w:ascii="Book Antiqua" w:eastAsia="SimSun" w:hAnsi="Book Antiqua" w:hint="eastAsia"/>
          <w:lang w:val="en-US" w:eastAsia="zh-CN"/>
        </w:rPr>
        <w:t xml:space="preserve"> </w:t>
      </w:r>
      <w:r w:rsidR="00B25686" w:rsidRPr="0088290D">
        <w:rPr>
          <w:rFonts w:ascii="Book Antiqua" w:hAnsi="Book Antiqua"/>
          <w:lang w:val="en-US"/>
        </w:rPr>
        <w:t>0.003</w:t>
      </w:r>
      <w:r w:rsidR="004743E2" w:rsidRPr="0088290D">
        <w:rPr>
          <w:rFonts w:ascii="Book Antiqua" w:hAnsi="Book Antiqua"/>
          <w:lang w:val="en-US"/>
        </w:rPr>
        <w:t xml:space="preserve"> </w:t>
      </w:r>
      <w:r w:rsidR="00CE62D4" w:rsidRPr="0088290D">
        <w:rPr>
          <w:rFonts w:ascii="Book Antiqua" w:hAnsi="Book Antiqua"/>
          <w:lang w:val="en-US"/>
        </w:rPr>
        <w:t>for AGA</w:t>
      </w:r>
      <w:r w:rsidR="004743E2" w:rsidRPr="0088290D">
        <w:rPr>
          <w:rFonts w:ascii="Book Antiqua" w:hAnsi="Book Antiqua"/>
          <w:lang w:val="en-US"/>
        </w:rPr>
        <w:t>).</w:t>
      </w:r>
      <w:r w:rsidR="00B642B6" w:rsidRPr="0088290D">
        <w:rPr>
          <w:rFonts w:ascii="Book Antiqua" w:hAnsi="Book Antiqua"/>
          <w:lang w:val="en-US"/>
        </w:rPr>
        <w:t xml:space="preserve"> </w:t>
      </w:r>
      <w:r w:rsidR="00B642B6" w:rsidRPr="0088290D">
        <w:rPr>
          <w:rFonts w:ascii="Book Antiqua" w:hAnsi="Book Antiqua" w:cs="Arial"/>
          <w:lang w:val="en-US"/>
        </w:rPr>
        <w:t xml:space="preserve">AGA positivity was mainly IgG isotype (9% </w:t>
      </w:r>
      <w:r w:rsidR="00B642B6"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00B642B6" w:rsidRPr="0088290D">
        <w:rPr>
          <w:rFonts w:ascii="Book Antiqua" w:hAnsi="Book Antiqua" w:cs="Arial"/>
          <w:lang w:val="en-US"/>
        </w:rPr>
        <w:t xml:space="preserve">20.9%), while AAA was of both IgA and IgG isotypes (28.4% </w:t>
      </w:r>
      <w:r w:rsidR="00B642B6"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00B642B6" w:rsidRPr="0088290D">
        <w:rPr>
          <w:rFonts w:ascii="Book Antiqua" w:hAnsi="Book Antiqua" w:cs="Arial"/>
          <w:lang w:val="en-US"/>
        </w:rPr>
        <w:t>25.4%)</w:t>
      </w:r>
      <w:r w:rsidR="00B553F3" w:rsidRPr="0088290D">
        <w:rPr>
          <w:rFonts w:ascii="Book Antiqua" w:hAnsi="Book Antiqua" w:cs="Arial"/>
          <w:lang w:val="en-US"/>
        </w:rPr>
        <w:t xml:space="preserve"> and t</w:t>
      </w:r>
      <w:r w:rsidR="000C569F" w:rsidRPr="0088290D">
        <w:rPr>
          <w:rFonts w:ascii="Book Antiqua" w:hAnsi="Book Antiqua"/>
          <w:lang w:val="en-US"/>
        </w:rPr>
        <w:t xml:space="preserve">here was no significant overlap between </w:t>
      </w:r>
      <w:r w:rsidR="00A25007" w:rsidRPr="0088290D">
        <w:rPr>
          <w:rFonts w:ascii="Book Antiqua" w:hAnsi="Book Antiqua"/>
          <w:lang w:val="en-US"/>
        </w:rPr>
        <w:t xml:space="preserve">IgA and </w:t>
      </w:r>
      <w:r w:rsidR="001E7FC9" w:rsidRPr="0088290D">
        <w:rPr>
          <w:rFonts w:ascii="Book Antiqua" w:hAnsi="Book Antiqua"/>
          <w:lang w:val="en-US"/>
        </w:rPr>
        <w:t xml:space="preserve">IgG subtypes of the given antibody. </w:t>
      </w:r>
      <w:r w:rsidR="002279D7" w:rsidRPr="0088290D">
        <w:rPr>
          <w:rFonts w:ascii="Book Antiqua" w:hAnsi="Book Antiqua"/>
          <w:lang w:val="en-US"/>
        </w:rPr>
        <w:t xml:space="preserve"> </w:t>
      </w:r>
      <w:r w:rsidR="009B1A60" w:rsidRPr="0088290D">
        <w:rPr>
          <w:rFonts w:ascii="Book Antiqua" w:hAnsi="Book Antiqua"/>
          <w:lang w:val="en-US"/>
        </w:rPr>
        <w:t>Likewise</w:t>
      </w:r>
      <w:r w:rsidR="00A654AC" w:rsidRPr="0088290D">
        <w:rPr>
          <w:rFonts w:ascii="Book Antiqua" w:hAnsi="Book Antiqua"/>
          <w:lang w:val="en-US"/>
        </w:rPr>
        <w:t>,</w:t>
      </w:r>
      <w:r w:rsidR="009B1A60" w:rsidRPr="0088290D">
        <w:rPr>
          <w:rFonts w:ascii="Book Antiqua" w:hAnsi="Book Antiqua"/>
          <w:lang w:val="en-US"/>
        </w:rPr>
        <w:t xml:space="preserve"> no significant overlap was observed between AAA and AGA. O</w:t>
      </w:r>
      <w:r w:rsidR="001E7FC9" w:rsidRPr="0088290D">
        <w:rPr>
          <w:rFonts w:ascii="Book Antiqua" w:hAnsi="Book Antiqua"/>
          <w:lang w:val="en-US"/>
        </w:rPr>
        <w:t xml:space="preserve">nly </w:t>
      </w:r>
      <w:r w:rsidR="00291A83" w:rsidRPr="0088290D">
        <w:rPr>
          <w:rFonts w:ascii="Book Antiqua" w:hAnsi="Book Antiqua"/>
          <w:lang w:val="en-US"/>
        </w:rPr>
        <w:t>10.4</w:t>
      </w:r>
      <w:r w:rsidR="001E7FC9" w:rsidRPr="0088290D">
        <w:rPr>
          <w:rFonts w:ascii="Book Antiqua" w:hAnsi="Book Antiqua"/>
          <w:lang w:val="en-US"/>
        </w:rPr>
        <w:t>% (</w:t>
      </w:r>
      <w:r w:rsidR="00291A83" w:rsidRPr="0088290D">
        <w:rPr>
          <w:rFonts w:ascii="Book Antiqua" w:hAnsi="Book Antiqua"/>
          <w:lang w:val="en-US"/>
        </w:rPr>
        <w:t>7</w:t>
      </w:r>
      <w:r w:rsidR="001E7FC9" w:rsidRPr="0088290D">
        <w:rPr>
          <w:rFonts w:ascii="Book Antiqua" w:hAnsi="Book Antiqua"/>
          <w:lang w:val="en-US"/>
        </w:rPr>
        <w:t>/</w:t>
      </w:r>
      <w:r w:rsidR="00291A83" w:rsidRPr="0088290D">
        <w:rPr>
          <w:rFonts w:ascii="Book Antiqua" w:hAnsi="Book Antiqua"/>
          <w:lang w:val="en-US"/>
        </w:rPr>
        <w:t>67</w:t>
      </w:r>
      <w:r w:rsidR="001E7FC9" w:rsidRPr="0088290D">
        <w:rPr>
          <w:rFonts w:ascii="Book Antiqua" w:hAnsi="Book Antiqua"/>
          <w:lang w:val="en-US"/>
        </w:rPr>
        <w:t>)</w:t>
      </w:r>
      <w:r w:rsidR="00A654AC" w:rsidRPr="0088290D">
        <w:rPr>
          <w:rFonts w:ascii="Book Antiqua" w:hAnsi="Book Antiqua"/>
          <w:lang w:val="en-US"/>
        </w:rPr>
        <w:t xml:space="preserve"> </w:t>
      </w:r>
      <w:r w:rsidR="001E7FC9" w:rsidRPr="0088290D">
        <w:rPr>
          <w:rFonts w:ascii="Book Antiqua" w:hAnsi="Book Antiqua" w:cs="Book Antiqua"/>
          <w:lang w:val="en-US"/>
        </w:rPr>
        <w:t xml:space="preserve">PSC patients positive for either type of </w:t>
      </w:r>
      <w:r w:rsidR="002F3899" w:rsidRPr="0088290D">
        <w:rPr>
          <w:rFonts w:ascii="Book Antiqua" w:hAnsi="Book Antiqua" w:cs="Book Antiqua"/>
          <w:lang w:val="en-US"/>
        </w:rPr>
        <w:t>these ant</w:t>
      </w:r>
      <w:r w:rsidR="00B61DEF" w:rsidRPr="0088290D">
        <w:rPr>
          <w:rFonts w:ascii="Book Antiqua" w:hAnsi="Book Antiqua" w:cs="Book Antiqua"/>
          <w:lang w:val="en-US"/>
        </w:rPr>
        <w:t>i</w:t>
      </w:r>
      <w:r w:rsidR="002F3899" w:rsidRPr="0088290D">
        <w:rPr>
          <w:rFonts w:ascii="Book Antiqua" w:hAnsi="Book Antiqua" w:cs="Book Antiqua"/>
          <w:lang w:val="en-US"/>
        </w:rPr>
        <w:t>bodies had both AAA (IgA or IgG) and AGA (IgA or IgG) antibodies.</w:t>
      </w:r>
    </w:p>
    <w:p w14:paraId="044EF782" w14:textId="2C21E109" w:rsidR="00130954" w:rsidRPr="0088290D" w:rsidRDefault="00CE292A"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lang w:val="en-US"/>
        </w:rPr>
        <w:tab/>
      </w:r>
      <w:r w:rsidR="000634C6" w:rsidRPr="0088290D">
        <w:rPr>
          <w:rFonts w:ascii="Book Antiqua" w:hAnsi="Book Antiqua" w:cs="Arial"/>
          <w:lang w:val="en-US"/>
        </w:rPr>
        <w:t xml:space="preserve">We analyzed clinical and laboratory characteristics of PSC patients according to their </w:t>
      </w:r>
      <w:r w:rsidR="00762B56" w:rsidRPr="0088290D">
        <w:rPr>
          <w:rFonts w:ascii="Book Antiqua" w:hAnsi="Book Antiqua" w:cs="Arial"/>
          <w:lang w:val="en-US"/>
        </w:rPr>
        <w:t>antibody</w:t>
      </w:r>
      <w:r w:rsidR="000634C6" w:rsidRPr="0088290D">
        <w:rPr>
          <w:rFonts w:ascii="Book Antiqua" w:hAnsi="Book Antiqua" w:cs="Arial"/>
          <w:lang w:val="en-US"/>
        </w:rPr>
        <w:t xml:space="preserve"> status and summarized the</w:t>
      </w:r>
      <w:r w:rsidR="0082040E" w:rsidRPr="0088290D">
        <w:rPr>
          <w:rFonts w:ascii="Book Antiqua" w:hAnsi="Book Antiqua" w:cs="Arial"/>
          <w:lang w:val="en-US"/>
        </w:rPr>
        <w:t>se</w:t>
      </w:r>
      <w:r w:rsidR="000634C6" w:rsidRPr="0088290D">
        <w:rPr>
          <w:rFonts w:ascii="Book Antiqua" w:hAnsi="Book Antiqua" w:cs="Arial"/>
          <w:lang w:val="en-US"/>
        </w:rPr>
        <w:t xml:space="preserve"> results in </w:t>
      </w:r>
      <w:r w:rsidR="000634C6" w:rsidRPr="006716DE">
        <w:rPr>
          <w:rFonts w:ascii="Book Antiqua" w:hAnsi="Book Antiqua" w:cs="Arial"/>
          <w:lang w:val="en-US"/>
        </w:rPr>
        <w:t>Table 3.</w:t>
      </w:r>
      <w:r w:rsidR="0082040E" w:rsidRPr="006716DE">
        <w:rPr>
          <w:rFonts w:ascii="Book Antiqua" w:hAnsi="Book Antiqua" w:cs="Arial"/>
          <w:lang w:val="en-US"/>
        </w:rPr>
        <w:t xml:space="preserve"> </w:t>
      </w:r>
      <w:r w:rsidR="0082040E" w:rsidRPr="0088290D">
        <w:rPr>
          <w:rFonts w:ascii="Book Antiqua" w:hAnsi="Book Antiqua" w:cs="Arial"/>
          <w:lang w:val="en-US"/>
        </w:rPr>
        <w:t>AAA a</w:t>
      </w:r>
      <w:r w:rsidR="004223BE" w:rsidRPr="0088290D">
        <w:rPr>
          <w:rFonts w:ascii="Book Antiqua" w:hAnsi="Book Antiqua" w:cs="Arial"/>
          <w:lang w:val="en-US"/>
        </w:rPr>
        <w:t xml:space="preserve">ntibody status </w:t>
      </w:r>
      <w:r w:rsidR="00127648" w:rsidRPr="0088290D">
        <w:rPr>
          <w:rFonts w:ascii="Book Antiqua" w:hAnsi="Book Antiqua" w:cs="Arial"/>
          <w:lang w:val="en-US"/>
        </w:rPr>
        <w:t xml:space="preserve">according to </w:t>
      </w:r>
      <w:r w:rsidR="0042684A" w:rsidRPr="0088290D">
        <w:rPr>
          <w:rFonts w:ascii="Book Antiqua" w:hAnsi="Book Antiqua" w:cs="Arial"/>
          <w:lang w:val="en-US"/>
        </w:rPr>
        <w:t xml:space="preserve">its </w:t>
      </w:r>
      <w:r w:rsidR="00127648" w:rsidRPr="0088290D">
        <w:rPr>
          <w:rFonts w:ascii="Book Antiqua" w:hAnsi="Book Antiqua" w:cs="Arial"/>
          <w:lang w:val="en-US"/>
        </w:rPr>
        <w:t xml:space="preserve">immunoglobulin subtypes </w:t>
      </w:r>
      <w:r w:rsidR="004223BE" w:rsidRPr="0088290D">
        <w:rPr>
          <w:rFonts w:ascii="Book Antiqua" w:hAnsi="Book Antiqua" w:cs="Arial"/>
          <w:lang w:val="en-US"/>
        </w:rPr>
        <w:t>was not associated with g</w:t>
      </w:r>
      <w:r w:rsidR="000634C6" w:rsidRPr="0088290D">
        <w:rPr>
          <w:rFonts w:ascii="Book Antiqua" w:hAnsi="Book Antiqua" w:cs="Arial"/>
          <w:lang w:val="en-US"/>
        </w:rPr>
        <w:t>ender</w:t>
      </w:r>
      <w:r w:rsidR="00925EDF" w:rsidRPr="0088290D">
        <w:rPr>
          <w:rFonts w:ascii="Book Antiqua" w:hAnsi="Book Antiqua" w:cs="Arial"/>
          <w:lang w:val="en-US"/>
        </w:rPr>
        <w:t>, y</w:t>
      </w:r>
      <w:r w:rsidR="000634C6" w:rsidRPr="0088290D">
        <w:rPr>
          <w:rFonts w:ascii="Book Antiqua" w:hAnsi="Book Antiqua" w:cs="Arial"/>
          <w:lang w:val="en-US"/>
        </w:rPr>
        <w:t>ounger age at diagnosis</w:t>
      </w:r>
      <w:r w:rsidR="00925EDF" w:rsidRPr="0088290D">
        <w:rPr>
          <w:rFonts w:ascii="Book Antiqua" w:hAnsi="Book Antiqua" w:cs="Arial"/>
          <w:lang w:val="en-US"/>
        </w:rPr>
        <w:t xml:space="preserve">, presence of cirrhosis, or concomitant IBD. </w:t>
      </w:r>
      <w:r w:rsidR="004223BE" w:rsidRPr="0088290D">
        <w:rPr>
          <w:rFonts w:ascii="Book Antiqua" w:hAnsi="Book Antiqua" w:cs="Arial"/>
          <w:lang w:val="en-US"/>
        </w:rPr>
        <w:t xml:space="preserve">However, </w:t>
      </w:r>
      <w:r w:rsidR="008A3C7D" w:rsidRPr="0088290D">
        <w:rPr>
          <w:rFonts w:ascii="Book Antiqua" w:hAnsi="Book Antiqua" w:cs="Arial"/>
          <w:lang w:val="en-US"/>
        </w:rPr>
        <w:t xml:space="preserve">values of </w:t>
      </w:r>
      <w:r w:rsidR="004223BE" w:rsidRPr="0088290D">
        <w:rPr>
          <w:rFonts w:ascii="Book Antiqua" w:hAnsi="Book Antiqua" w:cs="Arial"/>
          <w:lang w:val="en-US"/>
        </w:rPr>
        <w:t xml:space="preserve">several </w:t>
      </w:r>
      <w:r w:rsidR="00DC70A5" w:rsidRPr="0088290D">
        <w:rPr>
          <w:rFonts w:ascii="Book Antiqua" w:hAnsi="Book Antiqua" w:cs="Arial"/>
          <w:lang w:val="en-US"/>
        </w:rPr>
        <w:t xml:space="preserve">biochemical </w:t>
      </w:r>
      <w:r w:rsidR="004223BE" w:rsidRPr="0088290D">
        <w:rPr>
          <w:rFonts w:ascii="Book Antiqua" w:hAnsi="Book Antiqua" w:cs="Arial"/>
          <w:lang w:val="en-US"/>
        </w:rPr>
        <w:t xml:space="preserve">laboratory </w:t>
      </w:r>
      <w:r w:rsidR="000634C6" w:rsidRPr="0088290D">
        <w:rPr>
          <w:rFonts w:ascii="Book Antiqua" w:hAnsi="Book Antiqua" w:cs="Arial"/>
          <w:lang w:val="en-US"/>
        </w:rPr>
        <w:t xml:space="preserve">parameters, </w:t>
      </w:r>
      <w:r w:rsidR="00E71A76" w:rsidRPr="0088290D">
        <w:rPr>
          <w:rFonts w:ascii="Book Antiqua" w:hAnsi="Book Antiqua" w:cs="Arial"/>
          <w:lang w:val="en-US"/>
        </w:rPr>
        <w:t>and</w:t>
      </w:r>
      <w:r w:rsidR="009C5A08" w:rsidRPr="0088290D">
        <w:rPr>
          <w:rFonts w:ascii="Book Antiqua" w:hAnsi="Book Antiqua" w:cs="Arial"/>
          <w:lang w:val="en-US"/>
        </w:rPr>
        <w:t xml:space="preserve"> the </w:t>
      </w:r>
      <w:r w:rsidR="004223BE" w:rsidRPr="0088290D">
        <w:rPr>
          <w:rFonts w:ascii="Book Antiqua" w:hAnsi="Book Antiqua" w:cs="Arial"/>
          <w:lang w:val="en-US"/>
        </w:rPr>
        <w:t>Mayo risk score</w:t>
      </w:r>
      <w:r w:rsidR="00DC70A5" w:rsidRPr="0088290D">
        <w:rPr>
          <w:rFonts w:ascii="Book Antiqua" w:hAnsi="Book Antiqua" w:cs="Arial"/>
          <w:lang w:val="en-US"/>
        </w:rPr>
        <w:t xml:space="preserve"> that </w:t>
      </w:r>
      <w:r w:rsidR="009C5A08" w:rsidRPr="0088290D">
        <w:rPr>
          <w:rFonts w:ascii="Book Antiqua" w:hAnsi="Book Antiqua" w:cs="Arial"/>
          <w:lang w:val="en-US"/>
        </w:rPr>
        <w:t>indicat</w:t>
      </w:r>
      <w:r w:rsidR="00DC70A5" w:rsidRPr="0088290D">
        <w:rPr>
          <w:rFonts w:ascii="Book Antiqua" w:hAnsi="Book Antiqua" w:cs="Arial"/>
          <w:lang w:val="en-US"/>
        </w:rPr>
        <w:t>e</w:t>
      </w:r>
      <w:r w:rsidR="009C5A08" w:rsidRPr="0088290D">
        <w:rPr>
          <w:rFonts w:ascii="Book Antiqua" w:hAnsi="Book Antiqua" w:cs="Arial"/>
          <w:lang w:val="en-US"/>
        </w:rPr>
        <w:t xml:space="preserve"> more severe disease </w:t>
      </w:r>
      <w:r w:rsidR="000634C6" w:rsidRPr="0088290D">
        <w:rPr>
          <w:rFonts w:ascii="Book Antiqua" w:hAnsi="Book Antiqua" w:cs="Arial"/>
          <w:lang w:val="en-US"/>
        </w:rPr>
        <w:t xml:space="preserve">were significantly higher in the presence of </w:t>
      </w:r>
      <w:r w:rsidR="008D0BB0" w:rsidRPr="0088290D">
        <w:rPr>
          <w:rFonts w:ascii="Book Antiqua" w:hAnsi="Book Antiqua" w:cs="Arial"/>
          <w:lang w:val="en-US"/>
        </w:rPr>
        <w:t xml:space="preserve">IgA </w:t>
      </w:r>
      <w:r w:rsidR="005E7C60" w:rsidRPr="0088290D">
        <w:rPr>
          <w:rFonts w:ascii="Book Antiqua" w:hAnsi="Book Antiqua" w:cs="Arial"/>
          <w:lang w:val="en-US"/>
        </w:rPr>
        <w:t xml:space="preserve">isotype of AAA. In case of IgG </w:t>
      </w:r>
      <w:r w:rsidR="005E7C60" w:rsidRPr="0088290D">
        <w:rPr>
          <w:rFonts w:ascii="Book Antiqua" w:hAnsi="Book Antiqua" w:cs="Arial"/>
          <w:lang w:val="en-US"/>
        </w:rPr>
        <w:lastRenderedPageBreak/>
        <w:t>isotype of AAA</w:t>
      </w:r>
      <w:r w:rsidR="00A654AC" w:rsidRPr="0088290D">
        <w:rPr>
          <w:rFonts w:ascii="Book Antiqua" w:hAnsi="Book Antiqua" w:cs="Arial"/>
          <w:lang w:val="en-US"/>
        </w:rPr>
        <w:t>,</w:t>
      </w:r>
      <w:r w:rsidR="005E7C60" w:rsidRPr="0088290D">
        <w:rPr>
          <w:rFonts w:ascii="Book Antiqua" w:hAnsi="Book Antiqua" w:cs="Arial"/>
          <w:lang w:val="en-US"/>
        </w:rPr>
        <w:t xml:space="preserve"> only a single association was reported, namely the </w:t>
      </w:r>
      <w:r w:rsidR="004B2279" w:rsidRPr="0088290D">
        <w:rPr>
          <w:rFonts w:ascii="Book Antiqua" w:hAnsi="Book Antiqua" w:cs="Arial"/>
          <w:lang w:val="en-US"/>
        </w:rPr>
        <w:t xml:space="preserve">median </w:t>
      </w:r>
      <w:r w:rsidR="005E7C60" w:rsidRPr="0088290D">
        <w:rPr>
          <w:rFonts w:ascii="Book Antiqua" w:hAnsi="Book Antiqua" w:cs="Arial"/>
          <w:lang w:val="en-US"/>
        </w:rPr>
        <w:t>level of ALP was significantly higher in antibody positive cases compared to antibody negative ones</w:t>
      </w:r>
      <w:r w:rsidR="004B2279" w:rsidRPr="0088290D">
        <w:rPr>
          <w:rFonts w:ascii="Book Antiqua" w:hAnsi="Book Antiqua" w:cs="Arial"/>
          <w:lang w:val="en-US"/>
        </w:rPr>
        <w:t xml:space="preserve"> (715 </w:t>
      </w:r>
      <w:r w:rsidR="004B2279"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004B2279" w:rsidRPr="0088290D">
        <w:rPr>
          <w:rFonts w:ascii="Book Antiqua" w:hAnsi="Book Antiqua" w:cs="Arial"/>
          <w:lang w:val="en-US"/>
        </w:rPr>
        <w:t xml:space="preserve">493 U/L, </w:t>
      </w:r>
      <w:r w:rsidR="006716DE" w:rsidRPr="006716DE">
        <w:rPr>
          <w:rFonts w:ascii="Book Antiqua" w:hAnsi="Book Antiqua"/>
          <w:i/>
          <w:lang w:val="en-US"/>
        </w:rPr>
        <w:t>P</w:t>
      </w:r>
      <w:r w:rsidR="006716DE" w:rsidRPr="0088290D">
        <w:rPr>
          <w:rFonts w:ascii="Book Antiqua" w:hAnsi="Book Antiqua" w:cs="Arial"/>
          <w:lang w:val="en-US"/>
        </w:rPr>
        <w:t xml:space="preserve"> </w:t>
      </w:r>
      <w:r w:rsidR="004B2279"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004B2279" w:rsidRPr="0088290D">
        <w:rPr>
          <w:rFonts w:ascii="Book Antiqua" w:hAnsi="Book Antiqua" w:cs="Arial"/>
          <w:lang w:val="en-US"/>
        </w:rPr>
        <w:t>0.048)</w:t>
      </w:r>
      <w:r w:rsidR="00243874" w:rsidRPr="0088290D">
        <w:rPr>
          <w:rFonts w:ascii="Book Antiqua" w:hAnsi="Book Antiqua" w:cs="Arial"/>
          <w:lang w:val="en-US"/>
        </w:rPr>
        <w:t xml:space="preserve">. </w:t>
      </w:r>
      <w:r w:rsidR="009731B4" w:rsidRPr="0088290D">
        <w:rPr>
          <w:rFonts w:ascii="Book Antiqua" w:hAnsi="Book Antiqua" w:cs="Arial"/>
          <w:lang w:val="en-US"/>
        </w:rPr>
        <w:t>D</w:t>
      </w:r>
      <w:r w:rsidR="0042684A" w:rsidRPr="0088290D">
        <w:rPr>
          <w:rFonts w:ascii="Book Antiqua" w:hAnsi="Book Antiqua" w:cs="Arial"/>
          <w:lang w:val="en-US"/>
        </w:rPr>
        <w:t xml:space="preserve">ifferent AGA </w:t>
      </w:r>
      <w:r w:rsidR="009731B4" w:rsidRPr="0088290D">
        <w:rPr>
          <w:rFonts w:ascii="Book Antiqua" w:hAnsi="Book Antiqua" w:cs="Arial"/>
          <w:lang w:val="en-US"/>
        </w:rPr>
        <w:t xml:space="preserve">isotypes, </w:t>
      </w:r>
      <w:r w:rsidR="001D53FA" w:rsidRPr="0088290D">
        <w:rPr>
          <w:rFonts w:ascii="Book Antiqua" w:hAnsi="Book Antiqua" w:cs="Arial"/>
          <w:lang w:val="en-US"/>
        </w:rPr>
        <w:t xml:space="preserve">however, were not associated </w:t>
      </w:r>
      <w:r w:rsidR="00F049D0" w:rsidRPr="0088290D">
        <w:rPr>
          <w:rFonts w:ascii="Book Antiqua" w:hAnsi="Book Antiqua" w:cs="Arial"/>
          <w:lang w:val="en-US"/>
        </w:rPr>
        <w:t xml:space="preserve">with </w:t>
      </w:r>
      <w:r w:rsidR="006B1F52" w:rsidRPr="0088290D">
        <w:rPr>
          <w:rFonts w:ascii="Book Antiqua" w:hAnsi="Book Antiqua" w:cs="Arial"/>
          <w:lang w:val="en-US"/>
        </w:rPr>
        <w:t xml:space="preserve">either </w:t>
      </w:r>
      <w:r w:rsidR="0042684A" w:rsidRPr="0088290D">
        <w:rPr>
          <w:rFonts w:ascii="Book Antiqua" w:hAnsi="Book Antiqua" w:cs="Arial"/>
          <w:lang w:val="en-US"/>
        </w:rPr>
        <w:t xml:space="preserve">the clinical </w:t>
      </w:r>
      <w:r w:rsidR="006B1F52" w:rsidRPr="0088290D">
        <w:rPr>
          <w:rFonts w:ascii="Book Antiqua" w:hAnsi="Book Antiqua" w:cs="Arial"/>
          <w:lang w:val="en-US"/>
        </w:rPr>
        <w:t>or the</w:t>
      </w:r>
      <w:r w:rsidR="0042684A" w:rsidRPr="0088290D">
        <w:rPr>
          <w:rFonts w:ascii="Book Antiqua" w:hAnsi="Book Antiqua" w:cs="Arial"/>
          <w:lang w:val="en-US"/>
        </w:rPr>
        <w:t xml:space="preserve"> laboratory characteristics of more severe PSC phenotype</w:t>
      </w:r>
      <w:r w:rsidR="001D53FA" w:rsidRPr="0088290D">
        <w:rPr>
          <w:rFonts w:ascii="Book Antiqua" w:hAnsi="Book Antiqua" w:cs="Arial"/>
          <w:lang w:val="en-US"/>
        </w:rPr>
        <w:t>.</w:t>
      </w:r>
      <w:r w:rsidR="0042684A" w:rsidRPr="0088290D">
        <w:rPr>
          <w:rFonts w:ascii="Book Antiqua" w:hAnsi="Book Antiqua" w:cs="Arial"/>
          <w:lang w:val="en-US"/>
        </w:rPr>
        <w:t xml:space="preserve"> </w:t>
      </w:r>
    </w:p>
    <w:p w14:paraId="4597B8B6" w14:textId="6D62C7BC" w:rsidR="008D0BB0" w:rsidRPr="0088290D" w:rsidRDefault="00610B3C" w:rsidP="007940D7">
      <w:pPr>
        <w:widowControl w:val="0"/>
        <w:autoSpaceDE w:val="0"/>
        <w:autoSpaceDN w:val="0"/>
        <w:adjustRightInd w:val="0"/>
        <w:spacing w:line="360" w:lineRule="auto"/>
        <w:ind w:firstLineChars="100" w:firstLine="240"/>
        <w:jc w:val="both"/>
        <w:rPr>
          <w:rFonts w:ascii="Book Antiqua" w:hAnsi="Book Antiqua" w:cs="Arial"/>
          <w:lang w:val="en-US"/>
        </w:rPr>
      </w:pPr>
      <w:r w:rsidRPr="0088290D">
        <w:rPr>
          <w:rFonts w:ascii="Book Antiqua" w:hAnsi="Book Antiqua" w:cs="Arial"/>
          <w:lang w:val="en-US"/>
        </w:rPr>
        <w:t xml:space="preserve">The presence of AAA IgG was higher in patients with overlapping autoimmune hepatitis (55.6% [5/9] </w:t>
      </w:r>
      <w:r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Pr="0088290D">
        <w:rPr>
          <w:rFonts w:ascii="Book Antiqua" w:hAnsi="Book Antiqua" w:cs="Arial"/>
          <w:lang w:val="en-US"/>
        </w:rPr>
        <w:t xml:space="preserve">20.7% [12/58], </w:t>
      </w:r>
      <w:r w:rsidR="006716DE" w:rsidRPr="006716DE">
        <w:rPr>
          <w:rFonts w:ascii="Book Antiqua" w:hAnsi="Book Antiqua"/>
          <w:i/>
          <w:lang w:val="en-US"/>
        </w:rPr>
        <w:t>P</w:t>
      </w:r>
      <w:r w:rsidR="006716DE" w:rsidRPr="0088290D">
        <w:rPr>
          <w:rFonts w:ascii="Book Antiqua" w:hAnsi="Book Antiqua" w:cs="Arial"/>
          <w:lang w:val="en-US"/>
        </w:rPr>
        <w:t xml:space="preserve"> </w:t>
      </w:r>
      <w:r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Pr="0088290D">
        <w:rPr>
          <w:rFonts w:ascii="Book Antiqua" w:hAnsi="Book Antiqua" w:cs="Arial"/>
          <w:lang w:val="en-US"/>
        </w:rPr>
        <w:t xml:space="preserve">0.040) compared to patients without. In contrast, the frequency of AAA IgA was not different between the two groups (33.3% [3/9] </w:t>
      </w:r>
      <w:r w:rsidR="006716DE"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Pr="0088290D">
        <w:rPr>
          <w:rFonts w:ascii="Book Antiqua" w:hAnsi="Book Antiqua" w:cs="Arial"/>
          <w:lang w:val="en-US"/>
        </w:rPr>
        <w:t>27.6% [16/58],</w:t>
      </w:r>
      <w:r w:rsidR="006716DE" w:rsidRPr="006716DE">
        <w:rPr>
          <w:rFonts w:ascii="Book Antiqua" w:hAnsi="Book Antiqua"/>
          <w:i/>
          <w:lang w:val="en-US"/>
        </w:rPr>
        <w:t xml:space="preserve"> P</w:t>
      </w:r>
      <w:r w:rsidR="006716DE" w:rsidRPr="0088290D">
        <w:rPr>
          <w:rFonts w:ascii="Book Antiqua" w:hAnsi="Book Antiqua" w:cs="Arial"/>
          <w:lang w:val="en-US"/>
        </w:rPr>
        <w:t xml:space="preserve"> </w:t>
      </w:r>
      <w:r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Pr="0088290D">
        <w:rPr>
          <w:rFonts w:ascii="Book Antiqua" w:hAnsi="Book Antiqua" w:cs="Arial"/>
          <w:lang w:val="en-US"/>
        </w:rPr>
        <w:t xml:space="preserve">0.706). </w:t>
      </w:r>
    </w:p>
    <w:p w14:paraId="0903742D" w14:textId="77777777" w:rsidR="00060756" w:rsidRPr="0088290D" w:rsidRDefault="00060756" w:rsidP="007940D7">
      <w:pPr>
        <w:widowControl w:val="0"/>
        <w:autoSpaceDE w:val="0"/>
        <w:autoSpaceDN w:val="0"/>
        <w:adjustRightInd w:val="0"/>
        <w:spacing w:line="360" w:lineRule="auto"/>
        <w:jc w:val="both"/>
        <w:rPr>
          <w:rFonts w:ascii="Book Antiqua" w:hAnsi="Book Antiqua" w:cs="Arial"/>
          <w:lang w:val="en-US"/>
        </w:rPr>
      </w:pPr>
    </w:p>
    <w:p w14:paraId="19F7B8A9" w14:textId="01955B41" w:rsidR="00BB3C4D" w:rsidRPr="006716DE" w:rsidRDefault="00CE292A" w:rsidP="007940D7">
      <w:pPr>
        <w:widowControl w:val="0"/>
        <w:autoSpaceDE w:val="0"/>
        <w:autoSpaceDN w:val="0"/>
        <w:adjustRightInd w:val="0"/>
        <w:spacing w:line="360" w:lineRule="auto"/>
        <w:jc w:val="both"/>
        <w:rPr>
          <w:rFonts w:ascii="Book Antiqua" w:eastAsia="SimSun" w:hAnsi="Book Antiqua" w:cs="Arial"/>
          <w:i/>
          <w:lang w:val="en-US" w:eastAsia="zh-CN"/>
        </w:rPr>
      </w:pPr>
      <w:r w:rsidRPr="006716DE">
        <w:rPr>
          <w:rFonts w:ascii="Book Antiqua" w:hAnsi="Book Antiqua" w:cs="Arial"/>
          <w:b/>
          <w:i/>
          <w:lang w:val="en-US"/>
        </w:rPr>
        <w:t>Significance of gut failure markers in the risk of the progressive disease course in PSC</w:t>
      </w:r>
    </w:p>
    <w:p w14:paraId="31FC1506" w14:textId="09CE37CD" w:rsidR="004E6992" w:rsidRPr="0088290D" w:rsidRDefault="004E6992"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 xml:space="preserve">Development of colon cancer occurred in </w:t>
      </w:r>
      <w:r w:rsidR="00C43A69" w:rsidRPr="0088290D">
        <w:rPr>
          <w:rFonts w:ascii="Book Antiqua" w:hAnsi="Book Antiqua" w:cs="Arial"/>
          <w:lang w:val="en-US"/>
        </w:rPr>
        <w:t>two</w:t>
      </w:r>
      <w:r w:rsidRPr="0088290D">
        <w:rPr>
          <w:rFonts w:ascii="Book Antiqua" w:hAnsi="Book Antiqua" w:cs="Arial"/>
          <w:lang w:val="en-US"/>
        </w:rPr>
        <w:t xml:space="preserve">, while biliary tract cancer in </w:t>
      </w:r>
      <w:r w:rsidR="00C43A69" w:rsidRPr="0088290D">
        <w:rPr>
          <w:rFonts w:ascii="Book Antiqua" w:hAnsi="Book Antiqua" w:cs="Arial"/>
          <w:lang w:val="en-US"/>
        </w:rPr>
        <w:t>one</w:t>
      </w:r>
      <w:r w:rsidRPr="0088290D">
        <w:rPr>
          <w:rFonts w:ascii="Book Antiqua" w:hAnsi="Book Antiqua" w:cs="Arial"/>
          <w:lang w:val="en-US"/>
        </w:rPr>
        <w:t xml:space="preserve"> patient during the follow-up period. Nine patients had at least one episode of cholangitis. Seven patients underwent OLTx. </w:t>
      </w:r>
      <w:r w:rsidR="002C791B" w:rsidRPr="0088290D">
        <w:rPr>
          <w:rFonts w:ascii="Book Antiqua" w:hAnsi="Book Antiqua" w:cs="Arial"/>
          <w:lang w:val="en-US"/>
        </w:rPr>
        <w:t>Five</w:t>
      </w:r>
      <w:r w:rsidRPr="0088290D">
        <w:rPr>
          <w:rFonts w:ascii="Book Antiqua" w:hAnsi="Book Antiqua" w:cs="Arial"/>
          <w:lang w:val="en-US"/>
        </w:rPr>
        <w:t xml:space="preserve"> patients died due to liver-related complications. Composite end-point (OLTx and/or liver-related death) occurred in a total of </w:t>
      </w:r>
      <w:r w:rsidR="002C791B" w:rsidRPr="0088290D">
        <w:rPr>
          <w:rFonts w:ascii="Book Antiqua" w:hAnsi="Book Antiqua" w:cs="Arial"/>
          <w:lang w:val="en-US"/>
        </w:rPr>
        <w:t>9</w:t>
      </w:r>
      <w:r w:rsidRPr="0088290D">
        <w:rPr>
          <w:rFonts w:ascii="Book Antiqua" w:hAnsi="Book Antiqua" w:cs="Arial"/>
          <w:lang w:val="en-US"/>
        </w:rPr>
        <w:t xml:space="preserve"> patients. One patient died due to acute myocardial infarction, this case was censored at time of death.</w:t>
      </w:r>
    </w:p>
    <w:p w14:paraId="64298049" w14:textId="473F7290" w:rsidR="000634C6" w:rsidRPr="0088290D" w:rsidRDefault="000634C6"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ab/>
      </w:r>
      <w:r w:rsidR="00A46B14" w:rsidRPr="0088290D">
        <w:rPr>
          <w:rFonts w:ascii="Book Antiqua" w:hAnsi="Book Antiqua" w:cs="Arial"/>
          <w:lang w:val="en-US"/>
        </w:rPr>
        <w:t>W</w:t>
      </w:r>
      <w:r w:rsidRPr="0088290D">
        <w:rPr>
          <w:rFonts w:ascii="Book Antiqua" w:hAnsi="Book Antiqua" w:cs="Arial"/>
          <w:lang w:val="en-US"/>
        </w:rPr>
        <w:t xml:space="preserve">e analyzed the association of clinical variables and the different </w:t>
      </w:r>
      <w:r w:rsidR="00B37CB6" w:rsidRPr="0088290D">
        <w:rPr>
          <w:rFonts w:ascii="Book Antiqua" w:hAnsi="Book Antiqua" w:cs="Arial"/>
          <w:lang w:val="en-US"/>
        </w:rPr>
        <w:t>isotypes of AAA and AGA.</w:t>
      </w:r>
      <w:r w:rsidRPr="0088290D">
        <w:rPr>
          <w:rFonts w:ascii="Book Antiqua" w:hAnsi="Book Antiqua" w:cs="Arial"/>
          <w:lang w:val="en-US"/>
        </w:rPr>
        <w:t xml:space="preserve"> </w:t>
      </w:r>
    </w:p>
    <w:p w14:paraId="272B6E8D" w14:textId="1D833262" w:rsidR="000634C6" w:rsidRPr="0088290D" w:rsidRDefault="000634C6"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ab/>
        <w:t xml:space="preserve">In Kaplan-Meier analysis, the median time to OLTx and/or liver-related death was </w:t>
      </w:r>
      <w:r w:rsidR="0077331B" w:rsidRPr="0088290D">
        <w:rPr>
          <w:rFonts w:ascii="Book Antiqua" w:hAnsi="Book Antiqua" w:cs="Arial"/>
          <w:lang w:val="en-US"/>
        </w:rPr>
        <w:t>578</w:t>
      </w:r>
      <w:r w:rsidRPr="0088290D">
        <w:rPr>
          <w:rFonts w:ascii="Book Antiqua" w:hAnsi="Book Antiqua" w:cs="Arial"/>
          <w:lang w:val="en-US"/>
        </w:rPr>
        <w:t xml:space="preserve"> </w:t>
      </w:r>
      <w:r w:rsidR="006716DE">
        <w:rPr>
          <w:rFonts w:ascii="Book Antiqua" w:eastAsia="SimSun" w:hAnsi="Book Antiqua" w:cs="Arial" w:hint="eastAsia"/>
          <w:lang w:val="en-US" w:eastAsia="zh-CN"/>
        </w:rPr>
        <w:t>d</w:t>
      </w:r>
      <w:r w:rsidRPr="0088290D">
        <w:rPr>
          <w:rFonts w:ascii="Book Antiqua" w:hAnsi="Book Antiqua" w:cs="Arial"/>
          <w:lang w:val="en-US"/>
        </w:rPr>
        <w:t xml:space="preserve"> (IQR: </w:t>
      </w:r>
      <w:r w:rsidR="0077331B" w:rsidRPr="0088290D">
        <w:rPr>
          <w:rFonts w:ascii="Book Antiqua" w:hAnsi="Book Antiqua" w:cs="Arial"/>
          <w:lang w:val="en-US"/>
        </w:rPr>
        <w:t>212</w:t>
      </w:r>
      <w:r w:rsidRPr="0088290D">
        <w:rPr>
          <w:rFonts w:ascii="Book Antiqua" w:hAnsi="Book Antiqua" w:cs="Arial"/>
          <w:lang w:val="en-US"/>
        </w:rPr>
        <w:t>-1</w:t>
      </w:r>
      <w:r w:rsidR="0077331B" w:rsidRPr="0088290D">
        <w:rPr>
          <w:rFonts w:ascii="Book Antiqua" w:hAnsi="Book Antiqua" w:cs="Arial"/>
          <w:lang w:val="en-US"/>
        </w:rPr>
        <w:t>112</w:t>
      </w:r>
      <w:r w:rsidRPr="0088290D">
        <w:rPr>
          <w:rFonts w:ascii="Book Antiqua" w:hAnsi="Book Antiqua" w:cs="Arial"/>
          <w:lang w:val="en-US"/>
        </w:rPr>
        <w:t>). Presence of cirrhosis and increased Mayo risk score (</w:t>
      </w:r>
      <w:r w:rsidR="006716DE" w:rsidRPr="0088290D">
        <w:rPr>
          <w:rFonts w:ascii="Book Antiqua" w:hAnsi="Book Antiqua" w:cs="Arial"/>
          <w:i/>
          <w:iCs/>
          <w:lang w:val="en-US"/>
        </w:rPr>
        <w:t>p</w:t>
      </w:r>
      <w:r w:rsidR="006716DE" w:rsidRPr="0088290D">
        <w:rPr>
          <w:rFonts w:ascii="Book Antiqua" w:hAnsi="Book Antiqua" w:cs="Arial"/>
          <w:lang w:val="en-US"/>
        </w:rPr>
        <w:t>LogRank</w:t>
      </w:r>
      <w:r w:rsidR="006716DE">
        <w:rPr>
          <w:rFonts w:ascii="Book Antiqua" w:eastAsia="SimSun" w:hAnsi="Book Antiqua" w:cs="Arial" w:hint="eastAsia"/>
          <w:lang w:val="en-US" w:eastAsia="zh-CN"/>
        </w:rPr>
        <w:t xml:space="preserve"> </w:t>
      </w:r>
      <w:r w:rsidRPr="0088290D">
        <w:rPr>
          <w:rFonts w:ascii="Book Antiqua" w:hAnsi="Book Antiqua" w:cs="Arial"/>
          <w:i/>
          <w:lang w:val="en-US"/>
        </w:rPr>
        <w:t>=</w:t>
      </w:r>
      <w:r w:rsidR="006716DE">
        <w:rPr>
          <w:rFonts w:ascii="Book Antiqua" w:eastAsia="SimSun" w:hAnsi="Book Antiqua" w:cs="Arial" w:hint="eastAsia"/>
          <w:i/>
          <w:lang w:val="en-US" w:eastAsia="zh-CN"/>
        </w:rPr>
        <w:t xml:space="preserve"> </w:t>
      </w:r>
      <w:r w:rsidRPr="006716DE">
        <w:rPr>
          <w:rFonts w:ascii="Book Antiqua" w:hAnsi="Book Antiqua" w:cs="Arial"/>
          <w:lang w:val="en-US"/>
        </w:rPr>
        <w:t>0.0</w:t>
      </w:r>
      <w:r w:rsidR="0077331B" w:rsidRPr="006716DE">
        <w:rPr>
          <w:rFonts w:ascii="Book Antiqua" w:hAnsi="Book Antiqua" w:cs="Arial"/>
          <w:lang w:val="en-US"/>
        </w:rPr>
        <w:t>40</w:t>
      </w:r>
      <w:r w:rsidRPr="0088290D">
        <w:rPr>
          <w:rFonts w:ascii="Book Antiqua" w:hAnsi="Book Antiqua" w:cs="Arial"/>
          <w:lang w:val="en-US"/>
        </w:rPr>
        <w:t xml:space="preserve"> </w:t>
      </w:r>
      <w:r w:rsidR="00FB059C" w:rsidRPr="0088290D">
        <w:rPr>
          <w:rFonts w:ascii="Book Antiqua" w:hAnsi="Book Antiqua" w:cs="Arial"/>
          <w:lang w:val="en-US"/>
        </w:rPr>
        <w:t xml:space="preserve">and </w:t>
      </w:r>
      <w:r w:rsidR="00FB059C">
        <w:rPr>
          <w:rFonts w:ascii="Book Antiqua" w:eastAsia="SimSun" w:hAnsi="Book Antiqua"/>
          <w:i/>
          <w:lang w:val="en-US" w:eastAsia="zh-CN"/>
        </w:rPr>
        <w:t>&lt;</w:t>
      </w:r>
      <w:r w:rsidR="006716DE">
        <w:rPr>
          <w:rFonts w:ascii="Book Antiqua" w:eastAsia="SimSun" w:hAnsi="Book Antiqua" w:cs="Arial" w:hint="eastAsia"/>
          <w:i/>
          <w:lang w:val="en-US" w:eastAsia="zh-CN"/>
        </w:rPr>
        <w:t xml:space="preserve"> </w:t>
      </w:r>
      <w:r w:rsidRPr="006716DE">
        <w:rPr>
          <w:rFonts w:ascii="Book Antiqua" w:hAnsi="Book Antiqua" w:cs="Arial"/>
          <w:lang w:val="en-US"/>
        </w:rPr>
        <w:t>0.001</w:t>
      </w:r>
      <w:r w:rsidRPr="0088290D">
        <w:rPr>
          <w:rFonts w:ascii="Book Antiqua" w:hAnsi="Book Antiqua" w:cs="Arial"/>
          <w:lang w:val="en-US"/>
        </w:rPr>
        <w:t>, respectively), but not gender (</w:t>
      </w:r>
      <w:r w:rsidR="006716DE" w:rsidRPr="006716DE">
        <w:rPr>
          <w:rFonts w:ascii="Book Antiqua" w:hAnsi="Book Antiqua"/>
          <w:i/>
          <w:lang w:val="en-US"/>
        </w:rPr>
        <w:t>P</w:t>
      </w:r>
      <w:r w:rsidR="006716DE" w:rsidRPr="0088290D">
        <w:rPr>
          <w:rFonts w:ascii="Book Antiqua" w:hAnsi="Book Antiqua" w:cs="Arial"/>
          <w:lang w:val="en-US"/>
        </w:rPr>
        <w:t xml:space="preserve"> </w:t>
      </w:r>
      <w:r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Pr="0088290D">
        <w:rPr>
          <w:rFonts w:ascii="Book Antiqua" w:hAnsi="Book Antiqua" w:cs="Arial"/>
          <w:lang w:val="en-US"/>
        </w:rPr>
        <w:t>0.</w:t>
      </w:r>
      <w:r w:rsidR="0077331B" w:rsidRPr="0088290D">
        <w:rPr>
          <w:rFonts w:ascii="Book Antiqua" w:hAnsi="Book Antiqua" w:cs="Arial"/>
          <w:lang w:val="en-US"/>
        </w:rPr>
        <w:t>5</w:t>
      </w:r>
      <w:r w:rsidRPr="0088290D">
        <w:rPr>
          <w:rFonts w:ascii="Book Antiqua" w:hAnsi="Book Antiqua" w:cs="Arial"/>
          <w:lang w:val="en-US"/>
        </w:rPr>
        <w:t>4</w:t>
      </w:r>
      <w:r w:rsidR="0077331B" w:rsidRPr="0088290D">
        <w:rPr>
          <w:rFonts w:ascii="Book Antiqua" w:hAnsi="Book Antiqua" w:cs="Arial"/>
          <w:lang w:val="en-US"/>
        </w:rPr>
        <w:t>7</w:t>
      </w:r>
      <w:r w:rsidRPr="0088290D">
        <w:rPr>
          <w:rFonts w:ascii="Book Antiqua" w:hAnsi="Book Antiqua" w:cs="Arial"/>
          <w:lang w:val="en-US"/>
        </w:rPr>
        <w:t>), age at onset (</w:t>
      </w:r>
      <w:r w:rsidR="006716DE" w:rsidRPr="006716DE">
        <w:rPr>
          <w:rFonts w:ascii="Book Antiqua" w:hAnsi="Book Antiqua"/>
          <w:i/>
          <w:lang w:val="en-US"/>
        </w:rPr>
        <w:t>P</w:t>
      </w:r>
      <w:r w:rsidR="006716DE" w:rsidRPr="0088290D">
        <w:rPr>
          <w:rFonts w:ascii="Book Antiqua" w:hAnsi="Book Antiqua" w:cs="Arial"/>
          <w:lang w:val="en-US"/>
        </w:rPr>
        <w:t xml:space="preserve"> </w:t>
      </w:r>
      <w:r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Pr="0088290D">
        <w:rPr>
          <w:rFonts w:ascii="Book Antiqua" w:hAnsi="Book Antiqua" w:cs="Arial"/>
          <w:lang w:val="en-US"/>
        </w:rPr>
        <w:t>0.</w:t>
      </w:r>
      <w:r w:rsidR="0077331B" w:rsidRPr="0088290D">
        <w:rPr>
          <w:rFonts w:ascii="Book Antiqua" w:hAnsi="Book Antiqua" w:cs="Arial"/>
          <w:lang w:val="en-US"/>
        </w:rPr>
        <w:t>845</w:t>
      </w:r>
      <w:r w:rsidRPr="0088290D">
        <w:rPr>
          <w:rFonts w:ascii="Book Antiqua" w:hAnsi="Book Antiqua" w:cs="Arial"/>
          <w:lang w:val="en-US"/>
        </w:rPr>
        <w:t>), disease location (</w:t>
      </w:r>
      <w:r w:rsidR="006716DE" w:rsidRPr="006716DE">
        <w:rPr>
          <w:rFonts w:ascii="Book Antiqua" w:hAnsi="Book Antiqua"/>
          <w:i/>
          <w:lang w:val="en-US"/>
        </w:rPr>
        <w:t>P</w:t>
      </w:r>
      <w:r w:rsidR="006716DE" w:rsidRPr="0088290D">
        <w:rPr>
          <w:rFonts w:ascii="Book Antiqua" w:hAnsi="Book Antiqua" w:cs="Arial"/>
          <w:lang w:val="en-US"/>
        </w:rPr>
        <w:t xml:space="preserve"> </w:t>
      </w:r>
      <w:r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Pr="0088290D">
        <w:rPr>
          <w:rFonts w:ascii="Book Antiqua" w:hAnsi="Book Antiqua" w:cs="Arial"/>
          <w:lang w:val="en-US"/>
        </w:rPr>
        <w:t>0.</w:t>
      </w:r>
      <w:r w:rsidR="0077331B" w:rsidRPr="0088290D">
        <w:rPr>
          <w:rFonts w:ascii="Book Antiqua" w:hAnsi="Book Antiqua" w:cs="Arial"/>
          <w:lang w:val="en-US"/>
        </w:rPr>
        <w:t>5</w:t>
      </w:r>
      <w:r w:rsidRPr="0088290D">
        <w:rPr>
          <w:rFonts w:ascii="Book Antiqua" w:hAnsi="Book Antiqua" w:cs="Arial"/>
          <w:lang w:val="en-US"/>
        </w:rPr>
        <w:t>4</w:t>
      </w:r>
      <w:r w:rsidR="0077331B" w:rsidRPr="0088290D">
        <w:rPr>
          <w:rFonts w:ascii="Book Antiqua" w:hAnsi="Book Antiqua" w:cs="Arial"/>
          <w:lang w:val="en-US"/>
        </w:rPr>
        <w:t>8</w:t>
      </w:r>
      <w:r w:rsidRPr="0088290D">
        <w:rPr>
          <w:rFonts w:ascii="Book Antiqua" w:hAnsi="Book Antiqua" w:cs="Arial"/>
          <w:lang w:val="en-US"/>
        </w:rPr>
        <w:t>) or concomitant IBD (</w:t>
      </w:r>
      <w:r w:rsidR="006716DE" w:rsidRPr="006716DE">
        <w:rPr>
          <w:rFonts w:ascii="Book Antiqua" w:hAnsi="Book Antiqua"/>
          <w:i/>
          <w:lang w:val="en-US"/>
        </w:rPr>
        <w:t>P</w:t>
      </w:r>
      <w:r w:rsidR="006716DE" w:rsidRPr="0088290D">
        <w:rPr>
          <w:rFonts w:ascii="Book Antiqua" w:hAnsi="Book Antiqua" w:cs="Arial"/>
          <w:lang w:val="en-US"/>
        </w:rPr>
        <w:t xml:space="preserve"> </w:t>
      </w:r>
      <w:r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Pr="0088290D">
        <w:rPr>
          <w:rFonts w:ascii="Book Antiqua" w:hAnsi="Book Antiqua" w:cs="Arial"/>
          <w:lang w:val="en-US"/>
        </w:rPr>
        <w:t>0.</w:t>
      </w:r>
      <w:r w:rsidR="00342BC7" w:rsidRPr="0088290D">
        <w:rPr>
          <w:rFonts w:ascii="Book Antiqua" w:hAnsi="Book Antiqua" w:cs="Arial"/>
          <w:lang w:val="en-US"/>
        </w:rPr>
        <w:t>7</w:t>
      </w:r>
      <w:r w:rsidRPr="0088290D">
        <w:rPr>
          <w:rFonts w:ascii="Book Antiqua" w:hAnsi="Book Antiqua" w:cs="Arial"/>
          <w:lang w:val="en-US"/>
        </w:rPr>
        <w:t>6</w:t>
      </w:r>
      <w:r w:rsidR="00342BC7" w:rsidRPr="0088290D">
        <w:rPr>
          <w:rFonts w:ascii="Book Antiqua" w:hAnsi="Book Antiqua" w:cs="Arial"/>
          <w:lang w:val="en-US"/>
        </w:rPr>
        <w:t>2</w:t>
      </w:r>
      <w:r w:rsidRPr="0088290D">
        <w:rPr>
          <w:rFonts w:ascii="Book Antiqua" w:hAnsi="Book Antiqua" w:cs="Arial"/>
          <w:lang w:val="en-US"/>
        </w:rPr>
        <w:t>) were significantly associated with faster disease progression.</w:t>
      </w:r>
    </w:p>
    <w:p w14:paraId="230D6E40" w14:textId="05D9C659" w:rsidR="00931AD5" w:rsidRPr="0088290D" w:rsidRDefault="000634C6"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ab/>
        <w:t xml:space="preserve">Positivity </w:t>
      </w:r>
      <w:r w:rsidR="00DA19AF" w:rsidRPr="0088290D">
        <w:rPr>
          <w:rFonts w:ascii="Book Antiqua" w:hAnsi="Book Antiqua" w:cs="Arial"/>
          <w:lang w:val="en-US"/>
        </w:rPr>
        <w:t xml:space="preserve">for </w:t>
      </w:r>
      <w:r w:rsidRPr="0088290D">
        <w:rPr>
          <w:rFonts w:ascii="Book Antiqua" w:hAnsi="Book Antiqua" w:cs="Arial"/>
          <w:lang w:val="en-US"/>
        </w:rPr>
        <w:t xml:space="preserve">IgA isotype </w:t>
      </w:r>
      <w:r w:rsidR="001548E2" w:rsidRPr="0088290D">
        <w:rPr>
          <w:rFonts w:ascii="Book Antiqua" w:hAnsi="Book Antiqua" w:cs="Arial"/>
          <w:lang w:val="en-US"/>
        </w:rPr>
        <w:t>AAA</w:t>
      </w:r>
      <w:r w:rsidR="002413DD" w:rsidRPr="0088290D">
        <w:rPr>
          <w:rFonts w:ascii="Book Antiqua" w:hAnsi="Book Antiqua" w:cs="Arial"/>
          <w:lang w:val="en-US"/>
        </w:rPr>
        <w:t xml:space="preserve"> and </w:t>
      </w:r>
      <w:r w:rsidR="001548E2" w:rsidRPr="0088290D">
        <w:rPr>
          <w:rFonts w:ascii="Book Antiqua" w:hAnsi="Book Antiqua" w:cs="Arial"/>
          <w:lang w:val="en-US"/>
        </w:rPr>
        <w:t xml:space="preserve">AGA </w:t>
      </w:r>
      <w:r w:rsidRPr="0088290D">
        <w:rPr>
          <w:rFonts w:ascii="Book Antiqua" w:hAnsi="Book Antiqua" w:cs="Arial"/>
          <w:lang w:val="en-US"/>
        </w:rPr>
        <w:t>(</w:t>
      </w:r>
      <w:r w:rsidRPr="0088290D">
        <w:rPr>
          <w:rFonts w:ascii="Book Antiqua" w:hAnsi="Book Antiqua" w:cs="Arial"/>
          <w:i/>
          <w:iCs/>
          <w:lang w:val="en-US"/>
        </w:rPr>
        <w:t>p</w:t>
      </w:r>
      <w:r w:rsidRPr="0088290D">
        <w:rPr>
          <w:rFonts w:ascii="Book Antiqua" w:hAnsi="Book Antiqua" w:cs="Arial"/>
          <w:lang w:val="en-US"/>
        </w:rPr>
        <w:t>LogRank</w:t>
      </w:r>
      <w:r w:rsidR="006716DE">
        <w:rPr>
          <w:rFonts w:ascii="Book Antiqua" w:eastAsia="SimSun" w:hAnsi="Book Antiqua" w:cs="Arial" w:hint="eastAsia"/>
          <w:lang w:val="en-US" w:eastAsia="zh-CN"/>
        </w:rPr>
        <w:t xml:space="preserve"> </w:t>
      </w:r>
      <w:r w:rsidRPr="0088290D">
        <w:rPr>
          <w:rFonts w:ascii="Book Antiqua" w:hAnsi="Book Antiqua" w:cs="Arial"/>
          <w:i/>
          <w:lang w:val="en-US"/>
        </w:rPr>
        <w:t>=</w:t>
      </w:r>
      <w:r w:rsidR="006716DE">
        <w:rPr>
          <w:rFonts w:ascii="Book Antiqua" w:eastAsia="SimSun" w:hAnsi="Book Antiqua" w:cs="Arial" w:hint="eastAsia"/>
          <w:i/>
          <w:lang w:val="en-US" w:eastAsia="zh-CN"/>
        </w:rPr>
        <w:t xml:space="preserve"> </w:t>
      </w:r>
      <w:r w:rsidRPr="006716DE">
        <w:rPr>
          <w:rFonts w:ascii="Book Antiqua" w:hAnsi="Book Antiqua" w:cs="Arial"/>
          <w:lang w:val="en-US"/>
        </w:rPr>
        <w:t>0.0</w:t>
      </w:r>
      <w:r w:rsidR="00252043" w:rsidRPr="006716DE">
        <w:rPr>
          <w:rFonts w:ascii="Book Antiqua" w:hAnsi="Book Antiqua" w:cs="Arial"/>
          <w:lang w:val="en-US"/>
        </w:rPr>
        <w:t>19</w:t>
      </w:r>
      <w:r w:rsidR="002413DD" w:rsidRPr="006716DE">
        <w:rPr>
          <w:rFonts w:ascii="Book Antiqua" w:hAnsi="Book Antiqua" w:cs="Arial"/>
          <w:lang w:val="en-US"/>
        </w:rPr>
        <w:t xml:space="preserve"> and 0.005, </w:t>
      </w:r>
      <w:r w:rsidR="002413DD" w:rsidRPr="0088290D">
        <w:rPr>
          <w:rFonts w:ascii="Book Antiqua" w:hAnsi="Book Antiqua" w:cs="Arial"/>
          <w:lang w:val="en-US"/>
        </w:rPr>
        <w:t>respectively</w:t>
      </w:r>
      <w:r w:rsidRPr="0088290D">
        <w:rPr>
          <w:rFonts w:ascii="Book Antiqua" w:hAnsi="Book Antiqua" w:cs="Arial"/>
          <w:lang w:val="en-US"/>
        </w:rPr>
        <w:t xml:space="preserve">), but </w:t>
      </w:r>
      <w:r w:rsidR="00D0004F" w:rsidRPr="0088290D">
        <w:rPr>
          <w:rFonts w:ascii="Book Antiqua" w:hAnsi="Book Antiqua" w:cs="Arial"/>
          <w:lang w:val="en-US"/>
        </w:rPr>
        <w:t xml:space="preserve">not </w:t>
      </w:r>
      <w:r w:rsidR="00DA19AF" w:rsidRPr="0088290D">
        <w:rPr>
          <w:rFonts w:ascii="Book Antiqua" w:hAnsi="Book Antiqua" w:cs="Arial"/>
          <w:lang w:val="en-US"/>
        </w:rPr>
        <w:t xml:space="preserve">for </w:t>
      </w:r>
      <w:r w:rsidRPr="0088290D">
        <w:rPr>
          <w:rFonts w:ascii="Book Antiqua" w:hAnsi="Book Antiqua" w:cs="Arial"/>
          <w:lang w:val="en-US"/>
        </w:rPr>
        <w:t>IgG isotype</w:t>
      </w:r>
      <w:r w:rsidR="00F2709A" w:rsidRPr="0088290D">
        <w:rPr>
          <w:rFonts w:ascii="Book Antiqua" w:hAnsi="Book Antiqua" w:cs="Arial"/>
          <w:lang w:val="en-US"/>
        </w:rPr>
        <w:t>s</w:t>
      </w:r>
      <w:r w:rsidRPr="0088290D">
        <w:rPr>
          <w:rFonts w:ascii="Book Antiqua" w:hAnsi="Book Antiqua" w:cs="Arial"/>
          <w:lang w:val="en-US"/>
        </w:rPr>
        <w:t xml:space="preserve"> </w:t>
      </w:r>
      <w:r w:rsidR="00F2709A" w:rsidRPr="0088290D">
        <w:rPr>
          <w:rFonts w:ascii="Book Antiqua" w:hAnsi="Book Antiqua" w:cs="Arial"/>
          <w:lang w:val="en-US"/>
        </w:rPr>
        <w:t xml:space="preserve">of these </w:t>
      </w:r>
      <w:r w:rsidRPr="0088290D">
        <w:rPr>
          <w:rFonts w:ascii="Book Antiqua" w:hAnsi="Book Antiqua" w:cs="Arial"/>
          <w:lang w:val="en-US"/>
        </w:rPr>
        <w:t>antibodies (</w:t>
      </w:r>
      <w:r w:rsidRPr="0088290D">
        <w:rPr>
          <w:rFonts w:ascii="Book Antiqua" w:hAnsi="Book Antiqua" w:cs="Arial"/>
          <w:i/>
          <w:iCs/>
          <w:lang w:val="en-US"/>
        </w:rPr>
        <w:t>p</w:t>
      </w:r>
      <w:r w:rsidRPr="0088290D">
        <w:rPr>
          <w:rFonts w:ascii="Book Antiqua" w:hAnsi="Book Antiqua" w:cs="Arial"/>
          <w:lang w:val="en-US"/>
        </w:rPr>
        <w:t>LogRank</w:t>
      </w:r>
      <w:r w:rsidR="006716DE">
        <w:rPr>
          <w:rFonts w:ascii="Book Antiqua" w:eastAsia="SimSun" w:hAnsi="Book Antiqua" w:cs="Arial" w:hint="eastAsia"/>
          <w:lang w:val="en-US" w:eastAsia="zh-CN"/>
        </w:rPr>
        <w:t xml:space="preserve"> </w:t>
      </w:r>
      <w:r w:rsidRPr="0088290D">
        <w:rPr>
          <w:rFonts w:ascii="Book Antiqua" w:hAnsi="Book Antiqua" w:cs="Arial"/>
          <w:i/>
          <w:lang w:val="en-US"/>
        </w:rPr>
        <w:t>=</w:t>
      </w:r>
      <w:r w:rsidR="006716DE">
        <w:rPr>
          <w:rFonts w:ascii="Book Antiqua" w:eastAsia="SimSun" w:hAnsi="Book Antiqua" w:cs="Arial" w:hint="eastAsia"/>
          <w:i/>
          <w:lang w:val="en-US" w:eastAsia="zh-CN"/>
        </w:rPr>
        <w:t xml:space="preserve"> </w:t>
      </w:r>
      <w:r w:rsidRPr="006716DE">
        <w:rPr>
          <w:rFonts w:ascii="Book Antiqua" w:hAnsi="Book Antiqua" w:cs="Arial"/>
          <w:lang w:val="en-US"/>
        </w:rPr>
        <w:t>0.</w:t>
      </w:r>
      <w:r w:rsidR="008B0EEF" w:rsidRPr="006716DE">
        <w:rPr>
          <w:rFonts w:ascii="Book Antiqua" w:hAnsi="Book Antiqua" w:cs="Arial"/>
          <w:lang w:val="en-US"/>
        </w:rPr>
        <w:t>665</w:t>
      </w:r>
      <w:r w:rsidR="008B0EEF" w:rsidRPr="0088290D">
        <w:rPr>
          <w:rFonts w:ascii="Book Antiqua" w:hAnsi="Book Antiqua" w:cs="Arial"/>
          <w:i/>
          <w:lang w:val="en-US"/>
        </w:rPr>
        <w:t xml:space="preserve"> </w:t>
      </w:r>
      <w:r w:rsidR="008B0EEF" w:rsidRPr="006716DE">
        <w:rPr>
          <w:rFonts w:ascii="Book Antiqua" w:hAnsi="Book Antiqua" w:cs="Arial"/>
          <w:lang w:val="en-US"/>
        </w:rPr>
        <w:t>and 0.130</w:t>
      </w:r>
      <w:r w:rsidRPr="0088290D">
        <w:rPr>
          <w:rFonts w:ascii="Book Antiqua" w:hAnsi="Book Antiqua" w:cs="Arial"/>
          <w:lang w:val="en-US"/>
        </w:rPr>
        <w:t xml:space="preserve">, respectively) predicted OLTx and/or liver-related death, see </w:t>
      </w:r>
      <w:r w:rsidRPr="006716DE">
        <w:rPr>
          <w:rFonts w:ascii="Book Antiqua" w:hAnsi="Book Antiqua" w:cs="Arial"/>
          <w:lang w:val="en-US"/>
        </w:rPr>
        <w:t>Figure 1.</w:t>
      </w:r>
      <w:r w:rsidRPr="0088290D">
        <w:rPr>
          <w:rFonts w:ascii="Book Antiqua" w:hAnsi="Book Antiqua" w:cs="Arial"/>
          <w:lang w:val="en-US"/>
        </w:rPr>
        <w:t xml:space="preserve"> Accordingly, univariate Cox regression analysis revealed </w:t>
      </w:r>
      <w:r w:rsidR="00E052AA" w:rsidRPr="0088290D">
        <w:rPr>
          <w:rFonts w:ascii="Book Antiqua" w:hAnsi="Book Antiqua" w:cs="Arial"/>
          <w:lang w:val="en-US"/>
        </w:rPr>
        <w:t xml:space="preserve">AAA </w:t>
      </w:r>
      <w:r w:rsidRPr="0088290D">
        <w:rPr>
          <w:rFonts w:ascii="Book Antiqua" w:hAnsi="Book Antiqua" w:cs="Arial"/>
          <w:lang w:val="en-US"/>
        </w:rPr>
        <w:t>IgA</w:t>
      </w:r>
      <w:r w:rsidR="00511D51" w:rsidRPr="0088290D">
        <w:rPr>
          <w:rFonts w:ascii="Book Antiqua" w:hAnsi="Book Antiqua" w:cs="Arial"/>
          <w:lang w:val="en-US"/>
        </w:rPr>
        <w:t xml:space="preserve"> and </w:t>
      </w:r>
      <w:r w:rsidR="003A0D00" w:rsidRPr="0088290D">
        <w:rPr>
          <w:rFonts w:ascii="Book Antiqua" w:hAnsi="Book Antiqua" w:cs="Arial"/>
          <w:lang w:val="en-US"/>
        </w:rPr>
        <w:t xml:space="preserve">AGA </w:t>
      </w:r>
      <w:r w:rsidR="00511D51" w:rsidRPr="0088290D">
        <w:rPr>
          <w:rFonts w:ascii="Book Antiqua" w:hAnsi="Book Antiqua" w:cs="Arial"/>
          <w:lang w:val="en-US"/>
        </w:rPr>
        <w:t>IgA</w:t>
      </w:r>
      <w:r w:rsidRPr="0088290D">
        <w:rPr>
          <w:rFonts w:ascii="Book Antiqua" w:hAnsi="Book Antiqua" w:cs="Arial"/>
          <w:lang w:val="en-US"/>
        </w:rPr>
        <w:t>-positivity as predictor</w:t>
      </w:r>
      <w:r w:rsidR="00511D51" w:rsidRPr="0088290D">
        <w:rPr>
          <w:rFonts w:ascii="Book Antiqua" w:hAnsi="Book Antiqua" w:cs="Arial"/>
          <w:lang w:val="en-US"/>
        </w:rPr>
        <w:t>s</w:t>
      </w:r>
      <w:r w:rsidRPr="0088290D">
        <w:rPr>
          <w:rFonts w:ascii="Book Antiqua" w:hAnsi="Book Antiqua" w:cs="Arial"/>
          <w:lang w:val="en-US"/>
        </w:rPr>
        <w:t xml:space="preserve"> </w:t>
      </w:r>
      <w:r w:rsidR="00511D51" w:rsidRPr="0088290D">
        <w:rPr>
          <w:rFonts w:ascii="Book Antiqua" w:hAnsi="Book Antiqua" w:cs="Arial"/>
          <w:lang w:val="en-US"/>
        </w:rPr>
        <w:t>of</w:t>
      </w:r>
      <w:r w:rsidRPr="0088290D">
        <w:rPr>
          <w:rFonts w:ascii="Book Antiqua" w:hAnsi="Book Antiqua" w:cs="Arial"/>
          <w:lang w:val="en-US"/>
        </w:rPr>
        <w:t xml:space="preserve"> poor disease outcome (HR</w:t>
      </w:r>
      <w:r w:rsidR="006716DE">
        <w:rPr>
          <w:rFonts w:ascii="Book Antiqua" w:eastAsia="SimSun" w:hAnsi="Book Antiqua" w:cs="Arial" w:hint="eastAsia"/>
          <w:lang w:val="en-US" w:eastAsia="zh-CN"/>
        </w:rPr>
        <w:t xml:space="preserve"> = </w:t>
      </w:r>
      <w:r w:rsidR="00511D51" w:rsidRPr="0088290D">
        <w:rPr>
          <w:rFonts w:ascii="Book Antiqua" w:hAnsi="Book Antiqua" w:cs="Arial"/>
          <w:lang w:val="en-US"/>
        </w:rPr>
        <w:t>4</w:t>
      </w:r>
      <w:r w:rsidRPr="0088290D">
        <w:rPr>
          <w:rFonts w:ascii="Book Antiqua" w:hAnsi="Book Antiqua" w:cs="Arial"/>
          <w:lang w:val="en-US"/>
        </w:rPr>
        <w:t>.5</w:t>
      </w:r>
      <w:r w:rsidR="00511D51" w:rsidRPr="0088290D">
        <w:rPr>
          <w:rFonts w:ascii="Book Antiqua" w:hAnsi="Book Antiqua" w:cs="Arial"/>
          <w:lang w:val="en-US"/>
        </w:rPr>
        <w:t>4</w:t>
      </w:r>
      <w:r w:rsidRPr="0088290D">
        <w:rPr>
          <w:rFonts w:ascii="Book Antiqua" w:hAnsi="Book Antiqua" w:cs="Arial"/>
          <w:lang w:val="en-US"/>
        </w:rPr>
        <w:t xml:space="preserve"> [1.</w:t>
      </w:r>
      <w:r w:rsidR="00511D51" w:rsidRPr="0088290D">
        <w:rPr>
          <w:rFonts w:ascii="Book Antiqua" w:hAnsi="Book Antiqua" w:cs="Arial"/>
          <w:lang w:val="en-US"/>
        </w:rPr>
        <w:t>1</w:t>
      </w:r>
      <w:r w:rsidRPr="0088290D">
        <w:rPr>
          <w:rFonts w:ascii="Book Antiqua" w:hAnsi="Book Antiqua" w:cs="Arial"/>
          <w:lang w:val="en-US"/>
        </w:rPr>
        <w:t>4-</w:t>
      </w:r>
      <w:r w:rsidR="00511D51" w:rsidRPr="0088290D">
        <w:rPr>
          <w:rFonts w:ascii="Book Antiqua" w:hAnsi="Book Antiqua" w:cs="Arial"/>
          <w:lang w:val="en-US"/>
        </w:rPr>
        <w:t>18.18</w:t>
      </w:r>
      <w:r w:rsidRPr="0088290D">
        <w:rPr>
          <w:rFonts w:ascii="Book Antiqua" w:hAnsi="Book Antiqua" w:cs="Arial"/>
          <w:lang w:val="en-US"/>
        </w:rPr>
        <w:t xml:space="preserve">], </w:t>
      </w:r>
      <w:r w:rsidR="006716DE" w:rsidRPr="0088290D">
        <w:rPr>
          <w:rFonts w:ascii="Book Antiqua" w:hAnsi="Book Antiqua" w:cs="Arial"/>
          <w:i/>
          <w:lang w:val="en-US"/>
        </w:rPr>
        <w:t xml:space="preserve">P </w:t>
      </w:r>
      <w:r w:rsidRPr="006716DE">
        <w:rPr>
          <w:rFonts w:ascii="Book Antiqua" w:hAnsi="Book Antiqua" w:cs="Arial"/>
          <w:lang w:val="en-US"/>
        </w:rPr>
        <w:t>=</w:t>
      </w:r>
      <w:r w:rsidR="006716DE" w:rsidRPr="006716DE">
        <w:rPr>
          <w:rFonts w:ascii="Book Antiqua" w:eastAsia="SimSun" w:hAnsi="Book Antiqua" w:cs="Arial" w:hint="eastAsia"/>
          <w:lang w:val="en-US" w:eastAsia="zh-CN"/>
        </w:rPr>
        <w:t xml:space="preserve"> </w:t>
      </w:r>
      <w:r w:rsidRPr="006716DE">
        <w:rPr>
          <w:rFonts w:ascii="Book Antiqua" w:hAnsi="Book Antiqua" w:cs="Arial"/>
          <w:lang w:val="en-US"/>
        </w:rPr>
        <w:t>0.0</w:t>
      </w:r>
      <w:r w:rsidR="00511D51" w:rsidRPr="006716DE">
        <w:rPr>
          <w:rFonts w:ascii="Book Antiqua" w:hAnsi="Book Antiqua" w:cs="Arial"/>
          <w:lang w:val="en-US"/>
        </w:rPr>
        <w:t>3</w:t>
      </w:r>
      <w:r w:rsidRPr="006716DE">
        <w:rPr>
          <w:rFonts w:ascii="Book Antiqua" w:hAnsi="Book Antiqua" w:cs="Arial"/>
          <w:lang w:val="en-US"/>
        </w:rPr>
        <w:t>2</w:t>
      </w:r>
      <w:r w:rsidR="00511D51" w:rsidRPr="0088290D">
        <w:rPr>
          <w:rFonts w:ascii="Book Antiqua" w:hAnsi="Book Antiqua" w:cs="Arial"/>
          <w:i/>
          <w:lang w:val="en-US"/>
        </w:rPr>
        <w:t xml:space="preserve"> </w:t>
      </w:r>
      <w:r w:rsidR="00511D51" w:rsidRPr="0088290D">
        <w:rPr>
          <w:rFonts w:ascii="Book Antiqua" w:hAnsi="Book Antiqua" w:cs="Arial"/>
          <w:lang w:val="en-US"/>
        </w:rPr>
        <w:t xml:space="preserve">and 5.83 [1.45-23.41], </w:t>
      </w:r>
      <w:r w:rsidR="006716DE" w:rsidRPr="0088290D">
        <w:rPr>
          <w:rFonts w:ascii="Book Antiqua" w:hAnsi="Book Antiqua" w:cs="Arial"/>
          <w:i/>
          <w:lang w:val="en-US"/>
        </w:rPr>
        <w:t>P</w:t>
      </w:r>
      <w:r w:rsidR="006716DE">
        <w:rPr>
          <w:rFonts w:ascii="Book Antiqua" w:eastAsia="SimSun" w:hAnsi="Book Antiqua" w:cs="Arial" w:hint="eastAsia"/>
          <w:i/>
          <w:lang w:val="en-US" w:eastAsia="zh-CN"/>
        </w:rPr>
        <w:t xml:space="preserve"> </w:t>
      </w:r>
      <w:r w:rsidR="00511D51" w:rsidRPr="006716DE">
        <w:rPr>
          <w:rFonts w:ascii="Book Antiqua" w:hAnsi="Book Antiqua" w:cs="Arial"/>
          <w:lang w:val="en-US"/>
        </w:rPr>
        <w:t>=</w:t>
      </w:r>
      <w:r w:rsidR="006716DE" w:rsidRPr="006716DE">
        <w:rPr>
          <w:rFonts w:ascii="Book Antiqua" w:eastAsia="SimSun" w:hAnsi="Book Antiqua" w:cs="Arial" w:hint="eastAsia"/>
          <w:lang w:val="en-US" w:eastAsia="zh-CN"/>
        </w:rPr>
        <w:t xml:space="preserve"> </w:t>
      </w:r>
      <w:r w:rsidR="00511D51" w:rsidRPr="006716DE">
        <w:rPr>
          <w:rFonts w:ascii="Book Antiqua" w:hAnsi="Book Antiqua" w:cs="Arial"/>
          <w:lang w:val="en-US"/>
        </w:rPr>
        <w:t>0</w:t>
      </w:r>
      <w:r w:rsidR="00E52E62" w:rsidRPr="006716DE">
        <w:rPr>
          <w:rFonts w:ascii="Book Antiqua" w:hAnsi="Book Antiqua" w:cs="Arial"/>
          <w:lang w:val="en-US"/>
        </w:rPr>
        <w:t>.</w:t>
      </w:r>
      <w:r w:rsidR="00511D51" w:rsidRPr="006716DE">
        <w:rPr>
          <w:rFonts w:ascii="Book Antiqua" w:hAnsi="Book Antiqua" w:cs="Arial"/>
          <w:lang w:val="en-US"/>
        </w:rPr>
        <w:t>013</w:t>
      </w:r>
      <w:r w:rsidRPr="0088290D">
        <w:rPr>
          <w:rFonts w:ascii="Book Antiqua" w:hAnsi="Book Antiqua" w:cs="Arial"/>
          <w:lang w:val="en-US"/>
        </w:rPr>
        <w:t>)</w:t>
      </w:r>
      <w:r w:rsidR="00C17434" w:rsidRPr="0088290D">
        <w:rPr>
          <w:rFonts w:ascii="Book Antiqua" w:hAnsi="Book Antiqua" w:cs="Arial"/>
          <w:lang w:val="en-US"/>
        </w:rPr>
        <w:t>.</w:t>
      </w:r>
      <w:r w:rsidRPr="0088290D">
        <w:rPr>
          <w:rFonts w:ascii="Book Antiqua" w:hAnsi="Book Antiqua" w:cs="Arial"/>
          <w:lang w:val="en-US"/>
        </w:rPr>
        <w:t xml:space="preserve"> </w:t>
      </w:r>
      <w:r w:rsidR="00F2709A" w:rsidRPr="0088290D">
        <w:rPr>
          <w:rFonts w:ascii="Book Antiqua" w:hAnsi="Book Antiqua" w:cs="Arial"/>
          <w:lang w:val="en-US"/>
        </w:rPr>
        <w:t>Thereafter, w</w:t>
      </w:r>
      <w:r w:rsidR="004A3F70" w:rsidRPr="0088290D">
        <w:rPr>
          <w:rFonts w:ascii="Book Antiqua" w:hAnsi="Book Antiqua" w:cs="Arial"/>
          <w:lang w:val="en-US"/>
        </w:rPr>
        <w:t xml:space="preserve">e used Cox </w:t>
      </w:r>
      <w:r w:rsidR="004A3F70" w:rsidRPr="0088290D">
        <w:rPr>
          <w:rFonts w:ascii="Book Antiqua" w:hAnsi="Book Antiqua" w:cs="Arial"/>
          <w:lang w:val="en-US"/>
        </w:rPr>
        <w:lastRenderedPageBreak/>
        <w:t xml:space="preserve">regression analysis to adjust for important clinical variables that influence disease progression. Both IgA </w:t>
      </w:r>
      <w:r w:rsidR="00E564FA" w:rsidRPr="0088290D">
        <w:rPr>
          <w:rFonts w:ascii="Book Antiqua" w:hAnsi="Book Antiqua" w:cs="Arial"/>
          <w:lang w:val="en-US"/>
        </w:rPr>
        <w:t>iso</w:t>
      </w:r>
      <w:r w:rsidR="004A3F70" w:rsidRPr="0088290D">
        <w:rPr>
          <w:rFonts w:ascii="Book Antiqua" w:hAnsi="Book Antiqua" w:cs="Arial"/>
          <w:lang w:val="en-US"/>
        </w:rPr>
        <w:t xml:space="preserve">type </w:t>
      </w:r>
      <w:r w:rsidR="001575ED" w:rsidRPr="0088290D">
        <w:rPr>
          <w:rFonts w:ascii="Book Antiqua" w:hAnsi="Book Antiqua" w:cs="Arial"/>
          <w:lang w:val="en-US"/>
        </w:rPr>
        <w:t>AAA</w:t>
      </w:r>
      <w:r w:rsidR="004A3F70" w:rsidRPr="0088290D">
        <w:rPr>
          <w:rFonts w:ascii="Book Antiqua" w:hAnsi="Book Antiqua" w:cs="Arial"/>
          <w:lang w:val="en-US"/>
        </w:rPr>
        <w:t xml:space="preserve"> and </w:t>
      </w:r>
      <w:r w:rsidR="001575ED" w:rsidRPr="0088290D">
        <w:rPr>
          <w:rFonts w:ascii="Book Antiqua" w:hAnsi="Book Antiqua" w:cs="Arial"/>
          <w:lang w:val="en-US"/>
        </w:rPr>
        <w:t>AGA</w:t>
      </w:r>
      <w:r w:rsidR="004A3F70" w:rsidRPr="0088290D">
        <w:rPr>
          <w:rFonts w:ascii="Book Antiqua" w:hAnsi="Book Antiqua" w:cs="Arial"/>
          <w:lang w:val="en-US"/>
        </w:rPr>
        <w:t xml:space="preserve"> remained significant predictors of disease progression </w:t>
      </w:r>
      <w:r w:rsidR="001D30AC" w:rsidRPr="0088290D">
        <w:rPr>
          <w:rFonts w:ascii="Book Antiqua" w:hAnsi="Book Antiqua" w:cs="Arial"/>
          <w:lang w:val="en-US"/>
        </w:rPr>
        <w:t xml:space="preserve">after adjusting for the presence of cirrhosis (HR: 5.15 [1.27-20.86], </w:t>
      </w:r>
      <w:r w:rsidR="006716DE" w:rsidRPr="0088290D">
        <w:rPr>
          <w:rFonts w:ascii="Book Antiqua" w:hAnsi="Book Antiqua" w:cs="Arial"/>
          <w:i/>
          <w:lang w:val="en-US"/>
        </w:rPr>
        <w:t xml:space="preserve">P </w:t>
      </w:r>
      <w:r w:rsidR="001D30AC" w:rsidRPr="006716DE">
        <w:rPr>
          <w:rFonts w:ascii="Book Antiqua" w:hAnsi="Book Antiqua" w:cs="Arial"/>
          <w:lang w:val="en-US"/>
        </w:rPr>
        <w:t>=</w:t>
      </w:r>
      <w:r w:rsidR="006716DE" w:rsidRPr="006716DE">
        <w:rPr>
          <w:rFonts w:ascii="Book Antiqua" w:eastAsia="SimSun" w:hAnsi="Book Antiqua" w:cs="Arial" w:hint="eastAsia"/>
          <w:lang w:val="en-US" w:eastAsia="zh-CN"/>
        </w:rPr>
        <w:t xml:space="preserve"> </w:t>
      </w:r>
      <w:r w:rsidR="001D30AC" w:rsidRPr="006716DE">
        <w:rPr>
          <w:rFonts w:ascii="Book Antiqua" w:hAnsi="Book Antiqua" w:cs="Arial"/>
          <w:lang w:val="en-US"/>
        </w:rPr>
        <w:t>0.022</w:t>
      </w:r>
      <w:r w:rsidR="001D30AC" w:rsidRPr="0088290D">
        <w:rPr>
          <w:rFonts w:ascii="Book Antiqua" w:hAnsi="Book Antiqua" w:cs="Arial"/>
          <w:i/>
          <w:lang w:val="en-US"/>
        </w:rPr>
        <w:t xml:space="preserve"> </w:t>
      </w:r>
      <w:r w:rsidR="001D30AC" w:rsidRPr="0088290D">
        <w:rPr>
          <w:rFonts w:ascii="Book Antiqua" w:hAnsi="Book Antiqua" w:cs="Arial"/>
          <w:lang w:val="en-US"/>
        </w:rPr>
        <w:t>and</w:t>
      </w:r>
      <w:r w:rsidR="001D30AC" w:rsidRPr="0088290D">
        <w:rPr>
          <w:rFonts w:ascii="Book Antiqua" w:hAnsi="Book Antiqua" w:cs="Arial"/>
          <w:i/>
          <w:lang w:val="en-US"/>
        </w:rPr>
        <w:t xml:space="preserve"> </w:t>
      </w:r>
      <w:r w:rsidR="001D30AC" w:rsidRPr="0088290D">
        <w:rPr>
          <w:rFonts w:ascii="Book Antiqua" w:hAnsi="Book Antiqua" w:cs="Arial"/>
          <w:lang w:val="en-US"/>
        </w:rPr>
        <w:t xml:space="preserve">5.07 [1.25-20.54], </w:t>
      </w:r>
      <w:r w:rsidR="006716DE" w:rsidRPr="0088290D">
        <w:rPr>
          <w:rFonts w:ascii="Book Antiqua" w:hAnsi="Book Antiqua" w:cs="Arial"/>
          <w:i/>
          <w:lang w:val="en-US"/>
        </w:rPr>
        <w:t>P</w:t>
      </w:r>
      <w:r w:rsidR="006716DE">
        <w:rPr>
          <w:rFonts w:ascii="Book Antiqua" w:eastAsia="SimSun" w:hAnsi="Book Antiqua" w:cs="Arial" w:hint="eastAsia"/>
          <w:i/>
          <w:lang w:val="en-US" w:eastAsia="zh-CN"/>
        </w:rPr>
        <w:t xml:space="preserve"> </w:t>
      </w:r>
      <w:r w:rsidR="001D30AC" w:rsidRPr="006716DE">
        <w:rPr>
          <w:rFonts w:ascii="Book Antiqua" w:hAnsi="Book Antiqua" w:cs="Arial"/>
          <w:lang w:val="en-US"/>
        </w:rPr>
        <w:t>=</w:t>
      </w:r>
      <w:r w:rsidR="006716DE" w:rsidRPr="006716DE">
        <w:rPr>
          <w:rFonts w:ascii="Book Antiqua" w:eastAsia="SimSun" w:hAnsi="Book Antiqua" w:cs="Arial" w:hint="eastAsia"/>
          <w:lang w:val="en-US" w:eastAsia="zh-CN"/>
        </w:rPr>
        <w:t xml:space="preserve"> </w:t>
      </w:r>
      <w:r w:rsidR="001D30AC" w:rsidRPr="006716DE">
        <w:rPr>
          <w:rFonts w:ascii="Book Antiqua" w:hAnsi="Book Antiqua" w:cs="Arial"/>
          <w:lang w:val="en-US"/>
        </w:rPr>
        <w:t>0</w:t>
      </w:r>
      <w:r w:rsidR="00E52E62" w:rsidRPr="006716DE">
        <w:rPr>
          <w:rFonts w:ascii="Book Antiqua" w:hAnsi="Book Antiqua" w:cs="Arial"/>
          <w:lang w:val="en-US"/>
        </w:rPr>
        <w:t>.</w:t>
      </w:r>
      <w:r w:rsidR="001D30AC" w:rsidRPr="006716DE">
        <w:rPr>
          <w:rFonts w:ascii="Book Antiqua" w:hAnsi="Book Antiqua" w:cs="Arial"/>
          <w:lang w:val="en-US"/>
        </w:rPr>
        <w:t>023</w:t>
      </w:r>
      <w:r w:rsidR="001D30AC" w:rsidRPr="0088290D">
        <w:rPr>
          <w:rFonts w:ascii="Book Antiqua" w:hAnsi="Book Antiqua" w:cs="Arial"/>
          <w:lang w:val="en-US"/>
        </w:rPr>
        <w:t xml:space="preserve">, respectively). </w:t>
      </w:r>
      <w:r w:rsidR="00BB7C56" w:rsidRPr="0088290D">
        <w:rPr>
          <w:rFonts w:ascii="Book Antiqua" w:hAnsi="Book Antiqua" w:cs="Arial"/>
          <w:lang w:val="en-US"/>
        </w:rPr>
        <w:t>S</w:t>
      </w:r>
      <w:r w:rsidR="001D30AC" w:rsidRPr="0088290D">
        <w:rPr>
          <w:rFonts w:ascii="Book Antiqua" w:hAnsi="Book Antiqua" w:cs="Arial"/>
          <w:lang w:val="en-US"/>
        </w:rPr>
        <w:t>imilar result</w:t>
      </w:r>
      <w:r w:rsidR="00B3402E" w:rsidRPr="0088290D">
        <w:rPr>
          <w:rFonts w:ascii="Book Antiqua" w:hAnsi="Book Antiqua" w:cs="Arial"/>
          <w:lang w:val="en-US"/>
        </w:rPr>
        <w:t>s,</w:t>
      </w:r>
      <w:r w:rsidR="001D30AC" w:rsidRPr="0088290D">
        <w:rPr>
          <w:rFonts w:ascii="Book Antiqua" w:hAnsi="Book Antiqua" w:cs="Arial"/>
          <w:lang w:val="en-US"/>
        </w:rPr>
        <w:t xml:space="preserve"> </w:t>
      </w:r>
      <w:r w:rsidR="00BB7C56" w:rsidRPr="0088290D">
        <w:rPr>
          <w:rFonts w:ascii="Book Antiqua" w:hAnsi="Book Antiqua" w:cs="Arial"/>
          <w:lang w:val="en-US"/>
        </w:rPr>
        <w:t xml:space="preserve">but with weakened statistical significance </w:t>
      </w:r>
      <w:r w:rsidR="001D30AC" w:rsidRPr="0088290D">
        <w:rPr>
          <w:rFonts w:ascii="Book Antiqua" w:hAnsi="Book Antiqua" w:cs="Arial"/>
          <w:lang w:val="en-US"/>
        </w:rPr>
        <w:t>w</w:t>
      </w:r>
      <w:r w:rsidR="00BB7C56" w:rsidRPr="0088290D">
        <w:rPr>
          <w:rFonts w:ascii="Book Antiqua" w:hAnsi="Book Antiqua" w:cs="Arial"/>
          <w:lang w:val="en-US"/>
        </w:rPr>
        <w:t xml:space="preserve">as observed </w:t>
      </w:r>
      <w:r w:rsidR="003C150A" w:rsidRPr="0088290D">
        <w:rPr>
          <w:rFonts w:ascii="Book Antiqua" w:hAnsi="Book Antiqua" w:cs="Arial"/>
          <w:lang w:val="en-US"/>
        </w:rPr>
        <w:t xml:space="preserve">in </w:t>
      </w:r>
      <w:r w:rsidR="00B3402E" w:rsidRPr="0088290D">
        <w:rPr>
          <w:rFonts w:ascii="Book Antiqua" w:hAnsi="Book Antiqua" w:cs="Arial"/>
          <w:lang w:val="en-US"/>
        </w:rPr>
        <w:t xml:space="preserve">the </w:t>
      </w:r>
      <w:r w:rsidR="003C150A" w:rsidRPr="0088290D">
        <w:rPr>
          <w:rFonts w:ascii="Book Antiqua" w:hAnsi="Book Antiqua" w:cs="Arial"/>
          <w:lang w:val="en-US"/>
        </w:rPr>
        <w:t>case of AAA IgA</w:t>
      </w:r>
      <w:r w:rsidR="00E564FA" w:rsidRPr="0088290D">
        <w:rPr>
          <w:rFonts w:ascii="Book Antiqua" w:hAnsi="Book Antiqua" w:cs="Arial"/>
          <w:lang w:val="en-US"/>
        </w:rPr>
        <w:t>-positivity</w:t>
      </w:r>
      <w:r w:rsidR="003C150A" w:rsidRPr="0088290D">
        <w:rPr>
          <w:rFonts w:ascii="Book Antiqua" w:hAnsi="Book Antiqua" w:cs="Arial"/>
          <w:lang w:val="en-US"/>
        </w:rPr>
        <w:t xml:space="preserve"> </w:t>
      </w:r>
      <w:r w:rsidR="00BB7C56" w:rsidRPr="0088290D">
        <w:rPr>
          <w:rFonts w:ascii="Book Antiqua" w:hAnsi="Book Antiqua" w:cs="Arial"/>
          <w:lang w:val="en-US"/>
        </w:rPr>
        <w:t>(H</w:t>
      </w:r>
      <w:r w:rsidR="00931AD5" w:rsidRPr="0088290D">
        <w:rPr>
          <w:rFonts w:ascii="Book Antiqua" w:hAnsi="Book Antiqua" w:cs="Arial"/>
          <w:lang w:val="en-US"/>
        </w:rPr>
        <w:t>R</w:t>
      </w:r>
      <w:r w:rsidR="00FB059C">
        <w:rPr>
          <w:rFonts w:ascii="Book Antiqua" w:eastAsia="SimSun" w:hAnsi="Book Antiqua" w:cs="Arial" w:hint="eastAsia"/>
          <w:lang w:val="en-US" w:eastAsia="zh-CN"/>
        </w:rPr>
        <w:t xml:space="preserve"> =</w:t>
      </w:r>
      <w:r w:rsidR="00931AD5" w:rsidRPr="0088290D">
        <w:rPr>
          <w:rFonts w:ascii="Book Antiqua" w:hAnsi="Book Antiqua" w:cs="Arial"/>
          <w:lang w:val="en-US"/>
        </w:rPr>
        <w:t xml:space="preserve"> </w:t>
      </w:r>
      <w:r w:rsidR="00BB7C56" w:rsidRPr="0088290D">
        <w:rPr>
          <w:rFonts w:ascii="Book Antiqua" w:hAnsi="Book Antiqua" w:cs="Arial"/>
          <w:lang w:val="en-US"/>
        </w:rPr>
        <w:t xml:space="preserve">4.24 [0.99-18.21], </w:t>
      </w:r>
      <w:r w:rsidR="006716DE" w:rsidRPr="0088290D">
        <w:rPr>
          <w:rFonts w:ascii="Book Antiqua" w:hAnsi="Book Antiqua" w:cs="Arial"/>
          <w:i/>
          <w:lang w:val="en-US"/>
        </w:rPr>
        <w:t xml:space="preserve">P </w:t>
      </w:r>
      <w:r w:rsidR="00BB7C56" w:rsidRPr="0088290D">
        <w:rPr>
          <w:rFonts w:ascii="Book Antiqua" w:hAnsi="Book Antiqua" w:cs="Arial"/>
          <w:i/>
          <w:lang w:val="en-US"/>
        </w:rPr>
        <w:t>=</w:t>
      </w:r>
      <w:r w:rsidR="006716DE" w:rsidRPr="006716DE">
        <w:rPr>
          <w:rFonts w:ascii="Book Antiqua" w:eastAsia="SimSun" w:hAnsi="Book Antiqua" w:cs="Arial" w:hint="eastAsia"/>
          <w:lang w:val="en-US" w:eastAsia="zh-CN"/>
        </w:rPr>
        <w:t xml:space="preserve"> </w:t>
      </w:r>
      <w:r w:rsidR="00BB7C56" w:rsidRPr="006716DE">
        <w:rPr>
          <w:rFonts w:ascii="Book Antiqua" w:hAnsi="Book Antiqua" w:cs="Arial"/>
          <w:lang w:val="en-US"/>
        </w:rPr>
        <w:t>0.052</w:t>
      </w:r>
      <w:r w:rsidR="00931AD5" w:rsidRPr="0088290D">
        <w:rPr>
          <w:rFonts w:ascii="Book Antiqua" w:hAnsi="Book Antiqua" w:cs="Arial"/>
          <w:lang w:val="en-US"/>
        </w:rPr>
        <w:t>)</w:t>
      </w:r>
      <w:r w:rsidR="00E564FA" w:rsidRPr="0088290D">
        <w:rPr>
          <w:rFonts w:ascii="Book Antiqua" w:hAnsi="Book Antiqua" w:cs="Arial"/>
          <w:lang w:val="en-US"/>
        </w:rPr>
        <w:t xml:space="preserve"> after adjusting for the Mayo risk score</w:t>
      </w:r>
      <w:r w:rsidR="00931AD5" w:rsidRPr="0088290D">
        <w:rPr>
          <w:rFonts w:ascii="Book Antiqua" w:hAnsi="Book Antiqua" w:cs="Arial"/>
          <w:lang w:val="en-US"/>
        </w:rPr>
        <w:t xml:space="preserve">, however </w:t>
      </w:r>
      <w:r w:rsidR="003C150A" w:rsidRPr="0088290D">
        <w:rPr>
          <w:rFonts w:ascii="Book Antiqua" w:hAnsi="Book Antiqua" w:cs="Arial"/>
          <w:lang w:val="en-US"/>
        </w:rPr>
        <w:t xml:space="preserve">the </w:t>
      </w:r>
      <w:r w:rsidR="00931AD5" w:rsidRPr="0088290D">
        <w:rPr>
          <w:rFonts w:ascii="Book Antiqua" w:hAnsi="Book Antiqua" w:cs="Arial"/>
          <w:lang w:val="en-US"/>
        </w:rPr>
        <w:t>significan</w:t>
      </w:r>
      <w:r w:rsidR="003C150A" w:rsidRPr="0088290D">
        <w:rPr>
          <w:rFonts w:ascii="Book Antiqua" w:hAnsi="Book Antiqua" w:cs="Arial"/>
          <w:lang w:val="en-US"/>
        </w:rPr>
        <w:t xml:space="preserve">t association was lost </w:t>
      </w:r>
      <w:r w:rsidR="00E564FA" w:rsidRPr="0088290D">
        <w:rPr>
          <w:rFonts w:ascii="Book Antiqua" w:hAnsi="Book Antiqua" w:cs="Arial"/>
          <w:lang w:val="en-US"/>
        </w:rPr>
        <w:t>in case of AG</w:t>
      </w:r>
      <w:r w:rsidR="003C150A" w:rsidRPr="0088290D">
        <w:rPr>
          <w:rFonts w:ascii="Book Antiqua" w:hAnsi="Book Antiqua" w:cs="Arial"/>
          <w:lang w:val="en-US"/>
        </w:rPr>
        <w:t>A IgA</w:t>
      </w:r>
      <w:r w:rsidR="00E564FA" w:rsidRPr="0088290D">
        <w:rPr>
          <w:rFonts w:ascii="Book Antiqua" w:hAnsi="Book Antiqua" w:cs="Arial"/>
          <w:lang w:val="en-US"/>
        </w:rPr>
        <w:t>-positivity</w:t>
      </w:r>
      <w:r w:rsidR="00931AD5" w:rsidRPr="0088290D">
        <w:rPr>
          <w:rFonts w:ascii="Book Antiqua" w:hAnsi="Book Antiqua" w:cs="Arial"/>
          <w:lang w:val="en-US"/>
        </w:rPr>
        <w:t xml:space="preserve"> </w:t>
      </w:r>
      <w:r w:rsidR="003C150A" w:rsidRPr="0088290D">
        <w:rPr>
          <w:rFonts w:ascii="Book Antiqua" w:hAnsi="Book Antiqua" w:cs="Arial"/>
          <w:lang w:val="en-US"/>
        </w:rPr>
        <w:t xml:space="preserve">(3.67 [0.88-15.30], </w:t>
      </w:r>
      <w:r w:rsidR="006716DE" w:rsidRPr="0088290D">
        <w:rPr>
          <w:rFonts w:ascii="Book Antiqua" w:hAnsi="Book Antiqua" w:cs="Arial"/>
          <w:i/>
          <w:lang w:val="en-US"/>
        </w:rPr>
        <w:t>P</w:t>
      </w:r>
      <w:r w:rsidR="006716DE">
        <w:rPr>
          <w:rFonts w:ascii="Book Antiqua" w:eastAsia="SimSun" w:hAnsi="Book Antiqua" w:cs="Arial" w:hint="eastAsia"/>
          <w:i/>
          <w:lang w:val="en-US" w:eastAsia="zh-CN"/>
        </w:rPr>
        <w:t xml:space="preserve"> </w:t>
      </w:r>
      <w:r w:rsidR="003C150A" w:rsidRPr="0088290D">
        <w:rPr>
          <w:rFonts w:ascii="Book Antiqua" w:hAnsi="Book Antiqua" w:cs="Arial"/>
          <w:i/>
          <w:lang w:val="en-US"/>
        </w:rPr>
        <w:t>=</w:t>
      </w:r>
      <w:r w:rsidR="006716DE" w:rsidRPr="006716DE">
        <w:rPr>
          <w:rFonts w:ascii="Book Antiqua" w:eastAsia="SimSun" w:hAnsi="Book Antiqua" w:cs="Arial" w:hint="eastAsia"/>
          <w:lang w:val="en-US" w:eastAsia="zh-CN"/>
        </w:rPr>
        <w:t xml:space="preserve"> </w:t>
      </w:r>
      <w:r w:rsidR="003C150A" w:rsidRPr="006716DE">
        <w:rPr>
          <w:rFonts w:ascii="Book Antiqua" w:hAnsi="Book Antiqua" w:cs="Arial"/>
          <w:lang w:val="en-US"/>
        </w:rPr>
        <w:t>0.074</w:t>
      </w:r>
      <w:r w:rsidR="005E710F" w:rsidRPr="0088290D">
        <w:rPr>
          <w:rFonts w:ascii="Book Antiqua" w:hAnsi="Book Antiqua" w:cs="Arial"/>
          <w:lang w:val="en-US"/>
        </w:rPr>
        <w:t>).</w:t>
      </w:r>
    </w:p>
    <w:p w14:paraId="23D61AA4" w14:textId="77777777" w:rsidR="003C150A" w:rsidRPr="0088290D" w:rsidRDefault="003C150A" w:rsidP="007940D7">
      <w:pPr>
        <w:widowControl w:val="0"/>
        <w:autoSpaceDE w:val="0"/>
        <w:autoSpaceDN w:val="0"/>
        <w:adjustRightInd w:val="0"/>
        <w:spacing w:line="360" w:lineRule="auto"/>
        <w:jc w:val="both"/>
        <w:rPr>
          <w:rFonts w:ascii="Book Antiqua" w:hAnsi="Book Antiqua" w:cs="Arial"/>
          <w:lang w:val="en-US"/>
        </w:rPr>
      </w:pPr>
    </w:p>
    <w:p w14:paraId="3EECE155" w14:textId="060906DB" w:rsidR="000634C6" w:rsidRPr="006716DE" w:rsidRDefault="006716DE" w:rsidP="007940D7">
      <w:pPr>
        <w:widowControl w:val="0"/>
        <w:autoSpaceDE w:val="0"/>
        <w:autoSpaceDN w:val="0"/>
        <w:adjustRightInd w:val="0"/>
        <w:spacing w:line="360" w:lineRule="auto"/>
        <w:jc w:val="both"/>
        <w:rPr>
          <w:rFonts w:ascii="Book Antiqua" w:hAnsi="Book Antiqua" w:cs="Arial"/>
          <w:i/>
          <w:lang w:val="en-US"/>
        </w:rPr>
      </w:pPr>
      <w:r w:rsidRPr="006716DE">
        <w:rPr>
          <w:rFonts w:ascii="Book Antiqua" w:hAnsi="Book Antiqua" w:cs="Arial"/>
          <w:b/>
          <w:i/>
          <w:lang w:val="en-US"/>
        </w:rPr>
        <w:t xml:space="preserve">Role </w:t>
      </w:r>
      <w:r w:rsidR="00ED3648" w:rsidRPr="006716DE">
        <w:rPr>
          <w:rFonts w:ascii="Book Antiqua" w:hAnsi="Book Antiqua" w:cs="Arial"/>
          <w:b/>
          <w:i/>
          <w:lang w:val="en-US"/>
        </w:rPr>
        <w:t>of bacterial translocation and enterocyte damage</w:t>
      </w:r>
      <w:r w:rsidR="000634C6" w:rsidRPr="006716DE">
        <w:rPr>
          <w:rFonts w:ascii="Book Antiqua" w:hAnsi="Book Antiqua" w:cs="Arial"/>
          <w:b/>
          <w:i/>
          <w:lang w:val="en-US"/>
        </w:rPr>
        <w:t xml:space="preserve"> markers in the risk of progressive disease course in PSC</w:t>
      </w:r>
    </w:p>
    <w:p w14:paraId="7ABDF4E6" w14:textId="03557DF3" w:rsidR="00D2148A" w:rsidRPr="0088290D" w:rsidRDefault="002F15EC" w:rsidP="007940D7">
      <w:pPr>
        <w:widowControl w:val="0"/>
        <w:autoSpaceDE w:val="0"/>
        <w:autoSpaceDN w:val="0"/>
        <w:adjustRightInd w:val="0"/>
        <w:spacing w:line="360" w:lineRule="auto"/>
        <w:jc w:val="both"/>
        <w:rPr>
          <w:rFonts w:ascii="Book Antiqua" w:hAnsi="Book Antiqua" w:cs="Arial"/>
          <w:b/>
          <w:lang w:val="en-US"/>
        </w:rPr>
      </w:pPr>
      <w:r w:rsidRPr="0088290D">
        <w:rPr>
          <w:rFonts w:ascii="Book Antiqua" w:hAnsi="Book Antiqua" w:cs="Arial"/>
          <w:lang w:val="en-US"/>
        </w:rPr>
        <w:t>As a next step</w:t>
      </w:r>
      <w:r w:rsidR="00C43A69" w:rsidRPr="0088290D">
        <w:rPr>
          <w:rFonts w:ascii="Book Antiqua" w:hAnsi="Book Antiqua" w:cs="Arial"/>
          <w:lang w:val="en-US"/>
        </w:rPr>
        <w:t>,</w:t>
      </w:r>
      <w:r w:rsidRPr="0088290D">
        <w:rPr>
          <w:rFonts w:ascii="Book Antiqua" w:hAnsi="Book Antiqua" w:cs="Arial"/>
          <w:lang w:val="en-US"/>
        </w:rPr>
        <w:t xml:space="preserve"> we </w:t>
      </w:r>
      <w:r w:rsidR="00C43A69" w:rsidRPr="0088290D">
        <w:rPr>
          <w:rFonts w:ascii="Book Antiqua" w:hAnsi="Book Antiqua" w:cs="Arial"/>
          <w:lang w:val="en-US"/>
        </w:rPr>
        <w:t>analyzed</w:t>
      </w:r>
      <w:r w:rsidRPr="0088290D">
        <w:rPr>
          <w:rFonts w:ascii="Book Antiqua" w:hAnsi="Book Antiqua" w:cs="Arial"/>
          <w:lang w:val="en-US"/>
        </w:rPr>
        <w:t xml:space="preserve"> </w:t>
      </w:r>
      <w:r w:rsidR="007305EC" w:rsidRPr="0088290D">
        <w:rPr>
          <w:rFonts w:ascii="Book Antiqua" w:hAnsi="Book Antiqua" w:cs="Arial"/>
          <w:lang w:val="en-US"/>
        </w:rPr>
        <w:t xml:space="preserve">various </w:t>
      </w:r>
      <w:r w:rsidRPr="0088290D">
        <w:rPr>
          <w:rFonts w:ascii="Book Antiqua" w:hAnsi="Book Antiqua" w:cs="Arial"/>
          <w:lang w:val="en-US"/>
        </w:rPr>
        <w:t xml:space="preserve">serological markers of bacterial </w:t>
      </w:r>
      <w:r w:rsidR="00C43A69" w:rsidRPr="0088290D">
        <w:rPr>
          <w:rFonts w:ascii="Book Antiqua" w:hAnsi="Book Antiqua" w:cs="Arial"/>
          <w:lang w:val="en-US"/>
        </w:rPr>
        <w:t>translocation</w:t>
      </w:r>
      <w:r w:rsidRPr="0088290D">
        <w:rPr>
          <w:rFonts w:ascii="Book Antiqua" w:hAnsi="Book Antiqua" w:cs="Arial"/>
          <w:lang w:val="en-US"/>
        </w:rPr>
        <w:t xml:space="preserve"> and </w:t>
      </w:r>
      <w:r w:rsidR="008F74BF" w:rsidRPr="0088290D">
        <w:rPr>
          <w:rFonts w:ascii="Book Antiqua" w:hAnsi="Book Antiqua" w:cs="Arial"/>
          <w:lang w:val="en-US"/>
        </w:rPr>
        <w:t xml:space="preserve">enterocyte </w:t>
      </w:r>
      <w:r w:rsidRPr="0088290D">
        <w:rPr>
          <w:rFonts w:ascii="Book Antiqua" w:hAnsi="Book Antiqua" w:cs="Arial"/>
          <w:lang w:val="en-US"/>
        </w:rPr>
        <w:t xml:space="preserve">damage. </w:t>
      </w:r>
      <w:r w:rsidR="005A2EA4" w:rsidRPr="0088290D">
        <w:rPr>
          <w:rFonts w:ascii="Book Antiqua" w:hAnsi="Book Antiqua" w:cs="Arial"/>
          <w:lang w:val="en-US"/>
        </w:rPr>
        <w:t xml:space="preserve">Patients with AAA IgA-positivity had significantly higher </w:t>
      </w:r>
      <w:r w:rsidRPr="0088290D">
        <w:rPr>
          <w:rFonts w:ascii="Book Antiqua" w:hAnsi="Book Antiqua" w:cs="Arial"/>
          <w:lang w:val="en-US"/>
        </w:rPr>
        <w:t>EndoCab IgA titers</w:t>
      </w:r>
      <w:r w:rsidR="00FC68DC" w:rsidRPr="0088290D">
        <w:rPr>
          <w:rFonts w:ascii="Book Antiqua" w:hAnsi="Book Antiqua" w:cs="Arial"/>
          <w:lang w:val="en-US"/>
        </w:rPr>
        <w:t xml:space="preserve"> (median [</w:t>
      </w:r>
      <w:r w:rsidR="005A2EA4" w:rsidRPr="0088290D">
        <w:rPr>
          <w:rFonts w:ascii="Book Antiqua" w:hAnsi="Book Antiqua" w:cs="Arial"/>
          <w:lang w:val="en-US"/>
        </w:rPr>
        <w:t>IQR</w:t>
      </w:r>
      <w:r w:rsidR="00FC68DC" w:rsidRPr="0088290D">
        <w:rPr>
          <w:rFonts w:ascii="Book Antiqua" w:hAnsi="Book Antiqua" w:cs="Arial"/>
          <w:lang w:val="en-US"/>
        </w:rPr>
        <w:t>]</w:t>
      </w:r>
      <w:r w:rsidR="005A2EA4" w:rsidRPr="0088290D">
        <w:rPr>
          <w:rFonts w:ascii="Book Antiqua" w:hAnsi="Book Antiqua" w:cs="Arial"/>
          <w:lang w:val="en-US"/>
        </w:rPr>
        <w:t xml:space="preserve">: </w:t>
      </w:r>
      <w:r w:rsidR="00FC68DC" w:rsidRPr="0088290D">
        <w:rPr>
          <w:rFonts w:ascii="Book Antiqua" w:hAnsi="Book Antiqua" w:cs="Arial"/>
          <w:lang w:val="en-US"/>
        </w:rPr>
        <w:t xml:space="preserve"> 123 [93-215] </w:t>
      </w:r>
      <w:r w:rsidR="00FC68DC"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00FC68DC" w:rsidRPr="0088290D">
        <w:rPr>
          <w:rFonts w:ascii="Book Antiqua" w:hAnsi="Book Antiqua" w:cs="Arial"/>
          <w:lang w:val="en-US"/>
        </w:rPr>
        <w:t xml:space="preserve">58 [40-92] U, </w:t>
      </w:r>
      <w:r w:rsidR="006716DE" w:rsidRPr="006716DE">
        <w:rPr>
          <w:rFonts w:ascii="Book Antiqua" w:hAnsi="Book Antiqua" w:cs="Arial"/>
          <w:i/>
          <w:lang w:val="en-US"/>
        </w:rPr>
        <w:t>P</w:t>
      </w:r>
      <w:r w:rsidR="006716DE" w:rsidRPr="006716DE">
        <w:rPr>
          <w:rFonts w:ascii="Book Antiqua" w:eastAsia="SimSun" w:hAnsi="Book Antiqua" w:cs="Arial"/>
          <w:i/>
          <w:lang w:val="en-US" w:eastAsia="zh-CN"/>
        </w:rPr>
        <w:t xml:space="preserve"> </w:t>
      </w:r>
      <w:r w:rsidR="00FC68DC" w:rsidRPr="0088290D">
        <w:rPr>
          <w:rFonts w:ascii="Book Antiqua" w:hAnsi="Book Antiqua"/>
          <w:lang w:val="en-US"/>
        </w:rPr>
        <w:t>&lt;</w:t>
      </w:r>
      <w:r w:rsidR="006716DE">
        <w:rPr>
          <w:rFonts w:ascii="Book Antiqua" w:eastAsia="SimSun" w:hAnsi="Book Antiqua" w:hint="eastAsia"/>
          <w:lang w:val="en-US" w:eastAsia="zh-CN"/>
        </w:rPr>
        <w:t xml:space="preserve"> </w:t>
      </w:r>
      <w:r w:rsidR="00FC68DC" w:rsidRPr="0088290D">
        <w:rPr>
          <w:rFonts w:ascii="Book Antiqua" w:hAnsi="Book Antiqua"/>
          <w:lang w:val="en-US"/>
        </w:rPr>
        <w:t>0.001</w:t>
      </w:r>
      <w:r w:rsidR="00FC68DC" w:rsidRPr="0088290D">
        <w:rPr>
          <w:rFonts w:ascii="Book Antiqua" w:hAnsi="Book Antiqua" w:cs="Arial"/>
          <w:lang w:val="en-US"/>
        </w:rPr>
        <w:t xml:space="preserve">) </w:t>
      </w:r>
      <w:r w:rsidR="005A2EA4" w:rsidRPr="0088290D">
        <w:rPr>
          <w:rFonts w:ascii="Book Antiqua" w:hAnsi="Book Antiqua" w:cs="Arial"/>
          <w:lang w:val="en-US"/>
        </w:rPr>
        <w:t xml:space="preserve">and </w:t>
      </w:r>
      <w:r w:rsidRPr="0088290D">
        <w:rPr>
          <w:rFonts w:ascii="Book Antiqua" w:hAnsi="Book Antiqua" w:cs="Arial"/>
          <w:lang w:val="en-US"/>
        </w:rPr>
        <w:t xml:space="preserve">higher frequency of </w:t>
      </w:r>
      <w:r w:rsidR="005A2EA4" w:rsidRPr="0088290D">
        <w:rPr>
          <w:rFonts w:ascii="Book Antiqua" w:hAnsi="Book Antiqua" w:cs="Arial"/>
          <w:lang w:val="en-US"/>
        </w:rPr>
        <w:t>anti-</w:t>
      </w:r>
      <w:r w:rsidRPr="0088290D">
        <w:rPr>
          <w:rFonts w:ascii="Book Antiqua" w:hAnsi="Book Antiqua" w:cs="Arial"/>
          <w:lang w:val="en-US"/>
        </w:rPr>
        <w:t xml:space="preserve">OMP Plus </w:t>
      </w:r>
      <w:r w:rsidR="00B86518" w:rsidRPr="0088290D">
        <w:rPr>
          <w:rFonts w:ascii="Book Antiqua" w:hAnsi="Book Antiqua" w:cs="Arial"/>
          <w:lang w:val="en-US"/>
        </w:rPr>
        <w:t xml:space="preserve">IgA </w:t>
      </w:r>
      <w:r w:rsidRPr="0088290D">
        <w:rPr>
          <w:rFonts w:ascii="Book Antiqua" w:hAnsi="Book Antiqua" w:cs="Arial"/>
          <w:lang w:val="en-US"/>
        </w:rPr>
        <w:t>antibod</w:t>
      </w:r>
      <w:r w:rsidR="0030102D" w:rsidRPr="0088290D">
        <w:rPr>
          <w:rFonts w:ascii="Book Antiqua" w:hAnsi="Book Antiqua" w:cs="Arial"/>
          <w:lang w:val="en-US"/>
        </w:rPr>
        <w:t xml:space="preserve">y (36.8% </w:t>
      </w:r>
      <w:r w:rsidR="0030102D"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0030102D" w:rsidRPr="0088290D">
        <w:rPr>
          <w:rFonts w:ascii="Book Antiqua" w:hAnsi="Book Antiqua" w:cs="Arial"/>
          <w:lang w:val="en-US"/>
        </w:rPr>
        <w:t xml:space="preserve">10.6%, </w:t>
      </w:r>
      <w:r w:rsidR="006716DE" w:rsidRPr="006716DE">
        <w:rPr>
          <w:rFonts w:ascii="Book Antiqua" w:hAnsi="Book Antiqua" w:cs="Arial"/>
          <w:i/>
          <w:lang w:val="en-US"/>
        </w:rPr>
        <w:t>P</w:t>
      </w:r>
      <w:r w:rsidR="006716DE" w:rsidRPr="006716DE">
        <w:rPr>
          <w:rFonts w:ascii="Book Antiqua" w:eastAsia="SimSun" w:hAnsi="Book Antiqua" w:cs="Arial"/>
          <w:i/>
          <w:lang w:val="en-US" w:eastAsia="zh-CN"/>
        </w:rPr>
        <w:t xml:space="preserve"> </w:t>
      </w:r>
      <w:r w:rsidR="0030102D"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0030102D" w:rsidRPr="0088290D">
        <w:rPr>
          <w:rFonts w:ascii="Book Antiqua" w:hAnsi="Book Antiqua" w:cs="Arial"/>
          <w:lang w:val="en-US"/>
        </w:rPr>
        <w:t>0.012)</w:t>
      </w:r>
      <w:r w:rsidRPr="0088290D">
        <w:rPr>
          <w:rFonts w:ascii="Book Antiqua" w:hAnsi="Book Antiqua" w:cs="Arial"/>
          <w:lang w:val="en-US"/>
        </w:rPr>
        <w:t xml:space="preserve"> </w:t>
      </w:r>
      <w:r w:rsidR="00C43A69" w:rsidRPr="0088290D">
        <w:rPr>
          <w:rFonts w:ascii="Book Antiqua" w:hAnsi="Book Antiqua" w:cs="Arial"/>
          <w:lang w:val="en-US"/>
        </w:rPr>
        <w:t>and</w:t>
      </w:r>
      <w:r w:rsidRPr="0088290D">
        <w:rPr>
          <w:rFonts w:ascii="Book Antiqua" w:hAnsi="Book Antiqua" w:cs="Arial"/>
          <w:lang w:val="en-US"/>
        </w:rPr>
        <w:t xml:space="preserve"> </w:t>
      </w:r>
      <w:r w:rsidR="005A2EA4" w:rsidRPr="0088290D">
        <w:rPr>
          <w:rFonts w:ascii="Book Antiqua" w:hAnsi="Book Antiqua" w:cs="Arial"/>
          <w:lang w:val="en-US"/>
        </w:rPr>
        <w:t xml:space="preserve">also significantly </w:t>
      </w:r>
      <w:r w:rsidRPr="0088290D">
        <w:rPr>
          <w:rFonts w:ascii="Book Antiqua" w:hAnsi="Book Antiqua" w:cs="Arial"/>
          <w:lang w:val="en-US"/>
        </w:rPr>
        <w:t xml:space="preserve">higher level of </w:t>
      </w:r>
      <w:r w:rsidR="00E66A1E" w:rsidRPr="0088290D">
        <w:rPr>
          <w:rFonts w:ascii="Book Antiqua" w:hAnsi="Book Antiqua" w:cs="Arial"/>
          <w:lang w:val="en-US"/>
        </w:rPr>
        <w:t xml:space="preserve">the enterocyte damage marker, </w:t>
      </w:r>
      <w:r w:rsidRPr="0088290D">
        <w:rPr>
          <w:rFonts w:ascii="Book Antiqua" w:hAnsi="Book Antiqua" w:cs="Arial"/>
          <w:lang w:val="en-US"/>
        </w:rPr>
        <w:t>I-FABP</w:t>
      </w:r>
      <w:r w:rsidR="0030102D" w:rsidRPr="0088290D">
        <w:rPr>
          <w:rFonts w:ascii="Book Antiqua" w:hAnsi="Book Antiqua" w:cs="Arial"/>
          <w:lang w:val="en-US"/>
        </w:rPr>
        <w:t xml:space="preserve"> (median [</w:t>
      </w:r>
      <w:r w:rsidR="005A2EA4" w:rsidRPr="0088290D">
        <w:rPr>
          <w:rFonts w:ascii="Book Antiqua" w:hAnsi="Book Antiqua" w:cs="Arial"/>
          <w:lang w:val="en-US"/>
        </w:rPr>
        <w:t>IQR</w:t>
      </w:r>
      <w:r w:rsidR="0030102D" w:rsidRPr="0088290D">
        <w:rPr>
          <w:rFonts w:ascii="Book Antiqua" w:hAnsi="Book Antiqua" w:cs="Arial"/>
          <w:lang w:val="en-US"/>
        </w:rPr>
        <w:t>]</w:t>
      </w:r>
      <w:r w:rsidR="00E112BE" w:rsidRPr="0088290D">
        <w:rPr>
          <w:rFonts w:ascii="Book Antiqua" w:hAnsi="Book Antiqua" w:cs="Arial"/>
          <w:lang w:val="en-US"/>
        </w:rPr>
        <w:t xml:space="preserve">: 365 [203-1079] </w:t>
      </w:r>
      <w:r w:rsidR="006716DE" w:rsidRPr="006716DE">
        <w:rPr>
          <w:rFonts w:ascii="Book Antiqua" w:hAnsi="Book Antiqua" w:cs="Arial"/>
          <w:i/>
          <w:lang w:val="en-US"/>
        </w:rPr>
        <w:t>vs</w:t>
      </w:r>
      <w:r w:rsidR="006716DE">
        <w:rPr>
          <w:rFonts w:ascii="Book Antiqua" w:eastAsia="SimSun" w:hAnsi="Book Antiqua" w:cs="Arial" w:hint="eastAsia"/>
          <w:lang w:val="en-US" w:eastAsia="zh-CN"/>
        </w:rPr>
        <w:t xml:space="preserve"> </w:t>
      </w:r>
      <w:r w:rsidR="00E112BE" w:rsidRPr="0088290D">
        <w:rPr>
          <w:rFonts w:ascii="Book Antiqua" w:hAnsi="Book Antiqua" w:cs="Arial"/>
          <w:lang w:val="en-US"/>
        </w:rPr>
        <w:t xml:space="preserve">166 [90-365] pg/mL, </w:t>
      </w:r>
      <w:r w:rsidR="006716DE" w:rsidRPr="006716DE">
        <w:rPr>
          <w:rFonts w:ascii="Book Antiqua" w:hAnsi="Book Antiqua" w:cs="Arial"/>
          <w:i/>
          <w:lang w:val="en-US"/>
        </w:rPr>
        <w:t>P</w:t>
      </w:r>
      <w:r w:rsidR="006716DE" w:rsidRPr="006716DE">
        <w:rPr>
          <w:rFonts w:ascii="Book Antiqua" w:eastAsia="SimSun" w:hAnsi="Book Antiqua" w:cs="Arial"/>
          <w:i/>
          <w:lang w:val="en-US" w:eastAsia="zh-CN"/>
        </w:rPr>
        <w:t xml:space="preserve"> </w:t>
      </w:r>
      <w:r w:rsidR="00E112BE" w:rsidRPr="0088290D">
        <w:rPr>
          <w:rFonts w:ascii="Book Antiqua" w:hAnsi="Book Antiqua" w:cs="Arial"/>
          <w:lang w:val="en-US"/>
        </w:rPr>
        <w:t>=</w:t>
      </w:r>
      <w:r w:rsidR="006716DE">
        <w:rPr>
          <w:rFonts w:ascii="Book Antiqua" w:eastAsia="SimSun" w:hAnsi="Book Antiqua" w:cs="Arial" w:hint="eastAsia"/>
          <w:lang w:val="en-US" w:eastAsia="zh-CN"/>
        </w:rPr>
        <w:t xml:space="preserve"> </w:t>
      </w:r>
      <w:r w:rsidR="00E112BE" w:rsidRPr="0088290D">
        <w:rPr>
          <w:rFonts w:ascii="Book Antiqua" w:hAnsi="Book Antiqua" w:cs="Arial"/>
          <w:lang w:val="en-US"/>
        </w:rPr>
        <w:t>0.011</w:t>
      </w:r>
      <w:r w:rsidR="005A2EA4" w:rsidRPr="0088290D">
        <w:rPr>
          <w:rFonts w:ascii="Book Antiqua" w:hAnsi="Book Antiqua" w:cs="Arial"/>
          <w:lang w:val="en-US"/>
        </w:rPr>
        <w:t>]</w:t>
      </w:r>
      <w:r w:rsidRPr="0088290D">
        <w:rPr>
          <w:rFonts w:ascii="Book Antiqua" w:hAnsi="Book Antiqua" w:cs="Arial"/>
          <w:lang w:val="en-US"/>
        </w:rPr>
        <w:t xml:space="preserve">. </w:t>
      </w:r>
      <w:r w:rsidR="005A2EA4" w:rsidRPr="0088290D">
        <w:rPr>
          <w:rFonts w:ascii="Book Antiqua" w:hAnsi="Book Antiqua" w:cs="Arial"/>
          <w:lang w:val="en-US"/>
        </w:rPr>
        <w:t xml:space="preserve">However, </w:t>
      </w:r>
      <w:r w:rsidRPr="0088290D">
        <w:rPr>
          <w:rFonts w:ascii="Book Antiqua" w:hAnsi="Book Antiqua" w:cs="Arial"/>
          <w:lang w:val="en-US"/>
        </w:rPr>
        <w:t xml:space="preserve">LBP </w:t>
      </w:r>
      <w:r w:rsidR="007305EC" w:rsidRPr="0088290D">
        <w:rPr>
          <w:rFonts w:ascii="Book Antiqua" w:hAnsi="Book Antiqua" w:cs="Arial"/>
          <w:lang w:val="en-US"/>
        </w:rPr>
        <w:t>was</w:t>
      </w:r>
      <w:r w:rsidRPr="0088290D">
        <w:rPr>
          <w:rFonts w:ascii="Book Antiqua" w:hAnsi="Book Antiqua" w:cs="Arial"/>
          <w:lang w:val="en-US"/>
        </w:rPr>
        <w:t xml:space="preserve"> not different between </w:t>
      </w:r>
      <w:r w:rsidR="005A2EA4" w:rsidRPr="0088290D">
        <w:rPr>
          <w:rFonts w:ascii="Book Antiqua" w:hAnsi="Book Antiqua" w:cs="Arial"/>
          <w:lang w:val="en-US"/>
        </w:rPr>
        <w:t xml:space="preserve">AAA </w:t>
      </w:r>
      <w:r w:rsidRPr="0088290D">
        <w:rPr>
          <w:rFonts w:ascii="Book Antiqua" w:hAnsi="Book Antiqua" w:cs="Arial"/>
          <w:lang w:val="en-US"/>
        </w:rPr>
        <w:t xml:space="preserve">IgA positive and negative patients. </w:t>
      </w:r>
      <w:r w:rsidR="000A21BC" w:rsidRPr="0088290D">
        <w:rPr>
          <w:rFonts w:ascii="Book Antiqua" w:hAnsi="Book Antiqua" w:cs="Arial"/>
          <w:lang w:val="en-US"/>
        </w:rPr>
        <w:t>No other statistically significant association was found in case of AAA IgG or any isotypes of AGA</w:t>
      </w:r>
      <w:r w:rsidR="00E21A8B" w:rsidRPr="0088290D">
        <w:rPr>
          <w:rFonts w:ascii="Book Antiqua" w:hAnsi="Book Antiqua" w:cs="Arial"/>
          <w:lang w:val="en-US"/>
        </w:rPr>
        <w:t xml:space="preserve"> (</w:t>
      </w:r>
      <w:r w:rsidR="00946752" w:rsidRPr="0088290D">
        <w:rPr>
          <w:rFonts w:ascii="Book Antiqua" w:hAnsi="Book Antiqua" w:cs="Arial"/>
          <w:lang w:val="en-US"/>
        </w:rPr>
        <w:t xml:space="preserve">summarized in </w:t>
      </w:r>
      <w:r w:rsidR="00946752" w:rsidRPr="006716DE">
        <w:rPr>
          <w:rFonts w:ascii="Book Antiqua" w:hAnsi="Book Antiqua" w:cs="Arial"/>
          <w:lang w:val="en-US"/>
        </w:rPr>
        <w:t>Table 4</w:t>
      </w:r>
      <w:r w:rsidR="00E21A8B" w:rsidRPr="0088290D">
        <w:rPr>
          <w:rFonts w:ascii="Book Antiqua" w:hAnsi="Book Antiqua" w:cs="Arial"/>
          <w:lang w:val="en-US"/>
        </w:rPr>
        <w:t>).</w:t>
      </w:r>
    </w:p>
    <w:p w14:paraId="6B64B596" w14:textId="77777777" w:rsidR="001C10A6" w:rsidRPr="0088290D" w:rsidRDefault="001C10A6" w:rsidP="007940D7">
      <w:pPr>
        <w:widowControl w:val="0"/>
        <w:autoSpaceDE w:val="0"/>
        <w:autoSpaceDN w:val="0"/>
        <w:adjustRightInd w:val="0"/>
        <w:spacing w:line="360" w:lineRule="auto"/>
        <w:jc w:val="both"/>
        <w:rPr>
          <w:rFonts w:ascii="Book Antiqua" w:hAnsi="Book Antiqua" w:cs="Arial"/>
          <w:b/>
          <w:lang w:val="en-US"/>
        </w:rPr>
      </w:pPr>
    </w:p>
    <w:p w14:paraId="626DBAE1" w14:textId="745A5EDF" w:rsidR="00D2148A" w:rsidRPr="0088290D" w:rsidRDefault="00662E78" w:rsidP="007940D7">
      <w:pPr>
        <w:widowControl w:val="0"/>
        <w:autoSpaceDE w:val="0"/>
        <w:autoSpaceDN w:val="0"/>
        <w:adjustRightInd w:val="0"/>
        <w:spacing w:line="360" w:lineRule="auto"/>
        <w:jc w:val="both"/>
        <w:rPr>
          <w:rFonts w:ascii="Book Antiqua" w:hAnsi="Book Antiqua" w:cs="Arial"/>
          <w:b/>
          <w:lang w:val="en-US"/>
        </w:rPr>
      </w:pPr>
      <w:r w:rsidRPr="0088290D">
        <w:rPr>
          <w:rFonts w:ascii="Book Antiqua" w:hAnsi="Book Antiqua" w:cs="Arial"/>
          <w:b/>
          <w:lang w:val="en-US"/>
        </w:rPr>
        <w:br w:type="column"/>
      </w:r>
      <w:r w:rsidR="00D2148A" w:rsidRPr="0088290D">
        <w:rPr>
          <w:rFonts w:ascii="Book Antiqua" w:hAnsi="Book Antiqua" w:cs="Arial"/>
          <w:b/>
          <w:lang w:val="en-US"/>
        </w:rPr>
        <w:lastRenderedPageBreak/>
        <w:t>DISCUSSION</w:t>
      </w:r>
    </w:p>
    <w:p w14:paraId="040B5DC9" w14:textId="1CD252D0" w:rsidR="00F10526" w:rsidRPr="006716DE" w:rsidRDefault="00B3402E" w:rsidP="007940D7">
      <w:pPr>
        <w:widowControl w:val="0"/>
        <w:autoSpaceDE w:val="0"/>
        <w:autoSpaceDN w:val="0"/>
        <w:adjustRightInd w:val="0"/>
        <w:spacing w:line="360" w:lineRule="auto"/>
        <w:jc w:val="both"/>
        <w:rPr>
          <w:rFonts w:ascii="Book Antiqua" w:eastAsia="SimSun" w:hAnsi="Book Antiqua" w:cs="Times"/>
          <w:lang w:val="en-US" w:eastAsia="zh-CN"/>
        </w:rPr>
      </w:pPr>
      <w:r w:rsidRPr="0088290D">
        <w:rPr>
          <w:rFonts w:ascii="Book Antiqua" w:hAnsi="Book Antiqua" w:cs="Arial"/>
          <w:lang w:val="en-US"/>
        </w:rPr>
        <w:t>The i</w:t>
      </w:r>
      <w:r w:rsidR="00787039" w:rsidRPr="0088290D">
        <w:rPr>
          <w:rFonts w:ascii="Book Antiqua" w:hAnsi="Book Antiqua" w:cs="Arial"/>
          <w:lang w:val="en-US"/>
        </w:rPr>
        <w:t>mportance of gut-liver interaction in the pathogenesis of PSC has been certified by a variety of clinical and experimental evidence</w:t>
      </w:r>
      <w:r w:rsidR="006A009B" w:rsidRPr="0088290D">
        <w:rPr>
          <w:rFonts w:ascii="Book Antiqua" w:hAnsi="Book Antiqua" w:cs="Arial"/>
          <w:lang w:val="en-US"/>
        </w:rPr>
        <w:t xml:space="preserve"> as discussed previously</w:t>
      </w:r>
      <w:r w:rsidR="006A009B" w:rsidRPr="0088290D">
        <w:rPr>
          <w:rFonts w:ascii="Book Antiqua" w:hAnsi="Book Antiqua" w:cs="Arial"/>
          <w:lang w:val="en-US"/>
        </w:rPr>
        <w:fldChar w:fldCharType="begin" w:fldLock="1"/>
      </w:r>
      <w:r w:rsidR="00F7073C" w:rsidRPr="0088290D">
        <w:rPr>
          <w:rFonts w:ascii="Book Antiqua" w:hAnsi="Book Antiqua" w:cs="Arial"/>
          <w:lang w:val="en-US"/>
        </w:rPr>
        <w:instrText>ADDIN CSL_CITATION { "citationItems" : [ { "id" : "ITEM-1", "itemData" : { "DOI" : "10.1016/j.cld.2015.08.012", "ISBN" : "9780323429917", "ISSN" : "15578224", "PMID" : "26593287", "abstract" : "Dysregulation of the key genetic, immunologic, and microbiome compounds of the gut-liver axis is the basis for inflammatory bowel disease (IBD) and primary sclerosing cholangitis (PSC). This creates opportunities to accelerate therapies that have been traditionally developed for IBD to be used in PSC to the benefit of both diseases. Shared genetic susceptibility loci has yielded important clues into the pathogenesis of PSC-IBD. Understanding of the critical links between PSC and IBD are essential in designing clinical care pathways for these complex patients.", "author" : [ { "dropping-particle" : "", "family" : "Eksteen", "given" : "Bertus", "non-dropping-particle" : "", "parse-names" : false, "suffix" : "" } ], "container-title" : "Clinics in Liver Disease", "id" : "ITEM-1", "issue" : "1", "issued" : { "date-parts" : [ [ "2016" ] ] }, "page" : "1-14", "publisher" : "Elsevier Inc", "title" : "The Gut-Liver Axis in Primary Sclerosing Cholangitis", "type" : "article", "volume" : "20" }, "uris" : [ "http://www.mendeley.com/documents/?uuid=9f226f94-1c29-437c-bf24-a1650f8ace74" ] } ], "mendeley" : { "formattedCitation" : "&lt;sup&gt;[2]&lt;/sup&gt;", "plainTextFormattedCitation" : "[2]", "previouslyFormattedCitation" : "&lt;sup&gt;[2]&lt;/sup&gt;" }, "properties" : { "noteIndex" : 0 }, "schema" : "https://github.com/citation-style-language/schema/raw/master/csl-citation.json" }</w:instrText>
      </w:r>
      <w:r w:rsidR="006A009B" w:rsidRPr="0088290D">
        <w:rPr>
          <w:rFonts w:ascii="Book Antiqua" w:hAnsi="Book Antiqua" w:cs="Arial"/>
          <w:lang w:val="en-US"/>
        </w:rPr>
        <w:fldChar w:fldCharType="separate"/>
      </w:r>
      <w:r w:rsidR="006A009B" w:rsidRPr="0088290D">
        <w:rPr>
          <w:rFonts w:ascii="Book Antiqua" w:hAnsi="Book Antiqua" w:cs="Arial"/>
          <w:noProof/>
          <w:vertAlign w:val="superscript"/>
          <w:lang w:val="en-US"/>
        </w:rPr>
        <w:t>[2]</w:t>
      </w:r>
      <w:r w:rsidR="006A009B" w:rsidRPr="0088290D">
        <w:rPr>
          <w:rFonts w:ascii="Book Antiqua" w:hAnsi="Book Antiqua" w:cs="Arial"/>
          <w:lang w:val="en-US"/>
        </w:rPr>
        <w:fldChar w:fldCharType="end"/>
      </w:r>
      <w:r w:rsidR="00787039" w:rsidRPr="0088290D">
        <w:rPr>
          <w:rFonts w:ascii="Book Antiqua" w:hAnsi="Book Antiqua" w:cs="Times"/>
          <w:lang w:val="en-US"/>
        </w:rPr>
        <w:t xml:space="preserve">. </w:t>
      </w:r>
      <w:r w:rsidR="00F10526" w:rsidRPr="0088290D">
        <w:rPr>
          <w:rFonts w:ascii="Book Antiqua" w:hAnsi="Book Antiqua" w:cs="Times"/>
          <w:lang w:val="en-US"/>
        </w:rPr>
        <w:t xml:space="preserve">In the present study, </w:t>
      </w:r>
      <w:r w:rsidR="00787039" w:rsidRPr="0088290D">
        <w:rPr>
          <w:rFonts w:ascii="Book Antiqua" w:hAnsi="Book Antiqua" w:cs="Times"/>
          <w:lang w:val="en-US"/>
        </w:rPr>
        <w:t xml:space="preserve">therefore </w:t>
      </w:r>
      <w:r w:rsidR="00F10526" w:rsidRPr="0088290D">
        <w:rPr>
          <w:rFonts w:ascii="Book Antiqua" w:hAnsi="Book Antiqua" w:cs="Times"/>
          <w:lang w:val="en-US"/>
        </w:rPr>
        <w:t xml:space="preserve">we investigated the clinical importance of different </w:t>
      </w:r>
      <w:r w:rsidR="00787039" w:rsidRPr="0088290D">
        <w:rPr>
          <w:rFonts w:ascii="Book Antiqua" w:hAnsi="Book Antiqua" w:cs="Times"/>
          <w:lang w:val="en-US"/>
        </w:rPr>
        <w:t>serologic</w:t>
      </w:r>
      <w:r w:rsidR="006A009B" w:rsidRPr="0088290D">
        <w:rPr>
          <w:rFonts w:ascii="Book Antiqua" w:hAnsi="Book Antiqua" w:cs="Times"/>
          <w:lang w:val="en-US"/>
        </w:rPr>
        <w:t>al bio</w:t>
      </w:r>
      <w:r w:rsidR="00F10526" w:rsidRPr="0088290D">
        <w:rPr>
          <w:rFonts w:ascii="Book Antiqua" w:hAnsi="Book Antiqua" w:cs="Times"/>
          <w:lang w:val="en-US"/>
        </w:rPr>
        <w:t xml:space="preserve">markers related to gut barrier function in the prediction of progressive disease course in a cohort of PSC patients. To our knowledge, this is the first study </w:t>
      </w:r>
      <w:r w:rsidR="004C5BCA" w:rsidRPr="0088290D">
        <w:rPr>
          <w:rFonts w:ascii="Book Antiqua" w:hAnsi="Book Antiqua" w:cs="Times"/>
          <w:lang w:val="en-US"/>
        </w:rPr>
        <w:t xml:space="preserve">examining </w:t>
      </w:r>
      <w:r w:rsidR="0076022F" w:rsidRPr="0088290D">
        <w:rPr>
          <w:rFonts w:ascii="Book Antiqua" w:hAnsi="Book Antiqua" w:cs="Times"/>
          <w:lang w:val="en-US"/>
        </w:rPr>
        <w:t xml:space="preserve">disease outcomes in PSC according to </w:t>
      </w:r>
      <w:r w:rsidR="00F10526" w:rsidRPr="0088290D">
        <w:rPr>
          <w:rFonts w:ascii="Book Antiqua" w:hAnsi="Book Antiqua" w:cs="Times"/>
          <w:lang w:val="en-US"/>
        </w:rPr>
        <w:t>these serologic</w:t>
      </w:r>
      <w:r w:rsidR="0076022F" w:rsidRPr="0088290D">
        <w:rPr>
          <w:rFonts w:ascii="Book Antiqua" w:hAnsi="Book Antiqua" w:cs="Times"/>
          <w:lang w:val="en-US"/>
        </w:rPr>
        <w:t>al</w:t>
      </w:r>
      <w:r w:rsidR="00F10526" w:rsidRPr="0088290D">
        <w:rPr>
          <w:rFonts w:ascii="Book Antiqua" w:hAnsi="Book Antiqua" w:cs="Times"/>
          <w:lang w:val="en-US"/>
        </w:rPr>
        <w:t xml:space="preserve"> markers</w:t>
      </w:r>
      <w:r w:rsidR="00F7073C" w:rsidRPr="0088290D">
        <w:rPr>
          <w:rFonts w:ascii="Book Antiqua" w:hAnsi="Book Antiqua" w:cs="Times"/>
          <w:lang w:val="en-US"/>
        </w:rPr>
        <w:fldChar w:fldCharType="begin" w:fldLock="1"/>
      </w:r>
      <w:r w:rsidR="00915AE0" w:rsidRPr="0088290D">
        <w:rPr>
          <w:rFonts w:ascii="Book Antiqua" w:hAnsi="Book Antiqua" w:cs="Times"/>
          <w:lang w:val="en-US"/>
        </w:rPr>
        <w:instrText>ADDIN CSL_CITATION { "citationItems" : [ { "id" : "ITEM-1", "itemData" : { "DOI" : "10.23736/S1121-421X.16.02351-5", "ISSN" : "1827-1642 (Electronic)", "PMID" : "27845509", "abstract" : "Although no biomarker has been identified to date, previous studies have reported that about 50% of patients with suspected non-celiac gluten sensitivity (NCGS) had positive first generation anti-gliadin antibodies (AGAs), especially of the IgG class. These antibodies are not specific for NCGS, being also found in CD (80-90%), autoimmune liver disorders (21.5%), connective tissue disease (9%) and IBS (20%), as well as in healthy controls (2-8%), but their finding in patients with a clinical phenotype consistent with NCGS has been regarded as an element supporting this diagnosis. Even though the correlation between AGA IgG and NCGS condition turned out to be statistically significant in most studies, AGA IgG does not seem to be an adequately strong marker for its lacking diagnostic accuracy. However it can partly help the NCGS diagnosis, integrated in the overall management of the patient. Therefore, in the presence of clinical symptoms that suggest NCGS, IgG AGA positivity, together with negative anti-tTG, EMA, and anti-deamidated-gliadin-peptides (DGP) antibodies, NCGS diagnosis might be suspected. Future researches are necessary to identify reliable biomarkers for NGCS diagnosis and to better define clinically and serologically NCGS patients.", "author" : [ { "dropping-particle" : "", "family" : "Infantino", "given" : "Maria", "non-dropping-particle" : "", "parse-names" : false, "suffix" : "" }, { "dropping-particle" : "", "family" : "Meacci", "given" : "Francesca", "non-dropping-particle" : "", "parse-names" : false, "suffix" : "" }, { "dropping-particle" : "", "family" : "Grossi", "given" : "Valentina", "non-dropping-particle" : "", "parse-names" : false, "suffix" : "" }, { "dropping-particle" : "", "family" : "Macchia", "given" : "Donatella", "non-dropping-particle" : "", "parse-names" : false, "suffix" : "" }, { "dropping-particle" : "", "family" : "Manfredi", "given" : "Mariangela", "non-dropping-particle" : "", "parse-names" : false, "suffix" : "" } ], "container-title" : "Minerva gastroenterologica e dietologica", "id" : "ITEM-1", "issue" : "1", "issued" : { "date-parts" : [ [ "2017", "3" ] ] }, "language" : "eng", "page" : "1-4", "publisher-place" : "Italy", "title" : "Anti-gliadin antibodies in non-celiac gluten sensitivity.", "type" : "article-journal", "volume" : "63" }, "uris" : [ "http://www.mendeley.com/documents/?uuid=53a36f55-7193-4181-8c47-fa9017ca83b2" ] } ], "mendeley" : { "formattedCitation" : "&lt;sup&gt;[19]&lt;/sup&gt;", "plainTextFormattedCitation" : "[19]", "previouslyFormattedCitation" : "&lt;sup&gt;[19]&lt;/sup&gt;" }, "properties" : { "noteIndex" : 0 }, "schema" : "https://github.com/citation-style-language/schema/raw/master/csl-citation.json" }</w:instrText>
      </w:r>
      <w:r w:rsidR="00F7073C" w:rsidRPr="0088290D">
        <w:rPr>
          <w:rFonts w:ascii="Book Antiqua" w:hAnsi="Book Antiqua" w:cs="Times"/>
          <w:lang w:val="en-US"/>
        </w:rPr>
        <w:fldChar w:fldCharType="separate"/>
      </w:r>
      <w:r w:rsidR="00EF266F" w:rsidRPr="0088290D">
        <w:rPr>
          <w:rFonts w:ascii="Book Antiqua" w:hAnsi="Book Antiqua" w:cs="Times"/>
          <w:noProof/>
          <w:vertAlign w:val="superscript"/>
          <w:lang w:val="en-US"/>
        </w:rPr>
        <w:t>[19]</w:t>
      </w:r>
      <w:r w:rsidR="00F7073C" w:rsidRPr="0088290D">
        <w:rPr>
          <w:rFonts w:ascii="Book Antiqua" w:hAnsi="Book Antiqua" w:cs="Times"/>
          <w:lang w:val="en-US"/>
        </w:rPr>
        <w:fldChar w:fldCharType="end"/>
      </w:r>
      <w:r w:rsidR="006716DE">
        <w:rPr>
          <w:rFonts w:ascii="Book Antiqua" w:eastAsia="SimSun" w:hAnsi="Book Antiqua" w:cs="Times" w:hint="eastAsia"/>
          <w:lang w:val="en-US" w:eastAsia="zh-CN"/>
        </w:rPr>
        <w:t>.</w:t>
      </w:r>
    </w:p>
    <w:p w14:paraId="23386473" w14:textId="5925AA48" w:rsidR="006F3DD7" w:rsidRPr="0088290D" w:rsidRDefault="003B4FD2" w:rsidP="007940D7">
      <w:pPr>
        <w:widowControl w:val="0"/>
        <w:autoSpaceDE w:val="0"/>
        <w:autoSpaceDN w:val="0"/>
        <w:adjustRightInd w:val="0"/>
        <w:spacing w:line="360" w:lineRule="auto"/>
        <w:jc w:val="both"/>
        <w:rPr>
          <w:rFonts w:ascii="Book Antiqua" w:hAnsi="Book Antiqua" w:cs="OpenSans"/>
          <w:color w:val="262626"/>
          <w:lang w:val="en-US"/>
        </w:rPr>
      </w:pPr>
      <w:r w:rsidRPr="0088290D">
        <w:rPr>
          <w:rFonts w:ascii="Book Antiqua" w:hAnsi="Book Antiqua" w:cs="Arial"/>
          <w:lang w:val="en-US"/>
        </w:rPr>
        <w:tab/>
      </w:r>
      <w:r w:rsidR="0097188E" w:rsidRPr="0088290D">
        <w:rPr>
          <w:rFonts w:ascii="Book Antiqua" w:hAnsi="Book Antiqua" w:cs="Arial"/>
          <w:lang w:val="en-US"/>
        </w:rPr>
        <w:t xml:space="preserve">The cytoskeleton protein, </w:t>
      </w:r>
      <w:r w:rsidR="006F1AE8" w:rsidRPr="0088290D">
        <w:rPr>
          <w:rFonts w:ascii="Book Antiqua" w:hAnsi="Book Antiqua" w:cs="Arial"/>
          <w:lang w:val="en-US"/>
        </w:rPr>
        <w:t xml:space="preserve">F-actin was identified as a specific target of </w:t>
      </w:r>
      <w:r w:rsidR="006F1AE8" w:rsidRPr="0088290D">
        <w:rPr>
          <w:rFonts w:ascii="Book Antiqua" w:hAnsi="Book Antiqua" w:cs="OpenSans"/>
          <w:color w:val="262626"/>
          <w:lang w:val="en-US"/>
        </w:rPr>
        <w:t xml:space="preserve">smooth muscle cell antibodies (SMA) </w:t>
      </w:r>
      <w:r w:rsidR="006716DE">
        <w:rPr>
          <w:rFonts w:ascii="Book Antiqua" w:hAnsi="Book Antiqua" w:cs="Arial"/>
          <w:lang w:val="en-US"/>
        </w:rPr>
        <w:t>in autoimmune hepatitis</w:t>
      </w:r>
      <w:r w:rsidR="006F1AE8" w:rsidRPr="0088290D">
        <w:rPr>
          <w:rFonts w:ascii="Book Antiqua" w:hAnsi="Book Antiqua" w:cs="Arial"/>
          <w:lang w:val="en-US"/>
        </w:rPr>
        <w:fldChar w:fldCharType="begin" w:fldLock="1"/>
      </w:r>
      <w:r w:rsidR="00915AE0" w:rsidRPr="0088290D">
        <w:rPr>
          <w:rFonts w:ascii="Book Antiqua" w:hAnsi="Book Antiqua" w:cs="Arial"/>
          <w:lang w:val="en-US"/>
        </w:rPr>
        <w:instrText>ADDIN CSL_CITATION { "citationItems" : [ { "id" : "ITEM-1", "itemData" : { "ISSN" : "0002-9440 (Print)", "PMID" : "4125700", "abstract" : "When human serum containing smooth muscle autoantibodies (SMA) is incubated with  extracts containing thrombosthenin (the contractile material of platelets) or thrombosthenin-A (the actin-like moiety of thrombosthenin), it loses its ability to bind to smooth muscle. Such binding is also diminished when SMA serum is incubated with lysed platelets; this effect is not seen if the SMA serum is incubated with intact platelets. The incubation of other autoantibodies (such as antimitochondrial or antinuclear antibodies) with thrombosthenin does not affect their binding to the specific antigens. It appears that SMA is directed against the actin fraction of thrombosthenin-ie, SMA is an antiactin antibody. Hence the name of antiactin autoantibody (AAA) seems more appropriate than smooth muscle autoantibody (SMA). A study of the distribution of antiactin autoantibody binding in rat, rabbit and man shows that several \"nonmuscular\" structures contain actin under normal conditions; these include megakaryocytes and platelets, normal rat hepatocytes, the brush borders of renal tubules, the periphery of epithelial cells of the intestine, polymorphs and lymphocytes in lymph nodes (but not thymic cortical lymphocytes). In addition, certain cell types (such as granulation tissue fibroblasts, cultivated fibroblasts, hepatocytes or regenerating liver and epidermal cells growing over a skin wound) can reversibly acquire a massive network of actin-containing microfilaments resembling those in smooth muscle.", "author" : [ { "dropping-particle" : "", "family" : "Gabbiani", "given" : "G", "non-dropping-particle" : "", "parse-names" : false, "suffix" : "" }, { "dropping-particle" : "", "family" : "Ryan", "given" : "G B", "non-dropping-particle" : "", "parse-names" : false, "suffix" : "" }, { "dropping-particle" : "", "family" : "Lamelin", "given" : "J P", "non-dropping-particle" : "", "parse-names" : false, "suffix" : "" }, { "dropping-particle" : "", "family" : "Vassalli", "given" : "P", "non-dropping-particle" : "", "parse-names" : false, "suffix" : "" }, { "dropping-particle" : "", "family" : "Majno", "given" : "G", "non-dropping-particle" : "", "parse-names" : false, "suffix" : "" }, { "dropping-particle" : "", "family" : "Bouvier", "given" : "C A", "non-dropping-particle" : "", "parse-names" : false, "suffix" : "" }, { "dropping-particle" : "", "family" : "Cruchaud", "given" : "A", "non-dropping-particle" : "", "parse-names" : false, "suffix" : "" }, { "dropping-particle" : "", "family" : "Luscher", "given" : "E F", "non-dropping-particle" : "", "parse-names" : false, "suffix" : "" } ], "container-title" : "The American journal of pathology", "id" : "ITEM-1", "issue" : "3", "issued" : { "date-parts" : [ [ "1973", "9" ] ] }, "language" : "eng", "page" : "473-488", "publisher-place" : "United States", "title" : "Human smooth muscle autoantibody. Its identification as antiactin antibody and a  study of its binding to \"nonmuscular\" cells.", "type" : "article-journal", "volume" : "72" }, "uris" : [ "http://www.mendeley.com/documents/?uuid=e8bd0047-76f6-4af4-af91-bf1449a04024" ] } ], "mendeley" : { "formattedCitation" : "&lt;sup&gt;[20]&lt;/sup&gt;", "plainTextFormattedCitation" : "[20]", "previouslyFormattedCitation" : "&lt;sup&gt;[20]&lt;/sup&gt;" }, "properties" : { "noteIndex" : 0 }, "schema" : "https://github.com/citation-style-language/schema/raw/master/csl-citation.json" }</w:instrText>
      </w:r>
      <w:r w:rsidR="006F1AE8" w:rsidRPr="0088290D">
        <w:rPr>
          <w:rFonts w:ascii="Book Antiqua" w:hAnsi="Book Antiqua" w:cs="Arial"/>
          <w:lang w:val="en-US"/>
        </w:rPr>
        <w:fldChar w:fldCharType="separate"/>
      </w:r>
      <w:r w:rsidR="00EF266F" w:rsidRPr="0088290D">
        <w:rPr>
          <w:rFonts w:ascii="Book Antiqua" w:hAnsi="Book Antiqua" w:cs="Arial"/>
          <w:noProof/>
          <w:vertAlign w:val="superscript"/>
          <w:lang w:val="en-US"/>
        </w:rPr>
        <w:t>[20]</w:t>
      </w:r>
      <w:r w:rsidR="006F1AE8" w:rsidRPr="0088290D">
        <w:rPr>
          <w:rFonts w:ascii="Book Antiqua" w:hAnsi="Book Antiqua" w:cs="Arial"/>
          <w:lang w:val="en-US"/>
        </w:rPr>
        <w:fldChar w:fldCharType="end"/>
      </w:r>
      <w:r w:rsidR="006F1AE8" w:rsidRPr="0088290D">
        <w:rPr>
          <w:rFonts w:ascii="Book Antiqua" w:hAnsi="Book Antiqua" w:cs="Arial"/>
          <w:lang w:val="en-US"/>
        </w:rPr>
        <w:t xml:space="preserve"> and for </w:t>
      </w:r>
      <w:r w:rsidR="00C63D0E" w:rsidRPr="0088290D">
        <w:rPr>
          <w:rFonts w:ascii="Book Antiqua" w:hAnsi="Book Antiqua" w:cs="Arial"/>
          <w:lang w:val="en-US"/>
        </w:rPr>
        <w:t xml:space="preserve">over </w:t>
      </w:r>
      <w:r w:rsidR="006F1AE8" w:rsidRPr="0088290D">
        <w:rPr>
          <w:rFonts w:ascii="Book Antiqua" w:hAnsi="Book Antiqua" w:cs="Arial"/>
          <w:lang w:val="en-US"/>
        </w:rPr>
        <w:t xml:space="preserve">a decade IgG isotype AAA </w:t>
      </w:r>
      <w:r w:rsidR="00C63D0E" w:rsidRPr="0088290D">
        <w:rPr>
          <w:rFonts w:ascii="Book Antiqua" w:hAnsi="Book Antiqua" w:cs="Arial"/>
          <w:lang w:val="en-US"/>
        </w:rPr>
        <w:t>testing</w:t>
      </w:r>
      <w:r w:rsidR="0044218B" w:rsidRPr="0088290D">
        <w:rPr>
          <w:rFonts w:ascii="Book Antiqua" w:hAnsi="Book Antiqua" w:cs="Arial"/>
          <w:lang w:val="en-US"/>
        </w:rPr>
        <w:t xml:space="preserve"> – </w:t>
      </w:r>
      <w:r w:rsidR="00C63D0E" w:rsidRPr="0088290D">
        <w:rPr>
          <w:rFonts w:ascii="Book Antiqua" w:hAnsi="Book Antiqua" w:cs="Arial"/>
          <w:lang w:val="en-US"/>
        </w:rPr>
        <w:t>either</w:t>
      </w:r>
      <w:r w:rsidR="00BE7CE8" w:rsidRPr="0088290D">
        <w:rPr>
          <w:rFonts w:ascii="Book Antiqua" w:hAnsi="Book Antiqua" w:cs="Arial"/>
          <w:lang w:val="en-US"/>
        </w:rPr>
        <w:t xml:space="preserve"> </w:t>
      </w:r>
      <w:r w:rsidR="00B3402E" w:rsidRPr="0088290D">
        <w:rPr>
          <w:rFonts w:ascii="Book Antiqua" w:hAnsi="Book Antiqua" w:cs="Arial"/>
          <w:lang w:val="en-US"/>
        </w:rPr>
        <w:t xml:space="preserve">by </w:t>
      </w:r>
      <w:r w:rsidR="006F1AE8" w:rsidRPr="0088290D">
        <w:rPr>
          <w:rFonts w:ascii="Book Antiqua" w:hAnsi="Book Antiqua" w:cs="OpenSans"/>
          <w:color w:val="262626"/>
          <w:lang w:val="en-US"/>
        </w:rPr>
        <w:t xml:space="preserve">immunofluorescence </w:t>
      </w:r>
      <w:r w:rsidR="0044218B" w:rsidRPr="0088290D">
        <w:rPr>
          <w:rFonts w:ascii="Book Antiqua" w:hAnsi="Book Antiqua" w:cs="OpenSans"/>
          <w:color w:val="262626"/>
          <w:lang w:val="en-US"/>
        </w:rPr>
        <w:t xml:space="preserve">technique </w:t>
      </w:r>
      <w:r w:rsidR="00C63D0E" w:rsidRPr="0088290D">
        <w:rPr>
          <w:rFonts w:ascii="Book Antiqua" w:hAnsi="Book Antiqua" w:cs="OpenSans"/>
          <w:color w:val="262626"/>
          <w:lang w:val="en-US"/>
        </w:rPr>
        <w:t xml:space="preserve">or </w:t>
      </w:r>
      <w:r w:rsidR="006F1AE8" w:rsidRPr="0088290D">
        <w:rPr>
          <w:rFonts w:ascii="Book Antiqua" w:hAnsi="Book Antiqua" w:cs="OpenSans"/>
          <w:color w:val="262626"/>
          <w:lang w:val="en-US"/>
        </w:rPr>
        <w:t>ELISA</w:t>
      </w:r>
      <w:r w:rsidR="0044218B" w:rsidRPr="0088290D">
        <w:rPr>
          <w:rFonts w:ascii="Book Antiqua" w:hAnsi="Book Antiqua" w:cs="OpenSans"/>
          <w:color w:val="262626"/>
          <w:lang w:val="en-US"/>
        </w:rPr>
        <w:t xml:space="preserve"> –</w:t>
      </w:r>
      <w:r w:rsidR="006F1AE8" w:rsidRPr="0088290D">
        <w:rPr>
          <w:rFonts w:ascii="Book Antiqua" w:hAnsi="Book Antiqua" w:cs="OpenSans"/>
          <w:color w:val="262626"/>
          <w:lang w:val="en-US"/>
        </w:rPr>
        <w:t xml:space="preserve"> </w:t>
      </w:r>
      <w:r w:rsidR="0044218B" w:rsidRPr="0088290D">
        <w:rPr>
          <w:rFonts w:ascii="Book Antiqua" w:hAnsi="Book Antiqua" w:cs="OpenSans"/>
          <w:color w:val="262626"/>
          <w:lang w:val="en-US"/>
        </w:rPr>
        <w:t xml:space="preserve">has been </w:t>
      </w:r>
      <w:r w:rsidR="006F1AE8" w:rsidRPr="0088290D">
        <w:rPr>
          <w:rFonts w:ascii="Book Antiqua" w:hAnsi="Book Antiqua" w:cs="OpenSans"/>
          <w:color w:val="262626"/>
          <w:lang w:val="en-US"/>
        </w:rPr>
        <w:t>incorporated</w:t>
      </w:r>
      <w:r w:rsidR="0044218B" w:rsidRPr="0088290D">
        <w:rPr>
          <w:rFonts w:ascii="Book Antiqua" w:hAnsi="Book Antiqua" w:cs="OpenSans"/>
          <w:color w:val="262626"/>
          <w:lang w:val="en-US"/>
        </w:rPr>
        <w:t xml:space="preserve"> into the diagnostic procedure of the disease</w:t>
      </w:r>
      <w:r w:rsidR="006716DE">
        <w:rPr>
          <w:rFonts w:ascii="Book Antiqua" w:hAnsi="Book Antiqua" w:cs="OpenSans"/>
          <w:color w:val="262626"/>
          <w:lang w:val="en-US"/>
        </w:rPr>
        <w:t>.</w:t>
      </w:r>
      <w:r w:rsidR="00E802D3" w:rsidRPr="0088290D">
        <w:rPr>
          <w:rFonts w:ascii="Book Antiqua" w:hAnsi="Book Antiqua" w:cs="OpenSans"/>
          <w:color w:val="262626"/>
          <w:lang w:val="en-US"/>
        </w:rPr>
        <w:fldChar w:fldCharType="begin" w:fldLock="1"/>
      </w:r>
      <w:r w:rsidR="00D97BD8" w:rsidRPr="0088290D">
        <w:rPr>
          <w:rFonts w:ascii="Book Antiqua" w:hAnsi="Book Antiqua" w:cs="OpenSans"/>
          <w:color w:val="262626"/>
          <w:lang w:val="en-US"/>
        </w:rPr>
        <w:instrText>ADDIN CSL_CITATION { "citationItems" : [ { "id" : "ITEM-1", "itemData" : { "DOI" : "10.1002/hep.22322", "ISSN" : "1527-3350 (Electronic)", "PMID" : "18537184", "abstract" : "UNLABELLED: Diagnosis of autoimmune hepatitis (AIH) may be challenging. However,  early diagnosis is important because immunosuppression is life-saving. Diagnostic criteria of the International Autoimmune Hepatitis Group (IAIHG) were complex and purely meant for scientific purposes. This study of the IAIHG aims to define simplified diagnostic criteria for routine clinical practice. Candidate criteria included sex, age, autoantibodies, immunoglobulins, absence of viral hepatitis, and histology. The training set included 250 AIH patients and 193 controls from 11 centers worldwide. Scores were built from variables showing predictive ability in univariate analysis. Diagnostic value of each score was assessed by the area under the receiver operating characteristic (ROC) curve. The best score was validated using data of an additional 109 AIH patients and 284 controls. This score included autoantibodies, immunoglobulin G, histology, and exclusion of viral hepatitis. The area under the curve for prediction of AIH was 0.946 in the training set and 0.91 in the validation set. Based on the ROC curves, two cutoff points were chosen. The score was found to have 88% sensitivity and 97% specificity (cutoff &gt; or =6) and 81% sensitivity and 99% specificity (cutoff &gt; or =7) in the validation set. CONCLUSION: A reliable diagnosis of AIH can be made using a very simple diagnostic score. We propose the diagnosis of probable AIH at a cutoff point greater than 6 points and definite AIH 7 points or higher.", "author" : [ { "dropping-particle" : "", "family" : "Hennes", "given" : "Elke M", "non-dropping-particle" : "", "parse-names" : false, "suffix" : "" }, { "dropping-particle" : "", "family" : "Zeniya", "given" : "Mikio", "non-dropping-particle" : "", "parse-names" : false, "suffix" : "" }, { "dropping-particle" : "", "family" : "Czaja", "given" : "Albert J", "non-dropping-particle" : "", "parse-names" : false, "suffix" : "" }, { "dropping-particle" : "", "family" : "Pares", "given" : "Albert", "non-dropping-particle" : "", "parse-names" : false, "suffix" : "" }, { "dropping-particle" : "", "family" : "Dalekos", "given" : "George N", "non-dropping-particle" : "", "parse-names" : false, "suffix" : "" }, { "dropping-particle" : "", "family" : "Krawitt", "given" : "Edward L", "non-dropping-particle" : "", "parse-names" : false, "suffix" : "" }, { "dropping-particle" : "", "family" : "Bittencourt", "given" : "Paulo L", "non-dropping-particle" : "", "parse-names" : false, "suffix" : "" }, { "dropping-particle" : "", "family" : "Porta", "given" : "Gilda", "non-dropping-particle" : "", "parse-names" : false, "suffix" : "" }, { "dropping-particle" : "", "family" : "Boberg", "given" : "Kirsten M", "non-dropping-particle" : "", "parse-names" : false, "suffix" : "" }, { "dropping-particle" : "", "family" : "Hofer", "given" : "Harald", "non-dropping-particle" : "", "parse-names" : false, "suffix" : "" }, { "dropping-particle" : "", "family" : "Bianchi", "given" : "Francesco B", "non-dropping-particle" : "", "parse-names" : false, "suffix" : "" }, { "dropping-particle" : "", "family" : "Shibata", "given" : "Minoru", "non-dropping-particle" : "", "parse-names" : false, "suffix" : "" }, { "dropping-particle" : "", "family" : "Schramm", "given" : "Christoph", "non-dropping-particle" : "", "parse-names" : false, "suffix" : "" }, { "dropping-particle" : "", "family" : "Eisenmann de Torres", "given" : "Barbara", "non-dropping-particle" : "", "parse-names" : false, "suffix" : "" }, { "dropping-particle" : "", "family" : "Galle", "given" : "Peter R", "non-dropping-particle" : "", "parse-names" : false, "suffix" : "" }, { "dropping-particle" : "", "family" : "McFarlane", "given" : "Ian", "non-dropping-particle" : "", "parse-names" : false, "suffix" : "" }, { "dropping-particle" : "", "family" : "Dienes", "given" : "Hans-Peter", "non-dropping-particle" : "", "parse-names" : false, "suffix" : "" }, { "dropping-particle" : "", "family" : "Lohse", "given" : "Ansgar W", "non-dropping-particle" : "", "parse-names" : false, "suffix" : "" } ], "container-title" : "Hepatology (Baltimore, Md.)", "id" : "ITEM-1", "issue" : "1", "issued" : { "date-parts" : [ [ "2008", "7" ] ] }, "language" : "eng", "page" : "169-176", "publisher-place" : "United States", "title" : "Simplified criteria for the diagnosis of autoimmune hepatitis.", "type" : "article-journal", "volume" : "48" }, "uris" : [ "http://www.mendeley.com/documents/?uuid=1fe4c584-747b-43b6-8a3c-f79f5aeeea03" ] } ], "mendeley" : { "formattedCitation" : "&lt;sup&gt;[21]&lt;/sup&gt;", "plainTextFormattedCitation" : "[21]", "previouslyFormattedCitation" : "&lt;sup&gt;[21]&lt;/sup&gt;" }, "properties" : { "noteIndex" : 0 }, "schema" : "https://github.com/citation-style-language/schema/raw/master/csl-citation.json" }</w:instrText>
      </w:r>
      <w:r w:rsidR="00E802D3" w:rsidRPr="0088290D">
        <w:rPr>
          <w:rFonts w:ascii="Book Antiqua" w:hAnsi="Book Antiqua" w:cs="OpenSans"/>
          <w:color w:val="262626"/>
          <w:lang w:val="en-US"/>
        </w:rPr>
        <w:fldChar w:fldCharType="separate"/>
      </w:r>
      <w:r w:rsidR="00E802D3" w:rsidRPr="0088290D">
        <w:rPr>
          <w:rFonts w:ascii="Book Antiqua" w:hAnsi="Book Antiqua" w:cs="OpenSans"/>
          <w:noProof/>
          <w:color w:val="262626"/>
          <w:vertAlign w:val="superscript"/>
          <w:lang w:val="en-US"/>
        </w:rPr>
        <w:t>[21]</w:t>
      </w:r>
      <w:r w:rsidR="00E802D3" w:rsidRPr="0088290D">
        <w:rPr>
          <w:rFonts w:ascii="Book Antiqua" w:hAnsi="Book Antiqua" w:cs="OpenSans"/>
          <w:color w:val="262626"/>
          <w:lang w:val="en-US"/>
        </w:rPr>
        <w:fldChar w:fldCharType="end"/>
      </w:r>
      <w:r w:rsidR="0044218B" w:rsidRPr="0088290D">
        <w:rPr>
          <w:rFonts w:ascii="Book Antiqua" w:hAnsi="Book Antiqua" w:cs="OpenSans"/>
          <w:color w:val="262626"/>
          <w:lang w:val="en-US"/>
        </w:rPr>
        <w:t xml:space="preserve"> </w:t>
      </w:r>
      <w:r w:rsidR="00812E9D" w:rsidRPr="0088290D">
        <w:rPr>
          <w:rFonts w:ascii="Book Antiqua" w:hAnsi="Book Antiqua" w:cs="Arial"/>
          <w:lang w:val="en-US"/>
        </w:rPr>
        <w:t>In</w:t>
      </w:r>
      <w:r w:rsidR="006447BA" w:rsidRPr="0088290D">
        <w:rPr>
          <w:rFonts w:ascii="Book Antiqua" w:hAnsi="Book Antiqua" w:cs="Arial"/>
          <w:lang w:val="en-US"/>
        </w:rPr>
        <w:t xml:space="preserve">creased </w:t>
      </w:r>
      <w:r w:rsidR="006D5C8B" w:rsidRPr="0088290D">
        <w:rPr>
          <w:rFonts w:ascii="Book Antiqua" w:hAnsi="Book Antiqua" w:cs="Arial"/>
          <w:lang w:val="en-US"/>
        </w:rPr>
        <w:t>occurrence</w:t>
      </w:r>
      <w:r w:rsidR="006447BA" w:rsidRPr="0088290D">
        <w:rPr>
          <w:rFonts w:ascii="Book Antiqua" w:hAnsi="Book Antiqua" w:cs="Arial"/>
          <w:lang w:val="en-US"/>
        </w:rPr>
        <w:t xml:space="preserve"> </w:t>
      </w:r>
      <w:r w:rsidR="00CF1C2B" w:rsidRPr="0088290D">
        <w:rPr>
          <w:rFonts w:ascii="Book Antiqua" w:hAnsi="Book Antiqua" w:cs="Arial"/>
          <w:lang w:val="en-US"/>
        </w:rPr>
        <w:t>of th</w:t>
      </w:r>
      <w:r w:rsidR="00277C8C" w:rsidRPr="0088290D">
        <w:rPr>
          <w:rFonts w:ascii="Book Antiqua" w:hAnsi="Book Antiqua" w:cs="Arial"/>
          <w:lang w:val="en-US"/>
        </w:rPr>
        <w:t>is</w:t>
      </w:r>
      <w:r w:rsidR="00CF1C2B" w:rsidRPr="0088290D">
        <w:rPr>
          <w:rFonts w:ascii="Book Antiqua" w:hAnsi="Book Antiqua" w:cs="Arial"/>
          <w:lang w:val="en-US"/>
        </w:rPr>
        <w:t xml:space="preserve"> antibod</w:t>
      </w:r>
      <w:r w:rsidR="00277C8C" w:rsidRPr="0088290D">
        <w:rPr>
          <w:rFonts w:ascii="Book Antiqua" w:hAnsi="Book Antiqua" w:cs="Arial"/>
          <w:lang w:val="en-US"/>
        </w:rPr>
        <w:t xml:space="preserve">y </w:t>
      </w:r>
      <w:r w:rsidR="002B1D91" w:rsidRPr="0088290D">
        <w:rPr>
          <w:rFonts w:ascii="Book Antiqua" w:hAnsi="Book Antiqua" w:cs="Arial"/>
          <w:lang w:val="en-US"/>
        </w:rPr>
        <w:t>w</w:t>
      </w:r>
      <w:r w:rsidR="009D7ED1" w:rsidRPr="0088290D">
        <w:rPr>
          <w:rFonts w:ascii="Book Antiqua" w:hAnsi="Book Antiqua" w:cs="Arial"/>
          <w:lang w:val="en-US"/>
        </w:rPr>
        <w:t>as</w:t>
      </w:r>
      <w:r w:rsidR="002B1D91" w:rsidRPr="0088290D">
        <w:rPr>
          <w:rFonts w:ascii="Book Antiqua" w:hAnsi="Book Antiqua" w:cs="Arial"/>
          <w:lang w:val="en-US"/>
        </w:rPr>
        <w:t xml:space="preserve"> </w:t>
      </w:r>
      <w:r w:rsidR="008E37EE" w:rsidRPr="0088290D">
        <w:rPr>
          <w:rFonts w:ascii="Book Antiqua" w:hAnsi="Book Antiqua" w:cs="Arial"/>
          <w:lang w:val="en-US"/>
        </w:rPr>
        <w:t xml:space="preserve">reported </w:t>
      </w:r>
      <w:r w:rsidR="002B1D91" w:rsidRPr="0088290D">
        <w:rPr>
          <w:rFonts w:ascii="Book Antiqua" w:hAnsi="Book Antiqua" w:cs="Arial"/>
          <w:lang w:val="en-US"/>
        </w:rPr>
        <w:t xml:space="preserve">in </w:t>
      </w:r>
      <w:r w:rsidR="00313D37" w:rsidRPr="0088290D">
        <w:rPr>
          <w:rFonts w:ascii="Book Antiqua" w:hAnsi="Book Antiqua" w:cs="Arial"/>
          <w:lang w:val="en-US"/>
        </w:rPr>
        <w:t xml:space="preserve">other </w:t>
      </w:r>
      <w:r w:rsidR="00540937" w:rsidRPr="0088290D">
        <w:rPr>
          <w:rFonts w:ascii="Book Antiqua" w:hAnsi="Book Antiqua" w:cs="Arial"/>
          <w:lang w:val="en-US"/>
        </w:rPr>
        <w:t>autoimmune</w:t>
      </w:r>
      <w:r w:rsidR="00935F71" w:rsidRPr="0088290D">
        <w:rPr>
          <w:rFonts w:ascii="Book Antiqua" w:hAnsi="Book Antiqua" w:cs="Arial"/>
          <w:lang w:val="en-US"/>
        </w:rPr>
        <w:t xml:space="preserve"> </w:t>
      </w:r>
      <w:r w:rsidR="000B35B1" w:rsidRPr="0088290D">
        <w:rPr>
          <w:rFonts w:ascii="Book Antiqua" w:hAnsi="Book Antiqua" w:cs="Arial"/>
          <w:lang w:val="en-US"/>
        </w:rPr>
        <w:t xml:space="preserve">diseases </w:t>
      </w:r>
      <w:r w:rsidR="00935F71" w:rsidRPr="0088290D">
        <w:rPr>
          <w:rFonts w:ascii="Book Antiqua" w:hAnsi="Book Antiqua" w:cs="Arial"/>
          <w:lang w:val="en-US"/>
        </w:rPr>
        <w:t>(</w:t>
      </w:r>
      <w:r w:rsidR="00935F71" w:rsidRPr="006716DE">
        <w:rPr>
          <w:rFonts w:ascii="Book Antiqua" w:hAnsi="Book Antiqua" w:cs="Arial"/>
          <w:i/>
          <w:lang w:val="en-US"/>
        </w:rPr>
        <w:t>e.g.</w:t>
      </w:r>
      <w:r w:rsidR="006716DE" w:rsidRPr="006716DE">
        <w:rPr>
          <w:rFonts w:ascii="Book Antiqua" w:eastAsia="SimSun" w:hAnsi="Book Antiqua" w:cs="Arial" w:hint="eastAsia"/>
          <w:i/>
          <w:lang w:val="en-US" w:eastAsia="zh-CN"/>
        </w:rPr>
        <w:t>,</w:t>
      </w:r>
      <w:r w:rsidR="00935F71" w:rsidRPr="006716DE">
        <w:rPr>
          <w:rFonts w:ascii="Book Antiqua" w:hAnsi="Book Antiqua" w:cs="Arial"/>
          <w:i/>
          <w:lang w:val="en-US"/>
        </w:rPr>
        <w:t xml:space="preserve"> </w:t>
      </w:r>
      <w:r w:rsidR="00935F71" w:rsidRPr="0088290D">
        <w:rPr>
          <w:rFonts w:ascii="Book Antiqua" w:hAnsi="Book Antiqua" w:cs="Arial"/>
          <w:lang w:val="en-US"/>
        </w:rPr>
        <w:t>celiac disease</w:t>
      </w:r>
      <w:r w:rsidR="00340EEB" w:rsidRPr="0088290D">
        <w:rPr>
          <w:rFonts w:ascii="Book Antiqua" w:hAnsi="Book Antiqua" w:cs="Arial"/>
          <w:lang w:val="en-US"/>
        </w:rPr>
        <w:t xml:space="preserve"> </w:t>
      </w:r>
      <w:r w:rsidR="00935F71" w:rsidRPr="0088290D">
        <w:rPr>
          <w:rFonts w:ascii="Book Antiqua" w:hAnsi="Book Antiqua" w:cs="Arial"/>
          <w:lang w:val="en-US"/>
        </w:rPr>
        <w:t>or connective tissue disease)</w:t>
      </w:r>
      <w:r w:rsidR="00540937" w:rsidRPr="0088290D">
        <w:rPr>
          <w:rFonts w:ascii="Book Antiqua" w:hAnsi="Book Antiqua" w:cs="Arial"/>
          <w:lang w:val="en-US"/>
        </w:rPr>
        <w:fldChar w:fldCharType="begin" w:fldLock="1"/>
      </w:r>
      <w:r w:rsidR="00D97BD8" w:rsidRPr="0088290D">
        <w:rPr>
          <w:rFonts w:ascii="Book Antiqua" w:hAnsi="Book Antiqua" w:cs="Arial"/>
          <w:lang w:val="en-US"/>
        </w:rPr>
        <w:instrText>ADDIN CSL_CITATION { "citationItems" : [ { "id" : "ITEM-1", "itemData" : { "DOI" : "10.1196/annals.1313.028", "ISSN" : "0077-8923 (Print)", "PMID" : "16014542", "abstract" : "According to international criteria, autoimmune hepatitis (AIH) type 1 is characterized by the presence of antinuclear or anti-smooth muscle antibodies (SMA) with F-actin specificity. SMA have been found in 85% of AIH patients, but are not specific to this disease, and anti-F-actin specificity is not always verified when SMA are detected. The objective of this study was to determine the diagnostic value of anti-F-actin antibodies in a large population. A multicenter study involving 12 clinical centers was performed. Patients were selected on the basis of the presence of F-actin SMA detected by indirect immunofluorescence (IIF) on rat liver-kidney-stomach sections and was confirmed by IIF on Hep2 cells treated with colchicine, or F-actin dot-blot. The clinical status of patients was determined from their medical records. One hundred sixty-eight patients were included: 76% women, 24% men; mean age of 45 years (range, 2-88 years), with a bimodal age distribution. Sixty percent had AIH type 1, and 40% had another disease. In the group of women younger than 25 years, 90% had AIH type 1. Other pathologies associated with antiactin were other liver diseases (19%), including viral hepatitis C (7%), and non-liver diseases (21%), including connective tissue diseases (12%). Antibody titers were higher in AIH than in other diseases. Antiactin antibodies are of major diagnostic value in AIH, especially in young women; they may be found in other disease settings, but mostly at low levels.", "author" : [ { "dropping-particle" : "", "family" : "Chretien-Leprince", "given" : "P", "non-dropping-particle" : "", "parse-names" : false, "suffix" : "" }, { "dropping-particle" : "", "family" : "Ballot", "given" : "E", "non-dropping-particle" : "", "parse-names" : false, "suffix" : "" }, { "dropping-particle" : "", "family" : "Andre", "given" : "C", "non-dropping-particle" : "", "parse-names" : false, "suffix" : "" }, { "dropping-particle" : "", "family" : "Olsson", "given" : "N O", "non-dropping-particle" : "", "parse-names" : false, "suffix" : "" }, { "dropping-particle" : "", "family" : "Fabien", "given" : "N", "non-dropping-particle" : "", "parse-names" : false, "suffix" : "" }, { "dropping-particle" : "", "family" : "Escande", "given" : "A", "non-dropping-particle" : "", "parse-names" : false, "suffix" : "" }, { "dropping-particle" : "", "family" : "Oksman", "given" : "F", "non-dropping-particle" : "", "parse-names" : false, "suffix" : "" }, { "dropping-particle" : "", "family" : "Dubuquoi", "given" : "S", "non-dropping-particle" : "", "parse-names" : false, "suffix" : "" }, { "dropping-particle" : "", "family" : "Jego", "given" : "S", "non-dropping-particle" : "", "parse-names" : false, "suffix" : "" }, { "dropping-particle" : "", "family" : "Goetz", "given" : "J", "non-dropping-particle" : "", "parse-names" : false, "suffix" : "" }, { "dropping-particle" : "", "family" : "Chevailler", "given" : "A", "non-dropping-particle" : "", "parse-names" : false, "suffix" : "" }, { "dropping-particle" : "", "family" : "Sanmarco", "given" : "M", "non-dropping-particle" : "", "parse-names" : false, "suffix" : "" }, { "dropping-particle" : "", "family" : "Humbel", "given" : "R L", "non-dropping-particle" : "", "parse-names" : false, "suffix" : "" }, { "dropping-particle" : "", "family" : "Johanet", "given" : "C", "non-dropping-particle" : "", "parse-names" : false, "suffix" : "" } ], "container-title" : "Annals of the New York Academy of Sciences", "id" : "ITEM-1", "issued" : { "date-parts" : [ [ "2005", "6" ] ] }, "language" : "eng", "page" : "266-273", "publisher-place" : "United States", "title" : "Diagnostic value of anti-F-actin antibodies in a French multicenter study.", "type" : "article-journal", "volume" : "1050" }, "uris" : [ "http://www.mendeley.com/documents/?uuid=5553ffee-e13c-4125-bc66-273111c3fa53" ] } ], "mendeley" : { "formattedCitation" : "&lt;sup&gt;[22]&lt;/sup&gt;", "plainTextFormattedCitation" : "[22]", "previouslyFormattedCitation" : "&lt;sup&gt;[22]&lt;/sup&gt;" }, "properties" : { "noteIndex" : 0 }, "schema" : "https://github.com/citation-style-language/schema/raw/master/csl-citation.json" }</w:instrText>
      </w:r>
      <w:r w:rsidR="00540937" w:rsidRPr="0088290D">
        <w:rPr>
          <w:rFonts w:ascii="Book Antiqua" w:hAnsi="Book Antiqua" w:cs="Arial"/>
          <w:lang w:val="en-US"/>
        </w:rPr>
        <w:fldChar w:fldCharType="separate"/>
      </w:r>
      <w:r w:rsidR="00E802D3" w:rsidRPr="0088290D">
        <w:rPr>
          <w:rFonts w:ascii="Book Antiqua" w:hAnsi="Book Antiqua" w:cs="Arial"/>
          <w:noProof/>
          <w:vertAlign w:val="superscript"/>
          <w:lang w:val="en-US"/>
        </w:rPr>
        <w:t>[22]</w:t>
      </w:r>
      <w:r w:rsidR="00540937" w:rsidRPr="0088290D">
        <w:rPr>
          <w:rFonts w:ascii="Book Antiqua" w:hAnsi="Book Antiqua" w:cs="Arial"/>
          <w:lang w:val="en-US"/>
        </w:rPr>
        <w:fldChar w:fldCharType="end"/>
      </w:r>
      <w:r w:rsidR="006716DE">
        <w:rPr>
          <w:rFonts w:ascii="Book Antiqua" w:eastAsia="SimSun" w:hAnsi="Book Antiqua" w:cs="Arial" w:hint="eastAsia"/>
          <w:lang w:val="en-US" w:eastAsia="zh-CN"/>
        </w:rPr>
        <w:t>.</w:t>
      </w:r>
      <w:r w:rsidR="00313D37" w:rsidRPr="0088290D">
        <w:rPr>
          <w:rFonts w:ascii="Book Antiqua" w:hAnsi="Book Antiqua" w:cs="Arial"/>
          <w:lang w:val="en-US"/>
        </w:rPr>
        <w:t xml:space="preserve"> </w:t>
      </w:r>
      <w:r w:rsidR="008909E8" w:rsidRPr="0088290D">
        <w:rPr>
          <w:rFonts w:ascii="Book Antiqua" w:hAnsi="Book Antiqua" w:cs="Arial"/>
          <w:lang w:val="en-US"/>
        </w:rPr>
        <w:t>To our knowledge n</w:t>
      </w:r>
      <w:r w:rsidR="005150D9" w:rsidRPr="0088290D">
        <w:rPr>
          <w:rFonts w:ascii="Book Antiqua" w:hAnsi="Book Antiqua" w:cs="Arial"/>
          <w:lang w:val="en-US"/>
        </w:rPr>
        <w:t xml:space="preserve">o previous study assessed, however, </w:t>
      </w:r>
      <w:r w:rsidR="00B35815" w:rsidRPr="0088290D">
        <w:rPr>
          <w:rFonts w:ascii="Book Antiqua" w:hAnsi="Book Antiqua" w:cs="Arial"/>
          <w:lang w:val="en-US"/>
        </w:rPr>
        <w:t xml:space="preserve">the </w:t>
      </w:r>
      <w:r w:rsidR="005150D9" w:rsidRPr="0088290D">
        <w:rPr>
          <w:rFonts w:ascii="Book Antiqua" w:hAnsi="Book Antiqua" w:cs="Arial"/>
          <w:lang w:val="en-US"/>
        </w:rPr>
        <w:t>prevalence and isotype characteristic</w:t>
      </w:r>
      <w:r w:rsidR="00B3402E" w:rsidRPr="0088290D">
        <w:rPr>
          <w:rFonts w:ascii="Book Antiqua" w:hAnsi="Book Antiqua" w:cs="Arial"/>
          <w:lang w:val="en-US"/>
        </w:rPr>
        <w:t>s</w:t>
      </w:r>
      <w:r w:rsidR="005150D9" w:rsidRPr="0088290D">
        <w:rPr>
          <w:rFonts w:ascii="Book Antiqua" w:hAnsi="Book Antiqua" w:cs="Arial"/>
          <w:lang w:val="en-US"/>
        </w:rPr>
        <w:t xml:space="preserve"> </w:t>
      </w:r>
      <w:r w:rsidR="00B35815" w:rsidRPr="0088290D">
        <w:rPr>
          <w:rFonts w:ascii="Book Antiqua" w:hAnsi="Book Antiqua" w:cs="Arial"/>
          <w:lang w:val="en-US"/>
        </w:rPr>
        <w:t xml:space="preserve">of </w:t>
      </w:r>
      <w:r w:rsidR="005150D9" w:rsidRPr="0088290D">
        <w:rPr>
          <w:rFonts w:ascii="Book Antiqua" w:hAnsi="Book Antiqua" w:cs="Arial"/>
          <w:lang w:val="en-US"/>
        </w:rPr>
        <w:t xml:space="preserve">AAAs in PSC. </w:t>
      </w:r>
    </w:p>
    <w:p w14:paraId="05C3B498" w14:textId="00EB154E" w:rsidR="0096160C" w:rsidRPr="006716DE" w:rsidRDefault="006F3DD7" w:rsidP="007940D7">
      <w:pPr>
        <w:widowControl w:val="0"/>
        <w:autoSpaceDE w:val="0"/>
        <w:autoSpaceDN w:val="0"/>
        <w:adjustRightInd w:val="0"/>
        <w:spacing w:line="360" w:lineRule="auto"/>
        <w:jc w:val="both"/>
        <w:rPr>
          <w:rFonts w:ascii="Book Antiqua" w:eastAsia="SimSun" w:hAnsi="Book Antiqua" w:cs="Arial"/>
          <w:lang w:val="en-US" w:eastAsia="zh-CN"/>
        </w:rPr>
      </w:pPr>
      <w:r w:rsidRPr="0088290D">
        <w:rPr>
          <w:rFonts w:ascii="Book Antiqua" w:hAnsi="Book Antiqua" w:cs="Arial"/>
          <w:lang w:val="en-US"/>
        </w:rPr>
        <w:tab/>
      </w:r>
      <w:r w:rsidR="00D37C36" w:rsidRPr="0088290D">
        <w:rPr>
          <w:rFonts w:ascii="Book Antiqua" w:hAnsi="Book Antiqua" w:cs="Times"/>
          <w:lang w:val="en-US"/>
        </w:rPr>
        <w:t>In the present study, we demonstrated – for the first time – that enhanced AAA formation is a feature of PSC</w:t>
      </w:r>
      <w:r w:rsidRPr="0088290D">
        <w:rPr>
          <w:rFonts w:ascii="Book Antiqua" w:hAnsi="Book Antiqua" w:cs="Times"/>
          <w:lang w:val="en-US"/>
        </w:rPr>
        <w:t xml:space="preserve"> </w:t>
      </w:r>
      <w:r w:rsidR="00D37C36" w:rsidRPr="0088290D">
        <w:rPr>
          <w:rFonts w:ascii="Book Antiqua" w:hAnsi="Book Antiqua" w:cs="Times"/>
          <w:lang w:val="en-US"/>
        </w:rPr>
        <w:t xml:space="preserve">regardless of </w:t>
      </w:r>
      <w:r w:rsidRPr="0088290D">
        <w:rPr>
          <w:rFonts w:ascii="Book Antiqua" w:hAnsi="Book Antiqua" w:cs="Times"/>
          <w:lang w:val="en-US"/>
        </w:rPr>
        <w:t>overlapping</w:t>
      </w:r>
      <w:r w:rsidR="00D37C36" w:rsidRPr="0088290D">
        <w:rPr>
          <w:rFonts w:ascii="Book Antiqua" w:hAnsi="Book Antiqua" w:cs="Times"/>
          <w:lang w:val="en-US"/>
        </w:rPr>
        <w:t xml:space="preserve"> </w:t>
      </w:r>
      <w:r w:rsidRPr="0088290D">
        <w:rPr>
          <w:rFonts w:ascii="Book Antiqua" w:hAnsi="Book Antiqua" w:cs="Times"/>
          <w:lang w:val="en-US"/>
        </w:rPr>
        <w:t>AIH</w:t>
      </w:r>
      <w:r w:rsidR="00333836" w:rsidRPr="0088290D">
        <w:rPr>
          <w:rFonts w:ascii="Book Antiqua" w:hAnsi="Book Antiqua" w:cs="Times"/>
          <w:lang w:val="en-US"/>
        </w:rPr>
        <w:t>.</w:t>
      </w:r>
      <w:r w:rsidRPr="0088290D">
        <w:rPr>
          <w:rFonts w:ascii="Book Antiqua" w:hAnsi="Book Antiqua" w:cs="Times"/>
          <w:lang w:val="en-US"/>
        </w:rPr>
        <w:t xml:space="preserve"> </w:t>
      </w:r>
      <w:r w:rsidR="00B41FD2" w:rsidRPr="0088290D">
        <w:rPr>
          <w:rFonts w:ascii="Book Antiqua" w:hAnsi="Book Antiqua" w:cs="Times"/>
          <w:lang w:val="en-US"/>
        </w:rPr>
        <w:t>A</w:t>
      </w:r>
      <w:r w:rsidR="00B41FD2" w:rsidRPr="0088290D">
        <w:rPr>
          <w:rFonts w:ascii="Book Antiqua" w:hAnsi="Book Antiqua" w:cs="Arial"/>
          <w:lang w:val="en-US"/>
        </w:rPr>
        <w:t xml:space="preserve"> quarter of our PSC patients showed positivity for AAA that</w:t>
      </w:r>
      <w:r w:rsidR="00B41FD2" w:rsidRPr="0088290D">
        <w:rPr>
          <w:rFonts w:ascii="Book Antiqua" w:hAnsi="Book Antiqua" w:cs="Times"/>
          <w:lang w:val="en-US"/>
        </w:rPr>
        <w:t xml:space="preserve"> </w:t>
      </w:r>
      <w:r w:rsidR="00A912A3" w:rsidRPr="0088290D">
        <w:rPr>
          <w:rFonts w:ascii="Book Antiqua" w:hAnsi="Book Antiqua" w:cs="Times"/>
          <w:lang w:val="en-US"/>
        </w:rPr>
        <w:t xml:space="preserve">was significantly higher compared to either </w:t>
      </w:r>
      <w:r w:rsidR="00721255" w:rsidRPr="0088290D">
        <w:rPr>
          <w:rFonts w:ascii="Book Antiqua" w:hAnsi="Book Antiqua" w:cs="Times"/>
          <w:lang w:val="en-US"/>
        </w:rPr>
        <w:t>patients</w:t>
      </w:r>
      <w:r w:rsidR="00076692" w:rsidRPr="0088290D">
        <w:rPr>
          <w:rFonts w:ascii="Book Antiqua" w:hAnsi="Book Antiqua" w:cs="Times"/>
          <w:lang w:val="en-US"/>
        </w:rPr>
        <w:t xml:space="preserve"> with </w:t>
      </w:r>
      <w:r w:rsidR="00A912A3" w:rsidRPr="0088290D">
        <w:rPr>
          <w:rFonts w:ascii="Book Antiqua" w:hAnsi="Book Antiqua" w:cs="Times"/>
          <w:lang w:val="en-US"/>
        </w:rPr>
        <w:t>UC</w:t>
      </w:r>
      <w:r w:rsidR="002D2674" w:rsidRPr="0088290D">
        <w:rPr>
          <w:rFonts w:ascii="Book Antiqua" w:hAnsi="Book Antiqua" w:cs="Times"/>
          <w:lang w:val="en-US"/>
        </w:rPr>
        <w:t xml:space="preserve"> or healthy controls.</w:t>
      </w:r>
      <w:r w:rsidR="00C0140B" w:rsidRPr="0088290D">
        <w:rPr>
          <w:rFonts w:ascii="Book Antiqua" w:hAnsi="Book Antiqua" w:cs="Times"/>
          <w:lang w:val="en-US"/>
        </w:rPr>
        <w:t xml:space="preserve"> </w:t>
      </w:r>
      <w:r w:rsidR="00D66FC9" w:rsidRPr="0088290D">
        <w:rPr>
          <w:rFonts w:ascii="Book Antiqua" w:hAnsi="Book Antiqua" w:cs="Times"/>
          <w:lang w:val="en-US"/>
        </w:rPr>
        <w:t>Contrary to routine laboratory practice, AAA was identified by anti-IgA secondary antibo</w:t>
      </w:r>
      <w:r w:rsidR="00F94814" w:rsidRPr="0088290D">
        <w:rPr>
          <w:rFonts w:ascii="Book Antiqua" w:hAnsi="Book Antiqua" w:cs="Times"/>
          <w:lang w:val="en-US"/>
        </w:rPr>
        <w:t>dy in addition to anti-IgG one</w:t>
      </w:r>
      <w:r w:rsidR="001554DA" w:rsidRPr="0088290D">
        <w:rPr>
          <w:rFonts w:ascii="Book Antiqua" w:hAnsi="Book Antiqua" w:cs="Times"/>
          <w:lang w:val="en-US"/>
        </w:rPr>
        <w:t>. This approach</w:t>
      </w:r>
      <w:r w:rsidR="00F94814" w:rsidRPr="0088290D">
        <w:rPr>
          <w:rFonts w:ascii="Book Antiqua" w:hAnsi="Book Antiqua" w:cs="Times"/>
          <w:lang w:val="en-US"/>
        </w:rPr>
        <w:t xml:space="preserve"> revealed </w:t>
      </w:r>
      <w:r w:rsidR="00703595" w:rsidRPr="0088290D">
        <w:rPr>
          <w:rFonts w:ascii="Book Antiqua" w:hAnsi="Book Antiqua" w:cs="Times"/>
          <w:lang w:val="en-US"/>
        </w:rPr>
        <w:t>isotype dependent</w:t>
      </w:r>
      <w:r w:rsidR="00DB19A9" w:rsidRPr="0088290D">
        <w:rPr>
          <w:rFonts w:ascii="Book Antiqua" w:hAnsi="Book Antiqua" w:cs="Times"/>
          <w:lang w:val="en-US"/>
        </w:rPr>
        <w:t xml:space="preserve"> association of AAA with clinical characteristics of the disease</w:t>
      </w:r>
      <w:r w:rsidR="00DE7A9C" w:rsidRPr="0088290D">
        <w:rPr>
          <w:rFonts w:ascii="Book Antiqua" w:hAnsi="Book Antiqua" w:cs="Times"/>
          <w:lang w:val="en-US"/>
        </w:rPr>
        <w:t>.</w:t>
      </w:r>
      <w:r w:rsidR="00046B4B" w:rsidRPr="0088290D">
        <w:rPr>
          <w:rFonts w:ascii="Book Antiqua" w:hAnsi="Book Antiqua" w:cs="Times"/>
          <w:lang w:val="en-US"/>
        </w:rPr>
        <w:t xml:space="preserve"> </w:t>
      </w:r>
      <w:r w:rsidR="00B3402E" w:rsidRPr="0088290D">
        <w:rPr>
          <w:rFonts w:ascii="Book Antiqua" w:hAnsi="Book Antiqua" w:cs="Times"/>
          <w:lang w:val="en-US"/>
        </w:rPr>
        <w:t>The p</w:t>
      </w:r>
      <w:r w:rsidR="00097430" w:rsidRPr="0088290D">
        <w:rPr>
          <w:rFonts w:ascii="Book Antiqua" w:hAnsi="Book Antiqua" w:cs="Arial"/>
          <w:lang w:val="en-US"/>
        </w:rPr>
        <w:t>resence of IgA</w:t>
      </w:r>
      <w:r w:rsidR="00B3402E" w:rsidRPr="0088290D">
        <w:rPr>
          <w:rFonts w:ascii="Book Antiqua" w:hAnsi="Book Antiqua" w:cs="Arial"/>
          <w:lang w:val="en-US"/>
        </w:rPr>
        <w:t>,</w:t>
      </w:r>
      <w:r w:rsidR="00097430" w:rsidRPr="0088290D">
        <w:rPr>
          <w:rFonts w:ascii="Book Antiqua" w:hAnsi="Book Antiqua" w:cs="Arial"/>
          <w:lang w:val="en-US"/>
        </w:rPr>
        <w:t xml:space="preserve"> but not IgG type AAA indicated more severe disease at baseline based on Mayo risk score</w:t>
      </w:r>
      <w:r w:rsidR="00146820" w:rsidRPr="0088290D">
        <w:rPr>
          <w:rFonts w:ascii="Book Antiqua" w:hAnsi="Book Antiqua" w:cs="Arial"/>
          <w:lang w:val="en-US"/>
        </w:rPr>
        <w:t xml:space="preserve"> and different biochemical parameters.</w:t>
      </w:r>
      <w:r w:rsidR="00855160" w:rsidRPr="0088290D">
        <w:rPr>
          <w:rFonts w:ascii="Book Antiqua" w:hAnsi="Book Antiqua" w:cs="Arial"/>
          <w:lang w:val="en-US"/>
        </w:rPr>
        <w:t xml:space="preserve"> </w:t>
      </w:r>
      <w:r w:rsidR="0097294C" w:rsidRPr="0088290D">
        <w:rPr>
          <w:rFonts w:ascii="Book Antiqua" w:hAnsi="Book Antiqua" w:cs="Arial"/>
          <w:lang w:val="en-US"/>
        </w:rPr>
        <w:t>Concordantly, p</w:t>
      </w:r>
      <w:r w:rsidR="003A2867" w:rsidRPr="0088290D">
        <w:rPr>
          <w:rFonts w:ascii="Book Antiqua" w:hAnsi="Book Antiqua" w:cs="Arial"/>
          <w:lang w:val="en-US"/>
        </w:rPr>
        <w:t xml:space="preserve">revious studies in celiac disease reported that </w:t>
      </w:r>
      <w:r w:rsidR="0097294C" w:rsidRPr="0088290D">
        <w:rPr>
          <w:rFonts w:ascii="Book Antiqua" w:hAnsi="Book Antiqua" w:cs="Arial"/>
          <w:lang w:val="en-US"/>
        </w:rPr>
        <w:t>t</w:t>
      </w:r>
      <w:r w:rsidR="001D6426" w:rsidRPr="0088290D">
        <w:rPr>
          <w:rFonts w:ascii="Book Antiqua" w:hAnsi="Book Antiqua" w:cs="Arial"/>
          <w:lang w:val="en-US"/>
        </w:rPr>
        <w:t xml:space="preserve">he presence of </w:t>
      </w:r>
      <w:r w:rsidR="00540937" w:rsidRPr="0088290D">
        <w:rPr>
          <w:rFonts w:ascii="Book Antiqua" w:hAnsi="Book Antiqua" w:cs="Arial"/>
          <w:lang w:val="en-US"/>
        </w:rPr>
        <w:t xml:space="preserve">IgA isotype </w:t>
      </w:r>
      <w:r w:rsidR="003A2867" w:rsidRPr="0088290D">
        <w:rPr>
          <w:rFonts w:ascii="Book Antiqua" w:hAnsi="Book Antiqua" w:cs="Arial"/>
          <w:lang w:val="en-US"/>
        </w:rPr>
        <w:t xml:space="preserve">AAA </w:t>
      </w:r>
      <w:r w:rsidR="0076022F" w:rsidRPr="0088290D">
        <w:rPr>
          <w:rFonts w:ascii="Book Antiqua" w:hAnsi="Book Antiqua" w:cs="Arial"/>
          <w:lang w:val="en-US"/>
        </w:rPr>
        <w:t xml:space="preserve">were </w:t>
      </w:r>
      <w:r w:rsidR="001D6426" w:rsidRPr="0088290D">
        <w:rPr>
          <w:rFonts w:ascii="Book Antiqua" w:hAnsi="Book Antiqua" w:cs="Arial"/>
          <w:lang w:val="en-US"/>
        </w:rPr>
        <w:t xml:space="preserve">strongly </w:t>
      </w:r>
      <w:r w:rsidR="00EB7A64" w:rsidRPr="0088290D">
        <w:rPr>
          <w:rFonts w:ascii="Book Antiqua" w:hAnsi="Book Antiqua" w:cs="Arial"/>
          <w:lang w:val="en-US"/>
        </w:rPr>
        <w:t>associated with</w:t>
      </w:r>
      <w:r w:rsidR="001D6426" w:rsidRPr="0088290D">
        <w:rPr>
          <w:rFonts w:ascii="Book Antiqua" w:hAnsi="Book Antiqua" w:cs="Arial"/>
          <w:lang w:val="en-US"/>
        </w:rPr>
        <w:t xml:space="preserve"> the degree of </w:t>
      </w:r>
      <w:r w:rsidR="00497413" w:rsidRPr="0088290D">
        <w:rPr>
          <w:rFonts w:ascii="Book Antiqua" w:hAnsi="Book Antiqua" w:cs="Arial"/>
          <w:lang w:val="en-US"/>
        </w:rPr>
        <w:t>active tissue damage of the intestinal mucosa</w:t>
      </w:r>
      <w:r w:rsidR="0076022F" w:rsidRPr="0088290D">
        <w:rPr>
          <w:rFonts w:ascii="Book Antiqua" w:hAnsi="Book Antiqua" w:cs="Arial"/>
          <w:lang w:val="en-US"/>
        </w:rPr>
        <w:t xml:space="preserve">. </w:t>
      </w:r>
      <w:r w:rsidR="00A86834" w:rsidRPr="0088290D">
        <w:rPr>
          <w:rFonts w:ascii="Book Antiqua" w:hAnsi="Book Antiqua" w:cs="Arial"/>
          <w:lang w:val="en-US"/>
        </w:rPr>
        <w:t xml:space="preserve">At the same time, </w:t>
      </w:r>
      <w:r w:rsidR="005E3891" w:rsidRPr="0088290D">
        <w:rPr>
          <w:rFonts w:ascii="Book Antiqua" w:hAnsi="Book Antiqua" w:cs="Arial"/>
          <w:lang w:val="en-US"/>
        </w:rPr>
        <w:t>AAA</w:t>
      </w:r>
      <w:r w:rsidR="003957CE" w:rsidRPr="0088290D">
        <w:rPr>
          <w:rFonts w:ascii="Book Antiqua" w:hAnsi="Book Antiqua" w:cs="Arial"/>
          <w:lang w:val="en-US"/>
        </w:rPr>
        <w:t xml:space="preserve"> IgA-positivity</w:t>
      </w:r>
      <w:r w:rsidR="00F77455" w:rsidRPr="0088290D">
        <w:rPr>
          <w:rFonts w:ascii="Book Antiqua" w:hAnsi="Book Antiqua" w:cs="Arial"/>
          <w:lang w:val="en-US"/>
        </w:rPr>
        <w:t xml:space="preserve"> disappeared parallel to m</w:t>
      </w:r>
      <w:r w:rsidR="00565132" w:rsidRPr="0088290D">
        <w:rPr>
          <w:rFonts w:ascii="Book Antiqua" w:hAnsi="Book Antiqua" w:cs="Arial"/>
          <w:lang w:val="en-US"/>
        </w:rPr>
        <w:t xml:space="preserve">ucosal healing after gluten free diet </w:t>
      </w:r>
      <w:r w:rsidR="00F77455" w:rsidRPr="0088290D">
        <w:rPr>
          <w:rFonts w:ascii="Book Antiqua" w:hAnsi="Book Antiqua" w:cs="Arial"/>
          <w:lang w:val="en-US"/>
        </w:rPr>
        <w:t xml:space="preserve">was introduced. </w:t>
      </w:r>
      <w:r w:rsidR="004F252B" w:rsidRPr="0088290D">
        <w:rPr>
          <w:rFonts w:ascii="Book Antiqua" w:hAnsi="Book Antiqua" w:cs="Arial"/>
          <w:lang w:val="en-US"/>
        </w:rPr>
        <w:t xml:space="preserve">Of note, </w:t>
      </w:r>
      <w:r w:rsidR="00EB7A64" w:rsidRPr="0088290D">
        <w:rPr>
          <w:rFonts w:ascii="Book Antiqua" w:hAnsi="Book Antiqua" w:cs="Arial"/>
          <w:lang w:val="en-US"/>
        </w:rPr>
        <w:t xml:space="preserve">cases with persistent intestinal mucosa damage despite </w:t>
      </w:r>
      <w:r w:rsidR="001D6426" w:rsidRPr="0088290D">
        <w:rPr>
          <w:rFonts w:ascii="Book Antiqua" w:hAnsi="Book Antiqua" w:cs="Arial"/>
          <w:lang w:val="en-US"/>
        </w:rPr>
        <w:t>gluten</w:t>
      </w:r>
      <w:r w:rsidR="00B3402E" w:rsidRPr="0088290D">
        <w:rPr>
          <w:rFonts w:ascii="Book Antiqua" w:hAnsi="Book Antiqua" w:cs="Arial"/>
          <w:lang w:val="en-US"/>
        </w:rPr>
        <w:t>-</w:t>
      </w:r>
      <w:r w:rsidR="001D6426" w:rsidRPr="0088290D">
        <w:rPr>
          <w:rFonts w:ascii="Book Antiqua" w:hAnsi="Book Antiqua" w:cs="Arial"/>
          <w:lang w:val="en-US"/>
        </w:rPr>
        <w:t>free diet</w:t>
      </w:r>
      <w:r w:rsidR="00EB7A64" w:rsidRPr="0088290D">
        <w:rPr>
          <w:rFonts w:ascii="Book Antiqua" w:hAnsi="Book Antiqua" w:cs="Arial"/>
          <w:lang w:val="en-US"/>
        </w:rPr>
        <w:t>,</w:t>
      </w:r>
      <w:r w:rsidR="001D6426" w:rsidRPr="0088290D">
        <w:rPr>
          <w:rFonts w:ascii="Book Antiqua" w:hAnsi="Book Antiqua" w:cs="Arial"/>
          <w:lang w:val="en-US"/>
        </w:rPr>
        <w:t xml:space="preserve"> </w:t>
      </w:r>
      <w:r w:rsidR="00EB7A64" w:rsidRPr="0088290D">
        <w:rPr>
          <w:rFonts w:ascii="Book Antiqua" w:hAnsi="Book Antiqua" w:cs="Arial"/>
          <w:lang w:val="en-US"/>
        </w:rPr>
        <w:t>remained</w:t>
      </w:r>
      <w:r w:rsidR="004F252B" w:rsidRPr="0088290D">
        <w:rPr>
          <w:rFonts w:ascii="Book Antiqua" w:hAnsi="Book Antiqua" w:cs="Arial"/>
          <w:lang w:val="en-US"/>
        </w:rPr>
        <w:t xml:space="preserve"> positive for </w:t>
      </w:r>
      <w:r w:rsidR="00AB6C42" w:rsidRPr="0088290D">
        <w:rPr>
          <w:rFonts w:ascii="Book Antiqua" w:hAnsi="Book Antiqua" w:cs="Arial"/>
          <w:lang w:val="en-US"/>
        </w:rPr>
        <w:t xml:space="preserve">AAA </w:t>
      </w:r>
      <w:r w:rsidR="006716DE">
        <w:rPr>
          <w:rFonts w:ascii="Book Antiqua" w:hAnsi="Book Antiqua" w:cs="Arial"/>
          <w:lang w:val="en-US"/>
        </w:rPr>
        <w:t>IgA antibody</w:t>
      </w:r>
      <w:r w:rsidR="00540937" w:rsidRPr="0088290D">
        <w:rPr>
          <w:rFonts w:ascii="Book Antiqua" w:hAnsi="Book Antiqua" w:cs="Arial"/>
          <w:lang w:val="en-US"/>
        </w:rPr>
        <w:fldChar w:fldCharType="begin" w:fldLock="1"/>
      </w:r>
      <w:r w:rsidR="00D97BD8" w:rsidRPr="0088290D">
        <w:rPr>
          <w:rFonts w:ascii="Book Antiqua" w:hAnsi="Book Antiqua" w:cs="Arial"/>
          <w:lang w:val="en-US"/>
        </w:rPr>
        <w:instrText>ADDIN CSL_CITATION { "citationItems" : [ { "id" : "ITEM-1", "itemData" : { "DOI" : "10.1111/j.1572-0241.2004.30296.x", "author" : [ { "dropping-particle" : "", "family" : "Clemente", "given" : "M G", "non-dropping-particle" : "", "parse-names" : false, "suffix" : "" }, { "dropping-particle" : "", "family" : "Musu", "given" : "M P", "non-dropping-particle" : "", "parse-names" : false, "suffix" : "" }, { "dropping-particle" : "", "family" : "Troncone", "given" : "R", "non-dropping-particle" : "", "parse-names" : false, "suffix" : "" }, { "dropping-particle" : "", "family" : "Volta", "given" : "U", "non-dropping-particle" : "", "parse-names" : false, "suffix" : "" }, { "dropping-particle" : "", "family" : "Congia", "given" : "M", "non-dropping-particle" : "", "parse-names" : false, "suffix" : "" }, { "dropping-particle" : "", "family" : "Ciacci", "given" : "C", "non-dropping-particle" : "", "parse-names" : false, "suffix" : "" } ], "id" : "ITEM-1", "issued" : { "date-parts" : [ [ "2004" ] ] }, "page" : "1551-1556", "title" : "Enterocyte Actin Autoantibody Detection : A New Diagnostic Tool in Celiac Disease Diagnosis : Results of a Multicenter Study", "type" : "article-journal" }, "uris" : [ "http://www.mendeley.com/documents/?uuid=fb2928fa-110a-4d9a-830e-77f1f8e66c2c" ] } ], "mendeley" : { "formattedCitation" : "&lt;sup&gt;[23]&lt;/sup&gt;", "plainTextFormattedCitation" : "[23]", "previouslyFormattedCitation" : "&lt;sup&gt;[23]&lt;/sup&gt;" }, "properties" : { "noteIndex" : 0 }, "schema" : "https://github.com/citation-style-language/schema/raw/master/csl-citation.json" }</w:instrText>
      </w:r>
      <w:r w:rsidR="00540937" w:rsidRPr="0088290D">
        <w:rPr>
          <w:rFonts w:ascii="Book Antiqua" w:hAnsi="Book Antiqua" w:cs="Arial"/>
          <w:lang w:val="en-US"/>
        </w:rPr>
        <w:fldChar w:fldCharType="separate"/>
      </w:r>
      <w:r w:rsidR="00E802D3" w:rsidRPr="0088290D">
        <w:rPr>
          <w:rFonts w:ascii="Book Antiqua" w:hAnsi="Book Antiqua" w:cs="Arial"/>
          <w:noProof/>
          <w:vertAlign w:val="superscript"/>
          <w:lang w:val="en-US"/>
        </w:rPr>
        <w:t>[23]</w:t>
      </w:r>
      <w:r w:rsidR="00540937" w:rsidRPr="0088290D">
        <w:rPr>
          <w:rFonts w:ascii="Book Antiqua" w:hAnsi="Book Antiqua" w:cs="Arial"/>
          <w:lang w:val="en-US"/>
        </w:rPr>
        <w:fldChar w:fldCharType="end"/>
      </w:r>
      <w:r w:rsidR="006716DE">
        <w:rPr>
          <w:rFonts w:ascii="Book Antiqua" w:eastAsia="SimSun" w:hAnsi="Book Antiqua" w:cs="Arial" w:hint="eastAsia"/>
          <w:lang w:val="en-US" w:eastAsia="zh-CN"/>
        </w:rPr>
        <w:t>.</w:t>
      </w:r>
    </w:p>
    <w:p w14:paraId="6EFA2400" w14:textId="281223B1" w:rsidR="00C8357A" w:rsidRPr="0088290D" w:rsidRDefault="00586C82" w:rsidP="007940D7">
      <w:pPr>
        <w:widowControl w:val="0"/>
        <w:autoSpaceDE w:val="0"/>
        <w:autoSpaceDN w:val="0"/>
        <w:adjustRightInd w:val="0"/>
        <w:spacing w:line="360" w:lineRule="auto"/>
        <w:jc w:val="both"/>
        <w:rPr>
          <w:rFonts w:ascii="Book Antiqua" w:hAnsi="Book Antiqua"/>
          <w:lang w:val="en-US"/>
        </w:rPr>
      </w:pPr>
      <w:r w:rsidRPr="0088290D">
        <w:rPr>
          <w:rFonts w:ascii="Book Antiqua" w:hAnsi="Book Antiqua" w:cs="Arial"/>
          <w:lang w:val="en-US"/>
        </w:rPr>
        <w:lastRenderedPageBreak/>
        <w:tab/>
      </w:r>
      <w:r w:rsidR="00C00060" w:rsidRPr="0088290D">
        <w:rPr>
          <w:rFonts w:ascii="Book Antiqua" w:hAnsi="Book Antiqua" w:cs="Arial"/>
          <w:lang w:val="en-US"/>
        </w:rPr>
        <w:t>A</w:t>
      </w:r>
      <w:r w:rsidR="00355DF6" w:rsidRPr="0088290D">
        <w:rPr>
          <w:rFonts w:ascii="Book Antiqua" w:hAnsi="Book Antiqua" w:cs="Arial"/>
          <w:lang w:val="en-US"/>
        </w:rPr>
        <w:t xml:space="preserve">s </w:t>
      </w:r>
      <w:r w:rsidR="002C2EBF" w:rsidRPr="0088290D">
        <w:rPr>
          <w:rFonts w:ascii="Book Antiqua" w:hAnsi="Book Antiqua" w:cs="Arial"/>
          <w:lang w:val="en-US"/>
        </w:rPr>
        <w:t>a further</w:t>
      </w:r>
      <w:r w:rsidR="00355DF6" w:rsidRPr="0088290D">
        <w:rPr>
          <w:rFonts w:ascii="Book Antiqua" w:hAnsi="Book Antiqua" w:cs="Arial"/>
          <w:lang w:val="en-US"/>
        </w:rPr>
        <w:t xml:space="preserve"> n</w:t>
      </w:r>
      <w:r w:rsidR="00C00060" w:rsidRPr="0088290D">
        <w:rPr>
          <w:rFonts w:ascii="Book Antiqua" w:hAnsi="Book Antiqua" w:cs="Arial"/>
          <w:lang w:val="en-US"/>
        </w:rPr>
        <w:t>ovel finding of our study</w:t>
      </w:r>
      <w:r w:rsidR="002557CC" w:rsidRPr="0088290D">
        <w:rPr>
          <w:rFonts w:ascii="Book Antiqua" w:hAnsi="Book Antiqua" w:cs="Arial"/>
          <w:lang w:val="en-US"/>
        </w:rPr>
        <w:t>,</w:t>
      </w:r>
      <w:r w:rsidR="00C00060" w:rsidRPr="0088290D">
        <w:rPr>
          <w:rFonts w:ascii="Book Antiqua" w:hAnsi="Book Antiqua" w:cs="Arial"/>
          <w:lang w:val="en-US"/>
        </w:rPr>
        <w:t xml:space="preserve"> </w:t>
      </w:r>
      <w:r w:rsidR="00B3402E" w:rsidRPr="0088290D">
        <w:rPr>
          <w:rFonts w:ascii="Book Antiqua" w:hAnsi="Book Antiqua" w:cs="Arial"/>
          <w:lang w:val="en-US"/>
        </w:rPr>
        <w:t xml:space="preserve">the </w:t>
      </w:r>
      <w:r w:rsidR="00C00060" w:rsidRPr="0088290D">
        <w:rPr>
          <w:rFonts w:ascii="Book Antiqua" w:hAnsi="Book Antiqua" w:cs="Arial"/>
          <w:lang w:val="en-US"/>
        </w:rPr>
        <w:t>presence</w:t>
      </w:r>
      <w:r w:rsidR="00513A9B" w:rsidRPr="0088290D">
        <w:rPr>
          <w:rFonts w:ascii="Book Antiqua" w:hAnsi="Book Antiqua" w:cs="Arial"/>
          <w:lang w:val="en-US"/>
        </w:rPr>
        <w:t xml:space="preserve"> of </w:t>
      </w:r>
      <w:r w:rsidR="00D01492" w:rsidRPr="0088290D">
        <w:rPr>
          <w:rFonts w:ascii="Book Antiqua" w:hAnsi="Book Antiqua" w:cs="Arial"/>
          <w:lang w:val="en-US"/>
        </w:rPr>
        <w:t>AAA</w:t>
      </w:r>
      <w:r w:rsidR="00513A9B" w:rsidRPr="0088290D">
        <w:rPr>
          <w:rFonts w:ascii="Book Antiqua" w:hAnsi="Book Antiqua" w:cs="Arial"/>
          <w:lang w:val="en-US"/>
        </w:rPr>
        <w:t xml:space="preserve"> IgA-positivity </w:t>
      </w:r>
      <w:r w:rsidR="0022005F" w:rsidRPr="0088290D">
        <w:rPr>
          <w:rFonts w:ascii="Book Antiqua" w:hAnsi="Book Antiqua" w:cs="Arial"/>
          <w:lang w:val="en-US"/>
        </w:rPr>
        <w:t>predicted faster disease progression during follow-up, even after adjusting for the presence of cirrhosis or the Mayo risk score.</w:t>
      </w:r>
      <w:r w:rsidR="002C41BE" w:rsidRPr="0088290D">
        <w:rPr>
          <w:rFonts w:ascii="Book Antiqua" w:hAnsi="Book Antiqua" w:cs="Arial"/>
          <w:lang w:val="en-US"/>
        </w:rPr>
        <w:t xml:space="preserve"> </w:t>
      </w:r>
      <w:r w:rsidR="005D3066" w:rsidRPr="0088290D">
        <w:rPr>
          <w:rFonts w:ascii="Book Antiqua" w:hAnsi="Book Antiqua" w:cs="Arial"/>
          <w:lang w:val="en-US"/>
        </w:rPr>
        <w:t xml:space="preserve">We considered </w:t>
      </w:r>
      <w:r w:rsidR="002C41BE" w:rsidRPr="0088290D">
        <w:rPr>
          <w:rFonts w:ascii="Book Antiqua" w:hAnsi="Book Antiqua" w:cs="Arial"/>
          <w:lang w:val="en-US"/>
        </w:rPr>
        <w:t>both liver-related death and OLTx as equal endpoints, since they represent the development of end-stage liver disease as the result of the progressive fibrosis.</w:t>
      </w:r>
      <w:r w:rsidR="001254E4" w:rsidRPr="0088290D">
        <w:rPr>
          <w:rFonts w:ascii="Book Antiqua" w:hAnsi="Book Antiqua"/>
          <w:lang w:val="en-US"/>
        </w:rPr>
        <w:t xml:space="preserve"> </w:t>
      </w:r>
    </w:p>
    <w:p w14:paraId="3C5AD92D" w14:textId="64DD616D" w:rsidR="00C8357A" w:rsidRPr="0088290D" w:rsidRDefault="00C8357A" w:rsidP="007940D7">
      <w:pPr>
        <w:widowControl w:val="0"/>
        <w:autoSpaceDE w:val="0"/>
        <w:autoSpaceDN w:val="0"/>
        <w:adjustRightInd w:val="0"/>
        <w:spacing w:line="360" w:lineRule="auto"/>
        <w:jc w:val="both"/>
        <w:rPr>
          <w:rFonts w:ascii="Book Antiqua" w:hAnsi="Book Antiqua"/>
          <w:lang w:val="en-US"/>
        </w:rPr>
      </w:pPr>
      <w:r w:rsidRPr="0088290D">
        <w:rPr>
          <w:rFonts w:ascii="Book Antiqua" w:hAnsi="Book Antiqua"/>
          <w:lang w:val="en-US"/>
        </w:rPr>
        <w:tab/>
      </w:r>
      <w:r w:rsidR="008C57F3" w:rsidRPr="0088290D">
        <w:rPr>
          <w:rFonts w:ascii="Book Antiqua" w:hAnsi="Book Antiqua" w:cs="Arial"/>
          <w:lang w:val="en-US"/>
        </w:rPr>
        <w:t xml:space="preserve">The mechanism how the breakdown of tolerance towards F-actin is associated with the development of enhanced fibrosis, and thus disease progression in the liver </w:t>
      </w:r>
      <w:r w:rsidR="008C57F3" w:rsidRPr="0088290D">
        <w:rPr>
          <w:rFonts w:ascii="Book Antiqua" w:hAnsi="Book Antiqua"/>
          <w:lang w:val="en-US"/>
        </w:rPr>
        <w:t>remaine</w:t>
      </w:r>
      <w:r w:rsidR="00B3402E" w:rsidRPr="0088290D">
        <w:rPr>
          <w:rFonts w:ascii="Book Antiqua" w:hAnsi="Book Antiqua"/>
          <w:lang w:val="en-US"/>
        </w:rPr>
        <w:t>s</w:t>
      </w:r>
      <w:r w:rsidR="008C57F3" w:rsidRPr="0088290D">
        <w:rPr>
          <w:rFonts w:ascii="Book Antiqua" w:hAnsi="Book Antiqua"/>
          <w:lang w:val="en-US"/>
        </w:rPr>
        <w:t xml:space="preserve"> to be elucidated.</w:t>
      </w:r>
      <w:r w:rsidRPr="0088290D">
        <w:rPr>
          <w:rFonts w:ascii="Book Antiqua" w:hAnsi="Book Antiqua"/>
          <w:lang w:val="en-US"/>
        </w:rPr>
        <w:t xml:space="preserve"> </w:t>
      </w:r>
      <w:r w:rsidRPr="0088290D">
        <w:rPr>
          <w:rFonts w:ascii="Book Antiqua" w:hAnsi="Book Antiqua" w:cs="Arial"/>
          <w:lang w:val="en-US"/>
        </w:rPr>
        <w:t>Interestingly, in our study patients with positivity for AAA IgA had an enhanced mucosal immune response to microbial antigens, like endotoxin (EndoCab IgA) or bacterial proteins (anti-OMP</w:t>
      </w:r>
      <w:r w:rsidR="00B3402E" w:rsidRPr="0088290D">
        <w:rPr>
          <w:rFonts w:ascii="Book Antiqua" w:hAnsi="Book Antiqua" w:cs="Arial"/>
          <w:lang w:val="en-US"/>
        </w:rPr>
        <w:t xml:space="preserve"> Plus</w:t>
      </w:r>
      <w:r w:rsidRPr="0088290D">
        <w:rPr>
          <w:rFonts w:ascii="Book Antiqua" w:hAnsi="Book Antiqua" w:cs="Arial"/>
          <w:lang w:val="en-US"/>
        </w:rPr>
        <w:t xml:space="preserve"> IgA). This immune response seems to be restricted to the intestinal mucosal compartment without leading to systemic reaction since serum LBP concentration, the serologic hallmark of systemic LPS exposure were similar in </w:t>
      </w:r>
      <w:r w:rsidRPr="0088290D">
        <w:rPr>
          <w:rFonts w:ascii="Book Antiqua" w:hAnsi="Book Antiqua"/>
          <w:lang w:val="en-US"/>
        </w:rPr>
        <w:t>AAA IgA positive and negative cases. This result is in agreement with the findings of previous studies. Namely, portal venous bacteraemia is not frequent in PSC. However, exposure of endotoxins to biliary epithelial cells leads to disruption of enterocytes’ and cholangiocytes’ tight junctions through TLR4 mediated signaling that is an important step in the pathog</w:t>
      </w:r>
      <w:r w:rsidR="006716DE">
        <w:rPr>
          <w:rFonts w:ascii="Book Antiqua" w:hAnsi="Book Antiqua"/>
          <w:lang w:val="en-US"/>
        </w:rPr>
        <w:t>enesis in animal models of PSC</w:t>
      </w:r>
      <w:r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"DOI" : "10.1053/j.gastro.2013.06.052", "ISSN" : "1528-0012 (Electronic)", "PMID" : "23827861", "abstract" : "Primary sclerosing cholangitis (PSC), first described in the mid-1850s, is a complex liver disease that is heterogeneous in its presentation. PSC is characterized by chronic cholestasis associated with chronic inflammation of the biliary epithelium, resulting in multifocal bile duct strictures that can affect the entire biliary tree. Chronic inflammation leads to fibrosis involving the hepatic parenchyma and biliary tree, which can lead to cirrhosis and malignancy. The etiology of PSC is not fully understood, which in part explains the lack of effective medical therapy for this condition. However, we have begun to better understand the molecular pathogenesis of PSC. The recognition of specific clinical subtypes and their pattern of progression could improve phenotypic and genotypic classification of the disease. We review our current understanding of this enigmatic disorder and discuss important topics for future studies.", "author" : [ { "dropping-particle" : "", "family" : "Eaton", "given" : "John E", "non-dropping-particle" : "", "parse-names" : false, "suffix" : "" }, { "dropping-particle" : "", "family" : "Talwalkar", "given" : "Jayant A", "non-dropping-particle" : "", "parse-names" : false, "suffix" : "" }, { "dropping-particle" : "", "family" : "Lazaridis", "given" : "Konstantinos N", "non-dropping-particle" : "", "parse-names" : false, "suffix" : "" }, { "dropping-particle" : "", "family" : "Gores", "given" : "Gregory J", "non-dropping-particle" : "", "parse-names" : false, "suffix" : "" }, { "dropping-particle" : "", "family" : "Lindor", "given" : "Keith D", "non-dropping-particle" : "", "parse-names" : false, "suffix" : "" } ], "container-title" : "Gastroenterology", "id" : "ITEM-1", "issue" : "3", "issued" : { "date-parts" : [ [ "2013", "9" ] ] }, "language" : "eng", "page" : "521-536", "publisher-place" : "United States", "title" : "Pathogenesis of primary sclerosing cholangitis and advances in diagnosis and management.", "type" : "article-journal", "volume" : "145" }, "uris" : [ "http://www.mendeley.com/documents/?uuid=1eca15e6-3653-4ef4-bff1-c71790173f76" ] }, { "id" : "ITEM-2", "itemData" : { "DOI" : "10.1016/j.ajpath.2012.10.014", "ISSN" : "0002-9440 (Print)", "PMID" : "23201091", "abstract" : "Bacterial-derived lipopolysaccharides (LPS) play an essential role in the inflammatory process of inflammatory bowel disease. A defective intestinal tight junction (TJ) barrier is an important pathogenic factor of inflammatory bowel disease and other inflammatory conditions of the gut. Despite its importance in mediating intestinal inflammation, the physiological effects of LPS on the intestinal epithelial barrier remain unclear. The major aims of this study were to determine the effects of physiologically relevant concentrations of LPS (0 to 1 ng/mL) on intestinal barrier function using an in\u00a0vitro (filter-grown Caco-2 monolayers) and an in\u00a0vivo (mouse intestinal perfusion) intestinal epithelial model system. LPS, at physiologically relevant concentrations (0 to 1 ng/mL), in the basolateral compartment produced a time-dependent increase in Caco-2 TJ permeability without inducing cell death. Intraperitoneal injection of LPS (0.1 mg/kg), leading to clinically relevant plasma concentrations, also caused a time-dependent increase in intestinal permeability in\u00a0vivo. The LPS-induced increase in intestinal TJ permeability was mediated by an increase in enterocyte membrane TLR-4 expression and a TLR-4\u2013dependent increase in membrane colocalization of membrane-associated protein CD14. In conclusion, these studies show for the first time that LPS causes an increase in intestinal permeability via an intracellular mechanism involving TLR-4\u2013dependent up-regulation of CD14 membrane expression. ", "author" : [ { "dropping-particle" : "", "family" : "Guo", "given" : "Shuhong", "non-dropping-particle" : "", "parse-names" : false, "suffix" : "" }, { "dropping-particle" : "", "family" : "Al-Sadi", "given" : "Rana", "non-dropping-particle" : "", "parse-names" : false, "suffix" : "" }, { "dropping-particle" : "", "family" : "Said", "given" : "Hamid M", "non-dropping-particle" : "", "parse-names" : false, "suffix" : "" }, { "dropping-particle" : "", "family" : "Ma", "given" : "Thomas Y", "non-dropping-particle" : "", "parse-names" : false, "suffix" : "" } ], "container-title" : "The American Journal of Pathology", "id" : "ITEM-2", "issue" : "2", "issued" : { "date-parts" : [ [ "2013", "2" ] ] }, "language" : "eng", "page" : "375-387", "title" : "Lipopolysaccharide Causes an Increase in Intestinal Tight Junction Permeability in\u00a0Vitro and in\u00a0Vivo by Inducing Enterocyte Membrane Expression and Localization of TLR-4 and CD14", "type" : "article", "volume" : "182" }, "uris" : [ "http://www.mendeley.com/documents/?uuid=7b9dd845-a693-4041-8299-a0b2e3332c2c" ] } ], "mendeley" : { "formattedCitation" : "&lt;sup&gt;[3,24]&lt;/sup&gt;", "plainTextFormattedCitation" : "[3,24]", "previouslyFormattedCitation" : "&lt;sup&gt;[3,24]&lt;/sup&gt;" }, "properties" : { "noteIndex" : 0 }, "schema" : "https://github.com/citation-style-language/schema/raw/master/csl-citation.json" }</w:instrText>
      </w:r>
      <w:r w:rsidRPr="0088290D">
        <w:rPr>
          <w:rFonts w:ascii="Book Antiqua" w:hAnsi="Book Antiqua"/>
          <w:lang w:val="en-US"/>
        </w:rPr>
        <w:fldChar w:fldCharType="separate"/>
      </w:r>
      <w:r w:rsidR="00E802D3" w:rsidRPr="0088290D">
        <w:rPr>
          <w:rFonts w:ascii="Book Antiqua" w:hAnsi="Book Antiqua"/>
          <w:noProof/>
          <w:vertAlign w:val="superscript"/>
          <w:lang w:val="en-US"/>
        </w:rPr>
        <w:t>[3,24]</w:t>
      </w:r>
      <w:r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Pr="0088290D">
        <w:rPr>
          <w:rFonts w:ascii="Book Antiqua" w:hAnsi="Book Antiqua"/>
          <w:lang w:val="en-US"/>
        </w:rPr>
        <w:t>Our observation that serum level of I-FABP was significantly higher in the group of patients with AAA IgA-positivity compared to those with AAA IgA-negativity corresponds to these above-mentioned literature findings. I-FABP is considered an accurate marker of enterocyte damage, since it is specifically produced by enterocytes and is released to systemic circulation in case of cellular injury during inflammatory processes.</w:t>
      </w:r>
    </w:p>
    <w:p w14:paraId="56B07DE1" w14:textId="30FB1A3D" w:rsidR="0029316E" w:rsidRPr="0088290D" w:rsidRDefault="001925C9" w:rsidP="007940D7">
      <w:pPr>
        <w:spacing w:line="360" w:lineRule="auto"/>
        <w:jc w:val="both"/>
        <w:rPr>
          <w:rFonts w:ascii="Book Antiqua" w:hAnsi="Book Antiqua"/>
          <w:lang w:val="en-US"/>
        </w:rPr>
      </w:pPr>
      <w:r w:rsidRPr="0088290D">
        <w:rPr>
          <w:rFonts w:ascii="Book Antiqua" w:hAnsi="Book Antiqua"/>
          <w:lang w:val="en-US"/>
        </w:rPr>
        <w:tab/>
        <w:t xml:space="preserve"> </w:t>
      </w:r>
      <w:r w:rsidR="00AC560D" w:rsidRPr="0088290D">
        <w:rPr>
          <w:rFonts w:ascii="Book Antiqua" w:hAnsi="Book Antiqua"/>
          <w:lang w:val="en-US"/>
        </w:rPr>
        <w:t xml:space="preserve">Autoantibodies are generally not pathogenic in PSC, therefore it may be unlikely that the severity of biliary injury is driven by humoral factors. Production of </w:t>
      </w:r>
      <w:r w:rsidR="00EB7CDA" w:rsidRPr="0088290D">
        <w:rPr>
          <w:rFonts w:ascii="Book Antiqua" w:hAnsi="Book Antiqua"/>
          <w:lang w:val="en-US"/>
        </w:rPr>
        <w:t xml:space="preserve">AAA </w:t>
      </w:r>
      <w:r w:rsidR="00AC560D" w:rsidRPr="0088290D">
        <w:rPr>
          <w:rFonts w:ascii="Book Antiqua" w:hAnsi="Book Antiqua"/>
          <w:lang w:val="en-US"/>
        </w:rPr>
        <w:t>may reflect</w:t>
      </w:r>
      <w:r w:rsidR="00EB7CDA" w:rsidRPr="0088290D">
        <w:rPr>
          <w:rFonts w:ascii="Book Antiqua" w:hAnsi="Book Antiqua"/>
          <w:lang w:val="en-US"/>
        </w:rPr>
        <w:t xml:space="preserve">, </w:t>
      </w:r>
      <w:r w:rsidR="00AC560D" w:rsidRPr="0088290D">
        <w:rPr>
          <w:rFonts w:ascii="Book Antiqua" w:hAnsi="Book Antiqua"/>
          <w:lang w:val="en-US"/>
        </w:rPr>
        <w:t xml:space="preserve">however an enhanced </w:t>
      </w:r>
      <w:r w:rsidR="001531F7" w:rsidRPr="0088290D">
        <w:rPr>
          <w:rFonts w:ascii="Book Antiqua" w:hAnsi="Book Antiqua"/>
          <w:lang w:val="en-US"/>
        </w:rPr>
        <w:t>(immune)</w:t>
      </w:r>
      <w:r w:rsidR="006716DE">
        <w:rPr>
          <w:rFonts w:ascii="Book Antiqua" w:eastAsia="SimSun" w:hAnsi="Book Antiqua" w:hint="eastAsia"/>
          <w:lang w:val="en-US" w:eastAsia="zh-CN"/>
        </w:rPr>
        <w:t xml:space="preserve"> </w:t>
      </w:r>
      <w:r w:rsidR="001531F7" w:rsidRPr="0088290D">
        <w:rPr>
          <w:rFonts w:ascii="Book Antiqua" w:hAnsi="Book Antiqua"/>
          <w:lang w:val="en-US"/>
        </w:rPr>
        <w:t>re</w:t>
      </w:r>
      <w:r w:rsidR="00AC560D" w:rsidRPr="0088290D">
        <w:rPr>
          <w:rFonts w:ascii="Book Antiqua" w:hAnsi="Book Antiqua"/>
          <w:lang w:val="en-US"/>
        </w:rPr>
        <w:t xml:space="preserve">activity of lymphocytes </w:t>
      </w:r>
      <w:r w:rsidR="0065003B" w:rsidRPr="0088290D">
        <w:rPr>
          <w:rFonts w:ascii="Book Antiqua" w:hAnsi="Book Antiqua"/>
          <w:lang w:val="en-US"/>
        </w:rPr>
        <w:t>towards</w:t>
      </w:r>
      <w:r w:rsidR="001531F7" w:rsidRPr="0088290D">
        <w:rPr>
          <w:rFonts w:ascii="Book Antiqua" w:hAnsi="Book Antiqua"/>
          <w:lang w:val="en-US"/>
        </w:rPr>
        <w:t xml:space="preserve"> surrounding tissue and/or</w:t>
      </w:r>
      <w:r w:rsidR="0065003B" w:rsidRPr="0088290D">
        <w:rPr>
          <w:rFonts w:ascii="Book Antiqua" w:hAnsi="Book Antiqua"/>
          <w:lang w:val="en-US"/>
        </w:rPr>
        <w:t xml:space="preserve"> cellular debris.</w:t>
      </w:r>
      <w:r w:rsidR="00EF2C71" w:rsidRPr="0088290D">
        <w:rPr>
          <w:rFonts w:ascii="Book Antiqua" w:hAnsi="Book Antiqua"/>
          <w:lang w:val="en-US"/>
        </w:rPr>
        <w:t xml:space="preserve"> Of note</w:t>
      </w:r>
      <w:r w:rsidR="0013136B" w:rsidRPr="0088290D">
        <w:rPr>
          <w:rFonts w:ascii="Book Antiqua" w:hAnsi="Book Antiqua"/>
          <w:lang w:val="en-US"/>
        </w:rPr>
        <w:t>,</w:t>
      </w:r>
      <w:r w:rsidR="00EF2C71" w:rsidRPr="0088290D">
        <w:rPr>
          <w:rFonts w:ascii="Book Antiqua" w:hAnsi="Book Antiqua"/>
          <w:lang w:val="en-US"/>
        </w:rPr>
        <w:t xml:space="preserve"> </w:t>
      </w:r>
      <w:r w:rsidR="00EB7CDA" w:rsidRPr="0088290D">
        <w:rPr>
          <w:rFonts w:ascii="Book Antiqua" w:hAnsi="Book Antiqua"/>
          <w:lang w:val="en-US"/>
        </w:rPr>
        <w:t>AAA</w:t>
      </w:r>
      <w:r w:rsidR="00EF2C71" w:rsidRPr="0088290D">
        <w:rPr>
          <w:rFonts w:ascii="Book Antiqua" w:hAnsi="Book Antiqua"/>
          <w:lang w:val="en-US"/>
        </w:rPr>
        <w:t xml:space="preserve"> </w:t>
      </w:r>
      <w:r w:rsidR="006F0A79" w:rsidRPr="0088290D">
        <w:rPr>
          <w:rFonts w:ascii="Book Antiqua" w:hAnsi="Book Antiqua"/>
          <w:lang w:val="en-US"/>
        </w:rPr>
        <w:t xml:space="preserve">is </w:t>
      </w:r>
      <w:r w:rsidR="00EF2C71" w:rsidRPr="0088290D">
        <w:rPr>
          <w:rFonts w:ascii="Book Antiqua" w:hAnsi="Book Antiqua"/>
          <w:lang w:val="en-US"/>
        </w:rPr>
        <w:t>not organ</w:t>
      </w:r>
      <w:r w:rsidR="00B3402E" w:rsidRPr="0088290D">
        <w:rPr>
          <w:rFonts w:ascii="Book Antiqua" w:hAnsi="Book Antiqua"/>
          <w:lang w:val="en-US"/>
        </w:rPr>
        <w:t>-</w:t>
      </w:r>
      <w:r w:rsidR="00EF2C71" w:rsidRPr="0088290D">
        <w:rPr>
          <w:rFonts w:ascii="Book Antiqua" w:hAnsi="Book Antiqua"/>
          <w:lang w:val="en-US"/>
        </w:rPr>
        <w:t xml:space="preserve">specific since they may be present in a wide range of </w:t>
      </w:r>
      <w:r w:rsidR="00EF2C71" w:rsidRPr="0088290D">
        <w:rPr>
          <w:rFonts w:ascii="Book Antiqua" w:hAnsi="Book Antiqua"/>
          <w:lang w:val="en-US"/>
        </w:rPr>
        <w:lastRenderedPageBreak/>
        <w:t>immune</w:t>
      </w:r>
      <w:r w:rsidR="00B3402E" w:rsidRPr="0088290D">
        <w:rPr>
          <w:rFonts w:ascii="Book Antiqua" w:hAnsi="Book Antiqua"/>
          <w:lang w:val="en-US"/>
        </w:rPr>
        <w:t>-</w:t>
      </w:r>
      <w:r w:rsidR="00EF2C71" w:rsidRPr="0088290D">
        <w:rPr>
          <w:rFonts w:ascii="Book Antiqua" w:hAnsi="Book Antiqua"/>
          <w:lang w:val="en-US"/>
        </w:rPr>
        <w:t xml:space="preserve">mediated diseases other than PSC, </w:t>
      </w:r>
      <w:r w:rsidR="00A36E88" w:rsidRPr="0088290D">
        <w:rPr>
          <w:rFonts w:ascii="Book Antiqua" w:hAnsi="Book Antiqua"/>
          <w:lang w:val="en-US"/>
        </w:rPr>
        <w:t>as mentioned previously</w:t>
      </w:r>
      <w:r w:rsidR="00EF2C71" w:rsidRPr="0088290D">
        <w:rPr>
          <w:rFonts w:ascii="Book Antiqua" w:hAnsi="Book Antiqua"/>
          <w:lang w:val="en-US"/>
        </w:rPr>
        <w:t>.</w:t>
      </w:r>
      <w:r w:rsidR="006F0A79" w:rsidRPr="0088290D">
        <w:rPr>
          <w:rFonts w:ascii="Book Antiqua" w:hAnsi="Book Antiqua"/>
          <w:lang w:val="en-US"/>
        </w:rPr>
        <w:t xml:space="preserve"> IgG isotype AAA </w:t>
      </w:r>
      <w:r w:rsidR="003C690F" w:rsidRPr="0088290D">
        <w:rPr>
          <w:rFonts w:ascii="Book Antiqua" w:hAnsi="Book Antiqua"/>
          <w:lang w:val="en-US"/>
        </w:rPr>
        <w:t>was</w:t>
      </w:r>
      <w:r w:rsidR="00BE0FE5" w:rsidRPr="0088290D">
        <w:rPr>
          <w:rFonts w:ascii="Book Antiqua" w:hAnsi="Book Antiqua"/>
          <w:lang w:val="en-US"/>
        </w:rPr>
        <w:t xml:space="preserve"> associated with </w:t>
      </w:r>
      <w:r w:rsidR="001B6C87" w:rsidRPr="0088290D">
        <w:rPr>
          <w:rFonts w:ascii="Book Antiqua" w:hAnsi="Book Antiqua"/>
          <w:lang w:val="en-US"/>
        </w:rPr>
        <w:t xml:space="preserve">disease activity and </w:t>
      </w:r>
      <w:r w:rsidR="00BE0FE5" w:rsidRPr="0088290D">
        <w:rPr>
          <w:rFonts w:ascii="Book Antiqua" w:hAnsi="Book Antiqua"/>
          <w:lang w:val="en-US"/>
        </w:rPr>
        <w:t>poor survival</w:t>
      </w:r>
      <w:r w:rsidR="004E1706" w:rsidRPr="0088290D">
        <w:rPr>
          <w:rFonts w:ascii="Book Antiqua" w:hAnsi="Book Antiqua"/>
          <w:lang w:val="en-US"/>
        </w:rPr>
        <w:t xml:space="preserve"> in autoimmune hepatitis</w:t>
      </w:r>
      <w:r w:rsidR="0062186E"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"DOI" : "10.1002/hep.26666", "ISSN" : "1527-3350 (Electronic)", "PMID" : "23929663", "abstract" : "UNLABELLED: Reactivity and titers of autoantibodies vary during the course of autoimmune hepatitis (AIH), and some autoantibodies have been associated with disease activity and adverse outcomes after treatment. The aim of this study was to assess the autoantibody behavior in AIH and its significance as predictors of biochemical and histological remission. A total of 117 patients with AIH (mean age 18.6 [4-69] years) were evaluated and tested for autoantibodies at disease onset and successively (mean 3.2 [2-6] times) after a mean follow-up evaluation of 70 [20-185] months. Antismooth muscle (ASMA), antiliver kidney microsome type 1 (anti-LKM1), antiliver cytosol type 1 (anti-LC1), antimitochondrial, antinuclear (ANA), and antiactin antibodies (AAA) were determined at disease onset and 379 other times during the follow-up evaluation through indirect immunofluorescence in rodent tissues, HEp-2 cells, and human fibroblasts. Anti-SLA/LP were assessed 45 times in the follow-up evaluation of 19 patients using enzyme-linked immunosorbent assay (ELISA). Upon admission, AIH types 1 and 2 were observed in 95 and 17 patients, respectively. Five subjects had AIH with anti-SLA/LP as the sole markers. Patients initially negative for AAA did not develop these antibodies thereafter. ANA were detected de novo in six and three subjects with AIH types 1 and 2, respectively. After treatment, only ASMA (&gt;1:80) and AAA (&gt;1:40) were significantly associated with biochemical (76.9% and 79.8%) and histological features (100% and 100%) of disease activity (P &lt; 0.001). CONCLUSION: With the exception of ANA, the autoantibody profile does not markedly vary in the course of AIH. The persistence of high titers of ASMA and/or AAA in patients with AIH is associated with disease activity.", "author" : [ { "dropping-particle" : "", "family" : "Couto", "given" : "Claudia A", "non-dropping-particle" : "", "parse-names" : false, "suffix" : "" }, { "dropping-particle" : "", "family" : "Bittencourt", "given" : "Paulo L", "non-dropping-particle" : "", "parse-names" : false, "suffix" : "" }, { "dropping-particle" : "", "family" : "Porta", "given" : "Gilda", "non-dropping-particle" : "", "parse-names" : false, "suffix" : "" }, { "dropping-particle" : "", "family" : "Abrantes-Lemos", "given" : "Clarice P", "non-dropping-particle" : "", "parse-names" : false, "suffix" : "" }, { "dropping-particle" : "", "family" : "Carrilho", "given" : "Flair J", "non-dropping-particle" : "", "parse-names" : false, "suffix" : "" }, { "dropping-particle" : "", "family" : "Guardia", "given" : "Bianca D", "non-dropping-particle" : "", "parse-names" : false, "suffix" : "" }, { "dropping-particle" : "", "family" : "Cancado", "given" : "Eduardo L R", "non-dropping-particle" : "", "parse-names" : false, "suffix" : "" } ], "container-title" : "Hepatology (Baltimore, Md.)", "id" : "ITEM-1", "issue" : "2", "issued" : { "date-parts" : [ [ "2014", "2" ] ] }, "language" : "eng", "page" : "592-600", "publisher-place" : "United States", "title" : "Antismooth muscle and antiactin antibodies are indirect markers of histological and biochemical activity of autoimmune hepatitis.", "type" : "article-journal", "volume" : "59" }, "uris" : [ "http://www.mendeley.com/documents/?uuid=b304ae13-a440-4026-a234-d7f7e5f740aa" ] }, { "id" : "ITEM-2", "itemData" : { "DOI" : "10.1002/hep.510240515", "ISSN" : "0270-9139 (Print)", "PMID" : "8903377", "abstract" : "Antibodies to actin have been proposed as diagnostic markers for type 1 autoimmune hepatitis. Our aims were to determine 1) if testing for antibodies to actin is superior to testing for smooth muscle antibodies (SMA); 2) if these antibodies identify patients with distinctive clinical features; and 3) if the production of antibodies to actin is associated with genetic risk factors for autoimmune hepatitis. Sera from 99 patients with type 1 autoimmune hepatitis were tested. The frequencies of HLA B8, DR3, DR4, and A1-B8-DR3 in patient subsets were compared with those in 80 normal subjects. Seventy-three patients (74%) had antibodies to actin. Antibodies to actin were found more commonly in patients with SMA than in patients without them (86% vs. 7%, P &lt; .0001). Screening only for antibodies to actin and antinuclear antibodies (ANA) failed to establish the diagnosis of autoimmune hepatitis in 5 patients. Patients with antibodies to actin were younger than seronegative patients. They were also more commonly DR3-positive than normal subjects and more frequently B8-positive than patients with non-actin-associated SMA (49% vs. 0%, P = .004). Only patients with antibodies to actin died of liver failure (6% vs. 0%), and 10 of 11 patients requiring liver transplantation were seropositive for these antibodies. Indeed, death and liver transplantation occurred more frequently in these patients than in actin-negative patients with ANA (19% vs. 0%, P = .03). We conclude that routine screening for antibodies to actin may miss patients with type 1 autoimmune hepatitis. Antibodies to actin are associated with HLA B8 and DR3, and they identify patients with a poor prognosis.", "author" : [ { "dropping-particle" : "", "family" : "Czaja", "given" : "A J", "non-dropping-particle" : "", "parse-names" : false, "suffix" : "" }, { "dropping-particle" : "", "family" : "Cassani", "given" : "F", "non-dropping-particle" : "", "parse-names" : false, "suffix" : "" }, { "dropping-particle" : "", "family" : "Cataleta", "given" : "M", "non-dropping-particle" : "", "parse-names" : false, "suffix" : "" }, { "dropping-particle" : "", "family" : "Valentini", "given" : "P", "non-dropping-particle" : "", "parse-names" : false, "suffix" : "" }, { "dropping-particle" : "", "family" : "Bianchi", "given" : "F B", "non-dropping-particle" : "", "parse-names" : false, "suffix" : "" } ], "container-title" : "Hepatology (Baltimore, Md.)", "id" : "ITEM-2", "issue" : "5", "issued" : { "date-parts" : [ [ "1996", "11" ] ] }, "language" : "eng", "page" : "1068-1073", "publisher-place" : "United States", "title" : "Frequency and significance of antibodies to actin in type 1 autoimmune hepatitis.", "type" : "article-journal", "volume" : "24" }, "uris" : [ "http://www.mendeley.com/documents/?uuid=2787f0a1-0c31-4c8d-8453-48600ca946ed" ] } ], "mendeley" : { "formattedCitation" : "&lt;sup&gt;[25,26]&lt;/sup&gt;", "plainTextFormattedCitation" : "[25,26]", "previouslyFormattedCitation" : "&lt;sup&gt;[25,26]&lt;/sup&gt;" }, "properties" : { "noteIndex" : 0 }, "schema" : "https://github.com/citation-style-language/schema/raw/master/csl-citation.json" }</w:instrText>
      </w:r>
      <w:r w:rsidR="0062186E" w:rsidRPr="0088290D">
        <w:rPr>
          <w:rFonts w:ascii="Book Antiqua" w:hAnsi="Book Antiqua"/>
          <w:lang w:val="en-US"/>
        </w:rPr>
        <w:fldChar w:fldCharType="separate"/>
      </w:r>
      <w:r w:rsidR="00E802D3" w:rsidRPr="0088290D">
        <w:rPr>
          <w:rFonts w:ascii="Book Antiqua" w:hAnsi="Book Antiqua"/>
          <w:noProof/>
          <w:vertAlign w:val="superscript"/>
          <w:lang w:val="en-US"/>
        </w:rPr>
        <w:t>[25,26]</w:t>
      </w:r>
      <w:r w:rsidR="0062186E"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41687A" w:rsidRPr="0088290D">
        <w:rPr>
          <w:rFonts w:ascii="Book Antiqua" w:hAnsi="Book Antiqua"/>
          <w:lang w:val="en-US"/>
        </w:rPr>
        <w:t xml:space="preserve">In the study of </w:t>
      </w:r>
      <w:r w:rsidR="0041687A" w:rsidRPr="006716DE">
        <w:rPr>
          <w:rFonts w:ascii="Book Antiqua" w:hAnsi="Book Antiqua"/>
          <w:lang w:val="en-US"/>
        </w:rPr>
        <w:t>Czaja</w:t>
      </w:r>
      <w:r w:rsidR="0041687A" w:rsidRPr="0088290D">
        <w:rPr>
          <w:rFonts w:ascii="Book Antiqua" w:hAnsi="Book Antiqua"/>
          <w:i/>
          <w:lang w:val="en-US"/>
        </w:rPr>
        <w:t xml:space="preserve"> et al</w:t>
      </w:r>
      <w:r w:rsidR="006716DE" w:rsidRPr="0088290D">
        <w:rPr>
          <w:rFonts w:ascii="Book Antiqua" w:hAnsi="Book Antiqua"/>
          <w:lang w:val="en-US"/>
        </w:rPr>
        <w:fldChar w:fldCharType="begin" w:fldLock="1"/>
      </w:r>
      <w:r w:rsidR="006716DE" w:rsidRPr="0088290D">
        <w:rPr>
          <w:rFonts w:ascii="Book Antiqua" w:hAnsi="Book Antiqua"/>
          <w:lang w:val="en-US"/>
        </w:rPr>
        <w:instrText>ADDIN CSL_CITATION { "citationItems" : [ { "id" : "ITEM-1", "itemData" : { "DOI" : "10.1002/hep.510240515", "ISSN" : "0270-9139 (Print)", "PMID" : "8903377", "abstract" : "Antibodies to actin have been proposed as diagnostic markers for type 1 autoimmune hepatitis. Our aims were to determine 1) if testing for antibodies to actin is superior to testing for smooth muscle antibodies (SMA); 2) if these antibodies identify patients with distinctive clinical features; and 3) if the production of antibodies to actin is associated with genetic risk factors for autoimmune hepatitis. Sera from 99 patients with type 1 autoimmune hepatitis were tested. The frequencies of HLA B8, DR3, DR4, and A1-B8-DR3 in patient subsets were compared with those in 80 normal subjects. Seventy-three patients (74%) had antibodies to actin. Antibodies to actin were found more commonly in patients with SMA than in patients without them (86% vs. 7%, P &lt; .0001). Screening only for antibodies to actin and antinuclear antibodies (ANA) failed to establish the diagnosis of autoimmune hepatitis in 5 patients. Patients with antibodies to actin were younger than seronegative patients. They were also more commonly DR3-positive than normal subjects and more frequently B8-positive than patients with non-actin-associated SMA (49% vs. 0%, P = .004). Only patients with antibodies to actin died of liver failure (6% vs. 0%), and 10 of 11 patients requiring liver transplantation were seropositive for these antibodies. Indeed, death and liver transplantation occurred more frequently in these patients than in actin-negative patients with ANA (19% vs. 0%, P = .03). We conclude that routine screening for antibodies to actin may miss patients with type 1 autoimmune hepatitis. Antibodies to actin are associated with HLA B8 and DR3, and they identify patients with a poor prognosis.", "author" : [ { "dropping-particle" : "", "family" : "Czaja", "given" : "A J", "non-dropping-particle" : "", "parse-names" : false, "suffix" : "" }, { "dropping-particle" : "", "family" : "Cassani", "given" : "F", "non-dropping-particle" : "", "parse-names" : false, "suffix" : "" }, { "dropping-particle" : "", "family" : "Cataleta", "given" : "M", "non-dropping-particle" : "", "parse-names" : false, "suffix" : "" }, { "dropping-particle" : "", "family" : "Valentini", "given" : "P", "non-dropping-particle" : "", "parse-names" : false, "suffix" : "" }, { "dropping-particle" : "", "family" : "Bianchi", "given" : "F B", "non-dropping-particle" : "", "parse-names" : false, "suffix" : "" } ], "container-title" : "Hepatology (Baltimore, Md.)", "id" : "ITEM-1", "issue" : "5", "issued" : { "date-parts" : [ [ "1996", "11" ] ] }, "language" : "eng", "page" : "1068-1073", "publisher-place" : "United States", "title" : "Frequency and significance of antibodies to actin in type 1 autoimmune hepatitis.", "type" : "article-journal", "volume" : "24" }, "uris" : [ "http://www.mendeley.com/documents/?uuid=2787f0a1-0c31-4c8d-8453-48600ca946ed" ] } ], "mendeley" : { "formattedCitation" : "&lt;sup&gt;[26]&lt;/sup&gt;", "plainTextFormattedCitation" : "[26]", "previouslyFormattedCitation" : "&lt;sup&gt;[26]&lt;/sup&gt;" }, "properties" : { "noteIndex" : 0 }, "schema" : "https://github.com/citation-style-language/schema/raw/master/csl-citation.json" }</w:instrText>
      </w:r>
      <w:r w:rsidR="006716DE" w:rsidRPr="0088290D">
        <w:rPr>
          <w:rFonts w:ascii="Book Antiqua" w:hAnsi="Book Antiqua"/>
          <w:lang w:val="en-US"/>
        </w:rPr>
        <w:fldChar w:fldCharType="separate"/>
      </w:r>
      <w:r w:rsidR="006716DE" w:rsidRPr="0088290D">
        <w:rPr>
          <w:rFonts w:ascii="Book Antiqua" w:hAnsi="Book Antiqua"/>
          <w:noProof/>
          <w:vertAlign w:val="superscript"/>
          <w:lang w:val="en-US"/>
        </w:rPr>
        <w:t>[26]</w:t>
      </w:r>
      <w:r w:rsidR="006716DE" w:rsidRPr="0088290D">
        <w:rPr>
          <w:rFonts w:ascii="Book Antiqua" w:hAnsi="Book Antiqua"/>
          <w:lang w:val="en-US"/>
        </w:rPr>
        <w:fldChar w:fldCharType="end"/>
      </w:r>
      <w:r w:rsidR="00C47177" w:rsidRPr="0088290D">
        <w:rPr>
          <w:rFonts w:ascii="Book Antiqua" w:hAnsi="Book Antiqua"/>
          <w:lang w:val="en-US"/>
        </w:rPr>
        <w:t xml:space="preserve">patients seropositive for </w:t>
      </w:r>
      <w:r w:rsidR="00A01E7A" w:rsidRPr="0088290D">
        <w:rPr>
          <w:rFonts w:ascii="Book Antiqua" w:hAnsi="Book Antiqua"/>
          <w:lang w:val="en-US"/>
        </w:rPr>
        <w:t>AAA</w:t>
      </w:r>
      <w:r w:rsidR="00C47177" w:rsidRPr="0088290D">
        <w:rPr>
          <w:rFonts w:ascii="Book Antiqua" w:hAnsi="Book Antiqua"/>
          <w:lang w:val="en-US"/>
        </w:rPr>
        <w:t xml:space="preserve"> were more commonly HLA-DR3 positive, while seronegative patients had higher frequency of HLA-DR4 positivity</w:t>
      </w:r>
      <w:r w:rsidR="005D7479" w:rsidRPr="0088290D">
        <w:rPr>
          <w:rFonts w:ascii="Book Antiqua" w:hAnsi="Book Antiqua"/>
          <w:lang w:val="en-US"/>
        </w:rPr>
        <w:t xml:space="preserve"> than healthy subjects</w:t>
      </w:r>
      <w:r w:rsidR="00C47177" w:rsidRPr="0088290D">
        <w:rPr>
          <w:rFonts w:ascii="Book Antiqua" w:hAnsi="Book Antiqua"/>
          <w:lang w:val="en-US"/>
        </w:rPr>
        <w:t>.</w:t>
      </w:r>
      <w:r w:rsidR="0096779F" w:rsidRPr="0088290D">
        <w:rPr>
          <w:rFonts w:ascii="Book Antiqua" w:hAnsi="Book Antiqua"/>
          <w:lang w:val="en-US"/>
        </w:rPr>
        <w:t xml:space="preserve"> In the same study </w:t>
      </w:r>
      <w:r w:rsidR="00F000F6" w:rsidRPr="0088290D">
        <w:rPr>
          <w:rFonts w:ascii="Book Antiqua" w:hAnsi="Book Antiqua"/>
          <w:lang w:val="en-US"/>
        </w:rPr>
        <w:t>AAA</w:t>
      </w:r>
      <w:r w:rsidR="0096779F" w:rsidRPr="0088290D">
        <w:rPr>
          <w:rFonts w:ascii="Book Antiqua" w:hAnsi="Book Antiqua"/>
          <w:lang w:val="en-US"/>
        </w:rPr>
        <w:t xml:space="preserve"> were also associated with HLA-B8 positivity.</w:t>
      </w:r>
      <w:r w:rsidR="0062186E" w:rsidRPr="0088290D">
        <w:rPr>
          <w:rFonts w:ascii="Book Antiqua" w:hAnsi="Book Antiqua"/>
          <w:lang w:val="en-US"/>
        </w:rPr>
        <w:t xml:space="preserve"> </w:t>
      </w:r>
      <w:r w:rsidR="00BE0FE5" w:rsidRPr="0088290D">
        <w:rPr>
          <w:rFonts w:ascii="Book Antiqua" w:hAnsi="Book Antiqua"/>
          <w:lang w:val="en-US"/>
        </w:rPr>
        <w:t>I</w:t>
      </w:r>
      <w:r w:rsidR="00B225E7" w:rsidRPr="0088290D">
        <w:rPr>
          <w:rFonts w:ascii="Book Antiqua" w:hAnsi="Book Antiqua"/>
          <w:lang w:val="en-US"/>
        </w:rPr>
        <w:t>nterestingly, i</w:t>
      </w:r>
      <w:r w:rsidR="00BE0FE5" w:rsidRPr="0088290D">
        <w:rPr>
          <w:rFonts w:ascii="Book Antiqua" w:hAnsi="Book Antiqua"/>
          <w:lang w:val="en-US"/>
        </w:rPr>
        <w:t xml:space="preserve">n PSC </w:t>
      </w:r>
      <w:r w:rsidR="00C41F81" w:rsidRPr="006716DE">
        <w:rPr>
          <w:rFonts w:ascii="Book Antiqua" w:hAnsi="Book Antiqua"/>
          <w:lang w:val="en-US"/>
        </w:rPr>
        <w:t>Boberg</w:t>
      </w:r>
      <w:r w:rsidR="00C41F81" w:rsidRPr="0088290D">
        <w:rPr>
          <w:rFonts w:ascii="Book Antiqua" w:hAnsi="Book Antiqua"/>
          <w:lang w:val="en-US"/>
        </w:rPr>
        <w:t xml:space="preserve"> </w:t>
      </w:r>
      <w:r w:rsidR="00CF4E05" w:rsidRPr="0088290D">
        <w:rPr>
          <w:rFonts w:ascii="Book Antiqua" w:hAnsi="Book Antiqua"/>
          <w:i/>
          <w:lang w:val="en-US"/>
        </w:rPr>
        <w:t>et al</w:t>
      </w:r>
      <w:r w:rsidR="006716DE" w:rsidRPr="0088290D">
        <w:rPr>
          <w:rFonts w:ascii="Book Antiqua" w:hAnsi="Book Antiqua"/>
          <w:lang w:val="en-US"/>
        </w:rPr>
        <w:fldChar w:fldCharType="begin" w:fldLock="1"/>
      </w:r>
      <w:r w:rsidR="006716DE" w:rsidRPr="0088290D">
        <w:rPr>
          <w:rFonts w:ascii="Book Antiqua" w:hAnsi="Book Antiqua"/>
          <w:lang w:val="en-US"/>
        </w:rPr>
        <w:instrText>ADDIN CSL_CITATION { "citationItems" : [ { "id" : "ITEM-1", "itemData" : { "DOI" : "10.1053/jhep.2001.27543", "ISSN" : "0270-9139 (Print)", "PMID" : "11584356", "abstract" : "Susceptibility to primary sclerosing cholangitis (PSC) is associated with HLA-B8, -DR3, -DR2, and -DR6. It is not established whether these HLA genes or closely linked genes confer the primary disease susceptibility. MICA and MICB genes are found in the class I region between HLA-B and DRB. MICA is expressed in gastrointestinal epithelium and activates gammadelta T cells in the gut. Because PSC is strongly associated with inflammatory bowel disease, we investigated whether MICA and MICB contribute to the HLA-associated genetic susceptibility to develop PSC. The study included 130 PSC patients and 306 healthy controls, previously typed for HLA class I and II genes, typed for 5 MICA and 15 MICB microsatellite alleles. The phenotype frequencies of MICA5.1 and MICB24 were significantly increased among PSC patients compared with controls (90% vs. 74%; odds ratio [OR] = 3.2; P(c) = 3 x 10(-3) and 58% vs. 29%; OR = 3.3; P(c) &lt; 1 x 10(-7), respectively). When stratified for B8- or DR3-positive and -negative individuals, the association of these markers to PSC was no longer evident. However, we observed that B8 and DR3 were associated to PSC only in the presence of both MICA5.1 and MICB24 markers. The frequency of individuals carrying all 4 alleles was significantly increased among the PSC patients compared with controls (49% vs. 18%; OR = 4.5; P(c) &lt; 1 x 10(-7)). Our data indicate that PSC is associated to the extended B8-MICA5.1-MICB24-DR3 haplotype.", "author" : [ { "dropping-particle" : "", "family" : "Wiencke", "given" : "K", "non-dropping-particle" : "", "parse-names" : false, "suffix" : "" }, { "dropping-particle" : "", "family" : "Spurkland", "given" : "A", "non-dropping-particle" : "", "parse-names" : false, "suffix" : "" }, { "dropping-particle" : "", "family" : "Schrumpf", "given" : "E", "non-dropping-particle" : "", "parse-names" : false, "suffix" : "" }, { "dropping-particle" : "", "family" : "Boberg", "given" : "K M", "non-dropping-particle" : "", "parse-names" : false, "suffix" : "" } ], "container-title" : "Hepatology (Baltimore, Md.)", "id" : "ITEM-1", "issue" : "4 Pt 1", "issued" : { "date-parts" : [ [ "2001", "10" ] ] }, "language" : "eng", "page" : "625-630", "publisher-place" : "United States", "title" : "Primary sclerosing cholangitis is associated to an extended B8-DR3 haplotype including particular MICA and MICB alleles.", "type" : "article-journal", "volume" : "34" }, "uris" : [ "http://www.mendeley.com/documents/?uuid=25125e4d-52ce-4d67-b22f-f25296031bc2" ] } ], "mendeley" : { "formattedCitation" : "&lt;sup&gt;[27]&lt;/sup&gt;", "plainTextFormattedCitation" : "[27]", "previouslyFormattedCitation" : "&lt;sup&gt;[27]&lt;/sup&gt;" }, "properties" : { "noteIndex" : 0 }, "schema" : "https://github.com/citation-style-language/schema/raw/master/csl-citation.json" }</w:instrText>
      </w:r>
      <w:r w:rsidR="006716DE" w:rsidRPr="0088290D">
        <w:rPr>
          <w:rFonts w:ascii="Book Antiqua" w:hAnsi="Book Antiqua"/>
          <w:lang w:val="en-US"/>
        </w:rPr>
        <w:fldChar w:fldCharType="separate"/>
      </w:r>
      <w:r w:rsidR="006716DE" w:rsidRPr="0088290D">
        <w:rPr>
          <w:rFonts w:ascii="Book Antiqua" w:hAnsi="Book Antiqua"/>
          <w:noProof/>
          <w:vertAlign w:val="superscript"/>
          <w:lang w:val="en-US"/>
        </w:rPr>
        <w:t>[27]</w:t>
      </w:r>
      <w:r w:rsidR="006716DE"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B3402E" w:rsidRPr="0088290D">
        <w:rPr>
          <w:rFonts w:ascii="Book Antiqua" w:hAnsi="Book Antiqua"/>
          <w:lang w:val="en-US"/>
        </w:rPr>
        <w:t xml:space="preserve">also </w:t>
      </w:r>
      <w:r w:rsidR="00BE0FE5" w:rsidRPr="0088290D">
        <w:rPr>
          <w:rFonts w:ascii="Book Antiqua" w:hAnsi="Book Antiqua"/>
          <w:lang w:val="en-US"/>
        </w:rPr>
        <w:t>demonstrated that HLA-DR3 and B8 are associated with progressive disease course.</w:t>
      </w:r>
      <w:r w:rsidR="00345FDF" w:rsidRPr="0088290D">
        <w:rPr>
          <w:rFonts w:ascii="Book Antiqua" w:hAnsi="Book Antiqua"/>
          <w:lang w:val="en-US"/>
        </w:rPr>
        <w:t xml:space="preserve"> </w:t>
      </w:r>
      <w:r w:rsidR="0023393F" w:rsidRPr="0088290D">
        <w:rPr>
          <w:rFonts w:ascii="Book Antiqua" w:hAnsi="Book Antiqua"/>
          <w:lang w:val="en-US"/>
        </w:rPr>
        <w:t>Conversely</w:t>
      </w:r>
      <w:r w:rsidR="00BE0FE5" w:rsidRPr="0088290D">
        <w:rPr>
          <w:rFonts w:ascii="Book Antiqua" w:hAnsi="Book Antiqua"/>
          <w:lang w:val="en-US"/>
        </w:rPr>
        <w:t xml:space="preserve">, </w:t>
      </w:r>
      <w:r w:rsidR="00665EA2" w:rsidRPr="0088290D">
        <w:rPr>
          <w:rFonts w:ascii="Book Antiqua" w:hAnsi="Book Antiqua"/>
          <w:lang w:val="en-US"/>
        </w:rPr>
        <w:t xml:space="preserve">patients with </w:t>
      </w:r>
      <w:r w:rsidR="00BE0FE5" w:rsidRPr="0088290D">
        <w:rPr>
          <w:rFonts w:ascii="Book Antiqua" w:hAnsi="Book Antiqua"/>
          <w:lang w:val="en-US"/>
        </w:rPr>
        <w:t>HLA-DR4</w:t>
      </w:r>
      <w:r w:rsidR="00665EA2" w:rsidRPr="0088290D">
        <w:rPr>
          <w:rFonts w:ascii="Book Antiqua" w:hAnsi="Book Antiqua"/>
          <w:lang w:val="en-US"/>
        </w:rPr>
        <w:t xml:space="preserve"> do not experience an accelerated disease progression, they </w:t>
      </w:r>
      <w:r w:rsidR="00B3402E" w:rsidRPr="0088290D">
        <w:rPr>
          <w:rFonts w:ascii="Book Antiqua" w:hAnsi="Book Antiqua"/>
          <w:lang w:val="en-US"/>
        </w:rPr>
        <w:t xml:space="preserve">also </w:t>
      </w:r>
      <w:r w:rsidR="00665EA2" w:rsidRPr="0088290D">
        <w:rPr>
          <w:rFonts w:ascii="Book Antiqua" w:hAnsi="Book Antiqua"/>
          <w:lang w:val="en-US"/>
        </w:rPr>
        <w:t xml:space="preserve">have a decreased risk for </w:t>
      </w:r>
      <w:r w:rsidR="007C6019" w:rsidRPr="0088290D">
        <w:rPr>
          <w:rFonts w:ascii="Book Antiqua" w:hAnsi="Book Antiqua"/>
          <w:lang w:val="en-US"/>
        </w:rPr>
        <w:t>disease recurrence after liver trans</w:t>
      </w:r>
      <w:r w:rsidR="006716DE">
        <w:rPr>
          <w:rFonts w:ascii="Book Antiqua" w:hAnsi="Book Antiqua"/>
          <w:lang w:val="en-US"/>
        </w:rPr>
        <w:t>plantation</w:t>
      </w:r>
      <w:r w:rsidR="0062186E"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"DOI" : "10.1002/lt.22161", "ISSN" : "1527-6473 (Electronic)", "PMID" : "21031548", "abstract" : "Primary sclerosing cholangitis (PSC) is well characterized in European populations. We aimed to characterize clinical characteristics and human leukocyte antigen (HLA) associations in a population of European American, Hispanic, and African American PSC patients listed for liver transplantation (LT). Population-stratified demographic, clinical, and HLA data from 6767 LT registrants of the United Network for Organ Sharing who had a diagnosis of PSC (4.7% of the registrants) were compared to data from registrants with other diagnoses. Compared to European Americans and Hispanics, African Americans were significantly younger (46.6 +/- 13.7, 42.3 +/- 15.9, and 39.7 +/- 13.1 years, respectively; P = 0.002) and were listed with a higher Model for End-Stage Liver Disease score (15.2 +/- 7.5, 14.9 +/- 7.6, and 18.1 +/- 9.3, respectively; P = 0.001); they were also less frequently noted to have inflammatory bowel disease in comparison with European Americans (71.4% versus 60.5%, P &lt; 0.01). In multivariate analysis, African origin was a significant factor associated with listing for LT with PSC (odds ratio with respect to European Americans = 1.325, 95% confidence interval = 1.221-1.438). HLA associations in European Americans, Hispanics, and African Americans with PSC versus alcoholic liver disease were detected for HLA-B8, HLA-DR13, and protective HLA-DR4. However, HLA-DR3, which is in linkage disequilibrium with HLA-B8, showed associations only in European Americans and Hispanics. In conclusion, African Americans with PSC who are listed for LT differ clinically from European Americans and Hispanics. The association with HLA-B8 but not HLA-DR3 in African Americans should make possible the refinement of the HLA associations in PSC.", "author" : [ { "dropping-particle" : "", "family" : "Bowlus", "given" : "Christopher L", "non-dropping-particle" : "", "parse-names" : false, "suffix" : "" }, { "dropping-particle" : "", "family" : "Li", "given" : "Chin-Shang", "non-dropping-particle" : "", "parse-names" : false, "suffix" : "" }, { "dropping-particle" : "", "family" : "Karlsen", "given" : "Tom H", "non-dropping-particle" : "", "parse-names" : false, "suffix" : "" }, { "dropping-particle" : "", "family" : "Lie", "given" : "Benedicte A", "non-dropping-particle" : "", "parse-names" : false, "suffix" : "" }, { "dropping-particle" : "", "family" : "Selmi", "given" : "Carlo", "non-dropping-particle" : "", "parse-names" : false, "suffix" : "" } ], "container-title" : "Liver transplantation : official publication of the American Association for the  Study of Liver Diseases and the International Liver Transplantation Society", "id" : "ITEM-1", "issue" : "11", "issued" : { "date-parts" : [ [ "2010", "11" ] ] }, "language" : "eng", "page" : "1324-1330", "publisher-place" : "United States", "title" : "Primary sclerosing cholangitis in genetically diverse populations listed for liver transplantation: unique clinical and human leukocyte antigen associations.", "type" : "article-journal", "volume" : "16" }, "uris" : [ "http://www.mendeley.com/documents/?uuid=819cf5b5-1910-4513-b579-5fb63a2a1a8e" ] }, { "id" : "ITEM-2", "itemData" : { "ISSN" : "0036-5521 (Print)", "PMID" : "11495087", "abstract" : "BACKGROUND: An improvement of prognostic models in primary sclerosing cholangitis (PSC) is needed. In particular, inclusion of prognostic markers that are independent of the disease stage would be advantageous. We investigated whether HLA class II genes associated with PSC are also related to disease progression. METHODS: The study included 265 PSC patients from five European countries with a median follow-up of 9.1 years. The end-points were death (n = 38) or liver transplantation (n = 52). Thirty patients developed cholangiocarcinoma during follow-up. RESULTS: The DRB1*03,DQA1*0501, DQB1*02 (i.e. DR3,DQ2) heterozygous genotype was associated with an increased risk of death or liver transplantation (hazard ratio = 1.63; 95% confidence interval (CI) = 1.06-2.52). The presence of a DQ6 encoding haplotype (DQB1*0603 or DQB1*0602) in DR3,DQ2 negative individuals was associated with a reduced risk of death or liver transplantation (hazard ratio = 0.57; 95% CI = 0.36-0.88). There was a trend towards an increased risk of developing cholangiocarcinoma among DR4,DQ8 positive patients, but this did not reach significance (odds ratio = 2.27; 95% CI = 0.78-6.62). CONCLUSION: The DR3,DQ2 heterozygous genotype is associated with a more rapid progression of PSC, whereas HLA-DQ6 is associated with a retarded disease progression. It is possible that the DR4,DQ8 haplotype is related to cholangiocarcinoma development.", "author" : [ { "dropping-particle" : "", "family" : "Boberg", "given" : "K M", "non-dropping-particle" : "", "parse-names" : false, "suffix" : "" }, { "dropping-particle" : "", "family" : "Spurkland", "given" : "A", "non-dropping-particle" : "", "parse-names" : false, "suffix" : "" }, { "dropping-particle" : "", "family" : "Rocca", "given" : "G", "non-dropping-particle" : "", "parse-names" : false, "suffix" : "" }, { "dropping-particle" : "", "family" : "Egeland", "given" : "T", "non-dropping-particle" : "", "parse-names" : false, "suffix" : "" }, { "dropping-particle" : "", "family" : "Saarinen", "given" : "S", "non-dropping-particle" : "", "parse-names" : false, "suffix" : "" }, { "dropping-particle" : "", "family" : "Mitchell", "given" : "S", "non-dropping-particle" : "", "parse-names" : false, "suffix" : "" }, { "dropping-particle" : "", "family" : "Broome", "given" : "U", "non-dropping-particle" : "", "parse-names" : false, "suffix" : "" }, { "dropping-particle" : "", "family" : "Chapman", "given" : "R", "non-dropping-particle" : "", "parse-names" : false, "suffix" : "" }, { "dropping-particle" : "", "family" : "Olerup", "given" : "O", "non-dropping-particle" : "", "parse-names" : false, "suffix" : "" }, { "dropping-particle" : "", "family" : "Pares", "given" : "A", "non-dropping-particle" : "", "parse-names" : false, "suffix" : "" }, { "dropping-particle" : "", "family" : "Rosina", "given" : "F", "non-dropping-particle" : "", "parse-names" : false, "suffix" : "" }, { "dropping-particle" : "", "family" : "Schrumpf", "given" : "E", "non-dropping-particle" : "", "parse-names" : false, "suffix" : "" } ], "container-title" : "Scandinavian journal of gastroenterology", "id" : "ITEM-2", "issue" : "8", "issued" : { "date-parts" : [ [ "2001", "8" ] ] }, "language" : "eng", "page" : "886-890", "publisher-place" : "England", "title" : "The HLA-DR3,DQ2 heterozygous genotype is associated with an accelerated progression of primary sclerosing cholangitis.", "type" : "article-journal", "volume" : "36" }, "uris" : [ "http://www.mendeley.com/documents/?uuid=c74032c9-e42a-4da0-b53c-229660123725" ] } ], "mendeley" : { "formattedCitation" : "&lt;sup&gt;[28,29]&lt;/sup&gt;", "plainTextFormattedCitation" : "[28,29]", "previouslyFormattedCitation" : "&lt;sup&gt;[28,29]&lt;/sup&gt;" }, "properties" : { "noteIndex" : 0 }, "schema" : "https://github.com/citation-style-language/schema/raw/master/csl-citation.json" }</w:instrText>
      </w:r>
      <w:r w:rsidR="0062186E" w:rsidRPr="0088290D">
        <w:rPr>
          <w:rFonts w:ascii="Book Antiqua" w:hAnsi="Book Antiqua"/>
          <w:lang w:val="en-US"/>
        </w:rPr>
        <w:fldChar w:fldCharType="separate"/>
      </w:r>
      <w:r w:rsidR="00E802D3" w:rsidRPr="0088290D">
        <w:rPr>
          <w:rFonts w:ascii="Book Antiqua" w:hAnsi="Book Antiqua"/>
          <w:noProof/>
          <w:vertAlign w:val="superscript"/>
          <w:lang w:val="en-US"/>
        </w:rPr>
        <w:t>[28,29]</w:t>
      </w:r>
      <w:r w:rsidR="0062186E"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1159CC" w:rsidRPr="0088290D">
        <w:rPr>
          <w:rFonts w:ascii="Book Antiqua" w:hAnsi="Book Antiqua"/>
          <w:lang w:val="en-US"/>
        </w:rPr>
        <w:t xml:space="preserve">Based on these previous findings </w:t>
      </w:r>
      <w:r w:rsidR="007C6019" w:rsidRPr="0088290D">
        <w:rPr>
          <w:rFonts w:ascii="Book Antiqua" w:hAnsi="Book Antiqua"/>
          <w:lang w:val="en-US"/>
        </w:rPr>
        <w:t>we speculate th</w:t>
      </w:r>
      <w:r w:rsidR="00BE0FE5" w:rsidRPr="0088290D">
        <w:rPr>
          <w:rFonts w:ascii="Book Antiqua" w:hAnsi="Book Antiqua"/>
          <w:lang w:val="en-US"/>
        </w:rPr>
        <w:t xml:space="preserve">at </w:t>
      </w:r>
      <w:r w:rsidR="00CF4E05" w:rsidRPr="0088290D">
        <w:rPr>
          <w:rFonts w:ascii="Book Antiqua" w:hAnsi="Book Antiqua"/>
          <w:lang w:val="en-US"/>
        </w:rPr>
        <w:t xml:space="preserve">the formation of AAA IgA </w:t>
      </w:r>
      <w:r w:rsidR="002B6F53" w:rsidRPr="0088290D">
        <w:rPr>
          <w:rFonts w:ascii="Book Antiqua" w:hAnsi="Book Antiqua"/>
          <w:lang w:val="en-US"/>
        </w:rPr>
        <w:t>in PSC</w:t>
      </w:r>
      <w:r w:rsidR="00BE0FE5" w:rsidRPr="0088290D">
        <w:rPr>
          <w:rFonts w:ascii="Book Antiqua" w:hAnsi="Book Antiqua"/>
          <w:lang w:val="en-US"/>
        </w:rPr>
        <w:t xml:space="preserve"> </w:t>
      </w:r>
      <w:r w:rsidR="00CF4E05" w:rsidRPr="0088290D">
        <w:rPr>
          <w:rFonts w:ascii="Book Antiqua" w:hAnsi="Book Antiqua"/>
          <w:lang w:val="en-US"/>
        </w:rPr>
        <w:t xml:space="preserve">might </w:t>
      </w:r>
      <w:r w:rsidR="00BE0FE5" w:rsidRPr="0088290D">
        <w:rPr>
          <w:rFonts w:ascii="Book Antiqua" w:hAnsi="Book Antiqua"/>
          <w:lang w:val="en-US"/>
        </w:rPr>
        <w:t>reflect a phenotype</w:t>
      </w:r>
      <w:r w:rsidR="00B82837" w:rsidRPr="0088290D">
        <w:rPr>
          <w:rFonts w:ascii="Book Antiqua" w:hAnsi="Book Antiqua"/>
          <w:lang w:val="en-US"/>
        </w:rPr>
        <w:t xml:space="preserve"> </w:t>
      </w:r>
      <w:r w:rsidR="00BE0FE5" w:rsidRPr="0088290D">
        <w:rPr>
          <w:rFonts w:ascii="Book Antiqua" w:hAnsi="Book Antiqua"/>
          <w:lang w:val="en-US"/>
        </w:rPr>
        <w:t xml:space="preserve">with distinct immunological function and </w:t>
      </w:r>
      <w:r w:rsidR="0072519F" w:rsidRPr="0088290D">
        <w:rPr>
          <w:rFonts w:ascii="Book Antiqua" w:hAnsi="Book Antiqua"/>
          <w:lang w:val="en-US"/>
        </w:rPr>
        <w:t xml:space="preserve">genetic </w:t>
      </w:r>
      <w:r w:rsidR="00BE0FE5" w:rsidRPr="0088290D">
        <w:rPr>
          <w:rFonts w:ascii="Book Antiqua" w:hAnsi="Book Antiqua"/>
          <w:lang w:val="en-US"/>
        </w:rPr>
        <w:t xml:space="preserve">susceptibility for </w:t>
      </w:r>
      <w:r w:rsidR="00640ECB" w:rsidRPr="0088290D">
        <w:rPr>
          <w:rFonts w:ascii="Book Antiqua" w:hAnsi="Book Antiqua"/>
          <w:lang w:val="en-US"/>
        </w:rPr>
        <w:t xml:space="preserve">a </w:t>
      </w:r>
      <w:r w:rsidR="00BE0FE5" w:rsidRPr="0088290D">
        <w:rPr>
          <w:rFonts w:ascii="Book Antiqua" w:hAnsi="Book Antiqua"/>
          <w:lang w:val="en-US"/>
        </w:rPr>
        <w:t>more severe inflammatory process</w:t>
      </w:r>
      <w:r w:rsidR="00A36E88" w:rsidRPr="0088290D">
        <w:rPr>
          <w:rFonts w:ascii="Book Antiqua" w:hAnsi="Book Antiqua"/>
          <w:lang w:val="en-US"/>
        </w:rPr>
        <w:t xml:space="preserve">, similarly as in </w:t>
      </w:r>
      <w:r w:rsidR="00CC2E2E" w:rsidRPr="0088290D">
        <w:rPr>
          <w:rFonts w:ascii="Book Antiqua" w:hAnsi="Book Antiqua"/>
          <w:lang w:val="en-US"/>
        </w:rPr>
        <w:t xml:space="preserve">autoimmune hepatitis. </w:t>
      </w:r>
      <w:r w:rsidR="0069288E" w:rsidRPr="0088290D">
        <w:rPr>
          <w:rFonts w:ascii="Book Antiqua" w:hAnsi="Book Antiqua"/>
          <w:lang w:val="en-US"/>
        </w:rPr>
        <w:t>A</w:t>
      </w:r>
      <w:r w:rsidR="00A36E88" w:rsidRPr="0088290D">
        <w:rPr>
          <w:rFonts w:ascii="Book Antiqua" w:hAnsi="Book Antiqua"/>
          <w:lang w:val="en-US"/>
        </w:rPr>
        <w:t xml:space="preserve"> recent </w:t>
      </w:r>
      <w:r w:rsidR="001D1B3B" w:rsidRPr="0088290D">
        <w:rPr>
          <w:rFonts w:ascii="Book Antiqua" w:hAnsi="Book Antiqua"/>
          <w:lang w:val="en-US"/>
        </w:rPr>
        <w:t>report on</w:t>
      </w:r>
      <w:r w:rsidR="0069288E" w:rsidRPr="0088290D">
        <w:rPr>
          <w:rFonts w:ascii="Book Antiqua" w:hAnsi="Book Antiqua"/>
          <w:lang w:val="en-US"/>
        </w:rPr>
        <w:t xml:space="preserve"> the</w:t>
      </w:r>
      <w:r w:rsidR="001D1B3B" w:rsidRPr="0088290D">
        <w:rPr>
          <w:rFonts w:ascii="Book Antiqua" w:hAnsi="Book Antiqua"/>
          <w:lang w:val="en-US"/>
        </w:rPr>
        <w:t xml:space="preserve"> association between autoantibodies</w:t>
      </w:r>
      <w:r w:rsidR="006F0A01" w:rsidRPr="0088290D">
        <w:rPr>
          <w:rFonts w:ascii="Book Antiqua" w:hAnsi="Book Antiqua"/>
          <w:lang w:val="en-US"/>
        </w:rPr>
        <w:t xml:space="preserve">, like </w:t>
      </w:r>
      <w:r w:rsidR="00CC2E2E" w:rsidRPr="0088290D">
        <w:rPr>
          <w:rFonts w:ascii="Book Antiqua" w:hAnsi="Book Antiqua"/>
          <w:lang w:val="en-US"/>
        </w:rPr>
        <w:t>atypical P-</w:t>
      </w:r>
      <w:r w:rsidR="006F0A01" w:rsidRPr="0088290D">
        <w:rPr>
          <w:rFonts w:ascii="Book Antiqua" w:hAnsi="Book Antiqua"/>
          <w:lang w:val="en-US"/>
        </w:rPr>
        <w:t>ANCA</w:t>
      </w:r>
      <w:r w:rsidR="001D1B3B" w:rsidRPr="0088290D">
        <w:rPr>
          <w:rFonts w:ascii="Book Antiqua" w:hAnsi="Book Antiqua"/>
          <w:lang w:val="en-US"/>
        </w:rPr>
        <w:t xml:space="preserve"> and HLA status in PSC</w:t>
      </w:r>
      <w:r w:rsidR="0069288E" w:rsidRPr="0088290D">
        <w:rPr>
          <w:rFonts w:ascii="Book Antiqua" w:hAnsi="Book Antiqua"/>
          <w:lang w:val="en-US"/>
        </w:rPr>
        <w:t xml:space="preserve"> </w:t>
      </w:r>
      <w:r w:rsidR="00CC2E2E" w:rsidRPr="0088290D">
        <w:rPr>
          <w:rFonts w:ascii="Book Antiqua" w:hAnsi="Book Antiqua"/>
          <w:lang w:val="en-US"/>
        </w:rPr>
        <w:t xml:space="preserve">might </w:t>
      </w:r>
      <w:r w:rsidR="0069288E" w:rsidRPr="0088290D">
        <w:rPr>
          <w:rFonts w:ascii="Book Antiqua" w:hAnsi="Book Antiqua"/>
          <w:lang w:val="en-US"/>
        </w:rPr>
        <w:t>further support this hypothesis</w:t>
      </w:r>
      <w:r w:rsidR="006A392C"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"DOI" : "10.1111/liv.13238", "ISSN" : "1478-3231 (Electronic)", "PMID" : "27558072", "abstract" : "BACKGROUND &amp; AIMS: The strongest genetic risk factors in primary sclerosing cholangitis (PSC) are encoded in the HLA complex. Antineutrophil cytoplasmic antibodies (ANCA) have been reported in up to 94% of PSC patients, but their clinical significance and immunogenetic basis are ill defined. We aimed to characterize clinical and genetic associations of ANCA in PSC. METHODS: Antineutrophil cytoplasmic antibodies were analysed with indirect immunofluorescence in 241 Norwegian PSC patients. HLA-B and HLA-DRB1 genotyping was performed in the patients and in 368 healthy controls. Data on perinuclear ANCA (pANCA) and HLA-DRB1 were available from 274 ulcerative colitis (UC) patients without known liver disease. RESULTS: Antineutrophil cytoplasmic antibodies were found in 193 (80%) of the PSC patients, with pANCA in 169 (70%). ANCA-positive patients were younger than ANCA negative at diagnosis of PSC and had a lower frequency of biliary cancer (9% vs 19%, P=.047). There were no differences between PSC patients with and without inflammatory bowel disease. Genetically, the strong PSC risk factors HLA-B*08 (frequency in healthy 13%) and DRB1*03 (14%) were more prevalent in ANCA-positive than -negative patients (43% vs 25%, P=.0012 and 43% vs 25%, P=.0015 respectively). The results were similar when restricting the analysis to pANCA-positive patients. In UC patients without liver disease, HLA-DRB1*03 was more prevalent in pANCA-positive compared with -negative patients (P=.03). CONCLUSIONS: Antineutrophil cytoplasmic antibodies identified PSC patients with particular clinical and genetic characteristics, suggesting that ANCA may mark a clinically relevant pathogenetic subgroup in the PSC-UC disease spectrum.", "author" : [ { "dropping-particle" : "", "family" : "Hov", "given" : "Johannes R", "non-dropping-particle" : "", "parse-names" : false, "suffix" : "" }, { "dropping-particle" : "", "family" : "Boberg", "given" : "Kirsten M", "non-dropping-particle" : "", "parse-names" : false, "suffix" : "" }, { "dropping-particle" : "", "family" : "Taraldsrud", "given" : "Eli", "non-dropping-particle" : "", "parse-names" : false, "suffix" : "" }, { "dropping-particle" : "", "family" : "Vesterhus", "given" : "Mette", "non-dropping-particle" : "", "parse-names" : false, "suffix" : "" }, { "dropping-particle" : "", "family" : "Boyadzhieva", "given" : "Maria", "non-dropping-particle" : "", "parse-names" : false, "suffix" : "" }, { "dropping-particle" : "", "family" : "Solberg", "given" : "Inger Camilla", "non-dropping-particle" : "", "parse-names" : false, "suffix" : "" }, { "dropping-particle" : "", "family" : "Schrumpf", "given" : "Erik", "non-dropping-particle" : "", "parse-names" : false, "suffix" : "" }, { "dropping-particle" : "", "family" : "Vatn", "given" : "Morten H", "non-dropping-particle" : "", "parse-names" : false, "suffix" : "" }, { "dropping-particle" : "", "family" : "Lie", "given" : "Benedicte A", "non-dropping-particle" : "", "parse-names" : false, "suffix" : "" }, { "dropping-particle" : "", "family" : "Molberg", "given" : "Oyvind", "non-dropping-particle" : "", "parse-names" : false, "suffix" : "" }, { "dropping-particle" : "", "family" : "Karlsen", "given" : "Tom H", "non-dropping-particle" : "", "parse-names" : false, "suffix" : "" } ], "container-title" : "Liver international : official journal of the International Association for the Study of the Liver", "id" : "ITEM-1", "issued" : { "date-parts" : [ [ "2016", "8" ] ] }, "language" : "eng", "publisher-place" : "United States", "title" : "Antineutrophil antibodies define clinical and genetic subgroups in primary sclerosing cholangitis.", "type" : "article-journal" }, "uris" : [ "http://www.mendeley.com/documents/?uuid=731ea525-42b0-4ae3-aa61-95aa1c320fdf" ] } ], "mendeley" : { "formattedCitation" : "&lt;sup&gt;[30]&lt;/sup&gt;", "plainTextFormattedCitation" : "[30]", "previouslyFormattedCitation" : "&lt;sup&gt;[30]&lt;/sup&gt;" }, "properties" : { "noteIndex" : 0 }, "schema" : "https://github.com/citation-style-language/schema/raw/master/csl-citation.json" }</w:instrText>
      </w:r>
      <w:r w:rsidR="006A392C" w:rsidRPr="0088290D">
        <w:rPr>
          <w:rFonts w:ascii="Book Antiqua" w:hAnsi="Book Antiqua"/>
          <w:lang w:val="en-US"/>
        </w:rPr>
        <w:fldChar w:fldCharType="separate"/>
      </w:r>
      <w:r w:rsidR="00E802D3" w:rsidRPr="0088290D">
        <w:rPr>
          <w:rFonts w:ascii="Book Antiqua" w:hAnsi="Book Antiqua"/>
          <w:noProof/>
          <w:vertAlign w:val="superscript"/>
          <w:lang w:val="en-US"/>
        </w:rPr>
        <w:t>[30]</w:t>
      </w:r>
      <w:r w:rsidR="006A392C"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30371D" w:rsidRPr="0088290D">
        <w:rPr>
          <w:rFonts w:ascii="Book Antiqua" w:hAnsi="Book Antiqua"/>
          <w:lang w:val="en-US"/>
        </w:rPr>
        <w:t xml:space="preserve">Hypothetical sero-genotype linkage between </w:t>
      </w:r>
      <w:r w:rsidR="00AB68F9" w:rsidRPr="0088290D">
        <w:rPr>
          <w:rFonts w:ascii="Book Antiqua" w:hAnsi="Book Antiqua"/>
          <w:lang w:val="en-US"/>
        </w:rPr>
        <w:t>AAA IgA-</w:t>
      </w:r>
      <w:r w:rsidR="0030371D" w:rsidRPr="0088290D">
        <w:rPr>
          <w:rFonts w:ascii="Book Antiqua" w:hAnsi="Book Antiqua"/>
          <w:lang w:val="en-US"/>
        </w:rPr>
        <w:t>positivity and more aggressive HLA genotype warrants further exploration.</w:t>
      </w:r>
    </w:p>
    <w:p w14:paraId="0958ACB3" w14:textId="075C838B" w:rsidR="001B3F06" w:rsidRPr="0088290D" w:rsidRDefault="006B06C4" w:rsidP="007940D7">
      <w:pPr>
        <w:widowControl w:val="0"/>
        <w:autoSpaceDE w:val="0"/>
        <w:autoSpaceDN w:val="0"/>
        <w:adjustRightInd w:val="0"/>
        <w:spacing w:line="360" w:lineRule="auto"/>
        <w:jc w:val="both"/>
        <w:rPr>
          <w:rFonts w:ascii="Book Antiqua" w:hAnsi="Book Antiqua"/>
          <w:lang w:val="en-US"/>
        </w:rPr>
      </w:pPr>
      <w:r w:rsidRPr="0088290D">
        <w:rPr>
          <w:rFonts w:ascii="Book Antiqua" w:hAnsi="Book Antiqua"/>
          <w:lang w:val="en-US"/>
        </w:rPr>
        <w:tab/>
      </w:r>
      <w:r w:rsidR="00125A18" w:rsidRPr="0088290D">
        <w:rPr>
          <w:rFonts w:ascii="Book Antiqua" w:hAnsi="Book Antiqua"/>
          <w:lang w:val="en-US"/>
        </w:rPr>
        <w:t>In</w:t>
      </w:r>
      <w:r w:rsidR="008627AC" w:rsidRPr="0088290D">
        <w:rPr>
          <w:rFonts w:ascii="Book Antiqua" w:hAnsi="Book Antiqua"/>
          <w:lang w:val="en-US"/>
        </w:rPr>
        <w:t xml:space="preserve"> the present study</w:t>
      </w:r>
      <w:r w:rsidR="00125A18" w:rsidRPr="0088290D">
        <w:rPr>
          <w:rFonts w:ascii="Book Antiqua" w:hAnsi="Book Antiqua"/>
          <w:lang w:val="en-US"/>
        </w:rPr>
        <w:t xml:space="preserve">, </w:t>
      </w:r>
      <w:r w:rsidR="008627AC" w:rsidRPr="0088290D">
        <w:rPr>
          <w:rFonts w:ascii="Book Antiqua" w:hAnsi="Book Antiqua"/>
          <w:lang w:val="en-US"/>
        </w:rPr>
        <w:t xml:space="preserve">occurrence of AGA </w:t>
      </w:r>
      <w:r w:rsidR="008660D4" w:rsidRPr="0088290D">
        <w:rPr>
          <w:rFonts w:ascii="Book Antiqua" w:hAnsi="Book Antiqua"/>
          <w:lang w:val="en-US"/>
        </w:rPr>
        <w:t>was</w:t>
      </w:r>
      <w:r w:rsidR="008627AC" w:rsidRPr="0088290D">
        <w:rPr>
          <w:rFonts w:ascii="Book Antiqua" w:hAnsi="Book Antiqua"/>
          <w:lang w:val="en-US"/>
        </w:rPr>
        <w:t xml:space="preserve"> significantly higher </w:t>
      </w:r>
      <w:r w:rsidR="008660D4" w:rsidRPr="0088290D">
        <w:rPr>
          <w:rFonts w:ascii="Book Antiqua" w:hAnsi="Book Antiqua"/>
          <w:lang w:val="en-US"/>
        </w:rPr>
        <w:t xml:space="preserve">in patients with PSC </w:t>
      </w:r>
      <w:r w:rsidR="008627AC" w:rsidRPr="0088290D">
        <w:rPr>
          <w:rFonts w:ascii="Book Antiqua" w:hAnsi="Book Antiqua"/>
          <w:lang w:val="en-US"/>
        </w:rPr>
        <w:t>compared to either that in patients with UC or healthy subjects</w:t>
      </w:r>
      <w:r w:rsidR="00A1131E" w:rsidRPr="0088290D">
        <w:rPr>
          <w:rFonts w:ascii="Book Antiqua" w:hAnsi="Book Antiqua"/>
          <w:lang w:val="en-US"/>
        </w:rPr>
        <w:t xml:space="preserve">. </w:t>
      </w:r>
      <w:r w:rsidR="009732DE" w:rsidRPr="0088290D">
        <w:rPr>
          <w:rFonts w:ascii="Book Antiqua" w:hAnsi="Book Antiqua"/>
          <w:lang w:val="en-US"/>
        </w:rPr>
        <w:t xml:space="preserve">Frequency of AGA IgG/IgA corresponds to the findings </w:t>
      </w:r>
      <w:r w:rsidR="00B135F7" w:rsidRPr="0088290D">
        <w:rPr>
          <w:rFonts w:ascii="Book Antiqua" w:hAnsi="Book Antiqua"/>
          <w:lang w:val="en-US"/>
        </w:rPr>
        <w:t xml:space="preserve">of </w:t>
      </w:r>
      <w:r w:rsidR="00CC4B2A" w:rsidRPr="006716DE">
        <w:rPr>
          <w:rFonts w:ascii="Book Antiqua" w:hAnsi="Book Antiqua"/>
          <w:lang w:val="en-US"/>
        </w:rPr>
        <w:t>Sjöberg</w:t>
      </w:r>
      <w:r w:rsidR="00CC4B2A" w:rsidRPr="0088290D">
        <w:rPr>
          <w:rFonts w:ascii="Book Antiqua" w:hAnsi="Book Antiqua"/>
          <w:i/>
          <w:lang w:val="en-US"/>
        </w:rPr>
        <w:t xml:space="preserve"> et al</w:t>
      </w:r>
      <w:r w:rsidR="006716DE" w:rsidRPr="0088290D">
        <w:rPr>
          <w:rFonts w:ascii="Book Antiqua" w:hAnsi="Book Antiqua"/>
          <w:lang w:val="en-US"/>
        </w:rPr>
        <w:fldChar w:fldCharType="begin" w:fldLock="1"/>
      </w:r>
      <w:r w:rsidR="006716DE" w:rsidRPr="0088290D">
        <w:rPr>
          <w:rFonts w:ascii="Book Antiqua" w:hAnsi="Book Antiqua"/>
          <w:lang w:val="en-US"/>
        </w:rPr>
        <w:instrText>ADDIN CSL_CITATION { "citationItems" : [ { "id" : "ITEM-1", "itemData" : { "ISSN" : "0036-5521 (Print)", "PMID" : "9399399", "abstract" : "BACKGROUND: The frequency of gliadin antibody (GA) positivity has been found to be increased among patients with chronic liver disease, as has that of coeliac disease (CD). CD has also been found to be increased among patients with primary biliary cirrhosis (PBC) or primary sclerosing cholangitis (PSC). METHODS: To investigate these relationships further, a micro-enzyme-linked immunosorbent assay and immunofluorescence tests for GAs and endomysial antibodies (EMAs) were performed in large subgroups of patients representing various chronic liver diseases and in healthy blood donors. RESULTS: As compared with blood donors (among whom it was 5%) the frequency of IgA GA positivity was higher in all patient subgroups: alcoholic liver disease, 20% (22 of 110, P &lt; 0.001); PBC, 16% (16 of 101, P &lt; 0.001); PSC, 24% (19 of 80, P &lt; 0.001); chronic hepatitis, 19% (13 of 70, P &lt; 0.001); and hepatitis C virus infection, 11% (11 of 104, P &lt; 0.01). Two patients with autoimmune chronic hepatitis were EMA-positive, and in both cases the presence of CD was verified by small-bowel biopsy. CONCLUSIONS: IgA GA positivity generally occurs at increased frequency among patients with chronic liver disease and may represent non-specific immune activation. In liver disease GA testing is not useful in screening for CD, whereas the EMA test seems to be highly specific. CD is more prevalent than expected among patients with autoimmune chronic hepatitis but not among those with PBC or PSC.", "author" : [ { "dropping-particle" : "", "family" : "Sjoberg", "given" : "K", "non-dropping-particle" : "", "parse-names" : false, "suffix" : "" }, { "dropping-particle" : "", "family" : "Lindgren", "given" : "S", "non-dropping-particle" : "", "parse-names" : false, "suffix" : "" }, { "dropping-particle" : "", "family" : "Eriksson", "given" : "S", "non-dropping-particle" : "", "parse-names" : false, "suffix" : "" } ], "container-title" : "Scandinavian journal of gastroenterology", "id" : "ITEM-1", "issue" : "11", "issued" : { "date-parts" : [ [ "1997", "11" ] ] }, "language" : "eng", "page" : "1162-1167", "publisher-place" : "England", "title" : "Frequent occurrence of non-specific gliadin antibodies in chronic liver disease.  Endomysial but not gliadin antibodies predict coeliac disease in patients with chronic liver disease.", "type" : "article-journal", "volume" : "32" }, "uris" : [ "http://www.mendeley.com/documents/?uuid=eeff5794-0c8b-4227-9949-0f1da933c28d" ] } ], "mendeley" : { "formattedCitation" : "&lt;sup&gt;[31]&lt;/sup&gt;", "plainTextFormattedCitation" : "[31]", "previouslyFormattedCitation" : "&lt;sup&gt;[31]&lt;/sup&gt;" }, "properties" : { "noteIndex" : 0 }, "schema" : "https://github.com/citation-style-language/schema/raw/master/csl-citation.json" }</w:instrText>
      </w:r>
      <w:r w:rsidR="006716DE" w:rsidRPr="0088290D">
        <w:rPr>
          <w:rFonts w:ascii="Book Antiqua" w:hAnsi="Book Antiqua"/>
          <w:lang w:val="en-US"/>
        </w:rPr>
        <w:fldChar w:fldCharType="separate"/>
      </w:r>
      <w:r w:rsidR="006716DE" w:rsidRPr="0088290D">
        <w:rPr>
          <w:rFonts w:ascii="Book Antiqua" w:hAnsi="Book Antiqua"/>
          <w:noProof/>
          <w:vertAlign w:val="superscript"/>
          <w:lang w:val="en-US"/>
        </w:rPr>
        <w:t>[31]</w:t>
      </w:r>
      <w:r w:rsidR="006716DE" w:rsidRPr="0088290D">
        <w:rPr>
          <w:rFonts w:ascii="Book Antiqua" w:hAnsi="Book Antiqua"/>
          <w:lang w:val="en-US"/>
        </w:rPr>
        <w:fldChar w:fldCharType="end"/>
      </w:r>
      <w:r w:rsidR="006B55B5" w:rsidRPr="0088290D">
        <w:rPr>
          <w:rFonts w:ascii="Book Antiqua" w:hAnsi="Book Antiqua"/>
          <w:lang w:val="en-US"/>
        </w:rPr>
        <w:t xml:space="preserve"> (22.4% </w:t>
      </w:r>
      <w:r w:rsidR="006B55B5" w:rsidRPr="006716DE">
        <w:rPr>
          <w:rFonts w:ascii="Book Antiqua" w:hAnsi="Book Antiqua"/>
          <w:i/>
          <w:lang w:val="en-US"/>
        </w:rPr>
        <w:t>vs</w:t>
      </w:r>
      <w:r w:rsidR="006716DE">
        <w:rPr>
          <w:rFonts w:ascii="Book Antiqua" w:eastAsia="SimSun" w:hAnsi="Book Antiqua" w:hint="eastAsia"/>
          <w:lang w:val="en-US" w:eastAsia="zh-CN"/>
        </w:rPr>
        <w:t xml:space="preserve"> </w:t>
      </w:r>
      <w:r w:rsidR="006B55B5" w:rsidRPr="0088290D">
        <w:rPr>
          <w:rFonts w:ascii="Book Antiqua" w:hAnsi="Book Antiqua"/>
          <w:lang w:val="en-US"/>
        </w:rPr>
        <w:t>24%).</w:t>
      </w:r>
      <w:r w:rsidR="00B135F7" w:rsidRPr="0088290D">
        <w:rPr>
          <w:rFonts w:ascii="Book Antiqua" w:hAnsi="Book Antiqua"/>
          <w:lang w:val="en-US"/>
        </w:rPr>
        <w:t xml:space="preserve"> </w:t>
      </w:r>
      <w:r w:rsidR="00915AE0" w:rsidRPr="0088290D">
        <w:rPr>
          <w:rFonts w:ascii="Book Antiqua" w:hAnsi="Book Antiqua"/>
          <w:lang w:val="en-US"/>
        </w:rPr>
        <w:t xml:space="preserve"> </w:t>
      </w:r>
      <w:r w:rsidR="008660D4" w:rsidRPr="0088290D">
        <w:rPr>
          <w:rFonts w:ascii="Book Antiqua" w:hAnsi="Book Antiqua"/>
          <w:lang w:val="en-US"/>
        </w:rPr>
        <w:t>Distinctly only IgG but not</w:t>
      </w:r>
      <w:r w:rsidR="00143DDE" w:rsidRPr="0088290D">
        <w:rPr>
          <w:rFonts w:ascii="Book Antiqua" w:hAnsi="Book Antiqua"/>
          <w:lang w:val="en-US"/>
        </w:rPr>
        <w:t xml:space="preserve"> IgA isotype were more frequent in our study.</w:t>
      </w:r>
      <w:r w:rsidR="008660D4" w:rsidRPr="0088290D">
        <w:rPr>
          <w:rFonts w:ascii="Book Antiqua" w:hAnsi="Book Antiqua"/>
          <w:lang w:val="en-US"/>
        </w:rPr>
        <w:t xml:space="preserve"> </w:t>
      </w:r>
      <w:r w:rsidR="00B11185" w:rsidRPr="0088290D">
        <w:rPr>
          <w:rFonts w:ascii="Book Antiqua" w:hAnsi="Book Antiqua"/>
          <w:lang w:val="en-US"/>
        </w:rPr>
        <w:t>H</w:t>
      </w:r>
      <w:r w:rsidR="00E82743" w:rsidRPr="0088290D">
        <w:rPr>
          <w:rFonts w:ascii="Book Antiqua" w:hAnsi="Book Antiqua"/>
          <w:lang w:val="en-US"/>
        </w:rPr>
        <w:t xml:space="preserve">igher frequency </w:t>
      </w:r>
      <w:r w:rsidR="005808E5" w:rsidRPr="0088290D">
        <w:rPr>
          <w:rFonts w:ascii="Book Antiqua" w:hAnsi="Book Antiqua"/>
          <w:lang w:val="en-US"/>
        </w:rPr>
        <w:t xml:space="preserve">of AGA </w:t>
      </w:r>
      <w:r w:rsidR="00B3402E" w:rsidRPr="0088290D">
        <w:rPr>
          <w:rFonts w:ascii="Book Antiqua" w:hAnsi="Book Antiqua"/>
          <w:lang w:val="en-US"/>
        </w:rPr>
        <w:t>is</w:t>
      </w:r>
      <w:r w:rsidR="00027A8A" w:rsidRPr="0088290D">
        <w:rPr>
          <w:rFonts w:ascii="Book Antiqua" w:hAnsi="Book Antiqua"/>
          <w:lang w:val="en-US"/>
        </w:rPr>
        <w:t xml:space="preserve"> observed in </w:t>
      </w:r>
      <w:r w:rsidR="006B1DD6" w:rsidRPr="0088290D">
        <w:rPr>
          <w:rFonts w:ascii="Book Antiqua" w:hAnsi="Book Antiqua"/>
          <w:lang w:val="en-US"/>
        </w:rPr>
        <w:t xml:space="preserve">various </w:t>
      </w:r>
      <w:r w:rsidR="00027A8A" w:rsidRPr="0088290D">
        <w:rPr>
          <w:rFonts w:ascii="Book Antiqua" w:hAnsi="Book Antiqua"/>
          <w:lang w:val="en-US"/>
        </w:rPr>
        <w:t xml:space="preserve">disorders, </w:t>
      </w:r>
      <w:r w:rsidR="00B3402E" w:rsidRPr="0088290D">
        <w:rPr>
          <w:rFonts w:ascii="Book Antiqua" w:hAnsi="Book Antiqua"/>
          <w:lang w:val="en-US"/>
        </w:rPr>
        <w:t>such as</w:t>
      </w:r>
      <w:r w:rsidR="00027A8A" w:rsidRPr="0088290D">
        <w:rPr>
          <w:rFonts w:ascii="Book Antiqua" w:hAnsi="Book Antiqua"/>
          <w:lang w:val="en-US"/>
        </w:rPr>
        <w:t xml:space="preserve"> celiac disease, neurodegenerative diseases, </w:t>
      </w:r>
      <w:r w:rsidR="00C813B9" w:rsidRPr="0088290D">
        <w:rPr>
          <w:rFonts w:ascii="Book Antiqua" w:hAnsi="Book Antiqua"/>
          <w:lang w:val="en-US"/>
        </w:rPr>
        <w:t xml:space="preserve">systemic lupus </w:t>
      </w:r>
      <w:r w:rsidR="002A3426" w:rsidRPr="0088290D">
        <w:rPr>
          <w:rFonts w:ascii="Book Antiqua" w:hAnsi="Book Antiqua"/>
          <w:lang w:val="en-US"/>
        </w:rPr>
        <w:t>erythematosus</w:t>
      </w:r>
      <w:r w:rsidR="00C813B9" w:rsidRPr="0088290D">
        <w:rPr>
          <w:rFonts w:ascii="Book Antiqua" w:hAnsi="Book Antiqua"/>
          <w:lang w:val="en-US"/>
        </w:rPr>
        <w:t>,</w:t>
      </w:r>
      <w:r w:rsidR="006536F6" w:rsidRPr="0088290D">
        <w:rPr>
          <w:rFonts w:ascii="Book Antiqua" w:hAnsi="Book Antiqua"/>
          <w:lang w:val="en-US"/>
        </w:rPr>
        <w:t xml:space="preserve"> and</w:t>
      </w:r>
      <w:r w:rsidR="00CE3BA4" w:rsidRPr="0088290D">
        <w:rPr>
          <w:rFonts w:ascii="Book Antiqua" w:hAnsi="Book Antiqua"/>
          <w:lang w:val="en-US"/>
        </w:rPr>
        <w:t xml:space="preserve"> </w:t>
      </w:r>
      <w:r w:rsidR="00027A8A" w:rsidRPr="0088290D">
        <w:rPr>
          <w:rFonts w:ascii="Book Antiqua" w:hAnsi="Book Antiqua"/>
          <w:lang w:val="en-US"/>
        </w:rPr>
        <w:t>autoimmune liver diseases</w:t>
      </w:r>
      <w:r w:rsidR="002A3426"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"ISSN" : "1471-230X (Electronic)", "PMID" : "11914139", "abstract" : "BACKGROUND: An increased prevalence of coeliac disease in patients with primary biliary cirrhosis has been recently reported. However, in other studies the association has not been confirmed. There have been no formal attempts to systematically evaluate patients with autoimmune cholangitis for coeliac disease. METHODS: Sera from 62 patients with primary biliary cirrhosis, 17 with autoimmune cholangitis and 100 blood donors were screened for anti-gliadin, anti-endomysial, anti-reticulin, and IgA class antibodies to guinea pig liver-derived tissue transglutaminase. Eighteen untreated coeliacs served as methodological controls. Analyses were performed by using the chi2 and Fischer's exact tests. RESULTS: Anti-gliadin antibodies were detected in 21% of patients with primary biliary cirrhosis, 35% of patients with autoimmune cholangitis, and 3% of controls (p &lt; 0.001). IgA class gliadin antibodies positivity was more pronounced in patients with Scheuer's stage III-IV disease (p &lt; 0.05). Anti-transglutaminase antibodies were detected in 10% and in 18% of patients with primary biliary cirrhosis and autoimmune cholangitis respectively (p &lt; 0.001). Anti-reticulin and anti-endomysial antibodies were negative in all patients. Duodenal biopsies were performed in 59% and 71% of patients with primary biliary cirrhosis and autoimmune cholangitis respectively, tested positive for at least one antibody class. No histological features of coeliac disease were found. CONCLUSIONS: We were unable to demonstrate an increased risk of coeliac disease in patients with primary biliary cirrhosis and autoimmune cholangitis. Our results confirm the previously reported high prevalence of false-positive anti-gliadin and guinea pig liver-derived anti-tissue transglutaminase antibodies in patients with chronic liver disease.", "author" : [ { "dropping-particle" : "", "family" : "Chatzicostas", "given" : "Costantinos", "non-dropping-particle" : "", "parse-names" : false, "suffix" : "" }, { "dropping-particle" : "", "family" : "Roussomoustakaki", "given" : "Maria", "non-dropping-particle" : "", "parse-names" : false, "suffix" : "" }, { "dropping-particle" : "", "family" : "Drygiannakis", "given" : "Dimitrios", "non-dropping-particle" : "", "parse-names" : false, "suffix" : "" }, { "dropping-particle" : "", "family" : "Niniraki", "given" : "Maria", "non-dropping-particle" : "", "parse-names" : false, "suffix" : "" }, { "dropping-particle" : "", "family" : "Tzardi", "given" : "Maria", "non-dropping-particle" : "", "parse-names" : false, "suffix" : "" }, { "dropping-particle" : "", "family" : "Koulentaki", "given" : "Mary", "non-dropping-particle" : "", "parse-names" : false, "suffix" : "" }, { "dropping-particle" : "", "family" : "Dimoulios", "given" : "Philippos", "non-dropping-particle" : "", "parse-names" : false, "suffix" : "" }, { "dropping-particle" : "", "family" : "Mouzas", "given" : "Ioannis", "non-dropping-particle" : "", "parse-names" : false, "suffix" : "" }, { "dropping-particle" : "", "family" : "Kouroumalis", "given" : "Elias", "non-dropping-particle" : "", "parse-names" : false, "suffix" : "" } ], "container-title" : "BMC gastroenterology", "id" : "ITEM-1", "issued" : { "date-parts" : [ [ "2002" ] ] }, "language" : "eng", "page" : "5", "publisher-place" : "England", "title" : "Primary biliary cirrhosis and autoimmune cholangitis are not associated with coeliac disease in Crete.", "type" : "article-journal", "volume" : "2" }, "uris" : [ "http://www.mendeley.com/documents/?uuid=f3332b81-3abf-42b2-b2bf-9dafe92a5807" ] }, { "id" : "ITEM-2", "itemData" : { "DOI" : "10.1111/j.1600-0404.2004.00303.x", "ISSN" : "0001-6314 (Print)", "PMID" : "15355487", "abstract" : "BACKGROUND: Multiple changes in antibodies against various antigens are found in  multiple sclerosis (MS). OBJECTIVE: We wanted to measure immunoglobulin A (IgA) antibodies to some common food antigens in MS and also IgG against gliadin and gluten. METHODS: The IgA antibodies were measured in serum against gluten, gliadin, lactoglobulin, lactalbumin, casein and ovalbumin in patients with MS and controls using ELISA technique. IgG was likewise measured for gluten and gliadin. RESULTS: Highly significant increases compared with controls were found for IgA and IgG antibodies against gliadin and gluten. IgA antibodies against casein were significantly increased. Anti-endomycium and anti-transglutaminase antibodies were negative. CONCLUSIONS: The data presented indicate that there may be a possible moderately increased uptake of some specific proteins from the gut in MS compared with controls.", "author" : [ { "dropping-particle" : "", "family" : "Reichelt", "given" : "K-L", "non-dropping-particle" : "", "parse-names" : false, "suffix" : "" }, { "dropping-particle" : "", "family" : "Jensen", "given" : "D", "non-dropping-particle" : "", "parse-names" : false, "suffix" : "" } ], "container-title" : "Acta neurologica Scandinavica", "id" : "ITEM-2", "issue" : "4", "issued" : { "date-parts" : [ [ "2004", "10" ] ] }, "language" : "eng", "page" : "239-241", "publisher-place" : "Denmark", "title" : "IgA antibodies against gliadin and gluten in multiple sclerosis.", "type" : "article-journal", "volume" : "110" }, "uris" : [ "http://www.mendeley.com/documents/?uuid=aac7d5ff-dbe2-43bd-921b-71c8c9960703" ] }, { "id" : "ITEM-3", "itemData" : { "DOI" : "10.1111/j.1572-0241.2001.03753.x", "ISSN" : "0002-9270 (Print)", "PMID" : "11316156", "abstract" : "OBJECTIVE: [corrected] Systemic lupus erythematosus has been associated with false positive autoantibodies for primary biliary cirrhosis, chronic active hepatitis, Sjogren's syndrome, rheumatoid arthritis, thyroid disorders, syphilis, and scleroderma. An increased prevalence of autoantibodies are found in celiac disease and systemic lupus erythematosus, which share the human lymphocyte HLA-B8 and HLA-DR3 histocompatibility antigens. This study examines the prevalence of celiac disease autoantibodies in systemic lupus erythematosus patients. METHODS: Patients observed in the Department of Rheumatology at our institutions in San Antonio, Texas with known systemic lupus erythematosus were offered participation in the study. One hundred three of the 130 patients contacted agreed to participate. Patients were excluded if they were pregnant or medically unable to undergo endoscopy. All volunteers were tested for the serological presence of IgA and IgM antigliadin and IgA antiendomysial antibodies. Those with positive serology underwent esophagogastroduodenoscopy with duodenal mucosal biopsy. RESULTS: Twenty-four of 103 (23.3%) systemic lupus erythematosus patients tested positive for either antigliadin antibody, whereas none of the 103 patients tested positive for antiendomysial antibody. None of the 24 antigliadin positive patients were found to have endoscopic or histological evidence of celiac disease, making the false positive rate of antigliadin antibody 23%. CONCLUSION: The presence of false positive antigliadin antibodies in patients with systemic lupus erythematosus is common. Despite shared human lymphocyte antigen loci there does not seem to be an association between celiac disease and systemic lupus erythematosus.", "author" : [ { "dropping-particle" : "", "family" : "Rensch", "given" : "M J", "non-dropping-particle" : "", "parse-names" : false, "suffix" : "" }, { "dropping-particle" : "", "family" : "Szyjkowski", "given" : "R", "non-dropping-particle" : "", "parse-names" : false, "suffix" : "" }, { "dropping-particle" : "", "family" : "Shaffer", "given" : "R T", "non-dropping-particle" : "", "parse-names" : false, "suffix" : "" }, { "dropping-particle" : "", "family" : "Fink", "given" : "S", "non-dropping-particle" : "", "parse-names" : false, "suffix" : "" }, { "dropping-particle" : "", "family" : "Kopecky", "given" : "C", "non-dropping-particle" : "", "parse-names" : false, "suffix" : "" }, { "dropping-particle" : "", "family" : "Grissmer", "given" : "L", "non-dropping-particle" : "", "parse-names" : false, "suffix" : "" }, { "dropping-particle" : "", "family" : "Enzenhauer", "given" : "R", "non-dropping-particle" : "", "parse-names" : false, "suffix" : "" }, { "dropping-particle" : "", "family" : "Kadakia", "given" : "S", "non-dropping-particle" : "", "parse-names" : false, "suffix" : "" } ], "container-title" : "The American journal of gastroenterology", "id" : "ITEM-3", "issue" : "4", "issued" : { "date-parts" : [ [ "2001", "4" ] ] }, "language" : "eng", "page" : "1113-1115", "publisher-place" : "United States", "title" : "The prevalence of celiac disease autoantibodies in patients with systemic lupus erythematosus.", "type" : "article-journal", "volume" : "96" }, "uris" : [ "http://www.mendeley.com/documents/?uuid=eae4a782-0ae1-4f31-b58f-55ffb59c365d" ] } ], "mendeley" : { "formattedCitation" : "&lt;sup&gt;[32\u201334]&lt;/sup&gt;", "plainTextFormattedCitation" : "[32\u201334]", "previouslyFormattedCitation" : "&lt;sup&gt;[32\u201334]&lt;/sup&gt;" }, "properties" : { "noteIndex" : 0 }, "schema" : "https://github.com/citation-style-language/schema/raw/master/csl-citation.json" }</w:instrText>
      </w:r>
      <w:r w:rsidR="002A3426" w:rsidRPr="0088290D">
        <w:rPr>
          <w:rFonts w:ascii="Book Antiqua" w:hAnsi="Book Antiqua"/>
          <w:lang w:val="en-US"/>
        </w:rPr>
        <w:fldChar w:fldCharType="separate"/>
      </w:r>
      <w:r w:rsidR="00E802D3" w:rsidRPr="0088290D">
        <w:rPr>
          <w:rFonts w:ascii="Book Antiqua" w:hAnsi="Book Antiqua"/>
          <w:noProof/>
          <w:vertAlign w:val="superscript"/>
          <w:lang w:val="en-US"/>
        </w:rPr>
        <w:t>[32–34]</w:t>
      </w:r>
      <w:r w:rsidR="002A3426"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65146B" w:rsidRPr="0088290D">
        <w:rPr>
          <w:rFonts w:ascii="Book Antiqua" w:hAnsi="Book Antiqua"/>
          <w:lang w:val="en-US"/>
        </w:rPr>
        <w:t xml:space="preserve">Investigators </w:t>
      </w:r>
      <w:r w:rsidR="00B3402E" w:rsidRPr="0088290D">
        <w:rPr>
          <w:rFonts w:ascii="Book Antiqua" w:hAnsi="Book Antiqua"/>
          <w:lang w:val="en-US"/>
        </w:rPr>
        <w:t xml:space="preserve">have </w:t>
      </w:r>
      <w:r w:rsidR="0065146B" w:rsidRPr="0088290D">
        <w:rPr>
          <w:rFonts w:ascii="Book Antiqua" w:hAnsi="Book Antiqua"/>
          <w:lang w:val="en-US"/>
        </w:rPr>
        <w:t xml:space="preserve">attributed </w:t>
      </w:r>
      <w:r w:rsidR="00CE45FC" w:rsidRPr="0088290D">
        <w:rPr>
          <w:rFonts w:ascii="Book Antiqua" w:hAnsi="Book Antiqua"/>
          <w:lang w:val="en-US"/>
        </w:rPr>
        <w:t xml:space="preserve">the </w:t>
      </w:r>
      <w:r w:rsidR="0065146B" w:rsidRPr="0088290D">
        <w:rPr>
          <w:rFonts w:ascii="Book Antiqua" w:hAnsi="Book Antiqua"/>
          <w:lang w:val="en-US"/>
        </w:rPr>
        <w:t>f</w:t>
      </w:r>
      <w:r w:rsidR="00A20571" w:rsidRPr="0088290D">
        <w:rPr>
          <w:rFonts w:ascii="Book Antiqua" w:hAnsi="Book Antiqua"/>
          <w:lang w:val="en-US"/>
        </w:rPr>
        <w:t xml:space="preserve">ormation of these antibodies to </w:t>
      </w:r>
      <w:r w:rsidR="00CE45FC" w:rsidRPr="0088290D">
        <w:rPr>
          <w:rFonts w:ascii="Book Antiqua" w:hAnsi="Book Antiqua"/>
          <w:lang w:val="en-US"/>
        </w:rPr>
        <w:t>an</w:t>
      </w:r>
      <w:r w:rsidR="00A20571" w:rsidRPr="0088290D">
        <w:rPr>
          <w:rFonts w:ascii="Book Antiqua" w:hAnsi="Book Antiqua"/>
          <w:lang w:val="en-US"/>
        </w:rPr>
        <w:t xml:space="preserve"> increased uptake of peptides from the gut lumen to the intestinal mucosa</w:t>
      </w:r>
      <w:r w:rsidR="00B3402E" w:rsidRPr="0088290D">
        <w:rPr>
          <w:rFonts w:ascii="Book Antiqua" w:hAnsi="Book Antiqua"/>
          <w:lang w:val="en-US"/>
        </w:rPr>
        <w:t xml:space="preserve"> a</w:t>
      </w:r>
      <w:r w:rsidR="00BE6793" w:rsidRPr="0088290D">
        <w:rPr>
          <w:rFonts w:ascii="Book Antiqua" w:hAnsi="Book Antiqua"/>
          <w:lang w:val="en-US"/>
        </w:rPr>
        <w:t xml:space="preserve">nd presence of AGA is considered as a marker of a non-specific immune reaction towards a dietary peptide. </w:t>
      </w:r>
      <w:r w:rsidR="00AB49F9" w:rsidRPr="0088290D">
        <w:rPr>
          <w:rFonts w:ascii="Book Antiqua" w:hAnsi="Book Antiqua"/>
          <w:lang w:val="en-US"/>
        </w:rPr>
        <w:t>F</w:t>
      </w:r>
      <w:r w:rsidR="0011123F" w:rsidRPr="0088290D">
        <w:rPr>
          <w:rFonts w:ascii="Book Antiqua" w:hAnsi="Book Antiqua"/>
          <w:lang w:val="en-US"/>
        </w:rPr>
        <w:t>urthermore</w:t>
      </w:r>
      <w:r w:rsidR="00AB49F9" w:rsidRPr="0088290D">
        <w:rPr>
          <w:rFonts w:ascii="Book Antiqua" w:hAnsi="Book Antiqua"/>
          <w:lang w:val="en-US"/>
        </w:rPr>
        <w:t>,</w:t>
      </w:r>
      <w:r w:rsidR="0011123F" w:rsidRPr="0088290D">
        <w:rPr>
          <w:rFonts w:ascii="Book Antiqua" w:hAnsi="Book Antiqua"/>
          <w:lang w:val="en-US"/>
        </w:rPr>
        <w:t xml:space="preserve"> </w:t>
      </w:r>
      <w:r w:rsidR="00AB49F9" w:rsidRPr="006716DE">
        <w:rPr>
          <w:rFonts w:ascii="Book Antiqua" w:hAnsi="Book Antiqua"/>
          <w:lang w:val="en-US"/>
        </w:rPr>
        <w:t>Reiberger</w:t>
      </w:r>
      <w:r w:rsidR="00AB49F9" w:rsidRPr="0088290D">
        <w:rPr>
          <w:rFonts w:ascii="Book Antiqua" w:hAnsi="Book Antiqua"/>
          <w:lang w:val="en-US"/>
        </w:rPr>
        <w:t xml:space="preserve"> </w:t>
      </w:r>
      <w:r w:rsidR="00BA4485" w:rsidRPr="0088290D">
        <w:rPr>
          <w:rFonts w:ascii="Book Antiqua" w:hAnsi="Book Antiqua"/>
          <w:i/>
          <w:lang w:val="en-US"/>
        </w:rPr>
        <w:t>et al</w:t>
      </w:r>
      <w:r w:rsidR="006716DE" w:rsidRPr="0088290D">
        <w:rPr>
          <w:rFonts w:ascii="Book Antiqua" w:hAnsi="Book Antiqua"/>
          <w:lang w:val="en-US"/>
        </w:rPr>
        <w:fldChar w:fldCharType="begin" w:fldLock="1"/>
      </w:r>
      <w:r w:rsidR="006716DE" w:rsidRPr="0088290D">
        <w:rPr>
          <w:rFonts w:ascii="Book Antiqua" w:hAnsi="Book Antiqua"/>
          <w:lang w:val="en-US"/>
        </w:rPr>
        <w:instrText>ADDIN CSL_CITATION { "citationItems" : [ { "id" : "ITEM-1", "itemData" : { "DOI" : "10.1016/j.jhep.2012.12.011", "ISSN" : "0168-8278", "author" : [ { "dropping-particle" : "", "family" : "Reiberger", "given" : "Thomas", "non-dropping-particle" : "", "parse-names" : false, "suffix" : "" }, { "dropping-particle" : "", "family" : "Ferlitsch", "given" : "Arnulf", "non-dropping-particle" : "", "parse-names" : false, "suffix" : "" }, { "dropping-particle" : "", "family" : "Payer", "given" : "Berit A", "non-dropping-particle" : "", "parse-names" : false, "suffix" : "" }, { "dropping-particle" : "", "family" : "Mandorfer", "given" : "Mattias", "non-dropping-particle" : "", "parse-names" : false, "suffix" : "" }, { "dropping-particle" : "", "family" : "Heinisch", "given" : "Birgit B", "non-dropping-particle" : "", "parse-names" : false, "suffix" : "" }, { "dropping-particle" : "", "family" : "Hayden", "given" : "Hubert", "non-dropping-particle" : "", "parse-names" : false, "suffix" : "" }, { "dropping-particle" : "", "family" : "Lammert", "given" : "Frank", "non-dropping-particle" : "", "parse-names" : false, "suffix" : "" }, { "dropping-particle" : "", "family" : "Trauner", "given" : "Michael", "non-dropping-particle" : "", "parse-names" : false, "suffix" : "" }, { "dropping-particle" : "", "family" : "Peck-radosavljevic", "given" : "Markus", "non-dropping-particle" : "", "parse-names" : false, "suffix" : "" }, { "dropping-particle" : "", "family" : "Vogelsang", "given" : "Harald", "non-dropping-particle" : "", "parse-names" : false, "suffix" : "" }, { "dropping-particle" : "", "family" : "Hepatic", "given" : "Vienna", "non-dropping-particle" : "", "parse-names" : false, "suffix" : "" } ], "container-title" : "Journal of Hepatology", "id" : "ITEM-1", "issue" : "5", "issued" : { "date-parts" : [ [ "2013" ] ] }, "page" : "911-921", "publisher" : "European Association for the Study of the Liver", "title" : "Non-selective betablocker therapy decreases intestinal permeability and serum levels of LBP and IL-6 in patients with cirrhosis", "type" : "article-journal", "volume" : "58" }, "uris" : [ "http://www.mendeley.com/documents/?uuid=f9c4addd-3dfe-423f-a45c-50cb2b0fb8d7" ] } ], "mendeley" : { "formattedCitation" : "&lt;sup&gt;[14]&lt;/sup&gt;", "plainTextFormattedCitation" : "[14]", "previouslyFormattedCitation" : "&lt;sup&gt;[14]&lt;/sup&gt;" }, "properties" : { "noteIndex" : 0 }, "schema" : "https://github.com/citation-style-language/schema/raw/master/csl-citation.json" }</w:instrText>
      </w:r>
      <w:r w:rsidR="006716DE" w:rsidRPr="0088290D">
        <w:rPr>
          <w:rFonts w:ascii="Book Antiqua" w:hAnsi="Book Antiqua"/>
          <w:lang w:val="en-US"/>
        </w:rPr>
        <w:fldChar w:fldCharType="separate"/>
      </w:r>
      <w:r w:rsidR="006716DE" w:rsidRPr="0088290D">
        <w:rPr>
          <w:rFonts w:ascii="Book Antiqua" w:hAnsi="Book Antiqua"/>
          <w:noProof/>
          <w:vertAlign w:val="superscript"/>
          <w:lang w:val="en-US"/>
        </w:rPr>
        <w:t>[14]</w:t>
      </w:r>
      <w:r w:rsidR="006716DE" w:rsidRPr="0088290D">
        <w:rPr>
          <w:rFonts w:ascii="Book Antiqua" w:hAnsi="Book Antiqua"/>
          <w:lang w:val="en-US"/>
        </w:rPr>
        <w:fldChar w:fldCharType="end"/>
      </w:r>
      <w:r w:rsidR="00BA4485" w:rsidRPr="0088290D">
        <w:rPr>
          <w:rFonts w:ascii="Book Antiqua" w:hAnsi="Book Antiqua"/>
          <w:lang w:val="en-US"/>
        </w:rPr>
        <w:t xml:space="preserve"> </w:t>
      </w:r>
      <w:r w:rsidR="00AB49F9" w:rsidRPr="0088290D">
        <w:rPr>
          <w:rFonts w:ascii="Book Antiqua" w:hAnsi="Book Antiqua"/>
          <w:lang w:val="en-US"/>
        </w:rPr>
        <w:t xml:space="preserve">reported </w:t>
      </w:r>
      <w:r w:rsidR="0011123F" w:rsidRPr="0088290D">
        <w:rPr>
          <w:rFonts w:ascii="Book Antiqua" w:hAnsi="Book Antiqua"/>
          <w:lang w:val="en-US"/>
        </w:rPr>
        <w:t>a surprisingly high frequency</w:t>
      </w:r>
      <w:r w:rsidR="00A20571" w:rsidRPr="0088290D">
        <w:rPr>
          <w:rFonts w:ascii="Book Antiqua" w:hAnsi="Book Antiqua"/>
          <w:lang w:val="en-US"/>
        </w:rPr>
        <w:t xml:space="preserve"> (</w:t>
      </w:r>
      <w:r w:rsidR="006716DE">
        <w:rPr>
          <w:rFonts w:ascii="Book Antiqua" w:eastAsia="SimSun" w:hAnsi="Book Antiqua" w:hint="eastAsia"/>
          <w:lang w:val="en-US" w:eastAsia="zh-CN"/>
        </w:rPr>
        <w:t xml:space="preserve">about </w:t>
      </w:r>
      <w:r w:rsidR="00A20571" w:rsidRPr="0088290D">
        <w:rPr>
          <w:rFonts w:ascii="Book Antiqua" w:hAnsi="Book Antiqua"/>
          <w:lang w:val="en-US"/>
        </w:rPr>
        <w:t>60%)</w:t>
      </w:r>
      <w:r w:rsidR="0011123F" w:rsidRPr="0088290D">
        <w:rPr>
          <w:rFonts w:ascii="Book Antiqua" w:hAnsi="Book Antiqua"/>
          <w:lang w:val="en-US"/>
        </w:rPr>
        <w:t xml:space="preserve"> </w:t>
      </w:r>
      <w:r w:rsidR="00AB49F9" w:rsidRPr="0088290D">
        <w:rPr>
          <w:rFonts w:ascii="Book Antiqua" w:hAnsi="Book Antiqua"/>
          <w:lang w:val="en-US"/>
        </w:rPr>
        <w:t xml:space="preserve">of </w:t>
      </w:r>
      <w:r w:rsidR="003E38F7" w:rsidRPr="0088290D">
        <w:rPr>
          <w:rFonts w:ascii="Book Antiqua" w:hAnsi="Book Antiqua"/>
          <w:lang w:val="en-US"/>
        </w:rPr>
        <w:t>AGA</w:t>
      </w:r>
      <w:r w:rsidR="0011123F" w:rsidRPr="0088290D">
        <w:rPr>
          <w:rFonts w:ascii="Book Antiqua" w:hAnsi="Book Antiqua"/>
          <w:lang w:val="en-US"/>
        </w:rPr>
        <w:t xml:space="preserve"> in patients with liver cirrhos</w:t>
      </w:r>
      <w:r w:rsidR="006716DE">
        <w:rPr>
          <w:rFonts w:ascii="Book Antiqua" w:hAnsi="Book Antiqua"/>
          <w:lang w:val="en-US"/>
        </w:rPr>
        <w:t>is, mainly of alcoholic origin</w:t>
      </w:r>
      <w:r w:rsidR="006716DE">
        <w:rPr>
          <w:rFonts w:ascii="Book Antiqua" w:eastAsia="SimSun" w:hAnsi="Book Antiqua" w:hint="eastAsia"/>
          <w:lang w:val="en-US" w:eastAsia="zh-CN"/>
        </w:rPr>
        <w:t xml:space="preserve">. </w:t>
      </w:r>
      <w:r w:rsidR="00C357C2" w:rsidRPr="0088290D">
        <w:rPr>
          <w:rFonts w:ascii="Book Antiqua" w:hAnsi="Book Antiqua"/>
          <w:lang w:val="en-US"/>
        </w:rPr>
        <w:t xml:space="preserve">Patients with </w:t>
      </w:r>
      <w:r w:rsidR="003E38F7" w:rsidRPr="0088290D">
        <w:rPr>
          <w:rFonts w:ascii="Book Antiqua" w:hAnsi="Book Antiqua"/>
          <w:lang w:val="en-US"/>
        </w:rPr>
        <w:t>AGA</w:t>
      </w:r>
      <w:r w:rsidR="00C357C2" w:rsidRPr="0088290D">
        <w:rPr>
          <w:rFonts w:ascii="Book Antiqua" w:hAnsi="Book Antiqua"/>
          <w:lang w:val="en-US"/>
        </w:rPr>
        <w:t xml:space="preserve"> had higher portal venous pressure </w:t>
      </w:r>
      <w:r w:rsidR="0096160C" w:rsidRPr="0088290D">
        <w:rPr>
          <w:rFonts w:ascii="Book Antiqua" w:hAnsi="Book Antiqua"/>
          <w:lang w:val="en-US"/>
        </w:rPr>
        <w:t>and</w:t>
      </w:r>
      <w:r w:rsidR="009B624C" w:rsidRPr="0088290D">
        <w:rPr>
          <w:rFonts w:ascii="Book Antiqua" w:hAnsi="Book Antiqua"/>
          <w:lang w:val="en-US"/>
        </w:rPr>
        <w:t xml:space="preserve"> </w:t>
      </w:r>
      <w:r w:rsidR="00C357C2" w:rsidRPr="0088290D">
        <w:rPr>
          <w:rFonts w:ascii="Book Antiqua" w:hAnsi="Book Antiqua"/>
          <w:lang w:val="en-US"/>
        </w:rPr>
        <w:lastRenderedPageBreak/>
        <w:t>increased intestinal permeability</w:t>
      </w:r>
      <w:r w:rsidR="00C3134C" w:rsidRPr="0088290D">
        <w:rPr>
          <w:rFonts w:ascii="Book Antiqua" w:hAnsi="Book Antiqua"/>
          <w:lang w:val="en-US"/>
        </w:rPr>
        <w:t xml:space="preserve"> </w:t>
      </w:r>
      <w:r w:rsidR="000F7E50" w:rsidRPr="0088290D">
        <w:rPr>
          <w:rFonts w:ascii="Book Antiqua" w:hAnsi="Book Antiqua" w:cs="Arial"/>
          <w:lang w:val="en-US"/>
        </w:rPr>
        <w:t>assessed by the sucrose-lactulose-mannitol test.</w:t>
      </w:r>
      <w:r w:rsidR="000F7E50" w:rsidRPr="0088290D">
        <w:rPr>
          <w:rFonts w:ascii="Book Antiqua" w:hAnsi="Book Antiqua"/>
          <w:lang w:val="en-US"/>
        </w:rPr>
        <w:t xml:space="preserve"> </w:t>
      </w:r>
      <w:r w:rsidR="00B24C51" w:rsidRPr="0088290D">
        <w:rPr>
          <w:rFonts w:ascii="Book Antiqua" w:hAnsi="Book Antiqua"/>
          <w:lang w:val="en-US"/>
        </w:rPr>
        <w:t xml:space="preserve">Nevertheless, a </w:t>
      </w:r>
      <w:r w:rsidR="00F43533" w:rsidRPr="0088290D">
        <w:rPr>
          <w:rFonts w:ascii="Book Antiqua" w:hAnsi="Book Antiqua"/>
          <w:lang w:val="en-US"/>
        </w:rPr>
        <w:t>Swedish s</w:t>
      </w:r>
      <w:r w:rsidR="00B24C51" w:rsidRPr="0088290D">
        <w:rPr>
          <w:rFonts w:ascii="Book Antiqua" w:hAnsi="Book Antiqua"/>
          <w:lang w:val="en-US"/>
        </w:rPr>
        <w:t xml:space="preserve">tudy including </w:t>
      </w:r>
      <w:r w:rsidR="00AB520D" w:rsidRPr="0088290D">
        <w:rPr>
          <w:rFonts w:ascii="Book Antiqua" w:hAnsi="Book Antiqua"/>
          <w:lang w:val="en-US"/>
        </w:rPr>
        <w:t>22</w:t>
      </w:r>
      <w:r w:rsidR="00F43533" w:rsidRPr="0088290D">
        <w:rPr>
          <w:rFonts w:ascii="Book Antiqua" w:hAnsi="Book Antiqua"/>
          <w:lang w:val="en-US"/>
        </w:rPr>
        <w:t xml:space="preserve"> </w:t>
      </w:r>
      <w:r w:rsidR="00B24C51" w:rsidRPr="0088290D">
        <w:rPr>
          <w:rFonts w:ascii="Book Antiqua" w:hAnsi="Book Antiqua"/>
          <w:lang w:val="en-US"/>
        </w:rPr>
        <w:t xml:space="preserve">patients with PSC failed to detect </w:t>
      </w:r>
      <w:r w:rsidR="00CA5CA6" w:rsidRPr="0088290D">
        <w:rPr>
          <w:rFonts w:ascii="Book Antiqua" w:hAnsi="Book Antiqua"/>
          <w:lang w:val="en-US"/>
        </w:rPr>
        <w:t>an altered</w:t>
      </w:r>
      <w:r w:rsidR="006716DE">
        <w:rPr>
          <w:rFonts w:ascii="Book Antiqua" w:hAnsi="Book Antiqua"/>
          <w:lang w:val="en-US"/>
        </w:rPr>
        <w:t xml:space="preserve"> intestinal permeability in PSC</w:t>
      </w:r>
      <w:r w:rsidR="0064236E"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"ISSN" : "0036-5521 (Print)", "PMID" : "16211716", "abstract" : "OBJECTIVE: Animal studies show that small intestinal bacterial overgrowth and infusion of bacterial antigens into portal blood cause hepatic histological changes similar to those seen in primary sclerosing cholangitis in man. It has been suggested that aa similar mechanism involving bacterial overgrowth with increased small-bowel permeability may play a pathogenic role in patients with primary sclerosing cholangitis (13 M, 9 F, median age 37 years, range 21-74 years), 19 of whom (83%) had quiescent inflammatory bowel disease, were included in the study along with 18 healthy volunteers (9 F, ( M, median age 36 years, range 23-80 years). Small-bowel bacterial overgrowth was defined as the presence of colonic flora&gt;10(5) colony-forming units (cfu)/ml from duodenal aspirations. Small-bowel intestinal permeability was assessed as the differential urinary excretion of lactulose/L-rhamnose. RESULTS: Bacterial overgrowth was evident in one patient with primary sclerosing cholangitis (4.5%) (Enterobacter) and in none of the controls. Intestinal permeability in patients with primary sclerosing cholangitis (0.034 (0.026-0.041) (median, interquartile range (IQR)) did not differ significantly from that of the controls (0.033 (0.025-0.041). CONCLUSIONS: Small intestinal bacterial overgrowth and increased intestinal permeability does not seem to play an important pathogenic role in patients with primary sclerosing cholangitis.", "author" : [ { "dropping-particle" : "", "family" : "Bjornsson", "given" : "Einar", "non-dropping-particle" : "", "parse-names" : false, "suffix" : "" }, { "dropping-particle" : "", "family" : "Cederborg", "given" : "Anna", "non-dropping-particle" : "", "parse-names" : false, "suffix" : "" }, { "dropping-particle" : "", "family" : "Akvist", "given" : "Anders", "non-dropping-particle" : "", "parse-names" : false, "suffix" : "" }, { "dropping-particle" : "", "family" : "Simren", "given" : "Magnus", "non-dropping-particle" : "", "parse-names" : false, "suffix" : "" }, { "dropping-particle" : "", "family" : "Stotzer", "given" : "Per-Ove", "non-dropping-particle" : "", "parse-names" : false, "suffix" : "" }, { "dropping-particle" : "", "family" : "Bjarnason", "given" : "Ingvar", "non-dropping-particle" : "", "parse-names" : false, "suffix" : "" } ], "container-title" : "Scandinavian journal of gastroenterology", "id" : "ITEM-1", "issue" : "9", "issued" : { "date-parts" : [ [ "2005", "9" ] ] }, "language" : "eng", "page" : "1090-1094", "publisher-place" : "England", "title" : "Intestinal permeability and bacterial growth of the small bowel in patients with  primary sclerosing cholangitis.", "type" : "article-journal", "volume" : "40" }, "uris" : [ "http://www.mendeley.com/documents/?uuid=e9cdb31c-3df0-4260-a514-3b13f2d02d6d" ] } ], "mendeley" : { "formattedCitation" : "&lt;sup&gt;[35]&lt;/sup&gt;", "plainTextFormattedCitation" : "[35]", "previouslyFormattedCitation" : "&lt;sup&gt;[35]&lt;/sup&gt;" }, "properties" : { "noteIndex" : 0 }, "schema" : "https://github.com/citation-style-language/schema/raw/master/csl-citation.json" }</w:instrText>
      </w:r>
      <w:r w:rsidR="0064236E" w:rsidRPr="0088290D">
        <w:rPr>
          <w:rFonts w:ascii="Book Antiqua" w:hAnsi="Book Antiqua"/>
          <w:lang w:val="en-US"/>
        </w:rPr>
        <w:fldChar w:fldCharType="separate"/>
      </w:r>
      <w:r w:rsidR="00E802D3" w:rsidRPr="0088290D">
        <w:rPr>
          <w:rFonts w:ascii="Book Antiqua" w:hAnsi="Book Antiqua"/>
          <w:noProof/>
          <w:vertAlign w:val="superscript"/>
          <w:lang w:val="en-US"/>
        </w:rPr>
        <w:t>[35]</w:t>
      </w:r>
      <w:r w:rsidR="0064236E" w:rsidRPr="0088290D">
        <w:rPr>
          <w:rFonts w:ascii="Book Antiqua" w:hAnsi="Book Antiqua"/>
          <w:lang w:val="en-US"/>
        </w:rPr>
        <w:fldChar w:fldCharType="end"/>
      </w:r>
      <w:r w:rsidR="006716DE">
        <w:rPr>
          <w:rFonts w:ascii="Book Antiqua" w:eastAsia="SimSun" w:hAnsi="Book Antiqua" w:hint="eastAsia"/>
          <w:lang w:val="en-US" w:eastAsia="zh-CN"/>
        </w:rPr>
        <w:t>.</w:t>
      </w:r>
      <w:r w:rsidR="00B24C51" w:rsidRPr="0088290D">
        <w:rPr>
          <w:rFonts w:ascii="Book Antiqua" w:hAnsi="Book Antiqua"/>
          <w:lang w:val="en-US"/>
        </w:rPr>
        <w:t xml:space="preserve"> </w:t>
      </w:r>
      <w:r w:rsidR="00042184" w:rsidRPr="0088290D">
        <w:rPr>
          <w:rFonts w:ascii="Book Antiqua" w:hAnsi="Book Antiqua"/>
          <w:lang w:val="en-US"/>
        </w:rPr>
        <w:t>Intestinal p</w:t>
      </w:r>
      <w:r w:rsidR="0064236E" w:rsidRPr="0088290D">
        <w:rPr>
          <w:rFonts w:ascii="Book Antiqua" w:hAnsi="Book Antiqua"/>
          <w:lang w:val="en-US"/>
        </w:rPr>
        <w:t xml:space="preserve">ermeability </w:t>
      </w:r>
      <w:r w:rsidR="006410C6" w:rsidRPr="0088290D">
        <w:rPr>
          <w:rFonts w:ascii="Book Antiqua" w:hAnsi="Book Antiqua"/>
          <w:lang w:val="en-US"/>
        </w:rPr>
        <w:t xml:space="preserve">in PSC might rather be </w:t>
      </w:r>
      <w:r w:rsidR="00042184" w:rsidRPr="0088290D">
        <w:rPr>
          <w:rFonts w:ascii="Book Antiqua" w:hAnsi="Book Antiqua"/>
          <w:lang w:val="en-US"/>
        </w:rPr>
        <w:t>considered as</w:t>
      </w:r>
      <w:r w:rsidR="006410C6" w:rsidRPr="0088290D">
        <w:rPr>
          <w:rFonts w:ascii="Book Antiqua" w:hAnsi="Book Antiqua"/>
          <w:lang w:val="en-US"/>
        </w:rPr>
        <w:t xml:space="preserve"> an immunological </w:t>
      </w:r>
      <w:r w:rsidR="00042184" w:rsidRPr="0088290D">
        <w:rPr>
          <w:rFonts w:ascii="Book Antiqua" w:hAnsi="Book Antiqua"/>
          <w:lang w:val="en-US"/>
        </w:rPr>
        <w:t>barrier dysfunction</w:t>
      </w:r>
      <w:r w:rsidR="006410C6"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"DOI" : "10.1136/gut.2008.157818", "ISSN" : "1468-3288 (Electronic)", "PMID" : "19951907", "abstract" : "OBJECTIVE: Autoimmune hepatitis and primary sclerosing cholangitis are chronic inflammatory disorders of unknown aetiology, frequently associated with the presence of perinuclear antineutrophil cytoplasmic antibodies (p-ANCAs) directed against an unknown antigen of myeloid cells. METHODS AND RESULTS: Here, it is reported that p-ANCAs in autoimmune liver disorders react with beta-tubulin isotype 5 (TBB-5) as autoantigen as well as with its evolutionary bacterial precursor protein FtsZ. Both proteins were confirmed as antigens of p-ANCAs in autoimmune liver disorders by demonstrating reactivity of ANCA-positive sera with recombinant TBB-5 (72-88%) and FtsZ (64-82%) on immunoblots and antigen-specific abrogation of ANCA immunofluorescence when sera had been preabsorbed with tubulin and FtsZ. Using sera from interleukin 10-deficient mice (Il10(-)/(-)), an animal model of inflammatory bowel disease, it was also demonstrated that antibodies against TBB-5 are generated in response to intestinal microorganisms. However, unlike autoimmune liver disorders, human antibodies to FtsZ in the absence of TBB-5 antibodies were also a frequent finding in non-autoimmune liver diseases (up to 95%). Reactivity to TBB-5 without the presence of FtsZ antibodies was found in very few cases (&lt;1%) in autoimmune liver disorders. CONCLUSIONS: Thus, p-ANCAs in autoimmune liver diseases are directed against human TBB-5 cross-reacting with the bacterial protein FtsZ, probably reflecting an abnormal immune response to intestinal microorganisms in susceptible, possibly genetically predisposed individuals.", "author" : [ { "dropping-particle" : "", "family" : "Terjung", "given" : "Birgit", "non-dropping-particle" : "", "parse-names" : false, "suffix" : "" }, { "dropping-particle" : "", "family" : "Sohne", "given" : "Jennifer", "non-dropping-particle" : "", "parse-names" : false, "suffix" : "" }, { "dropping-particle" : "", "family" : "Lechtenberg", "given" : "Berthold", "non-dropping-particle" : "", "parse-names" : false, "suffix" : "" }, { "dropping-particle" : "", "family" : "Gottwein", "given" : "Judith", "non-dropping-particle" : "", "parse-names" : false, "suffix" : "" }, { "dropping-particle" : "", "family" : "Muennich", "given" : "Marit", "non-dropping-particle" : "", "parse-names" : false, "suffix" : "" }, { "dropping-particle" : "", "family" : "Herzog", "given" : "Volker", "non-dropping-particle" : "", "parse-names" : false, "suffix" : "" }, { "dropping-particle" : "", "family" : "Mahler", "given" : "Michael", "non-dropping-particle" : "", "parse-names" : false, "suffix" : "" }, { "dropping-particle" : "", "family" : "Sauerbruch", "given" : "Tilman", "non-dropping-particle" : "", "parse-names" : false, "suffix" : "" }, { "dropping-particle" : "", "family" : "Spengler", "given" : "Ulrich", "non-dropping-particle" : "", "parse-names" : false, "suffix" : "" } ], "container-title" : "Gut", "id" : "ITEM-1", "issue" : "6", "issued" : { "date-parts" : [ [ "2010", "6" ] ] }, "language" : "eng", "page" : "808-816", "publisher-place" : "England", "title" : "p-ANCAs in autoimmune liver disorders recognise human beta-tubulin isotype 5 and  cross-react with microbial protein FtsZ.", "type" : "article-journal", "volume" : "59" }, "uris" : [ "http://www.mendeley.com/documents/?uuid=d9376fbf-8f78-452f-927b-60e9c198664d" ] }, { "id" : "ITEM-2", "itemData" : { "DOI" : "10.1111/j.1478-3231.2011.02635.x", "ISSN" : "1478-3231 (Electronic)", "PMID" : "22093333", "abstract" : "BACKGROUND: Pattern recognition receptors (PRRs) orchestrate the innate immune defence in human biliary epithelial cells (BECs). Tight control of PRR signalling provides tolerance to physiological amounts of intestinal endotoxins in human bile to avoid constant innate immune activation in BECs. AIMS: We wanted to determine whether inappropriate innate immune responses to intestinal endotoxins contribute to the development and perpetuation of chronic biliary inflammation. METHODS: We examined PRR-mediated innate immune responses and protective endotoxin tolerance in primary BECs isolated from patients with primary sclerosing cholangitis (PSC), alcoholic liver disease and patients without chronic liver disease. Expression studies comprised northern blots, RT-PCR, Western blots and immunocytochemistry. Functional studies comprised immuno-precipitation Western blots, FACS for endotoxin uptake, and NF-kappaB activation assays and ELISA for secreted IL-8 and tumour necrosis factor (TNF)-alpha. RESULTS: Primary BECs from explanted PSC livers showed reversibly increased TLR and NOD protein expression and activation of the MyD88/IRAK signalling complex. Consecutively, PSC BECs exhibited inappropriate innate immune responses to endotoxins and did not develop immune tolerance after repeated endotoxin exposures. This endotoxin hyper-responsiveness was probably because of the stimulatory effect of abundantly expressed IFN-gamma and TNF-alpha in PSC livers, which stimulated TLR4-mediated endotoxin signalling in BECs, leading to increased TLR4-mediated endotoxin incorporation and impaired inactivation of the TLR4 signalling cascade. As TNF-alpha inhibition partly restored protective innate immune tolerance, endogenous TNF-alpha secretion probably contributed to inappropriate endotoxin responses in BECs. CONCLUSION: Inappropriate innate immune responses to intestinal endotoxins and subsequent endotoxin intolerance because of enhanced PRR signalling in BECs probably contribute to chronic cholangitis.", "author" : [ { "dropping-particle" : "", "family" : "Mueller", "given" : "Tobias", "non-dropping-particle" : "", "parse-names" : false, "suffix" : "" }, { "dropping-particle" : "", "family" : "Beutler", "given" : "Claudia", "non-dropping-particle" : "", "parse-names" : false, "suffix" : "" }, { "dropping-particle" : "", "family" : "Pico", "given" : "Almudena Hurtado", "non-dropping-particle" : "", "parse-names" : false, "suffix" : "" }, { "dropping-particle" : "", "family" : "Shibolet", "given" : "Oren", "non-dropping-particle" : "", "parse-names" : false, "suffix" : "" }, { "dropping-particle" : "", "family" : "Pratt", "given" : "Daniel S", "non-dropping-particle" : "", "parse-names" : false, "suffix" : "" }, { "dropping-particle" : "", "family" : "Pascher", "given" : "Andreas", "non-dropping-particle" : "", "parse-names" : false, "suffix" : "" }, { "dropping-particle" : "", "family" : "Neuhaus", "given" : "Peter", "non-dropping-particle" : "", "parse-names" : false, "suffix" : "" }, { "dropping-particle" : "", "family" : "Wiedenmann", "given" : "Bertram", "non-dropping-particle" : "", "parse-names" : false, "suffix" : "" }, { "dropping-particle" : "", "family" : "Berg", "given" : "Thomas", "non-dropping-particle" : "", "parse-names" : false, "suffix" : "" }, { "dropping-particle" : "", "family" : "Podolsky", "given" : "Daniel K", "non-dropping-particle" : "", "parse-names" : false, "suffix" : "" } ], "container-title" : "Liver international : official journal of the International Association for the Study of the Liver", "id" : "ITEM-2", "issue" : "10", "issued" : { "date-parts" : [ [ "2011", "11" ] ] }, "language" : "eng", "page" : "1574-1588", "publisher-place" : "United States", "title" : "Enhanced innate immune responsiveness and intolerance to intestinal endotoxins in human biliary epithelial cells contributes to chronic cholangitis.", "type" : "article-journal", "volume" : "31" }, "uris" : [ "http://www.mendeley.com/documents/?uuid=efbe0d75-8714-4440-a061-00505368f40d" ] } ], "mendeley" : { "formattedCitation" : "&lt;sup&gt;[8,36]&lt;/sup&gt;", "plainTextFormattedCitation" : "[8,36]", "previouslyFormattedCitation" : "&lt;sup&gt;[8,36]&lt;/sup&gt;" }, "properties" : { "noteIndex" : 0 }, "schema" : "https://github.com/citation-style-language/schema/raw/master/csl-citation.json" }</w:instrText>
      </w:r>
      <w:r w:rsidR="006410C6" w:rsidRPr="0088290D">
        <w:rPr>
          <w:rFonts w:ascii="Book Antiqua" w:hAnsi="Book Antiqua"/>
          <w:lang w:val="en-US"/>
        </w:rPr>
        <w:fldChar w:fldCharType="separate"/>
      </w:r>
      <w:r w:rsidR="00E802D3" w:rsidRPr="0088290D">
        <w:rPr>
          <w:rFonts w:ascii="Book Antiqua" w:hAnsi="Book Antiqua"/>
          <w:noProof/>
          <w:vertAlign w:val="superscript"/>
          <w:lang w:val="en-US"/>
        </w:rPr>
        <w:t>[8,36]</w:t>
      </w:r>
      <w:r w:rsidR="006410C6"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D91C48" w:rsidRPr="0088290D">
        <w:rPr>
          <w:rFonts w:ascii="Book Antiqua" w:hAnsi="Book Antiqua"/>
          <w:lang w:val="en-US"/>
        </w:rPr>
        <w:t>W</w:t>
      </w:r>
      <w:r w:rsidR="007C1729" w:rsidRPr="0088290D">
        <w:rPr>
          <w:rFonts w:ascii="Book Antiqua" w:hAnsi="Book Antiqua"/>
          <w:lang w:val="en-US"/>
        </w:rPr>
        <w:t xml:space="preserve">e found </w:t>
      </w:r>
      <w:r w:rsidR="005F0E66" w:rsidRPr="0088290D">
        <w:rPr>
          <w:rFonts w:ascii="Book Antiqua" w:hAnsi="Book Antiqua"/>
          <w:lang w:val="en-US"/>
        </w:rPr>
        <w:t>an association between IgA type AGA and accelerated disease progression in our cohort,</w:t>
      </w:r>
      <w:r w:rsidR="00D619EA" w:rsidRPr="0088290D">
        <w:rPr>
          <w:rFonts w:ascii="Book Antiqua" w:hAnsi="Book Antiqua"/>
          <w:lang w:val="en-US"/>
        </w:rPr>
        <w:t xml:space="preserve"> </w:t>
      </w:r>
      <w:r w:rsidR="00B3402E" w:rsidRPr="0088290D">
        <w:rPr>
          <w:rFonts w:ascii="Book Antiqua" w:hAnsi="Book Antiqua"/>
          <w:lang w:val="en-US"/>
        </w:rPr>
        <w:t xml:space="preserve">however </w:t>
      </w:r>
      <w:r w:rsidR="00D619EA" w:rsidRPr="0088290D">
        <w:rPr>
          <w:rFonts w:ascii="Book Antiqua" w:hAnsi="Book Antiqua"/>
          <w:lang w:val="en-US"/>
        </w:rPr>
        <w:t xml:space="preserve">due to </w:t>
      </w:r>
      <w:r w:rsidR="00B3402E" w:rsidRPr="0088290D">
        <w:rPr>
          <w:rFonts w:ascii="Book Antiqua" w:hAnsi="Book Antiqua"/>
          <w:lang w:val="en-US"/>
        </w:rPr>
        <w:t xml:space="preserve">the </w:t>
      </w:r>
      <w:r w:rsidR="0073660E" w:rsidRPr="0088290D">
        <w:rPr>
          <w:rFonts w:ascii="Book Antiqua" w:hAnsi="Book Antiqua"/>
          <w:lang w:val="en-US"/>
        </w:rPr>
        <w:t>low number of positive cases</w:t>
      </w:r>
      <w:r w:rsidR="00B3402E" w:rsidRPr="0088290D">
        <w:rPr>
          <w:rFonts w:ascii="Book Antiqua" w:hAnsi="Book Antiqua"/>
          <w:lang w:val="en-US"/>
        </w:rPr>
        <w:t>,</w:t>
      </w:r>
      <w:r w:rsidR="0073660E" w:rsidRPr="0088290D">
        <w:rPr>
          <w:rFonts w:ascii="Book Antiqua" w:hAnsi="Book Antiqua"/>
          <w:lang w:val="en-US"/>
        </w:rPr>
        <w:t xml:space="preserve"> </w:t>
      </w:r>
      <w:r w:rsidR="00CB0DB1" w:rsidRPr="0088290D">
        <w:rPr>
          <w:rFonts w:ascii="Book Antiqua" w:hAnsi="Book Antiqua"/>
          <w:lang w:val="en-US"/>
        </w:rPr>
        <w:t>this finding</w:t>
      </w:r>
      <w:r w:rsidR="00260C3D" w:rsidRPr="0088290D">
        <w:rPr>
          <w:rFonts w:ascii="Book Antiqua" w:hAnsi="Book Antiqua"/>
          <w:lang w:val="en-US"/>
        </w:rPr>
        <w:t xml:space="preserve"> </w:t>
      </w:r>
      <w:r w:rsidR="00CB0DB1" w:rsidRPr="0088290D">
        <w:rPr>
          <w:rFonts w:ascii="Book Antiqua" w:hAnsi="Book Antiqua"/>
          <w:lang w:val="en-US"/>
        </w:rPr>
        <w:t>should be interpreted with caution</w:t>
      </w:r>
      <w:r w:rsidR="00D619EA" w:rsidRPr="0088290D">
        <w:rPr>
          <w:rFonts w:ascii="Book Antiqua" w:hAnsi="Book Antiqua"/>
          <w:lang w:val="en-US"/>
        </w:rPr>
        <w:t>.</w:t>
      </w:r>
      <w:r w:rsidR="00260C3D" w:rsidRPr="0088290D">
        <w:rPr>
          <w:rFonts w:ascii="Book Antiqua" w:hAnsi="Book Antiqua"/>
          <w:lang w:val="en-US"/>
        </w:rPr>
        <w:t xml:space="preserve"> The</w:t>
      </w:r>
      <w:r w:rsidR="00D619EA" w:rsidRPr="0088290D">
        <w:rPr>
          <w:rFonts w:ascii="Book Antiqua" w:hAnsi="Book Antiqua"/>
          <w:lang w:val="en-US"/>
        </w:rPr>
        <w:t xml:space="preserve"> increased chance </w:t>
      </w:r>
      <w:r w:rsidR="00B3402E" w:rsidRPr="0088290D">
        <w:rPr>
          <w:rFonts w:ascii="Book Antiqua" w:hAnsi="Book Antiqua"/>
          <w:lang w:val="en-US"/>
        </w:rPr>
        <w:t xml:space="preserve">of </w:t>
      </w:r>
      <w:r w:rsidR="00D619EA" w:rsidRPr="0088290D">
        <w:rPr>
          <w:rFonts w:ascii="Book Antiqua" w:hAnsi="Book Antiqua"/>
          <w:lang w:val="en-US"/>
        </w:rPr>
        <w:t>a false positive finding</w:t>
      </w:r>
      <w:r w:rsidR="001A7E80" w:rsidRPr="0088290D">
        <w:rPr>
          <w:rFonts w:ascii="Book Antiqua" w:hAnsi="Book Antiqua"/>
          <w:lang w:val="en-US"/>
        </w:rPr>
        <w:t xml:space="preserve"> </w:t>
      </w:r>
      <w:r w:rsidR="00932CA6" w:rsidRPr="0088290D">
        <w:rPr>
          <w:rFonts w:ascii="Book Antiqua" w:hAnsi="Book Antiqua"/>
          <w:lang w:val="en-US"/>
        </w:rPr>
        <w:t>as a result of the small number of positive cases</w:t>
      </w:r>
      <w:r w:rsidR="00D619EA" w:rsidRPr="0088290D">
        <w:rPr>
          <w:rFonts w:ascii="Book Antiqua" w:hAnsi="Book Antiqua"/>
          <w:lang w:val="en-US"/>
        </w:rPr>
        <w:t xml:space="preserve"> is a limitation to </w:t>
      </w:r>
      <w:r w:rsidR="00260C3D" w:rsidRPr="0088290D">
        <w:rPr>
          <w:rFonts w:ascii="Book Antiqua" w:hAnsi="Book Antiqua"/>
          <w:lang w:val="en-US"/>
        </w:rPr>
        <w:t xml:space="preserve">be </w:t>
      </w:r>
      <w:r w:rsidR="00D619EA" w:rsidRPr="0088290D">
        <w:rPr>
          <w:rFonts w:ascii="Book Antiqua" w:hAnsi="Book Antiqua"/>
          <w:lang w:val="en-US"/>
        </w:rPr>
        <w:t>acknowledge</w:t>
      </w:r>
      <w:r w:rsidR="00260C3D" w:rsidRPr="0088290D">
        <w:rPr>
          <w:rFonts w:ascii="Book Antiqua" w:hAnsi="Book Antiqua"/>
          <w:lang w:val="en-US"/>
        </w:rPr>
        <w:t>d</w:t>
      </w:r>
      <w:r w:rsidR="00D619EA" w:rsidRPr="0088290D">
        <w:rPr>
          <w:rFonts w:ascii="Book Antiqua" w:hAnsi="Book Antiqua"/>
          <w:lang w:val="en-US"/>
        </w:rPr>
        <w:t>.</w:t>
      </w:r>
      <w:r w:rsidR="00A25221" w:rsidRPr="0088290D">
        <w:rPr>
          <w:rFonts w:ascii="Book Antiqua" w:hAnsi="Book Antiqua"/>
          <w:lang w:val="en-US"/>
        </w:rPr>
        <w:t xml:space="preserve"> </w:t>
      </w:r>
      <w:r w:rsidR="006536F6" w:rsidRPr="0088290D">
        <w:rPr>
          <w:rFonts w:ascii="Book Antiqua" w:hAnsi="Book Antiqua"/>
          <w:lang w:val="en-US"/>
        </w:rPr>
        <w:t>We speculate that t</w:t>
      </w:r>
      <w:r w:rsidR="00405B9A" w:rsidRPr="0088290D">
        <w:rPr>
          <w:rFonts w:ascii="Book Antiqua" w:hAnsi="Book Antiqua"/>
          <w:lang w:val="en-US"/>
        </w:rPr>
        <w:t>he finding of a</w:t>
      </w:r>
      <w:r w:rsidR="003479E5" w:rsidRPr="0088290D">
        <w:rPr>
          <w:rFonts w:ascii="Book Antiqua" w:hAnsi="Book Antiqua"/>
          <w:lang w:val="en-US"/>
        </w:rPr>
        <w:t>n earlier study from a French research group</w:t>
      </w:r>
      <w:r w:rsidR="00405B9A" w:rsidRPr="0088290D">
        <w:rPr>
          <w:rFonts w:ascii="Book Antiqua" w:hAnsi="Book Antiqua"/>
          <w:lang w:val="en-US"/>
        </w:rPr>
        <w:t xml:space="preserve"> might serve as </w:t>
      </w:r>
      <w:r w:rsidR="00A75715" w:rsidRPr="0088290D">
        <w:rPr>
          <w:rFonts w:ascii="Book Antiqua" w:hAnsi="Book Antiqua"/>
          <w:lang w:val="en-US"/>
        </w:rPr>
        <w:t>a</w:t>
      </w:r>
      <w:r w:rsidR="00405B9A" w:rsidRPr="0088290D">
        <w:rPr>
          <w:rFonts w:ascii="Book Antiqua" w:hAnsi="Book Antiqua"/>
          <w:lang w:val="en-US"/>
        </w:rPr>
        <w:t xml:space="preserve"> possible explanation. They </w:t>
      </w:r>
      <w:r w:rsidR="003479E5" w:rsidRPr="0088290D">
        <w:rPr>
          <w:rFonts w:ascii="Book Antiqua" w:hAnsi="Book Antiqua"/>
          <w:lang w:val="en-US"/>
        </w:rPr>
        <w:t xml:space="preserve">showed that </w:t>
      </w:r>
      <w:r w:rsidR="004B70C9" w:rsidRPr="0088290D">
        <w:rPr>
          <w:rFonts w:ascii="Book Antiqua" w:hAnsi="Book Antiqua"/>
          <w:lang w:val="en-US"/>
        </w:rPr>
        <w:t xml:space="preserve">AGA </w:t>
      </w:r>
      <w:r w:rsidR="003479E5" w:rsidRPr="0088290D">
        <w:rPr>
          <w:rFonts w:ascii="Book Antiqua" w:hAnsi="Book Antiqua"/>
          <w:lang w:val="en-US"/>
        </w:rPr>
        <w:t>IgA facilitate</w:t>
      </w:r>
      <w:r w:rsidR="004B70C9" w:rsidRPr="0088290D">
        <w:rPr>
          <w:rFonts w:ascii="Book Antiqua" w:hAnsi="Book Antiqua"/>
          <w:lang w:val="en-US"/>
        </w:rPr>
        <w:t>d</w:t>
      </w:r>
      <w:r w:rsidR="003479E5" w:rsidRPr="0088290D">
        <w:rPr>
          <w:rFonts w:ascii="Book Antiqua" w:hAnsi="Book Antiqua"/>
          <w:lang w:val="en-US"/>
        </w:rPr>
        <w:t xml:space="preserve"> an increased transport of gliadin peptides from the intestinal lumen to the gut mucosa via CD71. In the subepithelial space these undigested toxic peptides are able to perp</w:t>
      </w:r>
      <w:r w:rsidR="006716DE">
        <w:rPr>
          <w:rFonts w:ascii="Book Antiqua" w:hAnsi="Book Antiqua"/>
          <w:lang w:val="en-US"/>
        </w:rPr>
        <w:t>etuate intestinal inflammation</w:t>
      </w:r>
      <w:r w:rsidR="003479E5" w:rsidRPr="0088290D">
        <w:rPr>
          <w:rFonts w:ascii="Book Antiqua" w:hAnsi="Book Antiqua"/>
          <w:lang w:val="en-US"/>
        </w:rPr>
        <w:fldChar w:fldCharType="begin" w:fldLock="1"/>
      </w:r>
      <w:r w:rsidR="00D97BD8" w:rsidRPr="0088290D">
        <w:rPr>
          <w:rFonts w:ascii="Book Antiqua" w:hAnsi="Book Antiqua"/>
          <w:lang w:val="en-US"/>
        </w:rPr>
        <w:instrText>ADDIN CSL_CITATION { "citationItems" : [ { "id" : "ITEM-1", "itemData" : { "abstract" : "Celiac disease (CD) is an enteropathy resulting from an abnormal immune response to gluten-derived peptides in genetically susceptible individuals. This immune response is initiated by intestinal transport of intact peptide 31-49 (p31-49) and 33-mer gliadin peptides through an unknown mechanism. We show that the transferrin receptor CD71 is responsible for apical to basal retrotranscytosis of gliadin peptides, a process during which p31-49 and 33-mer peptides are protected from degradation. In patients with active CD, CD71 is overexpressed in the intestinal epithelium and colocalizes with immunoglobulin (Ig) A. Intestinal transport of intact p31-49 and 33-mer peptides was blocked by polymeric and secretory IgA (SIgA) and by soluble CD71 receptors, pointing to a role of SIgA\u2013gliadin complexes in this abnormal intestinal transport. This retrotranscytosis of SIgA\u2013gliadin complexes may promote the entry of harmful gliadin peptides into the intestinal mucosa, thereby triggering an immune response and perpetuating intestinal inflammation. Our findings strongly implicate CD71 in the pathogenesis of CD.", "author" : [ { "dropping-particle" : "", "family" : "Matysiak-Budnik", "given" : "Tamara", "non-dropping-particle" : "", "parse-names" : false, "suffix" : "" }, { "dropping-particle" : "", "family" : "Moura", "given" : "Ivan Cruz", "non-dropping-particle" : "", "parse-names" : false, "suffix" : "" }, { "dropping-particle" : "", "family" : "Arcos-Fajardo", "given" : "Michelle", "non-dropping-particle" : "", "parse-names" : false, "suffix" : "" }, { "dropping-particle" : "", "family" : "Lebreton", "given" : "Corinne", "non-dropping-particle" : "", "parse-names" : false, "suffix" : "" }, { "dropping-particle" : "", "family" : "M\u00e9nard", "given" : "Sandrine", "non-dropping-particle" : "", "parse-names" : false, "suffix" : "" }, { "dropping-particle" : "", "family" : "Candalh", "given" : "C\u00e9line", "non-dropping-particle" : "", "parse-names" : false, "suffix" : "" }, { "dropping-particle" : "", "family" : "Ben-Khalifa", "given" : "Karima", "non-dropping-particle" : "", "parse-names" : false, "suffix" : "" }, { "dropping-particle" : "", "family" : "Dugave", "given" : "Christophe", "non-dropping-particle" : "", "parse-names" : false, "suffix" : "" }, { "dropping-particle" : "", "family" : "Tamouza", "given" : "Houda", "non-dropping-particle" : "", "parse-names" : false, "suffix" : "" }, { "dropping-particle" : "", "family" : "Niel", "given" : "Guillaume", "non-dropping-particle" : "van", "parse-names" : false, "suffix" : "" }, { "dropping-particle" : "", "family" : "Bouhnik", "given" : "Yoram", "non-dropping-particle" : "", "parse-names" : false, "suffix" : "" }, { "dropping-particle" : "", "family" : "Lamarque", "given" : "Dominique", "non-dropping-particle" : "", "parse-names" : false, "suffix" : "" }, { "dropping-particle" : "", "family" : "Chaussade", "given" : "Stanislas", "non-dropping-particle" : "", "parse-names" : false, "suffix" : "" }, { "dropping-particle" : "", "family" : "Malamut", "given" : "Georgia", "non-dropping-particle" : "", "parse-names" : false, "suffix" : "" }, { "dropping-particle" : "", "family" : "Cellier", "given" : "Christophe", "non-dropping-particle" : "", "parse-names" : false, "suffix" : "" }, { "dropping-particle" : "", "family" : "Cerf-Bensussan", "given" : "Nadine", "non-dropping-particle" : "", "parse-names" : false, "suffix" : "" }, { "dropping-particle" : "", "family" : "Monteiro", "given" : "Renato C", "non-dropping-particle" : "", "parse-names" : false, "suffix" : "" }, { "dropping-particle" : "", "family" : "Heyman", "given" : "Martine", "non-dropping-particle" : "", "parse-names" : false, "suffix" : "" } ], "container-title" : "The Journal of Experimental Medicine", "id" : "ITEM-1", "issue" : "1", "issued" : { "date-parts" : [ [ "2008", "1", "21" ] ] }, "page" : "143 LP  - 154", "title" : "Secretory IgA mediates retrotranscytosis of intact gliadin peptides via the transferrin receptor in celiac disease", "type" : "article-journal", "volume" : "205" }, "uris" : [ "http://www.mendeley.com/documents/?uuid=046c2166-fd52-4281-8dc7-8e8b73d8fcc9" ] } ], "mendeley" : { "formattedCitation" : "&lt;sup&gt;[37]&lt;/sup&gt;", "plainTextFormattedCitation" : "[37]", "previouslyFormattedCitation" : "&lt;sup&gt;[37]&lt;/sup&gt;" }, "properties" : { "noteIndex" : 0 }, "schema" : "https://github.com/citation-style-language/schema/raw/master/csl-citation.json" }</w:instrText>
      </w:r>
      <w:r w:rsidR="003479E5" w:rsidRPr="0088290D">
        <w:rPr>
          <w:rFonts w:ascii="Book Antiqua" w:hAnsi="Book Antiqua"/>
          <w:lang w:val="en-US"/>
        </w:rPr>
        <w:fldChar w:fldCharType="separate"/>
      </w:r>
      <w:r w:rsidR="00E802D3" w:rsidRPr="0088290D">
        <w:rPr>
          <w:rFonts w:ascii="Book Antiqua" w:hAnsi="Book Antiqua"/>
          <w:noProof/>
          <w:vertAlign w:val="superscript"/>
          <w:lang w:val="en-US"/>
        </w:rPr>
        <w:t>[37]</w:t>
      </w:r>
      <w:r w:rsidR="003479E5" w:rsidRPr="0088290D">
        <w:rPr>
          <w:rFonts w:ascii="Book Antiqua" w:hAnsi="Book Antiqua"/>
          <w:lang w:val="en-US"/>
        </w:rPr>
        <w:fldChar w:fldCharType="end"/>
      </w:r>
      <w:r w:rsidR="006716DE">
        <w:rPr>
          <w:rFonts w:ascii="Book Antiqua" w:eastAsia="SimSun" w:hAnsi="Book Antiqua" w:hint="eastAsia"/>
          <w:lang w:val="en-US" w:eastAsia="zh-CN"/>
        </w:rPr>
        <w:t xml:space="preserve">. </w:t>
      </w:r>
      <w:r w:rsidR="00F632BC" w:rsidRPr="0088290D">
        <w:rPr>
          <w:rFonts w:ascii="Book Antiqua" w:hAnsi="Book Antiqua"/>
          <w:lang w:val="en-US"/>
        </w:rPr>
        <w:t>Of note, t</w:t>
      </w:r>
      <w:r w:rsidR="0087325B" w:rsidRPr="0088290D">
        <w:rPr>
          <w:rFonts w:ascii="Book Antiqua" w:hAnsi="Book Antiqua"/>
          <w:lang w:val="en-US"/>
        </w:rPr>
        <w:t xml:space="preserve">he </w:t>
      </w:r>
      <w:r w:rsidR="00A10FC4" w:rsidRPr="0088290D">
        <w:rPr>
          <w:rFonts w:ascii="Book Antiqua" w:hAnsi="Book Antiqua"/>
          <w:lang w:val="en-US"/>
        </w:rPr>
        <w:t xml:space="preserve">design of </w:t>
      </w:r>
      <w:r w:rsidR="00F632BC" w:rsidRPr="0088290D">
        <w:rPr>
          <w:rFonts w:ascii="Book Antiqua" w:hAnsi="Book Antiqua"/>
          <w:lang w:val="en-US"/>
        </w:rPr>
        <w:t xml:space="preserve">our </w:t>
      </w:r>
      <w:r w:rsidR="00A10FC4" w:rsidRPr="0088290D">
        <w:rPr>
          <w:rFonts w:ascii="Book Antiqua" w:hAnsi="Book Antiqua"/>
          <w:lang w:val="en-US"/>
        </w:rPr>
        <w:t xml:space="preserve">study was mainly explorative and did not include experimental methods that </w:t>
      </w:r>
      <w:r w:rsidR="00932CA6" w:rsidRPr="0088290D">
        <w:rPr>
          <w:rFonts w:ascii="Book Antiqua" w:hAnsi="Book Antiqua"/>
          <w:lang w:val="en-US"/>
        </w:rPr>
        <w:t xml:space="preserve">could give </w:t>
      </w:r>
      <w:r w:rsidR="00A10FC4" w:rsidRPr="0088290D">
        <w:rPr>
          <w:rFonts w:ascii="Book Antiqua" w:hAnsi="Book Antiqua"/>
          <w:lang w:val="en-US"/>
        </w:rPr>
        <w:t>an exact explanation</w:t>
      </w:r>
      <w:r w:rsidR="00932CA6" w:rsidRPr="0088290D">
        <w:rPr>
          <w:rFonts w:ascii="Book Antiqua" w:hAnsi="Book Antiqua"/>
          <w:lang w:val="en-US"/>
        </w:rPr>
        <w:t xml:space="preserve"> </w:t>
      </w:r>
      <w:r w:rsidR="00A10FC4" w:rsidRPr="0088290D">
        <w:rPr>
          <w:rFonts w:ascii="Book Antiqua" w:hAnsi="Book Antiqua"/>
          <w:lang w:val="en-US"/>
        </w:rPr>
        <w:t xml:space="preserve">for </w:t>
      </w:r>
      <w:r w:rsidR="00932CA6" w:rsidRPr="0088290D">
        <w:rPr>
          <w:rFonts w:ascii="Book Antiqua" w:hAnsi="Book Antiqua"/>
          <w:lang w:val="en-US"/>
        </w:rPr>
        <w:t xml:space="preserve">the </w:t>
      </w:r>
      <w:r w:rsidR="00A10FC4" w:rsidRPr="0088290D">
        <w:rPr>
          <w:rFonts w:ascii="Book Antiqua" w:hAnsi="Book Antiqua"/>
          <w:lang w:val="en-US"/>
        </w:rPr>
        <w:t xml:space="preserve">increased risk of disease progression in the presence of specific antibodies. </w:t>
      </w:r>
    </w:p>
    <w:p w14:paraId="7179693E" w14:textId="051D9C01" w:rsidR="007521C2" w:rsidRPr="0088290D" w:rsidRDefault="001B3F06" w:rsidP="007940D7">
      <w:pPr>
        <w:widowControl w:val="0"/>
        <w:autoSpaceDE w:val="0"/>
        <w:autoSpaceDN w:val="0"/>
        <w:adjustRightInd w:val="0"/>
        <w:spacing w:line="360" w:lineRule="auto"/>
        <w:jc w:val="both"/>
        <w:rPr>
          <w:rFonts w:ascii="Book Antiqua" w:hAnsi="Book Antiqua"/>
          <w:lang w:val="en-US"/>
        </w:rPr>
      </w:pPr>
      <w:r w:rsidRPr="0088290D">
        <w:rPr>
          <w:rFonts w:ascii="Book Antiqua" w:hAnsi="Book Antiqua"/>
          <w:lang w:val="en-US"/>
        </w:rPr>
        <w:tab/>
      </w:r>
      <w:r w:rsidR="00FD4AE9" w:rsidRPr="0088290D">
        <w:rPr>
          <w:rFonts w:ascii="Book Antiqua" w:hAnsi="Book Antiqua"/>
          <w:lang w:val="en-US"/>
        </w:rPr>
        <w:t>To conclude, we report</w:t>
      </w:r>
      <w:r w:rsidR="007521C2" w:rsidRPr="0088290D">
        <w:rPr>
          <w:rFonts w:ascii="Book Antiqua" w:hAnsi="Book Antiqua"/>
          <w:lang w:val="en-US"/>
        </w:rPr>
        <w:t>ed</w:t>
      </w:r>
      <w:r w:rsidR="00FD4AE9" w:rsidRPr="0088290D">
        <w:rPr>
          <w:rFonts w:ascii="Book Antiqua" w:hAnsi="Book Antiqua"/>
          <w:lang w:val="en-US"/>
        </w:rPr>
        <w:t xml:space="preserve"> </w:t>
      </w:r>
      <w:r w:rsidR="00361841" w:rsidRPr="0088290D">
        <w:rPr>
          <w:rFonts w:ascii="Book Antiqua" w:hAnsi="Book Antiqua"/>
          <w:lang w:val="en-US"/>
        </w:rPr>
        <w:t>that</w:t>
      </w:r>
      <w:r w:rsidR="00FD4AE9" w:rsidRPr="0088290D">
        <w:rPr>
          <w:rFonts w:ascii="Book Antiqua" w:hAnsi="Book Antiqua"/>
          <w:lang w:val="en-US"/>
        </w:rPr>
        <w:t xml:space="preserve"> </w:t>
      </w:r>
      <w:r w:rsidR="008207CE" w:rsidRPr="0088290D">
        <w:rPr>
          <w:rFonts w:ascii="Book Antiqua" w:hAnsi="Book Antiqua"/>
          <w:lang w:val="en-US"/>
        </w:rPr>
        <w:t xml:space="preserve">antibodies against </w:t>
      </w:r>
      <w:r w:rsidR="00FD4AE9" w:rsidRPr="0088290D">
        <w:rPr>
          <w:rFonts w:ascii="Book Antiqua" w:hAnsi="Book Antiqua"/>
          <w:lang w:val="en-US"/>
        </w:rPr>
        <w:t xml:space="preserve">F-Actin </w:t>
      </w:r>
      <w:r w:rsidR="00361841" w:rsidRPr="0088290D">
        <w:rPr>
          <w:rFonts w:ascii="Book Antiqua" w:hAnsi="Book Antiqua"/>
          <w:lang w:val="en-US"/>
        </w:rPr>
        <w:t>are frequent in patients with PSC</w:t>
      </w:r>
      <w:r w:rsidR="005E15EB" w:rsidRPr="0088290D">
        <w:rPr>
          <w:rFonts w:ascii="Book Antiqua" w:hAnsi="Book Antiqua"/>
          <w:lang w:val="en-US"/>
        </w:rPr>
        <w:t>. Presence of IgA isotype</w:t>
      </w:r>
      <w:r w:rsidR="00120E58" w:rsidRPr="0088290D">
        <w:rPr>
          <w:rFonts w:ascii="Book Antiqua" w:hAnsi="Book Antiqua"/>
          <w:lang w:val="en-US"/>
        </w:rPr>
        <w:t xml:space="preserve"> of this antibody</w:t>
      </w:r>
      <w:r w:rsidR="005E15EB" w:rsidRPr="0088290D">
        <w:rPr>
          <w:rFonts w:ascii="Book Antiqua" w:hAnsi="Book Antiqua"/>
          <w:lang w:val="en-US"/>
        </w:rPr>
        <w:t xml:space="preserve"> </w:t>
      </w:r>
      <w:r w:rsidR="0070783B" w:rsidRPr="0088290D">
        <w:rPr>
          <w:rFonts w:ascii="Book Antiqua" w:hAnsi="Book Antiqua"/>
          <w:lang w:val="en-US"/>
        </w:rPr>
        <w:t>was</w:t>
      </w:r>
      <w:r w:rsidR="005E15EB" w:rsidRPr="0088290D">
        <w:rPr>
          <w:rFonts w:ascii="Book Antiqua" w:hAnsi="Book Antiqua"/>
          <w:lang w:val="en-US"/>
        </w:rPr>
        <w:t xml:space="preserve"> </w:t>
      </w:r>
      <w:r w:rsidR="00361841" w:rsidRPr="0088290D">
        <w:rPr>
          <w:rFonts w:ascii="Book Antiqua" w:hAnsi="Book Antiqua"/>
          <w:lang w:val="en-US"/>
        </w:rPr>
        <w:t xml:space="preserve">associated with an enhanced mucosal </w:t>
      </w:r>
      <w:r w:rsidR="001E22B6" w:rsidRPr="0088290D">
        <w:rPr>
          <w:rFonts w:ascii="Book Antiqua" w:hAnsi="Book Antiqua"/>
          <w:lang w:val="en-US"/>
        </w:rPr>
        <w:t xml:space="preserve">immune </w:t>
      </w:r>
      <w:r w:rsidR="00361841" w:rsidRPr="0088290D">
        <w:rPr>
          <w:rFonts w:ascii="Book Antiqua" w:hAnsi="Book Antiqua"/>
          <w:lang w:val="en-US"/>
        </w:rPr>
        <w:t xml:space="preserve">response to </w:t>
      </w:r>
      <w:r w:rsidR="00120E58" w:rsidRPr="0088290D">
        <w:rPr>
          <w:rFonts w:ascii="Book Antiqua" w:hAnsi="Book Antiqua"/>
          <w:lang w:val="en-US"/>
        </w:rPr>
        <w:t xml:space="preserve">various </w:t>
      </w:r>
      <w:r w:rsidR="00361841" w:rsidRPr="0088290D">
        <w:rPr>
          <w:rFonts w:ascii="Book Antiqua" w:hAnsi="Book Antiqua"/>
          <w:lang w:val="en-US"/>
        </w:rPr>
        <w:t>microbial antigens</w:t>
      </w:r>
      <w:r w:rsidR="00B6644C" w:rsidRPr="0088290D">
        <w:rPr>
          <w:rFonts w:ascii="Book Antiqua" w:hAnsi="Book Antiqua"/>
          <w:lang w:val="en-US"/>
        </w:rPr>
        <w:t xml:space="preserve"> and </w:t>
      </w:r>
      <w:r w:rsidR="00120E58" w:rsidRPr="0088290D">
        <w:rPr>
          <w:rFonts w:ascii="Book Antiqua" w:hAnsi="Book Antiqua"/>
          <w:lang w:val="en-US"/>
        </w:rPr>
        <w:t xml:space="preserve">also </w:t>
      </w:r>
      <w:r w:rsidR="007521C2" w:rsidRPr="0088290D">
        <w:rPr>
          <w:rFonts w:ascii="Book Antiqua" w:hAnsi="Book Antiqua"/>
          <w:lang w:val="en-US"/>
        </w:rPr>
        <w:t xml:space="preserve">with the </w:t>
      </w:r>
      <w:r w:rsidR="00120E58" w:rsidRPr="0088290D">
        <w:rPr>
          <w:rFonts w:ascii="Book Antiqua" w:hAnsi="Book Antiqua"/>
          <w:lang w:val="en-US"/>
        </w:rPr>
        <w:t xml:space="preserve">presence of </w:t>
      </w:r>
      <w:r w:rsidR="00B6644C" w:rsidRPr="0088290D">
        <w:rPr>
          <w:rFonts w:ascii="Book Antiqua" w:hAnsi="Book Antiqua" w:cs="Arial"/>
          <w:color w:val="000000" w:themeColor="text1"/>
          <w:lang w:val="en-US"/>
        </w:rPr>
        <w:t>enterocyte damage</w:t>
      </w:r>
      <w:r w:rsidR="00361841" w:rsidRPr="0088290D">
        <w:rPr>
          <w:rFonts w:ascii="Book Antiqua" w:hAnsi="Book Antiqua"/>
          <w:lang w:val="en-US"/>
        </w:rPr>
        <w:t>.</w:t>
      </w:r>
      <w:r w:rsidR="00792DD2" w:rsidRPr="0088290D">
        <w:rPr>
          <w:rFonts w:ascii="Book Antiqua" w:hAnsi="Book Antiqua"/>
          <w:lang w:val="en-US"/>
        </w:rPr>
        <w:t xml:space="preserve"> </w:t>
      </w:r>
      <w:r w:rsidR="00E256C5" w:rsidRPr="0088290D">
        <w:rPr>
          <w:rFonts w:ascii="Book Antiqua" w:hAnsi="Book Antiqua"/>
          <w:lang w:val="en-US"/>
        </w:rPr>
        <w:t>Furthermore</w:t>
      </w:r>
      <w:r w:rsidR="00120E58" w:rsidRPr="0088290D">
        <w:rPr>
          <w:rFonts w:ascii="Book Antiqua" w:hAnsi="Book Antiqua"/>
          <w:lang w:val="en-US"/>
        </w:rPr>
        <w:t xml:space="preserve">, </w:t>
      </w:r>
      <w:r w:rsidR="00792DD2" w:rsidRPr="0088290D">
        <w:rPr>
          <w:rFonts w:ascii="Book Antiqua" w:hAnsi="Book Antiqua"/>
          <w:lang w:val="en-US"/>
        </w:rPr>
        <w:t xml:space="preserve">AAA </w:t>
      </w:r>
      <w:r w:rsidR="00361841" w:rsidRPr="0088290D">
        <w:rPr>
          <w:rFonts w:ascii="Book Antiqua" w:hAnsi="Book Antiqua"/>
          <w:lang w:val="en-US"/>
        </w:rPr>
        <w:t>IgA identif</w:t>
      </w:r>
      <w:r w:rsidR="007521C2" w:rsidRPr="0088290D">
        <w:rPr>
          <w:rFonts w:ascii="Book Antiqua" w:hAnsi="Book Antiqua"/>
          <w:lang w:val="en-US"/>
        </w:rPr>
        <w:t>ied</w:t>
      </w:r>
      <w:r w:rsidR="00361841" w:rsidRPr="0088290D">
        <w:rPr>
          <w:rFonts w:ascii="Book Antiqua" w:hAnsi="Book Antiqua"/>
          <w:lang w:val="en-US"/>
        </w:rPr>
        <w:t xml:space="preserve"> a subgroup of patients with an increased risk </w:t>
      </w:r>
      <w:r w:rsidR="001E22B6" w:rsidRPr="0088290D">
        <w:rPr>
          <w:rFonts w:ascii="Book Antiqua" w:hAnsi="Book Antiqua"/>
          <w:lang w:val="en-US"/>
        </w:rPr>
        <w:t>of a</w:t>
      </w:r>
      <w:r w:rsidR="00FD4AE9" w:rsidRPr="0088290D">
        <w:rPr>
          <w:rFonts w:ascii="Book Antiqua" w:hAnsi="Book Antiqua"/>
          <w:lang w:val="en-US"/>
        </w:rPr>
        <w:t xml:space="preserve">ccelerated disease progression. </w:t>
      </w:r>
      <w:r w:rsidR="00770DBA" w:rsidRPr="0088290D">
        <w:rPr>
          <w:rFonts w:ascii="Book Antiqua" w:hAnsi="Book Antiqua"/>
          <w:lang w:val="en-US"/>
        </w:rPr>
        <w:t>These results serve as additional proof</w:t>
      </w:r>
      <w:r w:rsidR="002B5C84" w:rsidRPr="0088290D">
        <w:rPr>
          <w:rFonts w:ascii="Book Antiqua" w:hAnsi="Book Antiqua"/>
          <w:lang w:val="en-US"/>
        </w:rPr>
        <w:t xml:space="preserve"> for </w:t>
      </w:r>
      <w:r w:rsidR="002B5C84" w:rsidRPr="0088290D">
        <w:rPr>
          <w:rFonts w:ascii="Book Antiqua" w:hAnsi="Book Antiqua" w:cs="Arial"/>
          <w:color w:val="000000" w:themeColor="text1"/>
          <w:lang w:val="en-US"/>
        </w:rPr>
        <w:t xml:space="preserve">the importance of the gut-liver interaction in PSC. </w:t>
      </w:r>
      <w:r w:rsidR="000E48B8" w:rsidRPr="0088290D">
        <w:rPr>
          <w:rFonts w:ascii="Book Antiqua" w:hAnsi="Book Antiqua"/>
          <w:lang w:val="en-US"/>
        </w:rPr>
        <w:t xml:space="preserve">If </w:t>
      </w:r>
      <w:r w:rsidR="00804E7C" w:rsidRPr="0088290D">
        <w:rPr>
          <w:rFonts w:ascii="Book Antiqua" w:hAnsi="Book Antiqua"/>
          <w:lang w:val="en-US"/>
        </w:rPr>
        <w:t>they</w:t>
      </w:r>
      <w:r w:rsidR="002B5C84" w:rsidRPr="0088290D">
        <w:rPr>
          <w:rFonts w:ascii="Book Antiqua" w:hAnsi="Book Antiqua"/>
          <w:lang w:val="en-US"/>
        </w:rPr>
        <w:t xml:space="preserve"> confirmed </w:t>
      </w:r>
      <w:r w:rsidR="000E48B8" w:rsidRPr="0088290D">
        <w:rPr>
          <w:rFonts w:ascii="Book Antiqua" w:hAnsi="Book Antiqua"/>
          <w:lang w:val="en-US"/>
        </w:rPr>
        <w:t xml:space="preserve">in </w:t>
      </w:r>
      <w:r w:rsidR="00C62E27" w:rsidRPr="0088290D">
        <w:rPr>
          <w:rFonts w:ascii="Book Antiqua" w:hAnsi="Book Antiqua"/>
          <w:lang w:val="en-US"/>
        </w:rPr>
        <w:t>large-scale</w:t>
      </w:r>
      <w:r w:rsidR="000E48B8" w:rsidRPr="0088290D">
        <w:rPr>
          <w:rFonts w:ascii="Book Antiqua" w:hAnsi="Book Antiqua"/>
          <w:lang w:val="en-US"/>
        </w:rPr>
        <w:t xml:space="preserve"> cohorts, IgA isotype of </w:t>
      </w:r>
      <w:r w:rsidR="00C62E27" w:rsidRPr="0088290D">
        <w:rPr>
          <w:rFonts w:ascii="Book Antiqua" w:hAnsi="Book Antiqua"/>
          <w:lang w:val="en-US"/>
        </w:rPr>
        <w:t>AAA</w:t>
      </w:r>
      <w:r w:rsidR="000E48B8" w:rsidRPr="0088290D">
        <w:rPr>
          <w:rFonts w:ascii="Book Antiqua" w:hAnsi="Book Antiqua"/>
          <w:lang w:val="en-US"/>
        </w:rPr>
        <w:t xml:space="preserve"> could </w:t>
      </w:r>
      <w:r w:rsidR="00C62E27" w:rsidRPr="0088290D">
        <w:rPr>
          <w:rFonts w:ascii="Book Antiqua" w:hAnsi="Book Antiqua"/>
          <w:lang w:val="en-US"/>
        </w:rPr>
        <w:t xml:space="preserve">be </w:t>
      </w:r>
      <w:r w:rsidR="00CC4F88" w:rsidRPr="0088290D">
        <w:rPr>
          <w:rFonts w:ascii="Book Antiqua" w:hAnsi="Book Antiqua"/>
          <w:lang w:val="en-US"/>
        </w:rPr>
        <w:t>a</w:t>
      </w:r>
      <w:r w:rsidR="000E48B8" w:rsidRPr="0088290D">
        <w:rPr>
          <w:rFonts w:ascii="Book Antiqua" w:hAnsi="Book Antiqua"/>
          <w:lang w:val="en-US"/>
        </w:rPr>
        <w:t xml:space="preserve"> candidate biomarker for serological risk stratification of patients with PSC. </w:t>
      </w:r>
      <w:r w:rsidR="00795754" w:rsidRPr="0088290D">
        <w:rPr>
          <w:rFonts w:ascii="Book Antiqua" w:hAnsi="Book Antiqua"/>
          <w:lang w:val="en-US"/>
        </w:rPr>
        <w:t xml:space="preserve"> </w:t>
      </w:r>
    </w:p>
    <w:p w14:paraId="35798C53" w14:textId="63B96C69" w:rsidR="004F2054" w:rsidRPr="0088290D" w:rsidRDefault="004F2054" w:rsidP="007940D7">
      <w:pPr>
        <w:jc w:val="both"/>
        <w:rPr>
          <w:rFonts w:ascii="Book Antiqua" w:hAnsi="Book Antiqua"/>
          <w:lang w:val="en-US"/>
        </w:rPr>
      </w:pPr>
      <w:r w:rsidRPr="0088290D">
        <w:rPr>
          <w:rFonts w:ascii="Book Antiqua" w:hAnsi="Book Antiqua"/>
          <w:lang w:val="en-US"/>
        </w:rPr>
        <w:br w:type="page"/>
      </w:r>
    </w:p>
    <w:p w14:paraId="30D9711C" w14:textId="77777777" w:rsidR="00D97BD8" w:rsidRPr="0088290D" w:rsidRDefault="00D97BD8" w:rsidP="007940D7">
      <w:pPr>
        <w:spacing w:line="360" w:lineRule="auto"/>
        <w:jc w:val="both"/>
        <w:rPr>
          <w:rFonts w:ascii="Book Antiqua" w:hAnsi="Book Antiqua"/>
          <w:b/>
          <w:lang w:val="en-US"/>
        </w:rPr>
      </w:pPr>
      <w:r w:rsidRPr="0088290D">
        <w:rPr>
          <w:rFonts w:ascii="Book Antiqua" w:hAnsi="Book Antiqua"/>
          <w:b/>
          <w:lang w:val="en-US"/>
        </w:rPr>
        <w:lastRenderedPageBreak/>
        <w:t>COMMENTS</w:t>
      </w:r>
    </w:p>
    <w:p w14:paraId="20D4FC3E" w14:textId="67962D9B" w:rsidR="00D97BD8" w:rsidRPr="0088290D" w:rsidRDefault="00D97BD8" w:rsidP="007940D7">
      <w:pPr>
        <w:spacing w:line="360" w:lineRule="auto"/>
        <w:jc w:val="both"/>
        <w:rPr>
          <w:rFonts w:ascii="Book Antiqua" w:hAnsi="Book Antiqua"/>
          <w:b/>
          <w:bCs/>
          <w:lang w:val="en-US"/>
        </w:rPr>
      </w:pPr>
      <w:r w:rsidRPr="0088290D">
        <w:rPr>
          <w:rFonts w:ascii="Book Antiqua" w:hAnsi="Book Antiqua"/>
          <w:b/>
          <w:bCs/>
          <w:i/>
          <w:lang w:val="en-US"/>
        </w:rPr>
        <w:t>Background</w:t>
      </w:r>
    </w:p>
    <w:p w14:paraId="25DD8B6D" w14:textId="02B13FBD" w:rsidR="00D97BD8" w:rsidRPr="0088290D" w:rsidRDefault="00D97BD8" w:rsidP="007940D7">
      <w:pPr>
        <w:spacing w:line="360" w:lineRule="auto"/>
        <w:jc w:val="both"/>
        <w:rPr>
          <w:rFonts w:ascii="Book Antiqua" w:hAnsi="Book Antiqua" w:cs="Arial"/>
          <w:lang w:val="en-US"/>
        </w:rPr>
      </w:pPr>
      <w:r w:rsidRPr="0088290D">
        <w:rPr>
          <w:rFonts w:ascii="Book Antiqua" w:hAnsi="Book Antiqua" w:cs="Arial"/>
          <w:lang w:val="en-US"/>
        </w:rPr>
        <w:t xml:space="preserve">Clinical manifestation and progression of primary sclerosing cholangitis are heterogeneous. A large body of clinical evidence has certified the importance of the gut-liver interaction in </w:t>
      </w:r>
      <w:r w:rsidR="0032387C" w:rsidRPr="0088290D">
        <w:rPr>
          <w:rFonts w:ascii="Book Antiqua" w:hAnsi="Book Antiqua" w:cs="Arial"/>
          <w:lang w:val="en-US"/>
        </w:rPr>
        <w:t>primary sclerosing cholangitis (PSC)</w:t>
      </w:r>
      <w:r w:rsidRPr="0088290D">
        <w:rPr>
          <w:rFonts w:ascii="Book Antiqua" w:hAnsi="Book Antiqua" w:cs="Arial"/>
          <w:lang w:val="en-US"/>
        </w:rPr>
        <w:t xml:space="preserve">: (1) </w:t>
      </w:r>
      <w:r w:rsidR="0032387C" w:rsidRPr="0088290D">
        <w:rPr>
          <w:rFonts w:ascii="Book Antiqua" w:hAnsi="Book Antiqua" w:cs="Arial"/>
          <w:lang w:val="en-US"/>
        </w:rPr>
        <w:t>inflammatory bowel diseases (IBD)</w:t>
      </w:r>
      <w:r w:rsidR="0032387C">
        <w:rPr>
          <w:rFonts w:ascii="Book Antiqua" w:eastAsia="SimSun" w:hAnsi="Book Antiqua" w:cs="Arial" w:hint="eastAsia"/>
          <w:lang w:val="en-US" w:eastAsia="zh-CN"/>
        </w:rPr>
        <w:t xml:space="preserve"> </w:t>
      </w:r>
      <w:r w:rsidRPr="0088290D">
        <w:rPr>
          <w:rFonts w:ascii="Book Antiqua" w:hAnsi="Book Antiqua" w:cs="Arial"/>
          <w:lang w:val="en-US"/>
        </w:rPr>
        <w:t>is associated to PSC in up to 80% of the patients</w:t>
      </w:r>
      <w:r w:rsidR="0032387C">
        <w:rPr>
          <w:rFonts w:ascii="Book Antiqua" w:eastAsia="SimSun" w:hAnsi="Book Antiqua" w:cs="Arial" w:hint="eastAsia"/>
          <w:lang w:val="en-US" w:eastAsia="zh-CN"/>
        </w:rPr>
        <w:t>;</w:t>
      </w:r>
      <w:r w:rsidRPr="0088290D">
        <w:rPr>
          <w:rFonts w:ascii="Book Antiqua" w:hAnsi="Book Antiqua" w:cs="Arial"/>
          <w:lang w:val="en-US"/>
        </w:rPr>
        <w:t xml:space="preserve"> (2) high peritransplant IBD activity increases the risk, while colectomy before liver transplantation decreases the risk of disease recurrence after transplantation</w:t>
      </w:r>
      <w:r w:rsidR="0032387C">
        <w:rPr>
          <w:rFonts w:ascii="Book Antiqua" w:eastAsia="SimSun" w:hAnsi="Book Antiqua" w:cs="Arial" w:hint="eastAsia"/>
          <w:lang w:val="en-US" w:eastAsia="zh-CN"/>
        </w:rPr>
        <w:t>;</w:t>
      </w:r>
      <w:r w:rsidRPr="0088290D">
        <w:rPr>
          <w:rFonts w:ascii="Book Antiqua" w:hAnsi="Book Antiqua" w:cs="Arial"/>
          <w:lang w:val="en-US"/>
        </w:rPr>
        <w:t xml:space="preserve"> </w:t>
      </w:r>
      <w:r w:rsidR="006716DE">
        <w:rPr>
          <w:rFonts w:ascii="Book Antiqua" w:eastAsia="SimSun" w:hAnsi="Book Antiqua" w:cs="Arial" w:hint="eastAsia"/>
          <w:lang w:val="en-US" w:eastAsia="zh-CN"/>
        </w:rPr>
        <w:t xml:space="preserve">and </w:t>
      </w:r>
      <w:r w:rsidRPr="0088290D">
        <w:rPr>
          <w:rFonts w:ascii="Book Antiqua" w:hAnsi="Book Antiqua" w:cs="Arial"/>
          <w:lang w:val="en-US"/>
        </w:rPr>
        <w:t xml:space="preserve">(3) patients with PSC display an exaggerated immune response to endotoxins with a lack of tolerance to repeated exposure. To date, no widely used biomarkers are able to predict rapid progression of PSC. </w:t>
      </w:r>
    </w:p>
    <w:p w14:paraId="3F3A9137" w14:textId="77777777" w:rsidR="00D97BD8" w:rsidRPr="0088290D" w:rsidRDefault="00D97BD8" w:rsidP="007940D7">
      <w:pPr>
        <w:spacing w:line="360" w:lineRule="auto"/>
        <w:jc w:val="both"/>
        <w:rPr>
          <w:rFonts w:ascii="Book Antiqua" w:hAnsi="Book Antiqua"/>
          <w:b/>
          <w:bCs/>
          <w:highlight w:val="yellow"/>
          <w:lang w:val="en-US"/>
        </w:rPr>
      </w:pPr>
    </w:p>
    <w:p w14:paraId="44E1C2CC" w14:textId="64E6DE1F" w:rsidR="00D97BD8" w:rsidRPr="0088290D" w:rsidRDefault="00D97BD8" w:rsidP="007940D7">
      <w:pPr>
        <w:spacing w:line="360" w:lineRule="auto"/>
        <w:jc w:val="both"/>
        <w:rPr>
          <w:rFonts w:ascii="Book Antiqua" w:hAnsi="Book Antiqua"/>
          <w:b/>
          <w:bCs/>
          <w:lang w:val="en-US"/>
        </w:rPr>
      </w:pPr>
      <w:r w:rsidRPr="0088290D">
        <w:rPr>
          <w:rFonts w:ascii="Book Antiqua" w:hAnsi="Book Antiqua"/>
          <w:b/>
          <w:bCs/>
          <w:i/>
          <w:lang w:val="en-US"/>
        </w:rPr>
        <w:t>Research frontiers</w:t>
      </w:r>
    </w:p>
    <w:p w14:paraId="23FAE174" w14:textId="0347B2BA" w:rsidR="00D97BD8" w:rsidRPr="0088290D" w:rsidRDefault="00D97BD8" w:rsidP="007940D7">
      <w:pPr>
        <w:spacing w:line="360" w:lineRule="auto"/>
        <w:jc w:val="both"/>
        <w:rPr>
          <w:rFonts w:ascii="Book Antiqua" w:hAnsi="Book Antiqua" w:cs="Times"/>
          <w:lang w:val="en-US"/>
        </w:rPr>
      </w:pPr>
      <w:r w:rsidRPr="0088290D">
        <w:rPr>
          <w:rFonts w:ascii="Book Antiqua" w:hAnsi="Book Antiqua" w:cs="Arial"/>
          <w:lang w:val="en-US"/>
        </w:rPr>
        <w:t>A cytoplasmic protein of enterocytes, intestinal fatty acid-binding protein (I-FABP) is as marker of enterocyte damage. Anti-F-actin IgA antibodies were showed to serve as the markers of the structural intestinal mucosal damage. Presence of anti-gliadin IgA antibodies</w:t>
      </w:r>
      <w:r w:rsidR="0032387C">
        <w:rPr>
          <w:rFonts w:ascii="Book Antiqua" w:eastAsia="SimSun" w:hAnsi="Book Antiqua" w:cs="Arial" w:hint="eastAsia"/>
          <w:lang w:val="en-US" w:eastAsia="zh-CN"/>
        </w:rPr>
        <w:t xml:space="preserve"> </w:t>
      </w:r>
      <w:r w:rsidRPr="0088290D">
        <w:rPr>
          <w:rFonts w:ascii="Book Antiqua" w:hAnsi="Book Antiqua" w:cs="Arial"/>
          <w:lang w:val="en-US"/>
        </w:rPr>
        <w:t xml:space="preserve">was associated with increased intestinal permeability in patients with cirrhosis and significant portal hypertension. In the present study, we tested these </w:t>
      </w:r>
      <w:r w:rsidRPr="0088290D">
        <w:rPr>
          <w:rFonts w:ascii="Book Antiqua" w:hAnsi="Book Antiqua" w:cs="Times"/>
          <w:lang w:val="en-US"/>
        </w:rPr>
        <w:t xml:space="preserve">different </w:t>
      </w:r>
      <w:r w:rsidRPr="0088290D">
        <w:rPr>
          <w:rFonts w:ascii="Book Antiqua" w:hAnsi="Book Antiqua" w:cs="Arial"/>
          <w:lang w:val="en-US"/>
        </w:rPr>
        <w:t xml:space="preserve">novel </w:t>
      </w:r>
      <w:r w:rsidRPr="0088290D">
        <w:rPr>
          <w:rFonts w:ascii="Book Antiqua" w:hAnsi="Book Antiqua" w:cs="Times"/>
          <w:lang w:val="en-US"/>
        </w:rPr>
        <w:t>serological biomarkers related to gut barrier function in the prediction of progressive disease course in a cohort of PSC patients.</w:t>
      </w:r>
    </w:p>
    <w:p w14:paraId="6AA7F4B5" w14:textId="77777777" w:rsidR="00D97BD8" w:rsidRPr="0088290D" w:rsidRDefault="00D97BD8" w:rsidP="007940D7">
      <w:pPr>
        <w:spacing w:line="360" w:lineRule="auto"/>
        <w:jc w:val="both"/>
        <w:rPr>
          <w:rFonts w:ascii="Book Antiqua" w:hAnsi="Book Antiqua" w:cs="Times"/>
          <w:lang w:val="en-US"/>
        </w:rPr>
      </w:pPr>
    </w:p>
    <w:p w14:paraId="4863AE3A" w14:textId="07E42867" w:rsidR="00D97BD8" w:rsidRPr="0088290D" w:rsidRDefault="00D97BD8" w:rsidP="007940D7">
      <w:pPr>
        <w:spacing w:line="360" w:lineRule="auto"/>
        <w:jc w:val="both"/>
        <w:rPr>
          <w:rFonts w:ascii="Book Antiqua" w:hAnsi="Book Antiqua"/>
          <w:b/>
          <w:bCs/>
          <w:i/>
          <w:lang w:val="en-US"/>
        </w:rPr>
      </w:pPr>
      <w:r w:rsidRPr="0088290D">
        <w:rPr>
          <w:rFonts w:ascii="Book Antiqua" w:hAnsi="Book Antiqua"/>
          <w:b/>
          <w:bCs/>
          <w:i/>
          <w:lang w:val="en-US"/>
        </w:rPr>
        <w:t>Innovations and breakthroughs</w:t>
      </w:r>
    </w:p>
    <w:p w14:paraId="331FC52E" w14:textId="77777777" w:rsidR="00D97BD8" w:rsidRPr="0088290D" w:rsidRDefault="00D97BD8" w:rsidP="007940D7">
      <w:pPr>
        <w:spacing w:line="360" w:lineRule="auto"/>
        <w:jc w:val="both"/>
        <w:rPr>
          <w:rFonts w:ascii="Book Antiqua" w:hAnsi="Book Antiqua" w:cs="Arial"/>
          <w:lang w:val="en-US"/>
        </w:rPr>
      </w:pPr>
      <w:r w:rsidRPr="0088290D">
        <w:rPr>
          <w:rFonts w:ascii="Book Antiqua" w:hAnsi="Book Antiqua" w:cs="Times"/>
          <w:lang w:val="en-US"/>
        </w:rPr>
        <w:t>In the present study, we demonstrated – for the first time – that enhanced AAA IgA formation is a feature of PSC. A</w:t>
      </w:r>
      <w:r w:rsidRPr="0088290D">
        <w:rPr>
          <w:rFonts w:ascii="Book Antiqua" w:hAnsi="Book Antiqua" w:cs="Arial"/>
          <w:lang w:val="en-US"/>
        </w:rPr>
        <w:t xml:space="preserve"> quarter of our PSC patients showed positivity for AAA IgA</w:t>
      </w:r>
      <w:r w:rsidRPr="0088290D">
        <w:rPr>
          <w:rFonts w:ascii="Book Antiqua" w:hAnsi="Book Antiqua"/>
          <w:lang w:val="en-US"/>
        </w:rPr>
        <w:t xml:space="preserve">. Immune response to microbial antigens was more frequent in patients with AAA IgA. The </w:t>
      </w:r>
      <w:r w:rsidRPr="0088290D">
        <w:rPr>
          <w:rFonts w:ascii="Book Antiqua" w:hAnsi="Book Antiqua" w:cs="Arial"/>
          <w:lang w:val="en-US"/>
        </w:rPr>
        <w:t xml:space="preserve">presence of AAA IgA predicted faster disease progression during follow-up, even when adjusting for the presence of cirrhosis or the Mayo risk score. </w:t>
      </w:r>
    </w:p>
    <w:p w14:paraId="64DC54F1" w14:textId="77777777" w:rsidR="00D97BD8" w:rsidRPr="0088290D" w:rsidRDefault="00D97BD8" w:rsidP="007940D7">
      <w:pPr>
        <w:spacing w:line="360" w:lineRule="auto"/>
        <w:jc w:val="both"/>
        <w:rPr>
          <w:rFonts w:ascii="Book Antiqua" w:hAnsi="Book Antiqua"/>
          <w:b/>
          <w:highlight w:val="yellow"/>
          <w:lang w:val="en-US"/>
        </w:rPr>
      </w:pPr>
    </w:p>
    <w:p w14:paraId="73B39C95" w14:textId="56EEB96E" w:rsidR="00D97BD8" w:rsidRPr="0088290D" w:rsidRDefault="00D97BD8" w:rsidP="007940D7">
      <w:pPr>
        <w:spacing w:line="360" w:lineRule="auto"/>
        <w:jc w:val="both"/>
        <w:rPr>
          <w:rFonts w:ascii="Book Antiqua" w:hAnsi="Book Antiqua"/>
          <w:b/>
          <w:bCs/>
          <w:lang w:val="en-US"/>
        </w:rPr>
      </w:pPr>
      <w:r w:rsidRPr="0088290D">
        <w:rPr>
          <w:rFonts w:ascii="Book Antiqua" w:hAnsi="Book Antiqua"/>
          <w:b/>
          <w:bCs/>
          <w:i/>
          <w:lang w:val="en-US"/>
        </w:rPr>
        <w:lastRenderedPageBreak/>
        <w:t>Applications</w:t>
      </w:r>
    </w:p>
    <w:p w14:paraId="4C8AE3B5" w14:textId="77777777" w:rsidR="00D97BD8" w:rsidRDefault="00D97BD8" w:rsidP="007940D7">
      <w:pPr>
        <w:spacing w:line="360" w:lineRule="auto"/>
        <w:jc w:val="both"/>
        <w:rPr>
          <w:rFonts w:ascii="Book Antiqua" w:eastAsia="SimSun" w:hAnsi="Book Antiqua" w:cs="Arial"/>
          <w:bCs/>
          <w:lang w:val="en-US" w:eastAsia="zh-CN"/>
        </w:rPr>
      </w:pPr>
      <w:r w:rsidRPr="0088290D">
        <w:rPr>
          <w:rFonts w:ascii="Book Antiqua" w:hAnsi="Book Antiqua" w:cs="Arial"/>
          <w:bCs/>
          <w:lang w:val="en-US"/>
        </w:rPr>
        <w:t xml:space="preserve">AAA IgA is a candidate biomarker for stratifying patients with PSC in terms of risk of disease progression. </w:t>
      </w:r>
    </w:p>
    <w:p w14:paraId="1F4C8BC7" w14:textId="77777777" w:rsidR="0032387C" w:rsidRPr="0032387C" w:rsidRDefault="0032387C" w:rsidP="007940D7">
      <w:pPr>
        <w:spacing w:line="360" w:lineRule="auto"/>
        <w:jc w:val="both"/>
        <w:rPr>
          <w:rFonts w:ascii="Book Antiqua" w:eastAsia="SimSun" w:hAnsi="Book Antiqua" w:cs="Arial"/>
          <w:bCs/>
          <w:lang w:val="en-US" w:eastAsia="zh-CN"/>
        </w:rPr>
      </w:pPr>
    </w:p>
    <w:p w14:paraId="074E8008" w14:textId="569B0A76" w:rsidR="00D97BD8" w:rsidRPr="0088290D" w:rsidRDefault="00D97BD8" w:rsidP="007940D7">
      <w:pPr>
        <w:spacing w:line="360" w:lineRule="auto"/>
        <w:jc w:val="both"/>
        <w:rPr>
          <w:rFonts w:ascii="Book Antiqua" w:hAnsi="Book Antiqua" w:cs="Arial"/>
          <w:b/>
          <w:bCs/>
          <w:i/>
          <w:lang w:val="en-US"/>
        </w:rPr>
      </w:pPr>
      <w:r w:rsidRPr="0088290D">
        <w:rPr>
          <w:rFonts w:ascii="Book Antiqua" w:hAnsi="Book Antiqua" w:cs="Arial"/>
          <w:b/>
          <w:bCs/>
          <w:i/>
          <w:lang w:val="en-US"/>
        </w:rPr>
        <w:t>Terminology</w:t>
      </w:r>
    </w:p>
    <w:p w14:paraId="69926E3F" w14:textId="77777777" w:rsidR="00D97BD8" w:rsidRPr="0088290D" w:rsidRDefault="00D97BD8" w:rsidP="007940D7">
      <w:pPr>
        <w:spacing w:line="360" w:lineRule="auto"/>
        <w:jc w:val="both"/>
        <w:rPr>
          <w:rFonts w:ascii="Book Antiqua" w:hAnsi="Book Antiqua" w:cs="Arial"/>
          <w:bCs/>
          <w:lang w:val="en-US"/>
        </w:rPr>
      </w:pPr>
      <w:r w:rsidRPr="0088290D">
        <w:rPr>
          <w:rFonts w:ascii="Book Antiqua" w:hAnsi="Book Antiqua" w:cs="Arial"/>
          <w:bCs/>
          <w:lang w:val="en-US"/>
        </w:rPr>
        <w:t xml:space="preserve">AAA IgA is an autoantibody of immunoglobulin A isotype directed against filamentous actin. </w:t>
      </w:r>
    </w:p>
    <w:p w14:paraId="319C61B2" w14:textId="77777777" w:rsidR="00D97BD8" w:rsidRPr="0088290D" w:rsidRDefault="00D97BD8" w:rsidP="007940D7">
      <w:pPr>
        <w:spacing w:line="360" w:lineRule="auto"/>
        <w:jc w:val="both"/>
        <w:rPr>
          <w:rFonts w:ascii="Book Antiqua" w:hAnsi="Book Antiqua"/>
          <w:b/>
          <w:i/>
          <w:lang w:val="en-US"/>
        </w:rPr>
      </w:pPr>
      <w:bookmarkStart w:id="45" w:name="OLE_LINK13"/>
      <w:bookmarkStart w:id="46" w:name="OLE_LINK323"/>
      <w:bookmarkStart w:id="47" w:name="OLE_LINK349"/>
      <w:bookmarkStart w:id="48" w:name="OLE_LINK377"/>
      <w:bookmarkStart w:id="49" w:name="OLE_LINK386"/>
      <w:bookmarkStart w:id="50" w:name="OLE_LINK400"/>
      <w:bookmarkStart w:id="51" w:name="OLE_LINK416"/>
      <w:bookmarkStart w:id="52" w:name="OLE_LINK512"/>
      <w:bookmarkStart w:id="53" w:name="OLE_LINK598"/>
      <w:bookmarkStart w:id="54" w:name="OLE_LINK599"/>
    </w:p>
    <w:p w14:paraId="575CB856" w14:textId="77777777" w:rsidR="00D97BD8" w:rsidRPr="0088290D" w:rsidRDefault="00D97BD8" w:rsidP="007940D7">
      <w:pPr>
        <w:spacing w:line="360" w:lineRule="auto"/>
        <w:jc w:val="both"/>
        <w:rPr>
          <w:rFonts w:ascii="Book Antiqua" w:hAnsi="Book Antiqua"/>
          <w:lang w:val="en-US"/>
        </w:rPr>
      </w:pPr>
      <w:r w:rsidRPr="0088290D">
        <w:rPr>
          <w:rFonts w:ascii="Book Antiqua" w:hAnsi="Book Antiqua"/>
          <w:b/>
          <w:i/>
          <w:lang w:val="en-US"/>
        </w:rPr>
        <w:t>Peer-review</w:t>
      </w:r>
      <w:bookmarkEnd w:id="45"/>
      <w:bookmarkEnd w:id="46"/>
      <w:bookmarkEnd w:id="47"/>
      <w:bookmarkEnd w:id="48"/>
      <w:bookmarkEnd w:id="49"/>
      <w:bookmarkEnd w:id="50"/>
      <w:bookmarkEnd w:id="51"/>
      <w:bookmarkEnd w:id="52"/>
      <w:bookmarkEnd w:id="53"/>
      <w:bookmarkEnd w:id="54"/>
    </w:p>
    <w:p w14:paraId="421498CB" w14:textId="77777777" w:rsidR="0081438F" w:rsidRDefault="0081438F" w:rsidP="007940D7">
      <w:pPr>
        <w:widowControl w:val="0"/>
        <w:autoSpaceDE w:val="0"/>
        <w:autoSpaceDN w:val="0"/>
        <w:adjustRightInd w:val="0"/>
        <w:spacing w:line="360" w:lineRule="auto"/>
        <w:jc w:val="both"/>
        <w:rPr>
          <w:rFonts w:ascii="Book Antiqua" w:hAnsi="Book Antiqua"/>
          <w:bCs/>
          <w:lang w:val="en-GB"/>
        </w:rPr>
      </w:pPr>
      <w:r w:rsidRPr="0081438F">
        <w:rPr>
          <w:rFonts w:ascii="Book Antiqua" w:hAnsi="Book Antiqua"/>
          <w:bCs/>
          <w:lang w:val="en-GB"/>
        </w:rPr>
        <w:t>This is an original and interesting manuscript. There are very few data on this topic.</w:t>
      </w:r>
    </w:p>
    <w:p w14:paraId="66EF58F8" w14:textId="77777777" w:rsidR="0081438F" w:rsidRDefault="0081438F">
      <w:pPr>
        <w:rPr>
          <w:rFonts w:ascii="Book Antiqua" w:hAnsi="Book Antiqua"/>
          <w:bCs/>
          <w:lang w:val="en-GB"/>
        </w:rPr>
      </w:pPr>
      <w:r>
        <w:rPr>
          <w:rFonts w:ascii="Book Antiqua" w:hAnsi="Book Antiqua"/>
          <w:bCs/>
          <w:lang w:val="en-GB"/>
        </w:rPr>
        <w:br w:type="page"/>
      </w:r>
    </w:p>
    <w:p w14:paraId="7416395D" w14:textId="2B368DEC" w:rsidR="007940D7" w:rsidRDefault="00BF710C" w:rsidP="007940D7">
      <w:pPr>
        <w:widowControl w:val="0"/>
        <w:autoSpaceDE w:val="0"/>
        <w:autoSpaceDN w:val="0"/>
        <w:adjustRightInd w:val="0"/>
        <w:spacing w:line="360" w:lineRule="auto"/>
        <w:jc w:val="both"/>
        <w:rPr>
          <w:rFonts w:ascii="Book Antiqua" w:eastAsia="SimSun" w:hAnsi="Book Antiqua"/>
          <w:lang w:val="en-US" w:eastAsia="zh-CN"/>
        </w:rPr>
      </w:pPr>
      <w:r w:rsidRPr="0088290D">
        <w:rPr>
          <w:rFonts w:ascii="Book Antiqua" w:hAnsi="Book Antiqua"/>
          <w:b/>
          <w:lang w:val="en-US"/>
        </w:rPr>
        <w:lastRenderedPageBreak/>
        <w:t>REFERENCES</w:t>
      </w:r>
      <w:r>
        <w:rPr>
          <w:rFonts w:ascii="Book Antiqua" w:eastAsia="SimSun" w:hAnsi="Book Antiqua" w:hint="eastAsia"/>
          <w:b/>
          <w:lang w:val="en-US" w:eastAsia="zh-CN"/>
        </w:rPr>
        <w:t xml:space="preserve"> </w:t>
      </w:r>
    </w:p>
    <w:p w14:paraId="5F22C1B7"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1 </w:t>
      </w:r>
      <w:r w:rsidRPr="00763655">
        <w:rPr>
          <w:rFonts w:ascii="Book Antiqua" w:eastAsia="SimSun" w:hAnsi="Book Antiqua" w:cs="SimSun"/>
          <w:b/>
          <w:bCs/>
        </w:rPr>
        <w:t>Lazaridis KN</w:t>
      </w:r>
      <w:r w:rsidRPr="00763655">
        <w:rPr>
          <w:rFonts w:ascii="Book Antiqua" w:eastAsia="SimSun" w:hAnsi="Book Antiqua" w:cs="SimSun"/>
        </w:rPr>
        <w:t>, LaRusso NF. Primary Sclerosing Cholangitis. </w:t>
      </w:r>
      <w:r w:rsidRPr="00763655">
        <w:rPr>
          <w:rFonts w:ascii="Book Antiqua" w:eastAsia="SimSun" w:hAnsi="Book Antiqua" w:cs="SimSun"/>
          <w:i/>
          <w:iCs/>
        </w:rPr>
        <w:t>N Engl J Med</w:t>
      </w:r>
      <w:r w:rsidRPr="00763655">
        <w:rPr>
          <w:rFonts w:ascii="Book Antiqua" w:eastAsia="SimSun" w:hAnsi="Book Antiqua" w:cs="SimSun"/>
        </w:rPr>
        <w:t> 2016; </w:t>
      </w:r>
      <w:r w:rsidRPr="00763655">
        <w:rPr>
          <w:rFonts w:ascii="Book Antiqua" w:eastAsia="SimSun" w:hAnsi="Book Antiqua" w:cs="SimSun"/>
          <w:b/>
          <w:bCs/>
        </w:rPr>
        <w:t>375</w:t>
      </w:r>
      <w:r w:rsidRPr="00763655">
        <w:rPr>
          <w:rFonts w:ascii="Book Antiqua" w:eastAsia="SimSun" w:hAnsi="Book Antiqua" w:cs="SimSun"/>
        </w:rPr>
        <w:t>: 1161-1170 [PMID: 27653566 DOI: 10.1056/NEJMra1506330]</w:t>
      </w:r>
    </w:p>
    <w:p w14:paraId="536E82CA"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2 </w:t>
      </w:r>
      <w:r w:rsidRPr="00763655">
        <w:rPr>
          <w:rFonts w:ascii="Book Antiqua" w:eastAsia="SimSun" w:hAnsi="Book Antiqua" w:cs="SimSun"/>
          <w:b/>
          <w:bCs/>
        </w:rPr>
        <w:t>Eksteen B</w:t>
      </w:r>
      <w:r w:rsidRPr="00763655">
        <w:rPr>
          <w:rFonts w:ascii="Book Antiqua" w:eastAsia="SimSun" w:hAnsi="Book Antiqua" w:cs="SimSun"/>
        </w:rPr>
        <w:t>. The Gut-Liver Axis in Primary Sclerosing Cholangitis. </w:t>
      </w:r>
      <w:r w:rsidRPr="00763655">
        <w:rPr>
          <w:rFonts w:ascii="Book Antiqua" w:eastAsia="SimSun" w:hAnsi="Book Antiqua" w:cs="SimSun"/>
          <w:i/>
          <w:iCs/>
        </w:rPr>
        <w:t>Clin Liver Dis</w:t>
      </w:r>
      <w:r w:rsidRPr="00763655">
        <w:rPr>
          <w:rFonts w:ascii="Book Antiqua" w:eastAsia="SimSun" w:hAnsi="Book Antiqua" w:cs="SimSun"/>
        </w:rPr>
        <w:t> 2016; </w:t>
      </w:r>
      <w:r w:rsidRPr="00763655">
        <w:rPr>
          <w:rFonts w:ascii="Book Antiqua" w:eastAsia="SimSun" w:hAnsi="Book Antiqua" w:cs="SimSun"/>
          <w:b/>
          <w:bCs/>
        </w:rPr>
        <w:t>20</w:t>
      </w:r>
      <w:r w:rsidRPr="00763655">
        <w:rPr>
          <w:rFonts w:ascii="Book Antiqua" w:eastAsia="SimSun" w:hAnsi="Book Antiqua" w:cs="SimSun"/>
        </w:rPr>
        <w:t>: 1-14 [PMID: 26593287 DOI: 10.1016/j.cld.2015.08.012]</w:t>
      </w:r>
    </w:p>
    <w:p w14:paraId="519C5C25"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3 </w:t>
      </w:r>
      <w:r w:rsidRPr="00763655">
        <w:rPr>
          <w:rFonts w:ascii="Book Antiqua" w:eastAsia="SimSun" w:hAnsi="Book Antiqua" w:cs="SimSun"/>
          <w:b/>
          <w:bCs/>
        </w:rPr>
        <w:t>Eaton JE</w:t>
      </w:r>
      <w:r w:rsidRPr="00763655">
        <w:rPr>
          <w:rFonts w:ascii="Book Antiqua" w:eastAsia="SimSun" w:hAnsi="Book Antiqua" w:cs="SimSun"/>
        </w:rPr>
        <w:t>, Talwalkar JA, Lazaridis KN, Gores GJ, Lindor KD. Pathogenesis of primary sclerosing cholangitis and advances in diagnosis and management. </w:t>
      </w:r>
      <w:r w:rsidRPr="00763655">
        <w:rPr>
          <w:rFonts w:ascii="Book Antiqua" w:eastAsia="SimSun" w:hAnsi="Book Antiqua" w:cs="SimSun"/>
          <w:i/>
          <w:iCs/>
        </w:rPr>
        <w:t>Gastroenterology</w:t>
      </w:r>
      <w:r w:rsidRPr="00763655">
        <w:rPr>
          <w:rFonts w:ascii="Book Antiqua" w:eastAsia="SimSun" w:hAnsi="Book Antiqua" w:cs="SimSun"/>
        </w:rPr>
        <w:t> 2013; </w:t>
      </w:r>
      <w:r w:rsidRPr="00763655">
        <w:rPr>
          <w:rFonts w:ascii="Book Antiqua" w:eastAsia="SimSun" w:hAnsi="Book Antiqua" w:cs="SimSun"/>
          <w:b/>
          <w:bCs/>
        </w:rPr>
        <w:t>145</w:t>
      </w:r>
      <w:r w:rsidRPr="00763655">
        <w:rPr>
          <w:rFonts w:ascii="Book Antiqua" w:eastAsia="SimSun" w:hAnsi="Book Antiqua" w:cs="SimSun"/>
        </w:rPr>
        <w:t>: 521-536 [PMID: 23827861 DOI: 10.1053/j.gastro.2013.06.052]</w:t>
      </w:r>
    </w:p>
    <w:p w14:paraId="7687CC55"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4 </w:t>
      </w:r>
      <w:r w:rsidRPr="00763655">
        <w:rPr>
          <w:rFonts w:ascii="Book Antiqua" w:eastAsia="SimSun" w:hAnsi="Book Antiqua" w:cs="SimSun"/>
          <w:b/>
          <w:bCs/>
        </w:rPr>
        <w:t>Joshi D</w:t>
      </w:r>
      <w:r w:rsidRPr="00763655">
        <w:rPr>
          <w:rFonts w:ascii="Book Antiqua" w:eastAsia="SimSun" w:hAnsi="Book Antiqua" w:cs="SimSun"/>
        </w:rPr>
        <w:t>, Bjarnason I, Belgaumkar A, O'Grady J, Suddle A, Heneghan MA, Aluvihare V, Rela M, Heaton N, Agarwal K. The impact of inflammatory bowel disease post-liver transplantation for primary sclerosing cholangitis. </w:t>
      </w:r>
      <w:r w:rsidRPr="00763655">
        <w:rPr>
          <w:rFonts w:ascii="Book Antiqua" w:eastAsia="SimSun" w:hAnsi="Book Antiqua" w:cs="SimSun"/>
          <w:i/>
          <w:iCs/>
        </w:rPr>
        <w:t>Liver Int</w:t>
      </w:r>
      <w:r w:rsidRPr="00763655">
        <w:rPr>
          <w:rFonts w:ascii="Book Antiqua" w:eastAsia="SimSun" w:hAnsi="Book Antiqua" w:cs="SimSun"/>
        </w:rPr>
        <w:t> 2013; </w:t>
      </w:r>
      <w:r w:rsidRPr="00763655">
        <w:rPr>
          <w:rFonts w:ascii="Book Antiqua" w:eastAsia="SimSun" w:hAnsi="Book Antiqua" w:cs="SimSun"/>
          <w:b/>
          <w:bCs/>
        </w:rPr>
        <w:t>33</w:t>
      </w:r>
      <w:r w:rsidRPr="00763655">
        <w:rPr>
          <w:rFonts w:ascii="Book Antiqua" w:eastAsia="SimSun" w:hAnsi="Book Antiqua" w:cs="SimSun"/>
        </w:rPr>
        <w:t>: 53-61 [PMID: 22103794 DOI: 10.1111/j.1478-3231.2011.02677.x]</w:t>
      </w:r>
    </w:p>
    <w:p w14:paraId="52B6D15D"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5 </w:t>
      </w:r>
      <w:r w:rsidRPr="00763655">
        <w:rPr>
          <w:rFonts w:ascii="Book Antiqua" w:eastAsia="SimSun" w:hAnsi="Book Antiqua" w:cs="SimSun"/>
          <w:b/>
          <w:bCs/>
        </w:rPr>
        <w:t>Alabraba E</w:t>
      </w:r>
      <w:r w:rsidRPr="00763655">
        <w:rPr>
          <w:rFonts w:ascii="Book Antiqua" w:eastAsia="SimSun" w:hAnsi="Book Antiqua" w:cs="SimSun"/>
        </w:rPr>
        <w:t>, Nightingale P, Gunson B, Hubscher S, Olliff S, Mirza D, Neuberger J. A re-evaluation of the risk factors for the recurrence of primary sclerosing cholangitis in liver allografts. </w:t>
      </w:r>
      <w:r w:rsidRPr="00763655">
        <w:rPr>
          <w:rFonts w:ascii="Book Antiqua" w:eastAsia="SimSun" w:hAnsi="Book Antiqua" w:cs="SimSun"/>
          <w:i/>
          <w:iCs/>
        </w:rPr>
        <w:t>Liver Transpl</w:t>
      </w:r>
      <w:r w:rsidRPr="00763655">
        <w:rPr>
          <w:rFonts w:ascii="Book Antiqua" w:eastAsia="SimSun" w:hAnsi="Book Antiqua" w:cs="SimSun"/>
        </w:rPr>
        <w:t> 2009; </w:t>
      </w:r>
      <w:r w:rsidRPr="00763655">
        <w:rPr>
          <w:rFonts w:ascii="Book Antiqua" w:eastAsia="SimSun" w:hAnsi="Book Antiqua" w:cs="SimSun"/>
          <w:b/>
          <w:bCs/>
        </w:rPr>
        <w:t>15</w:t>
      </w:r>
      <w:r w:rsidRPr="00763655">
        <w:rPr>
          <w:rFonts w:ascii="Book Antiqua" w:eastAsia="SimSun" w:hAnsi="Book Antiqua" w:cs="SimSun"/>
        </w:rPr>
        <w:t>: 330-340 [PMID: 19243003 DOI: 10.1002/lt.21679]</w:t>
      </w:r>
    </w:p>
    <w:p w14:paraId="4A8AB99F"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6 </w:t>
      </w:r>
      <w:r w:rsidRPr="00763655">
        <w:rPr>
          <w:rFonts w:ascii="Book Antiqua" w:eastAsia="SimSun" w:hAnsi="Book Antiqua" w:cs="SimSun"/>
          <w:b/>
          <w:bCs/>
        </w:rPr>
        <w:t>Lichtman SN</w:t>
      </w:r>
      <w:r w:rsidRPr="00763655">
        <w:rPr>
          <w:rFonts w:ascii="Book Antiqua" w:eastAsia="SimSun" w:hAnsi="Book Antiqua" w:cs="SimSun"/>
        </w:rPr>
        <w:t>, Keku J, Schwab JH, Sartor RB. Hepatic injury associated with small bowel bacterial overgrowth in rats is prevented by metronidazole and tetracycline. </w:t>
      </w:r>
      <w:r w:rsidRPr="00763655">
        <w:rPr>
          <w:rFonts w:ascii="Book Antiqua" w:eastAsia="SimSun" w:hAnsi="Book Antiqua" w:cs="SimSun"/>
          <w:i/>
          <w:iCs/>
        </w:rPr>
        <w:t>Gastroenterology</w:t>
      </w:r>
      <w:r w:rsidRPr="00763655">
        <w:rPr>
          <w:rFonts w:ascii="Book Antiqua" w:eastAsia="SimSun" w:hAnsi="Book Antiqua" w:cs="SimSun"/>
        </w:rPr>
        <w:t> 1991; </w:t>
      </w:r>
      <w:r w:rsidRPr="00763655">
        <w:rPr>
          <w:rFonts w:ascii="Book Antiqua" w:eastAsia="SimSun" w:hAnsi="Book Antiqua" w:cs="SimSun"/>
          <w:b/>
          <w:bCs/>
        </w:rPr>
        <w:t>100</w:t>
      </w:r>
      <w:r w:rsidRPr="00763655">
        <w:rPr>
          <w:rFonts w:ascii="Book Antiqua" w:eastAsia="SimSun" w:hAnsi="Book Antiqua" w:cs="SimSun"/>
        </w:rPr>
        <w:t>: 513-519 [PMID: 1985047]</w:t>
      </w:r>
    </w:p>
    <w:p w14:paraId="46FFE4A0"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7 </w:t>
      </w:r>
      <w:r w:rsidRPr="00763655">
        <w:rPr>
          <w:rFonts w:ascii="Book Antiqua" w:eastAsia="SimSun" w:hAnsi="Book Antiqua" w:cs="SimSun"/>
          <w:b/>
          <w:bCs/>
        </w:rPr>
        <w:t>Yamada S</w:t>
      </w:r>
      <w:r w:rsidRPr="00763655">
        <w:rPr>
          <w:rFonts w:ascii="Book Antiqua" w:eastAsia="SimSun" w:hAnsi="Book Antiqua" w:cs="SimSun"/>
        </w:rPr>
        <w:t>, Ishii M, Liang LS, Yamamoto T, Toyota T. Small duct cholangitis induced by N-formyl L-methionine L-leucine L-tyrosine in rats. </w:t>
      </w:r>
      <w:r w:rsidRPr="00763655">
        <w:rPr>
          <w:rFonts w:ascii="Book Antiqua" w:eastAsia="SimSun" w:hAnsi="Book Antiqua" w:cs="SimSun"/>
          <w:i/>
          <w:iCs/>
        </w:rPr>
        <w:t>J Gastroenterol</w:t>
      </w:r>
      <w:r w:rsidRPr="00763655">
        <w:rPr>
          <w:rFonts w:ascii="Book Antiqua" w:eastAsia="SimSun" w:hAnsi="Book Antiqua" w:cs="SimSun"/>
        </w:rPr>
        <w:t> 1994; </w:t>
      </w:r>
      <w:r w:rsidRPr="00763655">
        <w:rPr>
          <w:rFonts w:ascii="Book Antiqua" w:eastAsia="SimSun" w:hAnsi="Book Antiqua" w:cs="SimSun"/>
          <w:b/>
          <w:bCs/>
        </w:rPr>
        <w:t>29</w:t>
      </w:r>
      <w:r w:rsidRPr="00763655">
        <w:rPr>
          <w:rFonts w:ascii="Book Antiqua" w:eastAsia="SimSun" w:hAnsi="Book Antiqua" w:cs="SimSun"/>
        </w:rPr>
        <w:t>: 631-636 [PMID: 8000512]</w:t>
      </w:r>
    </w:p>
    <w:p w14:paraId="61F29C20"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8 </w:t>
      </w:r>
      <w:r w:rsidRPr="00763655">
        <w:rPr>
          <w:rFonts w:ascii="Book Antiqua" w:eastAsia="SimSun" w:hAnsi="Book Antiqua" w:cs="SimSun"/>
          <w:b/>
          <w:bCs/>
        </w:rPr>
        <w:t>Mueller T</w:t>
      </w:r>
      <w:r w:rsidRPr="00763655">
        <w:rPr>
          <w:rFonts w:ascii="Book Antiqua" w:eastAsia="SimSun" w:hAnsi="Book Antiqua" w:cs="SimSun"/>
        </w:rPr>
        <w:t>, Beutler C, Picó AH, Shibolet O, Pratt DS, Pascher A, Neuhaus P, Wiedenmann B, Berg T, Podolsky DK. Enhanced innate immune responsiveness and intolerance to intestinal endotoxins in human biliary epithelial cells contributes to chronic cholangitis. </w:t>
      </w:r>
      <w:r w:rsidRPr="00763655">
        <w:rPr>
          <w:rFonts w:ascii="Book Antiqua" w:eastAsia="SimSun" w:hAnsi="Book Antiqua" w:cs="SimSun"/>
          <w:i/>
          <w:iCs/>
        </w:rPr>
        <w:t>Liver Int</w:t>
      </w:r>
      <w:r w:rsidRPr="00763655">
        <w:rPr>
          <w:rFonts w:ascii="Book Antiqua" w:eastAsia="SimSun" w:hAnsi="Book Antiqua" w:cs="SimSun"/>
        </w:rPr>
        <w:t> 2011; </w:t>
      </w:r>
      <w:r w:rsidRPr="00763655">
        <w:rPr>
          <w:rFonts w:ascii="Book Antiqua" w:eastAsia="SimSun" w:hAnsi="Book Antiqua" w:cs="SimSun"/>
          <w:b/>
          <w:bCs/>
        </w:rPr>
        <w:t>31</w:t>
      </w:r>
      <w:r w:rsidRPr="00763655">
        <w:rPr>
          <w:rFonts w:ascii="Book Antiqua" w:eastAsia="SimSun" w:hAnsi="Book Antiqua" w:cs="SimSun"/>
        </w:rPr>
        <w:t>: 1574-1588 [PMID: 22093333 DOI: 10.1111/j.1478-3231.2011.02635.x]</w:t>
      </w:r>
    </w:p>
    <w:p w14:paraId="335C54D6"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lastRenderedPageBreak/>
        <w:t>9 </w:t>
      </w:r>
      <w:r w:rsidRPr="00763655">
        <w:rPr>
          <w:rFonts w:ascii="Book Antiqua" w:eastAsia="SimSun" w:hAnsi="Book Antiqua" w:cs="SimSun"/>
          <w:b/>
          <w:bCs/>
        </w:rPr>
        <w:t>Medvedev AE</w:t>
      </w:r>
      <w:r w:rsidRPr="00763655">
        <w:rPr>
          <w:rFonts w:ascii="Book Antiqua" w:eastAsia="SimSun" w:hAnsi="Book Antiqua" w:cs="SimSun"/>
        </w:rPr>
        <w:t>, Sabroe I, Hasday JD, Vogel SN. Tolerance to microbial TLR ligands: molecular mechanisms and relevance to disease. </w:t>
      </w:r>
      <w:r w:rsidRPr="00763655">
        <w:rPr>
          <w:rFonts w:ascii="Book Antiqua" w:eastAsia="SimSun" w:hAnsi="Book Antiqua" w:cs="SimSun"/>
          <w:i/>
          <w:iCs/>
        </w:rPr>
        <w:t>J Endotoxin Res</w:t>
      </w:r>
      <w:r w:rsidRPr="00763655">
        <w:rPr>
          <w:rFonts w:ascii="Book Antiqua" w:eastAsia="SimSun" w:hAnsi="Book Antiqua" w:cs="SimSun"/>
        </w:rPr>
        <w:t> 2006; </w:t>
      </w:r>
      <w:r w:rsidRPr="00763655">
        <w:rPr>
          <w:rFonts w:ascii="Book Antiqua" w:eastAsia="SimSun" w:hAnsi="Book Antiqua" w:cs="SimSun"/>
          <w:b/>
          <w:bCs/>
        </w:rPr>
        <w:t>12</w:t>
      </w:r>
      <w:r w:rsidRPr="00763655">
        <w:rPr>
          <w:rFonts w:ascii="Book Antiqua" w:eastAsia="SimSun" w:hAnsi="Book Antiqua" w:cs="SimSun"/>
        </w:rPr>
        <w:t>: 133-150 [PMID: 16719986 DOI: 10.1179/096805106X102255]</w:t>
      </w:r>
    </w:p>
    <w:p w14:paraId="782F6E14"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10 </w:t>
      </w:r>
      <w:r w:rsidRPr="00763655">
        <w:rPr>
          <w:rFonts w:ascii="Book Antiqua" w:eastAsia="SimSun" w:hAnsi="Book Antiqua" w:cs="SimSun"/>
          <w:b/>
          <w:bCs/>
        </w:rPr>
        <w:t>Fickert P</w:t>
      </w:r>
      <w:r w:rsidRPr="00763655">
        <w:rPr>
          <w:rFonts w:ascii="Book Antiqua" w:eastAsia="SimSun" w:hAnsi="Book Antiqua" w:cs="SimSun"/>
        </w:rPr>
        <w:t>, Fuchsbichler A, Marschall HU, Wagner M, Zollner G, Krause R, Zatloukal K, Jaeschke H, Denk H, Trauner M. Lithocholic acid feeding induces segmental bile duct obstruction and destructive cholangitis in mice. </w:t>
      </w:r>
      <w:r w:rsidRPr="00763655">
        <w:rPr>
          <w:rFonts w:ascii="Book Antiqua" w:eastAsia="SimSun" w:hAnsi="Book Antiqua" w:cs="SimSun"/>
          <w:i/>
          <w:iCs/>
        </w:rPr>
        <w:t>Am J Pathol</w:t>
      </w:r>
      <w:r w:rsidRPr="00763655">
        <w:rPr>
          <w:rFonts w:ascii="Book Antiqua" w:eastAsia="SimSun" w:hAnsi="Book Antiqua" w:cs="SimSun"/>
        </w:rPr>
        <w:t> 2006; </w:t>
      </w:r>
      <w:r w:rsidRPr="00763655">
        <w:rPr>
          <w:rFonts w:ascii="Book Antiqua" w:eastAsia="SimSun" w:hAnsi="Book Antiqua" w:cs="SimSun"/>
          <w:b/>
          <w:bCs/>
        </w:rPr>
        <w:t>168</w:t>
      </w:r>
      <w:r w:rsidRPr="00763655">
        <w:rPr>
          <w:rFonts w:ascii="Book Antiqua" w:eastAsia="SimSun" w:hAnsi="Book Antiqua" w:cs="SimSun"/>
        </w:rPr>
        <w:t>: 410-422 [PMID: 16436656 DOI: 10.2353/ajpath.2006.050404]</w:t>
      </w:r>
    </w:p>
    <w:p w14:paraId="4E9EFB63"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11 </w:t>
      </w:r>
      <w:r w:rsidRPr="00763655">
        <w:rPr>
          <w:rFonts w:ascii="Book Antiqua" w:eastAsia="SimSun" w:hAnsi="Book Antiqua" w:cs="SimSun"/>
          <w:b/>
          <w:bCs/>
        </w:rPr>
        <w:t>Fickert P</w:t>
      </w:r>
      <w:r w:rsidRPr="00763655">
        <w:rPr>
          <w:rFonts w:ascii="Book Antiqua" w:eastAsia="SimSun" w:hAnsi="Book Antiqua" w:cs="SimSun"/>
        </w:rPr>
        <w:t>, Fuchsbichler A, Wagner M, Zollner G, Kaser A, Tilg H, Krause R, Lammert F, Langner C, Zatloukal K, Marschall HU, Denk H, Trauner M. Regurgitation of bile acids from leaky bile ducts causes sclerosing cholangitis in Mdr2 (Abcb4) knockout mice. </w:t>
      </w:r>
      <w:r w:rsidRPr="00763655">
        <w:rPr>
          <w:rFonts w:ascii="Book Antiqua" w:eastAsia="SimSun" w:hAnsi="Book Antiqua" w:cs="SimSun"/>
          <w:i/>
          <w:iCs/>
        </w:rPr>
        <w:t>Gastroenterology</w:t>
      </w:r>
      <w:r w:rsidRPr="00763655">
        <w:rPr>
          <w:rFonts w:ascii="Book Antiqua" w:eastAsia="SimSun" w:hAnsi="Book Antiqua" w:cs="SimSun"/>
        </w:rPr>
        <w:t> 2004; </w:t>
      </w:r>
      <w:r w:rsidRPr="00763655">
        <w:rPr>
          <w:rFonts w:ascii="Book Antiqua" w:eastAsia="SimSun" w:hAnsi="Book Antiqua" w:cs="SimSun"/>
          <w:b/>
          <w:bCs/>
        </w:rPr>
        <w:t>127</w:t>
      </w:r>
      <w:r w:rsidRPr="00763655">
        <w:rPr>
          <w:rFonts w:ascii="Book Antiqua" w:eastAsia="SimSun" w:hAnsi="Book Antiqua" w:cs="SimSun"/>
        </w:rPr>
        <w:t>: 261-274 [PMID: 15236191]</w:t>
      </w:r>
    </w:p>
    <w:p w14:paraId="441EE40D"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12 </w:t>
      </w:r>
      <w:r w:rsidRPr="00763655">
        <w:rPr>
          <w:rFonts w:ascii="Book Antiqua" w:eastAsia="SimSun" w:hAnsi="Book Antiqua" w:cs="SimSun"/>
          <w:b/>
          <w:bCs/>
        </w:rPr>
        <w:t>Piton G</w:t>
      </w:r>
      <w:r w:rsidRPr="00763655">
        <w:rPr>
          <w:rFonts w:ascii="Book Antiqua" w:eastAsia="SimSun" w:hAnsi="Book Antiqua" w:cs="SimSun"/>
        </w:rPr>
        <w:t>, Capellier G. Biomarkers of gut barrier failure in the ICU. </w:t>
      </w:r>
      <w:r w:rsidRPr="00763655">
        <w:rPr>
          <w:rFonts w:ascii="Book Antiqua" w:eastAsia="SimSun" w:hAnsi="Book Antiqua" w:cs="SimSun"/>
          <w:i/>
          <w:iCs/>
        </w:rPr>
        <w:t>Curr Opin Crit Care</w:t>
      </w:r>
      <w:r w:rsidRPr="00763655">
        <w:rPr>
          <w:rFonts w:ascii="Book Antiqua" w:eastAsia="SimSun" w:hAnsi="Book Antiqua" w:cs="SimSun"/>
        </w:rPr>
        <w:t> 2016; </w:t>
      </w:r>
      <w:r w:rsidRPr="00763655">
        <w:rPr>
          <w:rFonts w:ascii="Book Antiqua" w:eastAsia="SimSun" w:hAnsi="Book Antiqua" w:cs="SimSun"/>
          <w:b/>
          <w:bCs/>
        </w:rPr>
        <w:t>22</w:t>
      </w:r>
      <w:r w:rsidRPr="00763655">
        <w:rPr>
          <w:rFonts w:ascii="Book Antiqua" w:eastAsia="SimSun" w:hAnsi="Book Antiqua" w:cs="SimSun"/>
        </w:rPr>
        <w:t>: 152-160 [PMID: 26808138 DOI: 10.1097/MCC.0000000000000283]</w:t>
      </w:r>
    </w:p>
    <w:p w14:paraId="701F8D74"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13 </w:t>
      </w:r>
      <w:r w:rsidRPr="00763655">
        <w:rPr>
          <w:rFonts w:ascii="Book Antiqua" w:eastAsia="SimSun" w:hAnsi="Book Antiqua" w:cs="SimSun"/>
          <w:b/>
          <w:bCs/>
        </w:rPr>
        <w:t>Schirru E</w:t>
      </w:r>
      <w:r w:rsidRPr="00763655">
        <w:rPr>
          <w:rFonts w:ascii="Book Antiqua" w:eastAsia="SimSun" w:hAnsi="Book Antiqua" w:cs="SimSun"/>
        </w:rPr>
        <w:t>, Danjou F, Cicotto L, Rossino R, Macis MD, Lampis R, Jores RD, Congia M. Anti-actin IgA antibodies identify celiac disease patients with a Marsh 3 intestinal damage among subjects with moderate anti-TG2 levels. </w:t>
      </w:r>
      <w:r w:rsidRPr="00763655">
        <w:rPr>
          <w:rFonts w:ascii="Book Antiqua" w:eastAsia="SimSun" w:hAnsi="Book Antiqua" w:cs="SimSun"/>
          <w:i/>
          <w:iCs/>
        </w:rPr>
        <w:t>Biomed Res Int</w:t>
      </w:r>
      <w:r w:rsidRPr="00763655">
        <w:rPr>
          <w:rFonts w:ascii="Book Antiqua" w:eastAsia="SimSun" w:hAnsi="Book Antiqua" w:cs="SimSun"/>
        </w:rPr>
        <w:t> 2013; </w:t>
      </w:r>
      <w:r w:rsidRPr="00763655">
        <w:rPr>
          <w:rFonts w:ascii="Book Antiqua" w:eastAsia="SimSun" w:hAnsi="Book Antiqua" w:cs="SimSun"/>
          <w:b/>
          <w:bCs/>
        </w:rPr>
        <w:t>2013</w:t>
      </w:r>
      <w:r w:rsidRPr="00763655">
        <w:rPr>
          <w:rFonts w:ascii="Book Antiqua" w:eastAsia="SimSun" w:hAnsi="Book Antiqua" w:cs="SimSun"/>
        </w:rPr>
        <w:t>: 630463 [PMID: 24083232 DOI: 10.1155/2013/630463]</w:t>
      </w:r>
    </w:p>
    <w:p w14:paraId="058286F7"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14</w:t>
      </w:r>
      <w:r>
        <w:rPr>
          <w:rFonts w:ascii="Book Antiqua" w:eastAsia="SimSun" w:hAnsi="Book Antiqua" w:cs="SimSun" w:hint="eastAsia"/>
        </w:rPr>
        <w:t xml:space="preserve"> </w:t>
      </w:r>
      <w:r w:rsidRPr="00763655">
        <w:rPr>
          <w:rFonts w:ascii="Book Antiqua" w:eastAsia="SimSun" w:hAnsi="Book Antiqua" w:cs="SimSun"/>
          <w:b/>
        </w:rPr>
        <w:t>Reiberger T</w:t>
      </w:r>
      <w:r w:rsidRPr="00763655">
        <w:rPr>
          <w:rFonts w:ascii="Book Antiqua" w:eastAsia="SimSun" w:hAnsi="Book Antiqua" w:cs="SimSun"/>
        </w:rPr>
        <w:t xml:space="preserve">, Ferlitsch A, Payer BA, Mandorfer M, Heinisch BB, Hayden H, Lammert F, Trauner M, Peck-radosavljevic M, Vogelsang H, Hepatic V. Non-selective betablocker therapy decreases intestinal permeability and serum levels of LBP and IL-6 in patients with cirrhosis. </w:t>
      </w:r>
      <w:r w:rsidRPr="00763655">
        <w:rPr>
          <w:rFonts w:ascii="Book Antiqua" w:eastAsia="SimSun" w:hAnsi="Book Antiqua" w:cs="SimSun"/>
          <w:i/>
        </w:rPr>
        <w:t>J Hepatol</w:t>
      </w:r>
      <w:r w:rsidRPr="00763655">
        <w:rPr>
          <w:rFonts w:ascii="Book Antiqua" w:eastAsia="SimSun" w:hAnsi="Book Antiqua" w:cs="SimSun"/>
        </w:rPr>
        <w:t xml:space="preserve"> 2013; </w:t>
      </w:r>
      <w:r w:rsidRPr="00763655">
        <w:rPr>
          <w:rFonts w:ascii="Book Antiqua" w:eastAsia="SimSun" w:hAnsi="Book Antiqua" w:cs="SimSun"/>
          <w:b/>
        </w:rPr>
        <w:t>58</w:t>
      </w:r>
      <w:r w:rsidRPr="00763655">
        <w:rPr>
          <w:rFonts w:ascii="Book Antiqua" w:eastAsia="SimSun" w:hAnsi="Book Antiqua" w:cs="SimSun"/>
        </w:rPr>
        <w:t>: 911–21 [PMID: 23262249 DOI: 10.1016/j.jhep.2012.12.011]</w:t>
      </w:r>
    </w:p>
    <w:p w14:paraId="7B8073E4"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15 </w:t>
      </w:r>
      <w:r w:rsidRPr="00763655">
        <w:rPr>
          <w:rFonts w:ascii="Book Antiqua" w:eastAsia="SimSun" w:hAnsi="Book Antiqua" w:cs="SimSun"/>
          <w:b/>
          <w:bCs/>
        </w:rPr>
        <w:t>Martins EB</w:t>
      </w:r>
      <w:r w:rsidRPr="00763655">
        <w:rPr>
          <w:rFonts w:ascii="Book Antiqua" w:eastAsia="SimSun" w:hAnsi="Book Antiqua" w:cs="SimSun"/>
        </w:rPr>
        <w:t>, Chapman RW. Sclerosing cholangitis. </w:t>
      </w:r>
      <w:r w:rsidRPr="00763655">
        <w:rPr>
          <w:rFonts w:ascii="Book Antiqua" w:eastAsia="SimSun" w:hAnsi="Book Antiqua" w:cs="SimSun"/>
          <w:i/>
          <w:iCs/>
        </w:rPr>
        <w:t>Curr Opin Gastroenterol</w:t>
      </w:r>
      <w:r w:rsidRPr="00763655">
        <w:rPr>
          <w:rFonts w:ascii="Book Antiqua" w:eastAsia="SimSun" w:hAnsi="Book Antiqua" w:cs="SimSun"/>
        </w:rPr>
        <w:t> 2001; </w:t>
      </w:r>
      <w:r w:rsidRPr="00763655">
        <w:rPr>
          <w:rFonts w:ascii="Book Antiqua" w:eastAsia="SimSun" w:hAnsi="Book Antiqua" w:cs="SimSun"/>
          <w:b/>
          <w:bCs/>
        </w:rPr>
        <w:t>17</w:t>
      </w:r>
      <w:r w:rsidRPr="00763655">
        <w:rPr>
          <w:rFonts w:ascii="Book Antiqua" w:eastAsia="SimSun" w:hAnsi="Book Antiqua" w:cs="SimSun"/>
        </w:rPr>
        <w:t>: 458-462 [PMID: 17031201]</w:t>
      </w:r>
    </w:p>
    <w:p w14:paraId="09EADA95"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16 </w:t>
      </w:r>
      <w:r w:rsidRPr="00763655">
        <w:rPr>
          <w:rFonts w:ascii="Book Antiqua" w:eastAsia="SimSun" w:hAnsi="Book Antiqua" w:cs="SimSun"/>
          <w:b/>
          <w:bCs/>
        </w:rPr>
        <w:t>Kim WR</w:t>
      </w:r>
      <w:r w:rsidRPr="00763655">
        <w:rPr>
          <w:rFonts w:ascii="Book Antiqua" w:eastAsia="SimSun" w:hAnsi="Book Antiqua" w:cs="SimSun"/>
        </w:rPr>
        <w:t xml:space="preserve">, Therneau TM, Wiesner RH, Poterucha JJ, Benson JT, Malinchoc M, LaRusso NF, Lindor KD, Dickson ER. A revised natural history model for </w:t>
      </w:r>
      <w:r w:rsidRPr="00763655">
        <w:rPr>
          <w:rFonts w:ascii="Book Antiqua" w:eastAsia="SimSun" w:hAnsi="Book Antiqua" w:cs="SimSun"/>
        </w:rPr>
        <w:lastRenderedPageBreak/>
        <w:t>primary sclerosing cholangitis. </w:t>
      </w:r>
      <w:r w:rsidRPr="00763655">
        <w:rPr>
          <w:rFonts w:ascii="Book Antiqua" w:eastAsia="SimSun" w:hAnsi="Book Antiqua" w:cs="SimSun"/>
          <w:i/>
          <w:iCs/>
        </w:rPr>
        <w:t>Mayo Clin Proc</w:t>
      </w:r>
      <w:r w:rsidRPr="00763655">
        <w:rPr>
          <w:rFonts w:ascii="Book Antiqua" w:eastAsia="SimSun" w:hAnsi="Book Antiqua" w:cs="SimSun"/>
        </w:rPr>
        <w:t> 2000; </w:t>
      </w:r>
      <w:r w:rsidRPr="00763655">
        <w:rPr>
          <w:rFonts w:ascii="Book Antiqua" w:eastAsia="SimSun" w:hAnsi="Book Antiqua" w:cs="SimSun"/>
          <w:b/>
          <w:bCs/>
        </w:rPr>
        <w:t>75</w:t>
      </w:r>
      <w:r w:rsidRPr="00763655">
        <w:rPr>
          <w:rFonts w:ascii="Book Antiqua" w:eastAsia="SimSun" w:hAnsi="Book Antiqua" w:cs="SimSun"/>
        </w:rPr>
        <w:t>: 688-694 [PMID: 10907383 DOI: 10.4065/75.7.688]</w:t>
      </w:r>
    </w:p>
    <w:p w14:paraId="11D0370F"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17 </w:t>
      </w:r>
      <w:r w:rsidRPr="00763655">
        <w:rPr>
          <w:rFonts w:ascii="Book Antiqua" w:eastAsia="SimSun" w:hAnsi="Book Antiqua" w:cs="SimSun"/>
          <w:b/>
          <w:bCs/>
        </w:rPr>
        <w:t>Papp M</w:t>
      </w:r>
      <w:r w:rsidRPr="00763655">
        <w:rPr>
          <w:rFonts w:ascii="Book Antiqua" w:eastAsia="SimSun" w:hAnsi="Book Antiqua" w:cs="SimSun"/>
        </w:rPr>
        <w:t>, Sipeki N, Tornai T, Altorjay I, Norman GL, Shums Z, Roggenbuck D, Fechner K, Stöcker W, Antal-Szalmas P, Veres G, Lakatos PL. Rediscovery of the Anti-Pancreatic Antibodies and Evaluation of their Prognostic Value in a Prospective Clinical Cohort of Crohn's Patients: The Importance of Specific Target Antigens [GP2 and CUZD1]. </w:t>
      </w:r>
      <w:r w:rsidRPr="00763655">
        <w:rPr>
          <w:rFonts w:ascii="Book Antiqua" w:eastAsia="SimSun" w:hAnsi="Book Antiqua" w:cs="SimSun"/>
          <w:i/>
          <w:iCs/>
        </w:rPr>
        <w:t>J Crohns Colitis</w:t>
      </w:r>
      <w:r w:rsidRPr="00763655">
        <w:rPr>
          <w:rFonts w:ascii="Book Antiqua" w:eastAsia="SimSun" w:hAnsi="Book Antiqua" w:cs="SimSun"/>
        </w:rPr>
        <w:t> 2015; </w:t>
      </w:r>
      <w:r w:rsidRPr="00763655">
        <w:rPr>
          <w:rFonts w:ascii="Book Antiqua" w:eastAsia="SimSun" w:hAnsi="Book Antiqua" w:cs="SimSun"/>
          <w:b/>
          <w:bCs/>
        </w:rPr>
        <w:t>9</w:t>
      </w:r>
      <w:r w:rsidRPr="00763655">
        <w:rPr>
          <w:rFonts w:ascii="Book Antiqua" w:eastAsia="SimSun" w:hAnsi="Book Antiqua" w:cs="SimSun"/>
        </w:rPr>
        <w:t>: 659-668 [PMID: 25968583 DOI: 10.1093/ecco-jcc/jjv087]</w:t>
      </w:r>
    </w:p>
    <w:p w14:paraId="7BDD0560"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18</w:t>
      </w:r>
      <w:r>
        <w:rPr>
          <w:rFonts w:ascii="Book Antiqua" w:eastAsia="SimSun" w:hAnsi="Book Antiqua" w:cs="SimSun" w:hint="eastAsia"/>
        </w:rPr>
        <w:t xml:space="preserve"> </w:t>
      </w:r>
      <w:r w:rsidRPr="00763655">
        <w:rPr>
          <w:rFonts w:ascii="Book Antiqua" w:eastAsia="SimSun" w:hAnsi="Book Antiqua" w:cs="SimSun"/>
          <w:b/>
        </w:rPr>
        <w:t>Papp M</w:t>
      </w:r>
      <w:r w:rsidRPr="00763655">
        <w:rPr>
          <w:rFonts w:ascii="Book Antiqua" w:eastAsia="SimSun" w:hAnsi="Book Antiqua" w:cs="SimSun"/>
        </w:rPr>
        <w:t>, Sipeki N, Vitalis Z, Tornai T, Altorjay I, Tornai I, Udvardy M, Fechner K, Jacobsen S, Teegen B, Sumegi A, Veres G, Lakatos PL, Kappelmayer J, Antal-Szalmas P. High prevalence of IgA class anti-neutrophil cytoplasmic antibodies (ANCA) is associated with increased risk of bacterial infection in patients with cirrhosis.</w:t>
      </w:r>
      <w:r w:rsidRPr="00763655">
        <w:rPr>
          <w:rFonts w:ascii="Book Antiqua" w:eastAsia="SimSun" w:hAnsi="Book Antiqua" w:cs="SimSun"/>
          <w:i/>
        </w:rPr>
        <w:t xml:space="preserve"> J Hepatol</w:t>
      </w:r>
      <w:r>
        <w:rPr>
          <w:rFonts w:ascii="Book Antiqua" w:eastAsia="SimSun" w:hAnsi="Book Antiqua" w:cs="SimSun" w:hint="eastAsia"/>
        </w:rPr>
        <w:t xml:space="preserve"> </w:t>
      </w:r>
      <w:r w:rsidRPr="00763655">
        <w:rPr>
          <w:rFonts w:ascii="Book Antiqua" w:eastAsia="SimSun" w:hAnsi="Book Antiqua" w:cs="SimSun"/>
        </w:rPr>
        <w:t xml:space="preserve">2013; </w:t>
      </w:r>
      <w:r w:rsidRPr="00763655">
        <w:rPr>
          <w:rFonts w:ascii="Book Antiqua" w:eastAsia="SimSun" w:hAnsi="Book Antiqua" w:cs="SimSun"/>
          <w:b/>
        </w:rPr>
        <w:t>59</w:t>
      </w:r>
      <w:r w:rsidRPr="00763655">
        <w:rPr>
          <w:rFonts w:ascii="Book Antiqua" w:eastAsia="SimSun" w:hAnsi="Book Antiqua" w:cs="SimSun"/>
        </w:rPr>
        <w:t>: 457–</w:t>
      </w:r>
      <w:r>
        <w:rPr>
          <w:rFonts w:ascii="Book Antiqua" w:eastAsia="SimSun" w:hAnsi="Book Antiqua" w:cs="SimSun" w:hint="eastAsia"/>
        </w:rPr>
        <w:t>4</w:t>
      </w:r>
      <w:r w:rsidRPr="00763655">
        <w:rPr>
          <w:rFonts w:ascii="Book Antiqua" w:eastAsia="SimSun" w:hAnsi="Book Antiqua" w:cs="SimSun"/>
        </w:rPr>
        <w:t>66 [DOI: 10.1016/j.jhep.2013.04.018]</w:t>
      </w:r>
      <w:r>
        <w:rPr>
          <w:rFonts w:ascii="Book Antiqua" w:eastAsia="SimSun" w:hAnsi="Book Antiqua" w:cs="SimSun" w:hint="eastAsia"/>
        </w:rPr>
        <w:t xml:space="preserve"> </w:t>
      </w:r>
    </w:p>
    <w:p w14:paraId="6924264A"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19 </w:t>
      </w:r>
      <w:r w:rsidRPr="00763655">
        <w:rPr>
          <w:rFonts w:ascii="Book Antiqua" w:eastAsia="SimSun" w:hAnsi="Book Antiqua" w:cs="SimSun"/>
          <w:b/>
          <w:bCs/>
        </w:rPr>
        <w:t>Infantino M</w:t>
      </w:r>
      <w:r w:rsidRPr="00763655">
        <w:rPr>
          <w:rFonts w:ascii="Book Antiqua" w:eastAsia="SimSun" w:hAnsi="Book Antiqua" w:cs="SimSun"/>
        </w:rPr>
        <w:t>, Meacci F, Grossi V, Macchia D, Manfredi M. Anti-gliadin antibodies in non-celiac gluten sensitivity. </w:t>
      </w:r>
      <w:r w:rsidRPr="00763655">
        <w:rPr>
          <w:rFonts w:ascii="Book Antiqua" w:eastAsia="SimSun" w:hAnsi="Book Antiqua" w:cs="SimSun"/>
          <w:i/>
          <w:iCs/>
        </w:rPr>
        <w:t>Minerva Gastroenterol Dietol</w:t>
      </w:r>
      <w:r w:rsidRPr="00763655">
        <w:rPr>
          <w:rFonts w:ascii="Book Antiqua" w:eastAsia="SimSun" w:hAnsi="Book Antiqua" w:cs="SimSun"/>
        </w:rPr>
        <w:t> 2017; </w:t>
      </w:r>
      <w:r w:rsidRPr="00763655">
        <w:rPr>
          <w:rFonts w:ascii="Book Antiqua" w:eastAsia="SimSun" w:hAnsi="Book Antiqua" w:cs="SimSun"/>
          <w:b/>
          <w:bCs/>
        </w:rPr>
        <w:t>63</w:t>
      </w:r>
      <w:r w:rsidRPr="00763655">
        <w:rPr>
          <w:rFonts w:ascii="Book Antiqua" w:eastAsia="SimSun" w:hAnsi="Book Antiqua" w:cs="SimSun"/>
        </w:rPr>
        <w:t>: 1-4 [PMID: 27845509 DOI: 10.23736/S1121-421X.16.02351-5]</w:t>
      </w:r>
    </w:p>
    <w:p w14:paraId="2ADDCCCF"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20 </w:t>
      </w:r>
      <w:r w:rsidRPr="00763655">
        <w:rPr>
          <w:rFonts w:ascii="Book Antiqua" w:eastAsia="SimSun" w:hAnsi="Book Antiqua" w:cs="SimSun"/>
          <w:b/>
          <w:bCs/>
        </w:rPr>
        <w:t>Gabbiani G</w:t>
      </w:r>
      <w:r w:rsidRPr="00763655">
        <w:rPr>
          <w:rFonts w:ascii="Book Antiqua" w:eastAsia="SimSun" w:hAnsi="Book Antiqua" w:cs="SimSun"/>
        </w:rPr>
        <w:t>, Ryan GB, Lamelin JP, Vassalli P, Majno G, Bouvier CA, Cruchaud A, Lüscher EF. Human smooth muscle autoantibody. Its identification as antiactin antibody and a study of its binding to "nonmuscular" cells. </w:t>
      </w:r>
      <w:r w:rsidRPr="00763655">
        <w:rPr>
          <w:rFonts w:ascii="Book Antiqua" w:eastAsia="SimSun" w:hAnsi="Book Antiqua" w:cs="SimSun"/>
          <w:i/>
          <w:iCs/>
        </w:rPr>
        <w:t>Am J Pathol</w:t>
      </w:r>
      <w:r w:rsidRPr="00763655">
        <w:rPr>
          <w:rFonts w:ascii="Book Antiqua" w:eastAsia="SimSun" w:hAnsi="Book Antiqua" w:cs="SimSun"/>
        </w:rPr>
        <w:t> 1973; </w:t>
      </w:r>
      <w:r w:rsidRPr="00763655">
        <w:rPr>
          <w:rFonts w:ascii="Book Antiqua" w:eastAsia="SimSun" w:hAnsi="Book Antiqua" w:cs="SimSun"/>
          <w:b/>
          <w:bCs/>
        </w:rPr>
        <w:t>72</w:t>
      </w:r>
      <w:r w:rsidRPr="00763655">
        <w:rPr>
          <w:rFonts w:ascii="Book Antiqua" w:eastAsia="SimSun" w:hAnsi="Book Antiqua" w:cs="SimSun"/>
        </w:rPr>
        <w:t>: 473-488 [PMID: 4125700]</w:t>
      </w:r>
    </w:p>
    <w:p w14:paraId="1A06F891"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21 </w:t>
      </w:r>
      <w:r w:rsidRPr="00763655">
        <w:rPr>
          <w:rFonts w:ascii="Book Antiqua" w:eastAsia="SimSun" w:hAnsi="Book Antiqua" w:cs="SimSun"/>
          <w:b/>
          <w:bCs/>
        </w:rPr>
        <w:t>Hennes EM</w:t>
      </w:r>
      <w:r w:rsidRPr="00763655">
        <w:rPr>
          <w:rFonts w:ascii="Book Antiqua" w:eastAsia="SimSun" w:hAnsi="Book Antiqua" w:cs="SimSun"/>
        </w:rPr>
        <w:t>, Zeniya M, Czaja AJ, Parés A, Dalekos GN, Krawitt EL, Bittencourt PL, Porta G, Boberg KM, Hofer H, Bianchi FB, Shibata M, Schramm C, Eisenmann de Torres B, Galle PR, McFarlane I, Dienes HP, Lohse AW. Simplified criteria for the diagnosis of autoimmune hepatitis. </w:t>
      </w:r>
      <w:r w:rsidRPr="00763655">
        <w:rPr>
          <w:rFonts w:ascii="Book Antiqua" w:eastAsia="SimSun" w:hAnsi="Book Antiqua" w:cs="SimSun"/>
          <w:i/>
          <w:iCs/>
        </w:rPr>
        <w:t>Hepatology</w:t>
      </w:r>
      <w:r w:rsidRPr="00763655">
        <w:rPr>
          <w:rFonts w:ascii="Book Antiqua" w:eastAsia="SimSun" w:hAnsi="Book Antiqua" w:cs="SimSun"/>
        </w:rPr>
        <w:t> 2008; </w:t>
      </w:r>
      <w:r w:rsidRPr="00763655">
        <w:rPr>
          <w:rFonts w:ascii="Book Antiqua" w:eastAsia="SimSun" w:hAnsi="Book Antiqua" w:cs="SimSun"/>
          <w:b/>
          <w:bCs/>
        </w:rPr>
        <w:t>48</w:t>
      </w:r>
      <w:r w:rsidRPr="00763655">
        <w:rPr>
          <w:rFonts w:ascii="Book Antiqua" w:eastAsia="SimSun" w:hAnsi="Book Antiqua" w:cs="SimSun"/>
        </w:rPr>
        <w:t>: 169-176 [PMID: 18537184 DOI: 10.1002/hep.22322]</w:t>
      </w:r>
    </w:p>
    <w:p w14:paraId="187AA493"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22 </w:t>
      </w:r>
      <w:r w:rsidRPr="00763655">
        <w:rPr>
          <w:rFonts w:ascii="Book Antiqua" w:eastAsia="SimSun" w:hAnsi="Book Antiqua" w:cs="SimSun"/>
          <w:b/>
          <w:bCs/>
        </w:rPr>
        <w:t>Chretien-Leprince P</w:t>
      </w:r>
      <w:r w:rsidRPr="00763655">
        <w:rPr>
          <w:rFonts w:ascii="Book Antiqua" w:eastAsia="SimSun" w:hAnsi="Book Antiqua" w:cs="SimSun"/>
        </w:rPr>
        <w:t xml:space="preserve">, Ballot E, Andre C, Olsson NO, Fabien N, Escande A, Oksman F, Dubuquoi S, Jego S, Goetz J, Chevailler A, Sanmarco M, Humbel RL, Johanet C. Diagnostic value of anti-F-actin antibodies in a French </w:t>
      </w:r>
      <w:r w:rsidRPr="00763655">
        <w:rPr>
          <w:rFonts w:ascii="Book Antiqua" w:eastAsia="SimSun" w:hAnsi="Book Antiqua" w:cs="SimSun"/>
        </w:rPr>
        <w:lastRenderedPageBreak/>
        <w:t>multicenter study. </w:t>
      </w:r>
      <w:r w:rsidRPr="00763655">
        <w:rPr>
          <w:rFonts w:ascii="Book Antiqua" w:eastAsia="SimSun" w:hAnsi="Book Antiqua" w:cs="SimSun"/>
          <w:i/>
          <w:iCs/>
        </w:rPr>
        <w:t>Ann N Y Acad Sci</w:t>
      </w:r>
      <w:r w:rsidRPr="00763655">
        <w:rPr>
          <w:rFonts w:ascii="Book Antiqua" w:eastAsia="SimSun" w:hAnsi="Book Antiqua" w:cs="SimSun"/>
        </w:rPr>
        <w:t> 2005; </w:t>
      </w:r>
      <w:r w:rsidRPr="00763655">
        <w:rPr>
          <w:rFonts w:ascii="Book Antiqua" w:eastAsia="SimSun" w:hAnsi="Book Antiqua" w:cs="SimSun"/>
          <w:b/>
          <w:bCs/>
        </w:rPr>
        <w:t>1050</w:t>
      </w:r>
      <w:r w:rsidRPr="00763655">
        <w:rPr>
          <w:rFonts w:ascii="Book Antiqua" w:eastAsia="SimSun" w:hAnsi="Book Antiqua" w:cs="SimSun"/>
        </w:rPr>
        <w:t>: 266-273 [PMID: 16014542 DOI: 10.1196/annals.1313.028]</w:t>
      </w:r>
    </w:p>
    <w:p w14:paraId="34086356"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23</w:t>
      </w:r>
      <w:r>
        <w:rPr>
          <w:rFonts w:ascii="Book Antiqua" w:eastAsia="SimSun" w:hAnsi="Book Antiqua" w:cs="SimSun" w:hint="eastAsia"/>
        </w:rPr>
        <w:t xml:space="preserve"> </w:t>
      </w:r>
      <w:r w:rsidRPr="00763655">
        <w:rPr>
          <w:rFonts w:ascii="Book Antiqua" w:eastAsia="SimSun" w:hAnsi="Book Antiqua" w:cs="SimSun"/>
          <w:b/>
        </w:rPr>
        <w:t>Clemente MG</w:t>
      </w:r>
      <w:r w:rsidRPr="00763655">
        <w:rPr>
          <w:rFonts w:ascii="Book Antiqua" w:eastAsia="SimSun" w:hAnsi="Book Antiqua" w:cs="SimSun"/>
        </w:rPr>
        <w:t>, Musu MP, Troncone R, Volta U, Congia M, Ciacci C. Enterocyte Actin Autoantibody Detection</w:t>
      </w:r>
      <w:r w:rsidRPr="00763655">
        <w:rPr>
          <w:rFonts w:ascii="Times New Roman" w:eastAsia="SimSun" w:hAnsi="Times New Roman" w:cs="Times New Roman"/>
        </w:rPr>
        <w:t> </w:t>
      </w:r>
      <w:r w:rsidRPr="00763655">
        <w:rPr>
          <w:rFonts w:ascii="Book Antiqua" w:eastAsia="SimSun" w:hAnsi="Book Antiqua" w:cs="SimSun"/>
        </w:rPr>
        <w:t>: A New Diagnostic Tool in Celiac Disease Diagnosis</w:t>
      </w:r>
      <w:r w:rsidRPr="00763655">
        <w:rPr>
          <w:rFonts w:ascii="Times New Roman" w:eastAsia="SimSun" w:hAnsi="Times New Roman" w:cs="Times New Roman"/>
        </w:rPr>
        <w:t> </w:t>
      </w:r>
      <w:r w:rsidRPr="00763655">
        <w:rPr>
          <w:rFonts w:ascii="Book Antiqua" w:eastAsia="SimSun" w:hAnsi="Book Antiqua" w:cs="SimSun"/>
        </w:rPr>
        <w:t>: Results of a Multicenter Study. 2004; 1551–</w:t>
      </w:r>
      <w:r>
        <w:rPr>
          <w:rFonts w:ascii="Book Antiqua" w:eastAsia="SimSun" w:hAnsi="Book Antiqua" w:cs="SimSun" w:hint="eastAsia"/>
        </w:rPr>
        <w:t>155</w:t>
      </w:r>
      <w:r w:rsidRPr="00763655">
        <w:rPr>
          <w:rFonts w:ascii="Book Antiqua" w:eastAsia="SimSun" w:hAnsi="Book Antiqua" w:cs="SimSun"/>
        </w:rPr>
        <w:t>6 [DOI: 10.1111/j.1572-0241.2004.30296.x]</w:t>
      </w:r>
    </w:p>
    <w:p w14:paraId="40D79C1B"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24 </w:t>
      </w:r>
      <w:r w:rsidRPr="00763655">
        <w:rPr>
          <w:rFonts w:ascii="Book Antiqua" w:eastAsia="SimSun" w:hAnsi="Book Antiqua" w:cs="SimSun"/>
          <w:b/>
          <w:bCs/>
        </w:rPr>
        <w:t>Guo S</w:t>
      </w:r>
      <w:r w:rsidRPr="00763655">
        <w:rPr>
          <w:rFonts w:ascii="Book Antiqua" w:eastAsia="SimSun" w:hAnsi="Book Antiqua" w:cs="SimSun"/>
        </w:rPr>
        <w:t>, Al-Sadi R, Said HM, Ma TY. Lipopolysaccharide causes an increase in intestinal tight junction permeability in vitro and in vivo by inducing enterocyte membrane expression and localization of TLR-4 and CD14. </w:t>
      </w:r>
      <w:r w:rsidRPr="00763655">
        <w:rPr>
          <w:rFonts w:ascii="Book Antiqua" w:eastAsia="SimSun" w:hAnsi="Book Antiqua" w:cs="SimSun"/>
          <w:i/>
          <w:iCs/>
        </w:rPr>
        <w:t>Am J Pathol</w:t>
      </w:r>
      <w:r w:rsidRPr="00763655">
        <w:rPr>
          <w:rFonts w:ascii="Book Antiqua" w:eastAsia="SimSun" w:hAnsi="Book Antiqua" w:cs="SimSun"/>
        </w:rPr>
        <w:t> 2013; </w:t>
      </w:r>
      <w:r w:rsidRPr="00763655">
        <w:rPr>
          <w:rFonts w:ascii="Book Antiqua" w:eastAsia="SimSun" w:hAnsi="Book Antiqua" w:cs="SimSun"/>
          <w:b/>
          <w:bCs/>
        </w:rPr>
        <w:t>182</w:t>
      </w:r>
      <w:r w:rsidRPr="00763655">
        <w:rPr>
          <w:rFonts w:ascii="Book Antiqua" w:eastAsia="SimSun" w:hAnsi="Book Antiqua" w:cs="SimSun"/>
        </w:rPr>
        <w:t>: 375-387 [PMID: 23201091 DOI: 10.1016/j.ajpath.2012.10.014]</w:t>
      </w:r>
    </w:p>
    <w:p w14:paraId="2A8C84B0"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25 </w:t>
      </w:r>
      <w:r w:rsidRPr="00763655">
        <w:rPr>
          <w:rFonts w:ascii="Book Antiqua" w:eastAsia="SimSun" w:hAnsi="Book Antiqua" w:cs="SimSun"/>
          <w:b/>
          <w:bCs/>
        </w:rPr>
        <w:t>Couto CA</w:t>
      </w:r>
      <w:r w:rsidRPr="00763655">
        <w:rPr>
          <w:rFonts w:ascii="Book Antiqua" w:eastAsia="SimSun" w:hAnsi="Book Antiqua" w:cs="SimSun"/>
        </w:rPr>
        <w:t>, Bittencourt PL, Porta G, Abrantes-Lemos CP, Carrilho FJ, Guardia BD, Cançado EL. Antismooth muscle and antiactin antibodies are indirect markers of histological and biochemical activity of autoimmune hepatitis. </w:t>
      </w:r>
      <w:r w:rsidRPr="00763655">
        <w:rPr>
          <w:rFonts w:ascii="Book Antiqua" w:eastAsia="SimSun" w:hAnsi="Book Antiqua" w:cs="SimSun"/>
          <w:i/>
          <w:iCs/>
        </w:rPr>
        <w:t>Hepatology</w:t>
      </w:r>
      <w:r w:rsidRPr="00763655">
        <w:rPr>
          <w:rFonts w:ascii="Book Antiqua" w:eastAsia="SimSun" w:hAnsi="Book Antiqua" w:cs="SimSun"/>
        </w:rPr>
        <w:t> 2014; </w:t>
      </w:r>
      <w:r w:rsidRPr="00763655">
        <w:rPr>
          <w:rFonts w:ascii="Book Antiqua" w:eastAsia="SimSun" w:hAnsi="Book Antiqua" w:cs="SimSun"/>
          <w:b/>
          <w:bCs/>
        </w:rPr>
        <w:t>59</w:t>
      </w:r>
      <w:r w:rsidRPr="00763655">
        <w:rPr>
          <w:rFonts w:ascii="Book Antiqua" w:eastAsia="SimSun" w:hAnsi="Book Antiqua" w:cs="SimSun"/>
        </w:rPr>
        <w:t>: 592-600 [PMID: 23929663 DOI: 10.1002/hep.26666]</w:t>
      </w:r>
    </w:p>
    <w:p w14:paraId="6BCB1559"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26 </w:t>
      </w:r>
      <w:r w:rsidRPr="00763655">
        <w:rPr>
          <w:rFonts w:ascii="Book Antiqua" w:eastAsia="SimSun" w:hAnsi="Book Antiqua" w:cs="SimSun"/>
          <w:b/>
          <w:bCs/>
        </w:rPr>
        <w:t>Czaja AJ</w:t>
      </w:r>
      <w:r w:rsidRPr="00763655">
        <w:rPr>
          <w:rFonts w:ascii="Book Antiqua" w:eastAsia="SimSun" w:hAnsi="Book Antiqua" w:cs="SimSun"/>
        </w:rPr>
        <w:t>, Cassani F, Cataleta M, Valentini P, Bianchi FB. Frequency and significance of antibodies to actin in type 1 autoimmune hepatitis. </w:t>
      </w:r>
      <w:r w:rsidRPr="00763655">
        <w:rPr>
          <w:rFonts w:ascii="Book Antiqua" w:eastAsia="SimSun" w:hAnsi="Book Antiqua" w:cs="SimSun"/>
          <w:i/>
          <w:iCs/>
        </w:rPr>
        <w:t>Hepatology</w:t>
      </w:r>
      <w:r w:rsidRPr="00763655">
        <w:rPr>
          <w:rFonts w:ascii="Book Antiqua" w:eastAsia="SimSun" w:hAnsi="Book Antiqua" w:cs="SimSun"/>
        </w:rPr>
        <w:t> 1996; </w:t>
      </w:r>
      <w:r w:rsidRPr="00763655">
        <w:rPr>
          <w:rFonts w:ascii="Book Antiqua" w:eastAsia="SimSun" w:hAnsi="Book Antiqua" w:cs="SimSun"/>
          <w:b/>
          <w:bCs/>
        </w:rPr>
        <w:t>24</w:t>
      </w:r>
      <w:r w:rsidRPr="00763655">
        <w:rPr>
          <w:rFonts w:ascii="Book Antiqua" w:eastAsia="SimSun" w:hAnsi="Book Antiqua" w:cs="SimSun"/>
        </w:rPr>
        <w:t>: 1068-1073 [PMID: 8903377 DOI: 10.1002/hep.510240515]</w:t>
      </w:r>
    </w:p>
    <w:p w14:paraId="68FEE71F"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27 </w:t>
      </w:r>
      <w:r w:rsidRPr="00763655">
        <w:rPr>
          <w:rFonts w:ascii="Book Antiqua" w:eastAsia="SimSun" w:hAnsi="Book Antiqua" w:cs="SimSun"/>
          <w:b/>
          <w:bCs/>
        </w:rPr>
        <w:t>Wiencke K</w:t>
      </w:r>
      <w:r w:rsidRPr="00763655">
        <w:rPr>
          <w:rFonts w:ascii="Book Antiqua" w:eastAsia="SimSun" w:hAnsi="Book Antiqua" w:cs="SimSun"/>
        </w:rPr>
        <w:t>, Spurkland A, Schrumpf E, Boberg KM. Primary sclerosing cholangitis is associated to an extended B8-DR3 haplotype including particular MICA and MICB alleles. </w:t>
      </w:r>
      <w:r w:rsidRPr="00763655">
        <w:rPr>
          <w:rFonts w:ascii="Book Antiqua" w:eastAsia="SimSun" w:hAnsi="Book Antiqua" w:cs="SimSun"/>
          <w:i/>
          <w:iCs/>
        </w:rPr>
        <w:t>Hepatology</w:t>
      </w:r>
      <w:r w:rsidRPr="00763655">
        <w:rPr>
          <w:rFonts w:ascii="Book Antiqua" w:eastAsia="SimSun" w:hAnsi="Book Antiqua" w:cs="SimSun"/>
        </w:rPr>
        <w:t> 2001; </w:t>
      </w:r>
      <w:r w:rsidRPr="00763655">
        <w:rPr>
          <w:rFonts w:ascii="Book Antiqua" w:eastAsia="SimSun" w:hAnsi="Book Antiqua" w:cs="SimSun"/>
          <w:b/>
          <w:bCs/>
        </w:rPr>
        <w:t>34</w:t>
      </w:r>
      <w:r w:rsidRPr="00763655">
        <w:rPr>
          <w:rFonts w:ascii="Book Antiqua" w:eastAsia="SimSun" w:hAnsi="Book Antiqua" w:cs="SimSun"/>
        </w:rPr>
        <w:t>: 625-630 [PMID: 11584356 DOI: 10.1053/jhep.2001.27543]</w:t>
      </w:r>
    </w:p>
    <w:p w14:paraId="15F590C4"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28 </w:t>
      </w:r>
      <w:r w:rsidRPr="00763655">
        <w:rPr>
          <w:rFonts w:ascii="Book Antiqua" w:eastAsia="SimSun" w:hAnsi="Book Antiqua" w:cs="SimSun"/>
          <w:b/>
          <w:bCs/>
        </w:rPr>
        <w:t>Bowlus CL</w:t>
      </w:r>
      <w:r w:rsidRPr="00763655">
        <w:rPr>
          <w:rFonts w:ascii="Book Antiqua" w:eastAsia="SimSun" w:hAnsi="Book Antiqua" w:cs="SimSun"/>
        </w:rPr>
        <w:t>, Li CS, Karlsen TH, Lie BA, Selmi C. Primary sclerosing cholangitis in genetically diverse populations listed for liver transplantation: unique clinical and human leukocyte antigen associations. </w:t>
      </w:r>
      <w:r w:rsidRPr="00763655">
        <w:rPr>
          <w:rFonts w:ascii="Book Antiqua" w:eastAsia="SimSun" w:hAnsi="Book Antiqua" w:cs="SimSun"/>
          <w:i/>
          <w:iCs/>
        </w:rPr>
        <w:t>Liver Transpl</w:t>
      </w:r>
      <w:r w:rsidRPr="00763655">
        <w:rPr>
          <w:rFonts w:ascii="Book Antiqua" w:eastAsia="SimSun" w:hAnsi="Book Antiqua" w:cs="SimSun"/>
        </w:rPr>
        <w:t> 2010; </w:t>
      </w:r>
      <w:r w:rsidRPr="00763655">
        <w:rPr>
          <w:rFonts w:ascii="Book Antiqua" w:eastAsia="SimSun" w:hAnsi="Book Antiqua" w:cs="SimSun"/>
          <w:b/>
          <w:bCs/>
        </w:rPr>
        <w:t>16</w:t>
      </w:r>
      <w:r w:rsidRPr="00763655">
        <w:rPr>
          <w:rFonts w:ascii="Book Antiqua" w:eastAsia="SimSun" w:hAnsi="Book Antiqua" w:cs="SimSun"/>
        </w:rPr>
        <w:t>: 1324-1330 [PMID: 21031548 DOI: 10.1002/lt.22161]</w:t>
      </w:r>
    </w:p>
    <w:p w14:paraId="08BF7664"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29 </w:t>
      </w:r>
      <w:r w:rsidRPr="00763655">
        <w:rPr>
          <w:rFonts w:ascii="Book Antiqua" w:eastAsia="SimSun" w:hAnsi="Book Antiqua" w:cs="SimSun"/>
          <w:b/>
          <w:bCs/>
        </w:rPr>
        <w:t>Boberg KM</w:t>
      </w:r>
      <w:r w:rsidRPr="00763655">
        <w:rPr>
          <w:rFonts w:ascii="Book Antiqua" w:eastAsia="SimSun" w:hAnsi="Book Antiqua" w:cs="SimSun"/>
        </w:rPr>
        <w:t xml:space="preserve">, Spurkland A, Rocca G, Egeland T, Saarinen S, Mitchell S, Broomé U, Chapman R, Olerup O, Pares A, Rosina F, Schrumpf E. The HLA-DR3,DQ2 heterozygous genotype is associated with an accelerated </w:t>
      </w:r>
      <w:r w:rsidRPr="00763655">
        <w:rPr>
          <w:rFonts w:ascii="Book Antiqua" w:eastAsia="SimSun" w:hAnsi="Book Antiqua" w:cs="SimSun"/>
        </w:rPr>
        <w:lastRenderedPageBreak/>
        <w:t>progression of primary sclerosing cholangitis. </w:t>
      </w:r>
      <w:r w:rsidRPr="00763655">
        <w:rPr>
          <w:rFonts w:ascii="Book Antiqua" w:eastAsia="SimSun" w:hAnsi="Book Antiqua" w:cs="SimSun"/>
          <w:i/>
          <w:iCs/>
        </w:rPr>
        <w:t>Scand J Gastroenterol</w:t>
      </w:r>
      <w:r w:rsidRPr="00763655">
        <w:rPr>
          <w:rFonts w:ascii="Book Antiqua" w:eastAsia="SimSun" w:hAnsi="Book Antiqua" w:cs="SimSun"/>
        </w:rPr>
        <w:t> 2001; </w:t>
      </w:r>
      <w:r w:rsidRPr="00763655">
        <w:rPr>
          <w:rFonts w:ascii="Book Antiqua" w:eastAsia="SimSun" w:hAnsi="Book Antiqua" w:cs="SimSun"/>
          <w:b/>
          <w:bCs/>
        </w:rPr>
        <w:t>36</w:t>
      </w:r>
      <w:r w:rsidRPr="00763655">
        <w:rPr>
          <w:rFonts w:ascii="Book Antiqua" w:eastAsia="SimSun" w:hAnsi="Book Antiqua" w:cs="SimSun"/>
        </w:rPr>
        <w:t>: 886-890 [PMID: 11495087]</w:t>
      </w:r>
    </w:p>
    <w:p w14:paraId="342D7CDF"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30 </w:t>
      </w:r>
      <w:r w:rsidRPr="00763655">
        <w:rPr>
          <w:rFonts w:ascii="Book Antiqua" w:eastAsia="SimSun" w:hAnsi="Book Antiqua" w:cs="SimSun"/>
          <w:b/>
          <w:bCs/>
        </w:rPr>
        <w:t>Hov JR</w:t>
      </w:r>
      <w:r w:rsidRPr="00763655">
        <w:rPr>
          <w:rFonts w:ascii="Book Antiqua" w:eastAsia="SimSun" w:hAnsi="Book Antiqua" w:cs="SimSun"/>
        </w:rPr>
        <w:t>, Boberg KM, Taraldsrud E, Vesterhus M, Boyadzhieva M, Solberg IC, Schrumpf E, Vatn MH, Lie BA, Molberg Ø, Karlsen TH. Antineutrophil antibodies define clinical and genetic subgroups in primary sclerosing cholangitis. </w:t>
      </w:r>
      <w:r w:rsidRPr="00763655">
        <w:rPr>
          <w:rFonts w:ascii="Book Antiqua" w:eastAsia="SimSun" w:hAnsi="Book Antiqua" w:cs="SimSun"/>
          <w:i/>
          <w:iCs/>
        </w:rPr>
        <w:t>Liver Int</w:t>
      </w:r>
      <w:r w:rsidRPr="00763655">
        <w:rPr>
          <w:rFonts w:ascii="Book Antiqua" w:eastAsia="SimSun" w:hAnsi="Book Antiqua" w:cs="SimSun"/>
        </w:rPr>
        <w:t> 2017; </w:t>
      </w:r>
      <w:r w:rsidRPr="00763655">
        <w:rPr>
          <w:rFonts w:ascii="Book Antiqua" w:eastAsia="SimSun" w:hAnsi="Book Antiqua" w:cs="SimSun"/>
          <w:b/>
          <w:bCs/>
        </w:rPr>
        <w:t>37</w:t>
      </w:r>
      <w:r w:rsidRPr="00763655">
        <w:rPr>
          <w:rFonts w:ascii="Book Antiqua" w:eastAsia="SimSun" w:hAnsi="Book Antiqua" w:cs="SimSun"/>
        </w:rPr>
        <w:t>: 458-465 [PMID: 27558072 DOI: 10.1111/liv.13238]</w:t>
      </w:r>
    </w:p>
    <w:p w14:paraId="501C46BC"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31 </w:t>
      </w:r>
      <w:r w:rsidRPr="00763655">
        <w:rPr>
          <w:rFonts w:ascii="Book Antiqua" w:eastAsia="SimSun" w:hAnsi="Book Antiqua" w:cs="SimSun"/>
          <w:b/>
          <w:bCs/>
        </w:rPr>
        <w:t>Sjöberg K</w:t>
      </w:r>
      <w:r w:rsidRPr="00763655">
        <w:rPr>
          <w:rFonts w:ascii="Book Antiqua" w:eastAsia="SimSun" w:hAnsi="Book Antiqua" w:cs="SimSun"/>
        </w:rPr>
        <w:t>, Lindgren S, Eriksson S. Frequent occurrence of non-specific gliadin antibodies in chronic liver disease. Endomysial but not gliadin antibodies predict coeliac disease in patients with chronic liver disease. </w:t>
      </w:r>
      <w:r w:rsidRPr="00763655">
        <w:rPr>
          <w:rFonts w:ascii="Book Antiqua" w:eastAsia="SimSun" w:hAnsi="Book Antiqua" w:cs="SimSun"/>
          <w:i/>
          <w:iCs/>
        </w:rPr>
        <w:t>Scand J Gastroenterol</w:t>
      </w:r>
      <w:r w:rsidRPr="00763655">
        <w:rPr>
          <w:rFonts w:ascii="Book Antiqua" w:eastAsia="SimSun" w:hAnsi="Book Antiqua" w:cs="SimSun"/>
        </w:rPr>
        <w:t> 1997; </w:t>
      </w:r>
      <w:r w:rsidRPr="00763655">
        <w:rPr>
          <w:rFonts w:ascii="Book Antiqua" w:eastAsia="SimSun" w:hAnsi="Book Antiqua" w:cs="SimSun"/>
          <w:b/>
          <w:bCs/>
        </w:rPr>
        <w:t>32</w:t>
      </w:r>
      <w:r w:rsidRPr="00763655">
        <w:rPr>
          <w:rFonts w:ascii="Book Antiqua" w:eastAsia="SimSun" w:hAnsi="Book Antiqua" w:cs="SimSun"/>
        </w:rPr>
        <w:t>: 1162-1167 [PMID: 9399399]</w:t>
      </w:r>
    </w:p>
    <w:p w14:paraId="67D27E53"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32 </w:t>
      </w:r>
      <w:r w:rsidRPr="00763655">
        <w:rPr>
          <w:rFonts w:ascii="Book Antiqua" w:eastAsia="SimSun" w:hAnsi="Book Antiqua" w:cs="SimSun"/>
          <w:b/>
          <w:bCs/>
        </w:rPr>
        <w:t>Chatzicostas C</w:t>
      </w:r>
      <w:r w:rsidRPr="00763655">
        <w:rPr>
          <w:rFonts w:ascii="Book Antiqua" w:eastAsia="SimSun" w:hAnsi="Book Antiqua" w:cs="SimSun"/>
        </w:rPr>
        <w:t>, Roussomoustakaki M, Drygiannakis D, Niniraki M, Tzardi M, Koulentaki M, Dimoulios P, Mouzas I, Kouroumalis E. Primary biliary cirrhosis and autoimmune cholangitis are not associated with coeliac disease in Crete. </w:t>
      </w:r>
      <w:r w:rsidRPr="00763655">
        <w:rPr>
          <w:rFonts w:ascii="Book Antiqua" w:eastAsia="SimSun" w:hAnsi="Book Antiqua" w:cs="SimSun"/>
          <w:i/>
          <w:iCs/>
        </w:rPr>
        <w:t>BMC Gastroenterol</w:t>
      </w:r>
      <w:r w:rsidRPr="00763655">
        <w:rPr>
          <w:rFonts w:ascii="Book Antiqua" w:eastAsia="SimSun" w:hAnsi="Book Antiqua" w:cs="SimSun"/>
        </w:rPr>
        <w:t> 2002; </w:t>
      </w:r>
      <w:r w:rsidRPr="00763655">
        <w:rPr>
          <w:rFonts w:ascii="Book Antiqua" w:eastAsia="SimSun" w:hAnsi="Book Antiqua" w:cs="SimSun"/>
          <w:b/>
          <w:bCs/>
        </w:rPr>
        <w:t>2</w:t>
      </w:r>
      <w:r w:rsidRPr="00763655">
        <w:rPr>
          <w:rFonts w:ascii="Book Antiqua" w:eastAsia="SimSun" w:hAnsi="Book Antiqua" w:cs="SimSun"/>
        </w:rPr>
        <w:t>: 5 [PMID: 11914139]</w:t>
      </w:r>
    </w:p>
    <w:p w14:paraId="114522CD"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33 </w:t>
      </w:r>
      <w:r w:rsidRPr="00763655">
        <w:rPr>
          <w:rFonts w:ascii="Book Antiqua" w:eastAsia="SimSun" w:hAnsi="Book Antiqua" w:cs="SimSun"/>
          <w:b/>
          <w:bCs/>
        </w:rPr>
        <w:t>Reichelt KL</w:t>
      </w:r>
      <w:r w:rsidRPr="00763655">
        <w:rPr>
          <w:rFonts w:ascii="Book Antiqua" w:eastAsia="SimSun" w:hAnsi="Book Antiqua" w:cs="SimSun"/>
        </w:rPr>
        <w:t>, Jensen D. IgA antibodies against gliadin and gluten in multiple sclerosis. </w:t>
      </w:r>
      <w:r w:rsidRPr="00763655">
        <w:rPr>
          <w:rFonts w:ascii="Book Antiqua" w:eastAsia="SimSun" w:hAnsi="Book Antiqua" w:cs="SimSun"/>
          <w:i/>
          <w:iCs/>
        </w:rPr>
        <w:t>Acta Neurol Scand</w:t>
      </w:r>
      <w:r w:rsidRPr="00763655">
        <w:rPr>
          <w:rFonts w:ascii="Book Antiqua" w:eastAsia="SimSun" w:hAnsi="Book Antiqua" w:cs="SimSun"/>
        </w:rPr>
        <w:t> 2004; </w:t>
      </w:r>
      <w:r w:rsidRPr="00763655">
        <w:rPr>
          <w:rFonts w:ascii="Book Antiqua" w:eastAsia="SimSun" w:hAnsi="Book Antiqua" w:cs="SimSun"/>
          <w:b/>
          <w:bCs/>
        </w:rPr>
        <w:t>110</w:t>
      </w:r>
      <w:r w:rsidRPr="00763655">
        <w:rPr>
          <w:rFonts w:ascii="Book Antiqua" w:eastAsia="SimSun" w:hAnsi="Book Antiqua" w:cs="SimSun"/>
        </w:rPr>
        <w:t>: 239-241 [PMID: 15355487 DOI: 10.1111/j.1600-0404.2004.00303.x]</w:t>
      </w:r>
    </w:p>
    <w:p w14:paraId="2454D47D"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34 </w:t>
      </w:r>
      <w:r w:rsidRPr="00763655">
        <w:rPr>
          <w:rFonts w:ascii="Book Antiqua" w:eastAsia="SimSun" w:hAnsi="Book Antiqua" w:cs="SimSun"/>
          <w:b/>
          <w:bCs/>
        </w:rPr>
        <w:t>Rensch MJ</w:t>
      </w:r>
      <w:r w:rsidRPr="00763655">
        <w:rPr>
          <w:rFonts w:ascii="Book Antiqua" w:eastAsia="SimSun" w:hAnsi="Book Antiqua" w:cs="SimSun"/>
        </w:rPr>
        <w:t>, Szyjkowski R, Shaffer RT, Fink S, Kopecky C, Grissmer L, Enzenhauer R, Kadakia S. The prevalence of celiac disease autoantibodies in patients with systemic lupus erythematosus. </w:t>
      </w:r>
      <w:r w:rsidRPr="00763655">
        <w:rPr>
          <w:rFonts w:ascii="Book Antiqua" w:eastAsia="SimSun" w:hAnsi="Book Antiqua" w:cs="SimSun"/>
          <w:i/>
          <w:iCs/>
        </w:rPr>
        <w:t>Am J Gastroenterol</w:t>
      </w:r>
      <w:r w:rsidRPr="00763655">
        <w:rPr>
          <w:rFonts w:ascii="Book Antiqua" w:eastAsia="SimSun" w:hAnsi="Book Antiqua" w:cs="SimSun"/>
        </w:rPr>
        <w:t> 2001; </w:t>
      </w:r>
      <w:r w:rsidRPr="00763655">
        <w:rPr>
          <w:rFonts w:ascii="Book Antiqua" w:eastAsia="SimSun" w:hAnsi="Book Antiqua" w:cs="SimSun"/>
          <w:b/>
          <w:bCs/>
        </w:rPr>
        <w:t>96</w:t>
      </w:r>
      <w:r w:rsidRPr="00763655">
        <w:rPr>
          <w:rFonts w:ascii="Book Antiqua" w:eastAsia="SimSun" w:hAnsi="Book Antiqua" w:cs="SimSun"/>
        </w:rPr>
        <w:t>: 1113-1115 [PMID: 11316156 DOI: 10.1111/j.1572-0241.2001.03753.x]</w:t>
      </w:r>
    </w:p>
    <w:p w14:paraId="656873DC"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35 </w:t>
      </w:r>
      <w:r w:rsidRPr="00763655">
        <w:rPr>
          <w:rFonts w:ascii="Book Antiqua" w:eastAsia="SimSun" w:hAnsi="Book Antiqua" w:cs="SimSun"/>
          <w:b/>
          <w:bCs/>
        </w:rPr>
        <w:t>Björnsson E</w:t>
      </w:r>
      <w:r w:rsidRPr="00763655">
        <w:rPr>
          <w:rFonts w:ascii="Book Antiqua" w:eastAsia="SimSun" w:hAnsi="Book Antiqua" w:cs="SimSun"/>
        </w:rPr>
        <w:t>, Cederborg A, Akvist A, Simren M, Stotzer PO, Bjarnason I. Intestinal permeability and bacterial growth of the small bowel in patients with primary sclerosing cholangitis. </w:t>
      </w:r>
      <w:r w:rsidRPr="00763655">
        <w:rPr>
          <w:rFonts w:ascii="Book Antiqua" w:eastAsia="SimSun" w:hAnsi="Book Antiqua" w:cs="SimSun"/>
          <w:i/>
          <w:iCs/>
        </w:rPr>
        <w:t>Scand J Gastroenterol</w:t>
      </w:r>
      <w:r w:rsidRPr="00763655">
        <w:rPr>
          <w:rFonts w:ascii="Book Antiqua" w:eastAsia="SimSun" w:hAnsi="Book Antiqua" w:cs="SimSun"/>
        </w:rPr>
        <w:t> 2005; </w:t>
      </w:r>
      <w:r w:rsidRPr="00763655">
        <w:rPr>
          <w:rFonts w:ascii="Book Antiqua" w:eastAsia="SimSun" w:hAnsi="Book Antiqua" w:cs="SimSun"/>
          <w:b/>
          <w:bCs/>
        </w:rPr>
        <w:t>40</w:t>
      </w:r>
      <w:r w:rsidRPr="00763655">
        <w:rPr>
          <w:rFonts w:ascii="Book Antiqua" w:eastAsia="SimSun" w:hAnsi="Book Antiqua" w:cs="SimSun"/>
        </w:rPr>
        <w:t>: 1090-1094 [PMID: 16211716]</w:t>
      </w:r>
    </w:p>
    <w:p w14:paraId="73319E74"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36 </w:t>
      </w:r>
      <w:r w:rsidRPr="00763655">
        <w:rPr>
          <w:rFonts w:ascii="Book Antiqua" w:eastAsia="SimSun" w:hAnsi="Book Antiqua" w:cs="SimSun"/>
          <w:b/>
          <w:bCs/>
        </w:rPr>
        <w:t>Terjung B</w:t>
      </w:r>
      <w:r w:rsidRPr="00763655">
        <w:rPr>
          <w:rFonts w:ascii="Book Antiqua" w:eastAsia="SimSun" w:hAnsi="Book Antiqua" w:cs="SimSun"/>
        </w:rPr>
        <w:t>, Söhne J, Lechtenberg B, Gottwein J, Muennich M, Herzog V, Mähler M, Sauerbruch T, Spengler U. p-ANCAs in autoimmune liver disorders recognise human beta-tubulin isotype 5 and cross-react with microbial protein FtsZ. </w:t>
      </w:r>
      <w:r w:rsidRPr="00763655">
        <w:rPr>
          <w:rFonts w:ascii="Book Antiqua" w:eastAsia="SimSun" w:hAnsi="Book Antiqua" w:cs="SimSun"/>
          <w:i/>
          <w:iCs/>
        </w:rPr>
        <w:t>Gut</w:t>
      </w:r>
      <w:r w:rsidRPr="00763655">
        <w:rPr>
          <w:rFonts w:ascii="Book Antiqua" w:eastAsia="SimSun" w:hAnsi="Book Antiqua" w:cs="SimSun"/>
        </w:rPr>
        <w:t> 2010; </w:t>
      </w:r>
      <w:r w:rsidRPr="00763655">
        <w:rPr>
          <w:rFonts w:ascii="Book Antiqua" w:eastAsia="SimSun" w:hAnsi="Book Antiqua" w:cs="SimSun"/>
          <w:b/>
          <w:bCs/>
        </w:rPr>
        <w:t>59</w:t>
      </w:r>
      <w:r w:rsidRPr="00763655">
        <w:rPr>
          <w:rFonts w:ascii="Book Antiqua" w:eastAsia="SimSun" w:hAnsi="Book Antiqua" w:cs="SimSun"/>
        </w:rPr>
        <w:t>: 808-816 [PMID: 19951907 DOI: 10.1136/gut.2008.157818]</w:t>
      </w:r>
    </w:p>
    <w:p w14:paraId="5198B8AF"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lastRenderedPageBreak/>
        <w:t>37</w:t>
      </w:r>
      <w:r w:rsidRPr="00763655">
        <w:rPr>
          <w:rFonts w:ascii="Book Antiqua" w:eastAsia="SimSun" w:hAnsi="Book Antiqua" w:cs="SimSun" w:hint="eastAsia"/>
          <w:b/>
        </w:rPr>
        <w:t xml:space="preserve"> </w:t>
      </w:r>
      <w:r w:rsidRPr="00763655">
        <w:rPr>
          <w:rFonts w:ascii="Book Antiqua" w:eastAsia="SimSun" w:hAnsi="Book Antiqua" w:cs="SimSun"/>
          <w:b/>
        </w:rPr>
        <w:t>Matysiak-Budnik T</w:t>
      </w:r>
      <w:r w:rsidRPr="00763655">
        <w:rPr>
          <w:rFonts w:ascii="Book Antiqua" w:eastAsia="SimSun" w:hAnsi="Book Antiqua" w:cs="SimSun"/>
        </w:rPr>
        <w:t>, Moura IC, Arcos-Fajardo M, Lebreton C, Ménard S, Candalh C, Ben-Khalifa K, Dugave C, Tamouza H, van Niel G, Bouhnik Y, Lamarque D, Chaussade S, Malamut G, Cellier C, Cerf-Bensussan N, Monteiro RC, Heyman M.</w:t>
      </w:r>
      <w:r>
        <w:rPr>
          <w:rFonts w:ascii="Book Antiqua" w:eastAsia="SimSun" w:hAnsi="Book Antiqua" w:cs="SimSun" w:hint="eastAsia"/>
        </w:rPr>
        <w:t xml:space="preserve"> </w:t>
      </w:r>
      <w:r w:rsidRPr="00763655">
        <w:rPr>
          <w:rFonts w:ascii="Book Antiqua" w:eastAsia="SimSun" w:hAnsi="Book Antiqua" w:cs="SimSun"/>
        </w:rPr>
        <w:t>Secretory IgA mediates retrotranscytosis of intact gliadin peptides via the transferrin receptor in celiac disease.</w:t>
      </w:r>
      <w:r w:rsidRPr="00763655">
        <w:rPr>
          <w:rFonts w:ascii="Book Antiqua" w:eastAsia="SimSun" w:hAnsi="Book Antiqua" w:cs="SimSun"/>
          <w:i/>
        </w:rPr>
        <w:t xml:space="preserve"> J Exp Med </w:t>
      </w:r>
      <w:r w:rsidRPr="00763655">
        <w:rPr>
          <w:rFonts w:ascii="Book Antiqua" w:eastAsia="SimSun" w:hAnsi="Book Antiqua" w:cs="SimSun"/>
        </w:rPr>
        <w:t xml:space="preserve">2008; </w:t>
      </w:r>
      <w:r w:rsidRPr="00763655">
        <w:rPr>
          <w:rFonts w:ascii="Book Antiqua" w:eastAsia="SimSun" w:hAnsi="Book Antiqua" w:cs="SimSun"/>
          <w:b/>
        </w:rPr>
        <w:t>205</w:t>
      </w:r>
      <w:r>
        <w:rPr>
          <w:rFonts w:ascii="Book Antiqua" w:eastAsia="SimSun" w:hAnsi="Book Antiqua" w:cs="SimSun"/>
        </w:rPr>
        <w:t>: 143 LP-154</w:t>
      </w:r>
      <w:r>
        <w:rPr>
          <w:rFonts w:ascii="Book Antiqua" w:eastAsia="SimSun" w:hAnsi="Book Antiqua" w:cs="SimSun" w:hint="eastAsia"/>
        </w:rPr>
        <w:t xml:space="preserve"> [</w:t>
      </w:r>
      <w:r w:rsidRPr="00763655">
        <w:rPr>
          <w:rFonts w:ascii="Book Antiqua" w:eastAsia="SimSun" w:hAnsi="Book Antiqua" w:cs="SimSun"/>
        </w:rPr>
        <w:t>PMID: 18166587 DOI: 10.1084/jem.20071204</w:t>
      </w:r>
      <w:r>
        <w:rPr>
          <w:rFonts w:ascii="Book Antiqua" w:eastAsia="SimSun" w:hAnsi="Book Antiqua" w:cs="SimSun" w:hint="eastAsia"/>
        </w:rPr>
        <w:t>]</w:t>
      </w:r>
    </w:p>
    <w:p w14:paraId="6AF1E4AB"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38 </w:t>
      </w:r>
      <w:r w:rsidRPr="00763655">
        <w:rPr>
          <w:rFonts w:ascii="Book Antiqua" w:eastAsia="SimSun" w:hAnsi="Book Antiqua" w:cs="SimSun"/>
          <w:b/>
          <w:bCs/>
        </w:rPr>
        <w:t>Deneau MR</w:t>
      </w:r>
      <w:r w:rsidRPr="00763655">
        <w:rPr>
          <w:rFonts w:ascii="Book Antiqua" w:eastAsia="SimSun" w:hAnsi="Book Antiqua" w:cs="SimSun"/>
        </w:rPr>
        <w:t>, El-Matary W, Valentino PL, Abdou R, Alqoaer K, Amin M, Amir AZ, Auth M, Bazerbachi F, Broderick A, Chan A, Cotter J, Doan S, El-Youssef M, Ferrari F, Furuya KN, Gottrand M, Gottrand F, Gupta N, Homan M, Kamath BM, Mo Kim K, Kolho KL, Konidari A, Koot B, Iorio R, Ledder O, Mack C, Martinez M, Miloh T, Mohan P, O'Cathain N, Papadopoulou A, Ricciuto A, Saubermann L, Sathya P, Shteyer E, Smolka V, Tanaka A, Varier R, Venkat V, Vitola B, Vos MB, Woynarowski M, Yap J, Jensen MK. The natural history of primary sclerosing cholangitis in 781 children: A multicenter, international collaboration. </w:t>
      </w:r>
      <w:r w:rsidRPr="00763655">
        <w:rPr>
          <w:rFonts w:ascii="Book Antiqua" w:eastAsia="SimSun" w:hAnsi="Book Antiqua" w:cs="SimSun"/>
          <w:i/>
          <w:iCs/>
        </w:rPr>
        <w:t>Hepatology</w:t>
      </w:r>
      <w:r w:rsidRPr="00763655">
        <w:rPr>
          <w:rFonts w:ascii="Book Antiqua" w:eastAsia="SimSun" w:hAnsi="Book Antiqua" w:cs="SimSun"/>
        </w:rPr>
        <w:t> 2017;</w:t>
      </w:r>
      <w:r w:rsidRPr="00763655">
        <w:t xml:space="preserve"> </w:t>
      </w:r>
      <w:r w:rsidRPr="00763655">
        <w:rPr>
          <w:rFonts w:ascii="Book Antiqua" w:eastAsia="SimSun" w:hAnsi="Book Antiqua" w:cs="SimSun"/>
        </w:rPr>
        <w:t>Epub ahead of print [PMID: 28390159 DOI: 10.1002/hep.29204]</w:t>
      </w:r>
    </w:p>
    <w:p w14:paraId="5CDE5ED1" w14:textId="77777777" w:rsidR="007940D7" w:rsidRPr="00763655" w:rsidRDefault="007940D7" w:rsidP="007940D7">
      <w:pPr>
        <w:spacing w:line="360" w:lineRule="auto"/>
        <w:jc w:val="both"/>
        <w:rPr>
          <w:rFonts w:ascii="Book Antiqua" w:eastAsia="SimSun" w:hAnsi="Book Antiqua" w:cs="SimSun"/>
        </w:rPr>
      </w:pPr>
      <w:r w:rsidRPr="00763655">
        <w:rPr>
          <w:rFonts w:ascii="Book Antiqua" w:eastAsia="SimSun" w:hAnsi="Book Antiqua" w:cs="SimSun"/>
        </w:rPr>
        <w:t>39 </w:t>
      </w:r>
      <w:r w:rsidRPr="00763655">
        <w:rPr>
          <w:rFonts w:ascii="Book Antiqua" w:eastAsia="SimSun" w:hAnsi="Book Antiqua" w:cs="SimSun"/>
          <w:b/>
          <w:bCs/>
        </w:rPr>
        <w:t>Boonstra K</w:t>
      </w:r>
      <w:r w:rsidRPr="00763655">
        <w:rPr>
          <w:rFonts w:ascii="Book Antiqua" w:eastAsia="SimSun" w:hAnsi="Book Antiqua" w:cs="SimSun"/>
        </w:rPr>
        <w:t>, Weersma RK, van Erpecum KJ, Rauws EA, Spanier BW, Poen AC, van Nieuwkerk KM, Drenth JP, Witteman BJ, Tuynman HA, Naber AH, Kingma PJ, van Buuren HR, van Hoek B, Vleggaar FP, van Geloven N, Beuers U, Ponsioen CY. Population-based epidemiology, malignancy risk, and outcome of primary sclerosing cholangitis. </w:t>
      </w:r>
      <w:r w:rsidRPr="00763655">
        <w:rPr>
          <w:rFonts w:ascii="Book Antiqua" w:eastAsia="SimSun" w:hAnsi="Book Antiqua" w:cs="SimSun"/>
          <w:i/>
          <w:iCs/>
        </w:rPr>
        <w:t>Hepatology</w:t>
      </w:r>
      <w:r w:rsidRPr="00763655">
        <w:rPr>
          <w:rFonts w:ascii="Book Antiqua" w:eastAsia="SimSun" w:hAnsi="Book Antiqua" w:cs="SimSun"/>
        </w:rPr>
        <w:t> 2013; </w:t>
      </w:r>
      <w:r w:rsidRPr="00763655">
        <w:rPr>
          <w:rFonts w:ascii="Book Antiqua" w:eastAsia="SimSun" w:hAnsi="Book Antiqua" w:cs="SimSun"/>
          <w:b/>
          <w:bCs/>
        </w:rPr>
        <w:t>58</w:t>
      </w:r>
      <w:r w:rsidRPr="00763655">
        <w:rPr>
          <w:rFonts w:ascii="Book Antiqua" w:eastAsia="SimSun" w:hAnsi="Book Antiqua" w:cs="SimSun"/>
        </w:rPr>
        <w:t>: 2045-2055 [PMID: 23775876 DOI: 10.1002/hep.26565]</w:t>
      </w:r>
    </w:p>
    <w:p w14:paraId="158EBDBE" w14:textId="20A6B335" w:rsidR="00BF710C" w:rsidRDefault="00BF710C" w:rsidP="007940D7">
      <w:pPr>
        <w:jc w:val="both"/>
        <w:rPr>
          <w:rFonts w:eastAsia="SimSun"/>
          <w:lang w:val="en-US" w:eastAsia="zh-CN"/>
        </w:rPr>
      </w:pPr>
    </w:p>
    <w:p w14:paraId="3A48D1C3" w14:textId="1E9742DF" w:rsidR="00BF710C" w:rsidRPr="00DA2361" w:rsidRDefault="00BF710C" w:rsidP="007940D7">
      <w:pPr>
        <w:spacing w:line="360" w:lineRule="auto"/>
        <w:jc w:val="both"/>
        <w:rPr>
          <w:rFonts w:ascii="Book Antiqua" w:eastAsia="SimSun" w:hAnsi="Book Antiqua"/>
          <w:b/>
          <w:lang w:eastAsia="zh-CN"/>
        </w:rPr>
      </w:pPr>
      <w:r w:rsidRPr="00DA2361">
        <w:rPr>
          <w:rStyle w:val="Strong"/>
          <w:rFonts w:ascii="Book Antiqua" w:hAnsi="Book Antiqua" w:cs="Arial"/>
          <w:bCs w:val="0"/>
          <w:noProof/>
          <w:color w:val="000000"/>
        </w:rPr>
        <w:t>P-Reviewer</w:t>
      </w:r>
      <w:r w:rsidRPr="00DA2361">
        <w:rPr>
          <w:rStyle w:val="Strong"/>
          <w:rFonts w:ascii="Book Antiqua" w:eastAsia="SimSun" w:hAnsi="Book Antiqua" w:cs="Arial"/>
          <w:bCs w:val="0"/>
          <w:noProof/>
          <w:color w:val="000000"/>
          <w:lang w:eastAsia="zh-CN"/>
        </w:rPr>
        <w:t>:</w:t>
      </w:r>
      <w:r w:rsidRPr="00DA2361">
        <w:rPr>
          <w:rFonts w:ascii="Book Antiqua" w:hAnsi="Book Antiqua"/>
        </w:rPr>
        <w:t xml:space="preserve">  </w:t>
      </w:r>
      <w:r w:rsidR="00DA2361" w:rsidRPr="00DA2361">
        <w:rPr>
          <w:rFonts w:ascii="Book Antiqua" w:hAnsi="Book Antiqua"/>
        </w:rPr>
        <w:t>Bonaz</w:t>
      </w:r>
      <w:r w:rsidR="00DA2361">
        <w:rPr>
          <w:rFonts w:ascii="Book Antiqua" w:eastAsia="SimSun" w:hAnsi="Book Antiqua" w:hint="eastAsia"/>
          <w:lang w:eastAsia="zh-CN"/>
        </w:rPr>
        <w:t xml:space="preserve"> B,</w:t>
      </w:r>
      <w:r w:rsidRPr="00DA2361">
        <w:rPr>
          <w:rFonts w:ascii="Book Antiqua" w:hAnsi="Book Antiqua"/>
        </w:rPr>
        <w:t xml:space="preserve"> </w:t>
      </w:r>
      <w:r w:rsidR="00DA2361" w:rsidRPr="00DA2361">
        <w:rPr>
          <w:rFonts w:ascii="Book Antiqua" w:hAnsi="Book Antiqua"/>
        </w:rPr>
        <w:t>Popp</w:t>
      </w:r>
      <w:r w:rsidR="00DA2361">
        <w:rPr>
          <w:rFonts w:ascii="Book Antiqua" w:eastAsia="SimSun" w:hAnsi="Book Antiqua" w:hint="eastAsia"/>
          <w:lang w:eastAsia="zh-CN"/>
        </w:rPr>
        <w:t xml:space="preserve"> </w:t>
      </w:r>
      <w:r w:rsidR="00DA2361" w:rsidRPr="00DA2361">
        <w:rPr>
          <w:rFonts w:ascii="Book Antiqua" w:hAnsi="Book Antiqua"/>
        </w:rPr>
        <w:t>C</w:t>
      </w:r>
      <w:r w:rsidRPr="00DA2361">
        <w:rPr>
          <w:rFonts w:ascii="Book Antiqua" w:hAnsi="Book Antiqua"/>
          <w:b/>
        </w:rPr>
        <w:t xml:space="preserve"> S-Editor</w:t>
      </w:r>
      <w:r w:rsidRPr="00DA2361">
        <w:rPr>
          <w:rFonts w:ascii="Book Antiqua" w:eastAsia="SimSun" w:hAnsi="Book Antiqua"/>
          <w:b/>
          <w:lang w:eastAsia="zh-CN"/>
        </w:rPr>
        <w:t>:</w:t>
      </w:r>
      <w:r w:rsidRPr="00DA2361">
        <w:rPr>
          <w:rFonts w:ascii="Book Antiqua" w:hAnsi="Book Antiqua"/>
          <w:b/>
        </w:rPr>
        <w:t xml:space="preserve"> </w:t>
      </w:r>
      <w:r w:rsidRPr="00DA2361">
        <w:rPr>
          <w:rFonts w:ascii="Book Antiqua" w:eastAsia="SimSun" w:hAnsi="Book Antiqua"/>
          <w:lang w:eastAsia="zh-CN"/>
        </w:rPr>
        <w:t>Qi Y</w:t>
      </w:r>
      <w:r w:rsidRPr="00DA2361">
        <w:rPr>
          <w:rFonts w:ascii="Book Antiqua" w:hAnsi="Book Antiqua"/>
        </w:rPr>
        <w:t xml:space="preserve"> </w:t>
      </w:r>
      <w:r w:rsidRPr="00DA2361">
        <w:rPr>
          <w:rFonts w:ascii="Book Antiqua" w:hAnsi="Book Antiqua"/>
          <w:b/>
        </w:rPr>
        <w:t xml:space="preserve">  L-Editor</w:t>
      </w:r>
      <w:r w:rsidRPr="00DA2361">
        <w:rPr>
          <w:rFonts w:ascii="Book Antiqua" w:eastAsia="SimSun" w:hAnsi="Book Antiqua"/>
          <w:b/>
          <w:lang w:eastAsia="zh-CN"/>
        </w:rPr>
        <w:t>:</w:t>
      </w:r>
      <w:r w:rsidRPr="00DA2361">
        <w:rPr>
          <w:rFonts w:ascii="Book Antiqua" w:hAnsi="Book Antiqua"/>
          <w:b/>
        </w:rPr>
        <w:t xml:space="preserve">   E-Editor</w:t>
      </w:r>
      <w:r w:rsidRPr="00DA2361">
        <w:rPr>
          <w:rFonts w:ascii="Book Antiqua" w:eastAsia="SimSun" w:hAnsi="Book Antiqua"/>
          <w:b/>
          <w:lang w:eastAsia="zh-CN"/>
        </w:rPr>
        <w:t>:</w:t>
      </w:r>
    </w:p>
    <w:p w14:paraId="16A3FB30" w14:textId="77777777" w:rsidR="00BF710C" w:rsidRPr="00DA2361" w:rsidRDefault="00BF710C" w:rsidP="007940D7">
      <w:pPr>
        <w:shd w:val="clear" w:color="auto" w:fill="FFFFFF"/>
        <w:snapToGrid w:val="0"/>
        <w:spacing w:line="360" w:lineRule="auto"/>
        <w:jc w:val="both"/>
        <w:rPr>
          <w:rFonts w:ascii="Book Antiqua" w:hAnsi="Book Antiqua" w:cs="Helvetica"/>
          <w:b/>
        </w:rPr>
      </w:pPr>
      <w:r w:rsidRPr="00DA2361">
        <w:rPr>
          <w:rFonts w:ascii="Book Antiqua" w:hAnsi="Book Antiqua" w:cs="Helvetica"/>
          <w:b/>
        </w:rPr>
        <w:t xml:space="preserve">Specialty type: </w:t>
      </w:r>
      <w:r w:rsidRPr="00DA2361">
        <w:rPr>
          <w:rFonts w:ascii="Book Antiqua" w:hAnsi="Book Antiqua" w:cs="Helvetica"/>
        </w:rPr>
        <w:t>Gastroenterology and hepatology</w:t>
      </w:r>
    </w:p>
    <w:p w14:paraId="2BE80FA5" w14:textId="06E52C35" w:rsidR="00BF710C" w:rsidRPr="00DA2361" w:rsidRDefault="00BF710C" w:rsidP="007940D7">
      <w:pPr>
        <w:shd w:val="clear" w:color="auto" w:fill="FFFFFF"/>
        <w:snapToGrid w:val="0"/>
        <w:spacing w:line="360" w:lineRule="auto"/>
        <w:jc w:val="both"/>
        <w:rPr>
          <w:rFonts w:ascii="Book Antiqua" w:hAnsi="Book Antiqua" w:cs="Helvetica"/>
          <w:b/>
        </w:rPr>
      </w:pPr>
      <w:r w:rsidRPr="00DA2361">
        <w:rPr>
          <w:rFonts w:ascii="Book Antiqua" w:hAnsi="Book Antiqua" w:cs="Helvetica"/>
          <w:b/>
        </w:rPr>
        <w:t xml:space="preserve">Country of origin: </w:t>
      </w:r>
      <w:r w:rsidR="00DA2361" w:rsidRPr="0088290D">
        <w:rPr>
          <w:rFonts w:ascii="Book Antiqua" w:hAnsi="Book Antiqua"/>
          <w:bCs/>
          <w:lang w:val="en-US"/>
        </w:rPr>
        <w:t>Hungary</w:t>
      </w:r>
    </w:p>
    <w:p w14:paraId="00ACF10E" w14:textId="77777777" w:rsidR="00BF710C" w:rsidRPr="00DA2361" w:rsidRDefault="00BF710C" w:rsidP="007940D7">
      <w:pPr>
        <w:shd w:val="clear" w:color="auto" w:fill="FFFFFF"/>
        <w:snapToGrid w:val="0"/>
        <w:spacing w:line="360" w:lineRule="auto"/>
        <w:jc w:val="both"/>
        <w:rPr>
          <w:rFonts w:ascii="Book Antiqua" w:hAnsi="Book Antiqua" w:cs="Helvetica"/>
          <w:b/>
        </w:rPr>
      </w:pPr>
      <w:r w:rsidRPr="00DA2361">
        <w:rPr>
          <w:rFonts w:ascii="Book Antiqua" w:hAnsi="Book Antiqua" w:cs="Helvetica"/>
          <w:b/>
        </w:rPr>
        <w:t>Peer-review report classification</w:t>
      </w:r>
    </w:p>
    <w:p w14:paraId="05A85DD6" w14:textId="04FD6631" w:rsidR="00BF710C" w:rsidRPr="00DA2361" w:rsidRDefault="00BF710C" w:rsidP="007940D7">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A (Excellent): </w:t>
      </w:r>
      <w:r w:rsidR="00DA2361">
        <w:rPr>
          <w:rFonts w:ascii="Book Antiqua" w:eastAsia="SimSun" w:hAnsi="Book Antiqua" w:cs="Helvetica" w:hint="eastAsia"/>
          <w:lang w:eastAsia="zh-CN"/>
        </w:rPr>
        <w:t>A</w:t>
      </w:r>
    </w:p>
    <w:p w14:paraId="2724939E" w14:textId="440A6B7A" w:rsidR="00BF710C" w:rsidRPr="00DA2361" w:rsidRDefault="00BF710C" w:rsidP="007940D7">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B (Very good): </w:t>
      </w:r>
      <w:r w:rsidR="00DA2361">
        <w:rPr>
          <w:rFonts w:ascii="Book Antiqua" w:eastAsia="SimSun" w:hAnsi="Book Antiqua" w:cs="Helvetica" w:hint="eastAsia"/>
          <w:lang w:eastAsia="zh-CN"/>
        </w:rPr>
        <w:t>B</w:t>
      </w:r>
    </w:p>
    <w:p w14:paraId="413FCE35" w14:textId="77777777" w:rsidR="00BF710C" w:rsidRPr="008F0DB6" w:rsidRDefault="00BF710C" w:rsidP="007940D7">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47D6931E" w14:textId="77777777" w:rsidR="00BF710C" w:rsidRPr="008F0DB6" w:rsidRDefault="00BF710C" w:rsidP="007940D7">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0DD6CF8D" w14:textId="77777777" w:rsidR="00BF710C" w:rsidRPr="008F0DB6" w:rsidRDefault="00BF710C" w:rsidP="007940D7">
      <w:pPr>
        <w:shd w:val="clear" w:color="auto" w:fill="FFFFFF"/>
        <w:snapToGrid w:val="0"/>
        <w:spacing w:line="360" w:lineRule="auto"/>
        <w:jc w:val="both"/>
        <w:rPr>
          <w:rFonts w:ascii="Book Antiqua" w:hAnsi="Book Antiqua" w:cs="Helvetica"/>
        </w:rPr>
      </w:pPr>
      <w:r w:rsidRPr="008F0DB6">
        <w:rPr>
          <w:rFonts w:ascii="Book Antiqua" w:hAnsi="Book Antiqua" w:cs="Helvetica"/>
        </w:rPr>
        <w:lastRenderedPageBreak/>
        <w:t xml:space="preserve">Grade E (Poor): </w:t>
      </w:r>
      <w:r w:rsidRPr="008F0DB6">
        <w:rPr>
          <w:rFonts w:ascii="Book Antiqua" w:hAnsi="Book Antiqua" w:cs="Helvetica" w:hint="eastAsia"/>
        </w:rPr>
        <w:t>0</w:t>
      </w:r>
    </w:p>
    <w:p w14:paraId="52979514" w14:textId="75B7EE98" w:rsidR="006B06C4" w:rsidRPr="00BF710C" w:rsidRDefault="006B06C4" w:rsidP="007940D7">
      <w:pPr>
        <w:spacing w:line="360" w:lineRule="auto"/>
        <w:jc w:val="both"/>
        <w:rPr>
          <w:rFonts w:ascii="Book Antiqua" w:hAnsi="Book Antiqua"/>
          <w:bCs/>
        </w:rPr>
      </w:pPr>
    </w:p>
    <w:p w14:paraId="00D67CE4" w14:textId="77777777" w:rsidR="00A10FC4" w:rsidRPr="0088290D" w:rsidRDefault="00A10FC4" w:rsidP="007940D7">
      <w:pPr>
        <w:jc w:val="both"/>
        <w:rPr>
          <w:rFonts w:ascii="Book Antiqua" w:hAnsi="Book Antiqua"/>
          <w:b/>
          <w:lang w:val="en-US"/>
        </w:rPr>
      </w:pPr>
      <w:r w:rsidRPr="0088290D">
        <w:rPr>
          <w:rFonts w:ascii="Book Antiqua" w:hAnsi="Book Antiqua"/>
          <w:b/>
          <w:lang w:val="en-US"/>
        </w:rPr>
        <w:br w:type="page"/>
      </w:r>
    </w:p>
    <w:p w14:paraId="05B76960" w14:textId="77B3427A" w:rsidR="00AB2B90" w:rsidRPr="0032387C" w:rsidRDefault="0032387C" w:rsidP="007940D7">
      <w:pPr>
        <w:spacing w:line="360" w:lineRule="auto"/>
        <w:jc w:val="both"/>
        <w:rPr>
          <w:rFonts w:ascii="Book Antiqua" w:eastAsia="SimSun" w:hAnsi="Book Antiqua"/>
          <w:b/>
          <w:lang w:val="en-US" w:eastAsia="zh-CN"/>
        </w:rPr>
      </w:pPr>
      <w:r>
        <w:rPr>
          <w:rFonts w:ascii="Book Antiqua" w:eastAsia="SimSun" w:hAnsi="Book Antiqua" w:hint="eastAsia"/>
          <w:b/>
          <w:lang w:val="en-US" w:eastAsia="zh-CN"/>
        </w:rPr>
        <w:lastRenderedPageBreak/>
        <w:t xml:space="preserve"> </w:t>
      </w:r>
    </w:p>
    <w:p w14:paraId="611A08E2" w14:textId="733D134E" w:rsidR="00582A71" w:rsidRPr="0032387C" w:rsidRDefault="00582A71" w:rsidP="007940D7">
      <w:pPr>
        <w:widowControl w:val="0"/>
        <w:autoSpaceDE w:val="0"/>
        <w:autoSpaceDN w:val="0"/>
        <w:adjustRightInd w:val="0"/>
        <w:jc w:val="both"/>
        <w:rPr>
          <w:rFonts w:ascii="Book Antiqua" w:eastAsia="SimSun" w:hAnsi="Book Antiqua" w:cs="Arial"/>
          <w:b/>
          <w:lang w:val="en-US" w:eastAsia="zh-CN"/>
        </w:rPr>
      </w:pPr>
      <w:r w:rsidRPr="0088290D">
        <w:rPr>
          <w:rFonts w:ascii="Book Antiqua" w:hAnsi="Book Antiqua" w:cs="Arial"/>
          <w:b/>
          <w:bCs/>
          <w:lang w:val="en-US"/>
        </w:rPr>
        <w:t>Table 1</w:t>
      </w:r>
      <w:r w:rsidR="0032387C">
        <w:rPr>
          <w:rFonts w:ascii="Book Antiqua" w:eastAsia="SimSun" w:hAnsi="Book Antiqua" w:cs="Arial" w:hint="eastAsia"/>
          <w:lang w:val="en-US" w:eastAsia="zh-CN"/>
        </w:rPr>
        <w:t xml:space="preserve"> </w:t>
      </w:r>
      <w:r w:rsidRPr="0032387C">
        <w:rPr>
          <w:rFonts w:ascii="Book Antiqua" w:hAnsi="Book Antiqua" w:cs="Arial"/>
          <w:b/>
          <w:lang w:val="en-US"/>
        </w:rPr>
        <w:t>Clinical and laboratory c</w:t>
      </w:r>
      <w:r w:rsidR="0032387C">
        <w:rPr>
          <w:rFonts w:ascii="Book Antiqua" w:hAnsi="Book Antiqua" w:cs="Arial"/>
          <w:b/>
          <w:lang w:val="en-US"/>
        </w:rPr>
        <w:t xml:space="preserve">haracteristics of </w:t>
      </w:r>
      <w:r w:rsidR="0032387C" w:rsidRPr="0032387C">
        <w:rPr>
          <w:rFonts w:ascii="Book Antiqua" w:hAnsi="Book Antiqua" w:cs="Arial"/>
          <w:b/>
          <w:lang w:val="en-US"/>
        </w:rPr>
        <w:t xml:space="preserve">primary sclerosing cholangitis </w:t>
      </w:r>
      <w:r w:rsidR="0032387C">
        <w:rPr>
          <w:rFonts w:ascii="Book Antiqua" w:hAnsi="Book Antiqua" w:cs="Arial"/>
          <w:b/>
          <w:lang w:val="en-US"/>
        </w:rPr>
        <w:t>patients</w:t>
      </w:r>
    </w:p>
    <w:p w14:paraId="3ED3A6FC" w14:textId="77777777" w:rsidR="00582A71" w:rsidRPr="0088290D" w:rsidRDefault="00582A71" w:rsidP="007940D7">
      <w:pPr>
        <w:widowControl w:val="0"/>
        <w:autoSpaceDE w:val="0"/>
        <w:autoSpaceDN w:val="0"/>
        <w:adjustRightInd w:val="0"/>
        <w:jc w:val="both"/>
        <w:rPr>
          <w:rFonts w:ascii="Book Antiqua" w:hAnsi="Book Antiqua" w:cs="Arial"/>
          <w:lang w:val="en-US"/>
        </w:rPr>
      </w:pPr>
    </w:p>
    <w:tbl>
      <w:tblPr>
        <w:tblW w:w="0" w:type="auto"/>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77"/>
        <w:gridCol w:w="1985"/>
        <w:gridCol w:w="1984"/>
      </w:tblGrid>
      <w:tr w:rsidR="00582A71" w:rsidRPr="0088290D" w14:paraId="6D1C5410" w14:textId="77777777" w:rsidTr="0032387C">
        <w:trPr>
          <w:trHeight w:val="300"/>
        </w:trPr>
        <w:tc>
          <w:tcPr>
            <w:tcW w:w="2977" w:type="dxa"/>
            <w:tcBorders>
              <w:top w:val="single" w:sz="4" w:space="0" w:color="auto"/>
              <w:bottom w:val="single" w:sz="4" w:space="0" w:color="auto"/>
            </w:tcBorders>
            <w:shd w:val="clear" w:color="auto" w:fill="auto"/>
            <w:noWrap/>
            <w:vAlign w:val="bottom"/>
            <w:hideMark/>
          </w:tcPr>
          <w:p w14:paraId="58B9E611" w14:textId="61500139" w:rsidR="00582A71" w:rsidRPr="0032387C" w:rsidRDefault="0032387C" w:rsidP="007940D7">
            <w:pPr>
              <w:spacing w:line="360" w:lineRule="auto"/>
              <w:jc w:val="both"/>
              <w:rPr>
                <w:rFonts w:ascii="Book Antiqua" w:eastAsia="SimSun" w:hAnsi="Book Antiqua" w:cs="Arial"/>
                <w:color w:val="000000"/>
                <w:lang w:val="en-US" w:eastAsia="zh-CN"/>
              </w:rPr>
            </w:pPr>
            <w:r>
              <w:rPr>
                <w:rFonts w:ascii="Book Antiqua" w:eastAsia="SimSun" w:hAnsi="Book Antiqua" w:cs="Arial" w:hint="eastAsia"/>
                <w:color w:val="000000"/>
                <w:lang w:val="en-US" w:eastAsia="zh-CN"/>
              </w:rPr>
              <w:t xml:space="preserve"> </w:t>
            </w:r>
          </w:p>
          <w:p w14:paraId="6EBBEFD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p>
        </w:tc>
        <w:tc>
          <w:tcPr>
            <w:tcW w:w="3969" w:type="dxa"/>
            <w:gridSpan w:val="2"/>
            <w:tcBorders>
              <w:top w:val="single" w:sz="4" w:space="0" w:color="auto"/>
              <w:bottom w:val="single" w:sz="4" w:space="0" w:color="auto"/>
            </w:tcBorders>
            <w:shd w:val="clear" w:color="auto" w:fill="auto"/>
            <w:noWrap/>
            <w:vAlign w:val="bottom"/>
            <w:hideMark/>
          </w:tcPr>
          <w:p w14:paraId="3AEC165E" w14:textId="77777777" w:rsidR="00582A71" w:rsidRPr="0088290D" w:rsidRDefault="00582A71" w:rsidP="007940D7">
            <w:pPr>
              <w:spacing w:line="360" w:lineRule="auto"/>
              <w:jc w:val="both"/>
              <w:rPr>
                <w:rFonts w:ascii="Book Antiqua" w:eastAsia="Times New Roman" w:hAnsi="Book Antiqua" w:cs="Arial"/>
                <w:b/>
                <w:color w:val="000000"/>
                <w:lang w:val="en-US" w:eastAsia="hu-HU"/>
              </w:rPr>
            </w:pPr>
            <w:r w:rsidRPr="0088290D">
              <w:rPr>
                <w:rFonts w:ascii="Book Antiqua" w:eastAsia="Times New Roman" w:hAnsi="Book Antiqua" w:cs="Arial"/>
                <w:b/>
                <w:color w:val="000000"/>
                <w:lang w:val="en-US" w:eastAsia="hu-HU"/>
              </w:rPr>
              <w:t>Patients with PSC</w:t>
            </w:r>
          </w:p>
          <w:p w14:paraId="0E22EE4A" w14:textId="58D8E179" w:rsidR="00582A71" w:rsidRPr="0088290D" w:rsidRDefault="00582A71" w:rsidP="007940D7">
            <w:pPr>
              <w:spacing w:line="360" w:lineRule="auto"/>
              <w:jc w:val="both"/>
              <w:rPr>
                <w:rFonts w:ascii="Book Antiqua" w:eastAsia="Times New Roman" w:hAnsi="Book Antiqua" w:cs="Arial"/>
                <w:b/>
                <w:color w:val="000000"/>
                <w:lang w:val="en-US" w:eastAsia="hu-HU"/>
              </w:rPr>
            </w:pPr>
            <w:r w:rsidRPr="0088290D">
              <w:rPr>
                <w:rFonts w:ascii="Book Antiqua" w:eastAsia="Times New Roman" w:hAnsi="Book Antiqua" w:cs="Arial"/>
                <w:b/>
                <w:color w:val="000000"/>
                <w:lang w:val="en-US" w:eastAsia="hu-HU"/>
              </w:rPr>
              <w:t>(</w:t>
            </w:r>
            <w:r w:rsidRPr="0032387C">
              <w:rPr>
                <w:rFonts w:ascii="Book Antiqua" w:eastAsia="Times New Roman" w:hAnsi="Book Antiqua" w:cs="Arial"/>
                <w:b/>
                <w:i/>
                <w:color w:val="000000"/>
                <w:lang w:val="en-US" w:eastAsia="hu-HU"/>
              </w:rPr>
              <w:t>n</w:t>
            </w:r>
            <w:r w:rsidR="0032387C">
              <w:rPr>
                <w:rFonts w:ascii="Book Antiqua" w:eastAsia="SimSun" w:hAnsi="Book Antiqua" w:cs="Arial" w:hint="eastAsia"/>
                <w:b/>
                <w:color w:val="000000"/>
                <w:lang w:val="en-US" w:eastAsia="zh-CN"/>
              </w:rPr>
              <w:t xml:space="preserve"> </w:t>
            </w:r>
            <w:r w:rsidRPr="0088290D">
              <w:rPr>
                <w:rFonts w:ascii="Book Antiqua" w:eastAsia="Times New Roman" w:hAnsi="Book Antiqua" w:cs="Arial"/>
                <w:b/>
                <w:color w:val="000000"/>
                <w:lang w:val="en-US" w:eastAsia="hu-HU"/>
              </w:rPr>
              <w:t>=</w:t>
            </w:r>
            <w:r w:rsidR="0032387C">
              <w:rPr>
                <w:rFonts w:ascii="Book Antiqua" w:eastAsia="SimSun" w:hAnsi="Book Antiqua" w:cs="Arial" w:hint="eastAsia"/>
                <w:b/>
                <w:color w:val="000000"/>
                <w:lang w:val="en-US" w:eastAsia="zh-CN"/>
              </w:rPr>
              <w:t xml:space="preserve"> </w:t>
            </w:r>
            <w:r w:rsidRPr="0088290D">
              <w:rPr>
                <w:rFonts w:ascii="Book Antiqua" w:eastAsia="Times New Roman" w:hAnsi="Book Antiqua" w:cs="Arial"/>
                <w:b/>
                <w:color w:val="000000"/>
                <w:lang w:val="en-US" w:eastAsia="hu-HU"/>
              </w:rPr>
              <w:t>67)</w:t>
            </w:r>
          </w:p>
        </w:tc>
      </w:tr>
      <w:tr w:rsidR="00582A71" w:rsidRPr="0088290D" w14:paraId="295069B1" w14:textId="77777777" w:rsidTr="0032387C">
        <w:trPr>
          <w:trHeight w:val="300"/>
        </w:trPr>
        <w:tc>
          <w:tcPr>
            <w:tcW w:w="2977" w:type="dxa"/>
            <w:tcBorders>
              <w:top w:val="single" w:sz="4" w:space="0" w:color="auto"/>
            </w:tcBorders>
            <w:shd w:val="clear" w:color="auto" w:fill="auto"/>
            <w:noWrap/>
            <w:vAlign w:val="bottom"/>
            <w:hideMark/>
          </w:tcPr>
          <w:p w14:paraId="72D1D914" w14:textId="2A670109"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Age at diagnosis (</w:t>
            </w:r>
            <w:r w:rsidR="0032387C">
              <w:rPr>
                <w:rFonts w:ascii="Book Antiqua" w:eastAsia="SimSun" w:hAnsi="Book Antiqua" w:cs="Arial" w:hint="eastAsia"/>
                <w:color w:val="000000"/>
                <w:lang w:val="en-US" w:eastAsia="zh-CN"/>
              </w:rPr>
              <w:t>yr</w:t>
            </w:r>
            <w:r w:rsidRPr="0088290D">
              <w:rPr>
                <w:rFonts w:ascii="Book Antiqua" w:eastAsia="Times New Roman" w:hAnsi="Book Antiqua" w:cs="Arial"/>
                <w:color w:val="000000"/>
                <w:lang w:val="en-US" w:eastAsia="hu-HU"/>
              </w:rPr>
              <w:t>)</w:t>
            </w:r>
          </w:p>
        </w:tc>
        <w:tc>
          <w:tcPr>
            <w:tcW w:w="1985" w:type="dxa"/>
            <w:tcBorders>
              <w:top w:val="single" w:sz="4" w:space="0" w:color="auto"/>
            </w:tcBorders>
            <w:shd w:val="clear" w:color="auto" w:fill="auto"/>
            <w:noWrap/>
            <w:vAlign w:val="bottom"/>
            <w:hideMark/>
          </w:tcPr>
          <w:p w14:paraId="7781CA6D"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25</w:t>
            </w:r>
          </w:p>
        </w:tc>
        <w:tc>
          <w:tcPr>
            <w:tcW w:w="1984" w:type="dxa"/>
            <w:tcBorders>
              <w:top w:val="single" w:sz="4" w:space="0" w:color="auto"/>
            </w:tcBorders>
            <w:shd w:val="clear" w:color="auto" w:fill="auto"/>
            <w:noWrap/>
            <w:vAlign w:val="bottom"/>
            <w:hideMark/>
          </w:tcPr>
          <w:p w14:paraId="493FA2A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(17 - 36)</w:t>
            </w:r>
          </w:p>
        </w:tc>
      </w:tr>
      <w:tr w:rsidR="00582A71" w:rsidRPr="0088290D" w14:paraId="38A4CDB1" w14:textId="77777777" w:rsidTr="0032387C">
        <w:trPr>
          <w:trHeight w:val="300"/>
        </w:trPr>
        <w:tc>
          <w:tcPr>
            <w:tcW w:w="2977" w:type="dxa"/>
            <w:shd w:val="clear" w:color="auto" w:fill="auto"/>
            <w:noWrap/>
            <w:vAlign w:val="bottom"/>
            <w:hideMark/>
          </w:tcPr>
          <w:p w14:paraId="0CF3708A" w14:textId="081A1CAB"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Disease duration (</w:t>
            </w:r>
            <w:r w:rsidR="0032387C">
              <w:rPr>
                <w:rFonts w:ascii="Book Antiqua" w:eastAsia="SimSun" w:hAnsi="Book Antiqua" w:cs="Arial" w:hint="eastAsia"/>
                <w:color w:val="000000"/>
                <w:lang w:val="en-US" w:eastAsia="zh-CN"/>
              </w:rPr>
              <w:t>yr</w:t>
            </w:r>
            <w:r w:rsidRPr="0088290D">
              <w:rPr>
                <w:rFonts w:ascii="Book Antiqua" w:eastAsia="Times New Roman" w:hAnsi="Book Antiqua" w:cs="Arial"/>
                <w:color w:val="000000"/>
                <w:lang w:val="en-US" w:eastAsia="hu-HU"/>
              </w:rPr>
              <w:t>)</w:t>
            </w:r>
          </w:p>
        </w:tc>
        <w:tc>
          <w:tcPr>
            <w:tcW w:w="1985" w:type="dxa"/>
            <w:shd w:val="clear" w:color="auto" w:fill="auto"/>
            <w:noWrap/>
            <w:vAlign w:val="bottom"/>
            <w:hideMark/>
          </w:tcPr>
          <w:p w14:paraId="72310B50"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6</w:t>
            </w:r>
          </w:p>
        </w:tc>
        <w:tc>
          <w:tcPr>
            <w:tcW w:w="1984" w:type="dxa"/>
            <w:shd w:val="clear" w:color="auto" w:fill="auto"/>
            <w:noWrap/>
            <w:vAlign w:val="bottom"/>
            <w:hideMark/>
          </w:tcPr>
          <w:p w14:paraId="5E8BEA35"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(3 - 10)</w:t>
            </w:r>
          </w:p>
        </w:tc>
      </w:tr>
      <w:tr w:rsidR="00582A71" w:rsidRPr="0088290D" w14:paraId="516B223E" w14:textId="77777777" w:rsidTr="0032387C">
        <w:trPr>
          <w:trHeight w:val="360"/>
        </w:trPr>
        <w:tc>
          <w:tcPr>
            <w:tcW w:w="2977" w:type="dxa"/>
            <w:shd w:val="clear" w:color="auto" w:fill="auto"/>
            <w:noWrap/>
            <w:vAlign w:val="bottom"/>
            <w:hideMark/>
          </w:tcPr>
          <w:p w14:paraId="2573E25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Children</w:t>
            </w:r>
          </w:p>
        </w:tc>
        <w:tc>
          <w:tcPr>
            <w:tcW w:w="1985" w:type="dxa"/>
            <w:shd w:val="clear" w:color="auto" w:fill="auto"/>
            <w:noWrap/>
            <w:vAlign w:val="bottom"/>
            <w:hideMark/>
          </w:tcPr>
          <w:p w14:paraId="69BF9BD7"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14.5%</w:t>
            </w:r>
          </w:p>
        </w:tc>
        <w:tc>
          <w:tcPr>
            <w:tcW w:w="1984" w:type="dxa"/>
            <w:shd w:val="clear" w:color="auto" w:fill="auto"/>
            <w:noWrap/>
            <w:vAlign w:val="bottom"/>
            <w:hideMark/>
          </w:tcPr>
          <w:p w14:paraId="76CA7EB0"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(10)</w:t>
            </w:r>
          </w:p>
        </w:tc>
      </w:tr>
      <w:tr w:rsidR="00582A71" w:rsidRPr="0088290D" w14:paraId="16477F1B" w14:textId="77777777" w:rsidTr="0032387C">
        <w:trPr>
          <w:trHeight w:val="300"/>
        </w:trPr>
        <w:tc>
          <w:tcPr>
            <w:tcW w:w="2977" w:type="dxa"/>
            <w:shd w:val="clear" w:color="auto" w:fill="auto"/>
            <w:noWrap/>
            <w:vAlign w:val="bottom"/>
            <w:hideMark/>
          </w:tcPr>
          <w:p w14:paraId="160D8B8D"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Male</w:t>
            </w:r>
          </w:p>
        </w:tc>
        <w:tc>
          <w:tcPr>
            <w:tcW w:w="1985" w:type="dxa"/>
            <w:shd w:val="clear" w:color="auto" w:fill="auto"/>
            <w:noWrap/>
            <w:vAlign w:val="bottom"/>
            <w:hideMark/>
          </w:tcPr>
          <w:p w14:paraId="20AF70B3"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71.0%</w:t>
            </w:r>
          </w:p>
        </w:tc>
        <w:tc>
          <w:tcPr>
            <w:tcW w:w="1984" w:type="dxa"/>
            <w:shd w:val="clear" w:color="auto" w:fill="auto"/>
            <w:noWrap/>
            <w:vAlign w:val="bottom"/>
            <w:hideMark/>
          </w:tcPr>
          <w:p w14:paraId="058339A7"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(49)</w:t>
            </w:r>
          </w:p>
        </w:tc>
      </w:tr>
      <w:tr w:rsidR="00582A71" w:rsidRPr="0088290D" w14:paraId="01512094" w14:textId="77777777" w:rsidTr="0032387C">
        <w:trPr>
          <w:trHeight w:val="300"/>
        </w:trPr>
        <w:tc>
          <w:tcPr>
            <w:tcW w:w="2977" w:type="dxa"/>
            <w:shd w:val="clear" w:color="auto" w:fill="auto"/>
            <w:noWrap/>
            <w:vAlign w:val="bottom"/>
            <w:hideMark/>
          </w:tcPr>
          <w:p w14:paraId="4FE3F49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Cirrhosis</w:t>
            </w:r>
          </w:p>
        </w:tc>
        <w:tc>
          <w:tcPr>
            <w:tcW w:w="1985" w:type="dxa"/>
            <w:shd w:val="clear" w:color="auto" w:fill="auto"/>
            <w:noWrap/>
            <w:vAlign w:val="bottom"/>
            <w:hideMark/>
          </w:tcPr>
          <w:p w14:paraId="772A3CA2"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20.3%</w:t>
            </w:r>
          </w:p>
        </w:tc>
        <w:tc>
          <w:tcPr>
            <w:tcW w:w="1984" w:type="dxa"/>
            <w:shd w:val="clear" w:color="auto" w:fill="auto"/>
            <w:noWrap/>
            <w:vAlign w:val="bottom"/>
            <w:hideMark/>
          </w:tcPr>
          <w:p w14:paraId="2A650A84"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(14)</w:t>
            </w:r>
          </w:p>
        </w:tc>
      </w:tr>
      <w:tr w:rsidR="00582A71" w:rsidRPr="0088290D" w14:paraId="23412930" w14:textId="77777777" w:rsidTr="0032387C">
        <w:trPr>
          <w:trHeight w:val="300"/>
        </w:trPr>
        <w:tc>
          <w:tcPr>
            <w:tcW w:w="2977" w:type="dxa"/>
            <w:shd w:val="clear" w:color="auto" w:fill="auto"/>
            <w:noWrap/>
            <w:vAlign w:val="bottom"/>
            <w:hideMark/>
          </w:tcPr>
          <w:p w14:paraId="205B9134"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Prior OLTx</w:t>
            </w:r>
          </w:p>
        </w:tc>
        <w:tc>
          <w:tcPr>
            <w:tcW w:w="1985" w:type="dxa"/>
            <w:shd w:val="clear" w:color="auto" w:fill="auto"/>
            <w:noWrap/>
            <w:vAlign w:val="bottom"/>
            <w:hideMark/>
          </w:tcPr>
          <w:p w14:paraId="73DE3DA6"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5.8%</w:t>
            </w:r>
          </w:p>
        </w:tc>
        <w:tc>
          <w:tcPr>
            <w:tcW w:w="1984" w:type="dxa"/>
            <w:shd w:val="clear" w:color="auto" w:fill="auto"/>
            <w:noWrap/>
            <w:vAlign w:val="bottom"/>
            <w:hideMark/>
          </w:tcPr>
          <w:p w14:paraId="2FEFF2C4"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(4)</w:t>
            </w:r>
          </w:p>
        </w:tc>
      </w:tr>
      <w:tr w:rsidR="00582A71" w:rsidRPr="0088290D" w14:paraId="2C0053F0" w14:textId="77777777" w:rsidTr="0032387C">
        <w:trPr>
          <w:trHeight w:val="300"/>
        </w:trPr>
        <w:tc>
          <w:tcPr>
            <w:tcW w:w="2977" w:type="dxa"/>
            <w:shd w:val="clear" w:color="auto" w:fill="auto"/>
            <w:noWrap/>
            <w:vAlign w:val="bottom"/>
            <w:hideMark/>
          </w:tcPr>
          <w:p w14:paraId="15D5E41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IBD</w:t>
            </w:r>
          </w:p>
        </w:tc>
        <w:tc>
          <w:tcPr>
            <w:tcW w:w="1985" w:type="dxa"/>
            <w:shd w:val="clear" w:color="auto" w:fill="auto"/>
            <w:noWrap/>
            <w:vAlign w:val="bottom"/>
            <w:hideMark/>
          </w:tcPr>
          <w:p w14:paraId="499B1A8B"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75.4%</w:t>
            </w:r>
          </w:p>
        </w:tc>
        <w:tc>
          <w:tcPr>
            <w:tcW w:w="1984" w:type="dxa"/>
            <w:shd w:val="clear" w:color="auto" w:fill="auto"/>
            <w:noWrap/>
            <w:vAlign w:val="bottom"/>
            <w:hideMark/>
          </w:tcPr>
          <w:p w14:paraId="5E56337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(52)</w:t>
            </w:r>
          </w:p>
        </w:tc>
      </w:tr>
      <w:tr w:rsidR="00582A71" w:rsidRPr="0088290D" w14:paraId="6127B1EA" w14:textId="77777777" w:rsidTr="0032387C">
        <w:trPr>
          <w:trHeight w:val="300"/>
        </w:trPr>
        <w:tc>
          <w:tcPr>
            <w:tcW w:w="2977" w:type="dxa"/>
            <w:shd w:val="clear" w:color="auto" w:fill="auto"/>
            <w:noWrap/>
            <w:vAlign w:val="bottom"/>
            <w:hideMark/>
          </w:tcPr>
          <w:p w14:paraId="23A0E885"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Crohn's Disease</w:t>
            </w:r>
          </w:p>
        </w:tc>
        <w:tc>
          <w:tcPr>
            <w:tcW w:w="1985" w:type="dxa"/>
            <w:shd w:val="clear" w:color="auto" w:fill="auto"/>
            <w:noWrap/>
            <w:vAlign w:val="bottom"/>
            <w:hideMark/>
          </w:tcPr>
          <w:p w14:paraId="6F04F0F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32.7%</w:t>
            </w:r>
          </w:p>
        </w:tc>
        <w:tc>
          <w:tcPr>
            <w:tcW w:w="1984" w:type="dxa"/>
            <w:shd w:val="clear" w:color="auto" w:fill="auto"/>
            <w:noWrap/>
            <w:vAlign w:val="bottom"/>
            <w:hideMark/>
          </w:tcPr>
          <w:p w14:paraId="2B9DD60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(17)</w:t>
            </w:r>
          </w:p>
        </w:tc>
      </w:tr>
      <w:tr w:rsidR="00582A71" w:rsidRPr="0088290D" w14:paraId="70C38AA2" w14:textId="77777777" w:rsidTr="0032387C">
        <w:trPr>
          <w:trHeight w:val="300"/>
        </w:trPr>
        <w:tc>
          <w:tcPr>
            <w:tcW w:w="2977" w:type="dxa"/>
            <w:shd w:val="clear" w:color="auto" w:fill="auto"/>
            <w:noWrap/>
            <w:vAlign w:val="bottom"/>
            <w:hideMark/>
          </w:tcPr>
          <w:p w14:paraId="4AE137C6"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Ulcerative Colitis</w:t>
            </w:r>
          </w:p>
        </w:tc>
        <w:tc>
          <w:tcPr>
            <w:tcW w:w="1985" w:type="dxa"/>
            <w:shd w:val="clear" w:color="auto" w:fill="auto"/>
            <w:noWrap/>
            <w:vAlign w:val="bottom"/>
            <w:hideMark/>
          </w:tcPr>
          <w:p w14:paraId="3D2571A2"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67.3%</w:t>
            </w:r>
          </w:p>
        </w:tc>
        <w:tc>
          <w:tcPr>
            <w:tcW w:w="1984" w:type="dxa"/>
            <w:shd w:val="clear" w:color="auto" w:fill="auto"/>
            <w:noWrap/>
            <w:vAlign w:val="bottom"/>
            <w:hideMark/>
          </w:tcPr>
          <w:p w14:paraId="6085315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(35)</w:t>
            </w:r>
          </w:p>
        </w:tc>
      </w:tr>
      <w:tr w:rsidR="00582A71" w:rsidRPr="0088290D" w14:paraId="3DA2E011" w14:textId="77777777" w:rsidTr="0032387C">
        <w:trPr>
          <w:trHeight w:val="300"/>
        </w:trPr>
        <w:tc>
          <w:tcPr>
            <w:tcW w:w="2977" w:type="dxa"/>
            <w:shd w:val="clear" w:color="auto" w:fill="auto"/>
            <w:noWrap/>
            <w:vAlign w:val="bottom"/>
            <w:hideMark/>
          </w:tcPr>
          <w:p w14:paraId="18AA5E7E"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Overlap syndrome</w:t>
            </w:r>
          </w:p>
        </w:tc>
        <w:tc>
          <w:tcPr>
            <w:tcW w:w="1985" w:type="dxa"/>
            <w:shd w:val="clear" w:color="auto" w:fill="auto"/>
            <w:noWrap/>
            <w:vAlign w:val="bottom"/>
            <w:hideMark/>
          </w:tcPr>
          <w:p w14:paraId="5AF7C224"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13.0%</w:t>
            </w:r>
          </w:p>
        </w:tc>
        <w:tc>
          <w:tcPr>
            <w:tcW w:w="1984" w:type="dxa"/>
            <w:shd w:val="clear" w:color="auto" w:fill="auto"/>
            <w:noWrap/>
            <w:vAlign w:val="bottom"/>
            <w:hideMark/>
          </w:tcPr>
          <w:p w14:paraId="6DDFCC05"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(9)</w:t>
            </w:r>
          </w:p>
        </w:tc>
      </w:tr>
      <w:tr w:rsidR="00582A71" w:rsidRPr="0088290D" w14:paraId="5D29AFFB" w14:textId="77777777" w:rsidTr="0032387C">
        <w:trPr>
          <w:trHeight w:val="300"/>
        </w:trPr>
        <w:tc>
          <w:tcPr>
            <w:tcW w:w="2977" w:type="dxa"/>
            <w:shd w:val="clear" w:color="auto" w:fill="auto"/>
            <w:noWrap/>
            <w:vAlign w:val="bottom"/>
            <w:hideMark/>
          </w:tcPr>
          <w:p w14:paraId="2C7AB695"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Small duct PSC</w:t>
            </w:r>
          </w:p>
        </w:tc>
        <w:tc>
          <w:tcPr>
            <w:tcW w:w="1985" w:type="dxa"/>
            <w:shd w:val="clear" w:color="auto" w:fill="auto"/>
            <w:noWrap/>
            <w:vAlign w:val="bottom"/>
            <w:hideMark/>
          </w:tcPr>
          <w:p w14:paraId="7ABB33C3"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7.2%</w:t>
            </w:r>
          </w:p>
        </w:tc>
        <w:tc>
          <w:tcPr>
            <w:tcW w:w="1984" w:type="dxa"/>
            <w:shd w:val="clear" w:color="auto" w:fill="auto"/>
            <w:noWrap/>
            <w:vAlign w:val="bottom"/>
            <w:hideMark/>
          </w:tcPr>
          <w:p w14:paraId="7ABDC489"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(5)</w:t>
            </w:r>
          </w:p>
        </w:tc>
      </w:tr>
      <w:tr w:rsidR="00582A71" w:rsidRPr="0088290D" w14:paraId="2C6DA939" w14:textId="77777777" w:rsidTr="0032387C">
        <w:trPr>
          <w:trHeight w:val="300"/>
        </w:trPr>
        <w:tc>
          <w:tcPr>
            <w:tcW w:w="2977" w:type="dxa"/>
            <w:shd w:val="clear" w:color="auto" w:fill="auto"/>
            <w:noWrap/>
            <w:vAlign w:val="bottom"/>
          </w:tcPr>
          <w:p w14:paraId="235125E6"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Celiac disease</w:t>
            </w:r>
          </w:p>
        </w:tc>
        <w:tc>
          <w:tcPr>
            <w:tcW w:w="1985" w:type="dxa"/>
            <w:shd w:val="clear" w:color="auto" w:fill="auto"/>
            <w:noWrap/>
            <w:vAlign w:val="bottom"/>
          </w:tcPr>
          <w:p w14:paraId="7B27A9BD"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1.5%</w:t>
            </w:r>
          </w:p>
        </w:tc>
        <w:tc>
          <w:tcPr>
            <w:tcW w:w="1984" w:type="dxa"/>
            <w:shd w:val="clear" w:color="auto" w:fill="auto"/>
            <w:noWrap/>
            <w:vAlign w:val="bottom"/>
          </w:tcPr>
          <w:p w14:paraId="3BA7B8E9"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w:t>
            </w:r>
          </w:p>
        </w:tc>
      </w:tr>
      <w:tr w:rsidR="00582A71" w:rsidRPr="0088290D" w14:paraId="5415F8A9" w14:textId="77777777" w:rsidTr="0032387C">
        <w:trPr>
          <w:trHeight w:val="300"/>
        </w:trPr>
        <w:tc>
          <w:tcPr>
            <w:tcW w:w="2977" w:type="dxa"/>
            <w:shd w:val="clear" w:color="auto" w:fill="auto"/>
            <w:noWrap/>
            <w:vAlign w:val="bottom"/>
            <w:hideMark/>
          </w:tcPr>
          <w:p w14:paraId="0601BCBD"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Albumin (g/L)</w:t>
            </w:r>
          </w:p>
        </w:tc>
        <w:tc>
          <w:tcPr>
            <w:tcW w:w="1985" w:type="dxa"/>
            <w:shd w:val="clear" w:color="auto" w:fill="auto"/>
            <w:noWrap/>
            <w:vAlign w:val="bottom"/>
            <w:hideMark/>
          </w:tcPr>
          <w:p w14:paraId="0BB247A6"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44</w:t>
            </w:r>
          </w:p>
        </w:tc>
        <w:tc>
          <w:tcPr>
            <w:tcW w:w="1984" w:type="dxa"/>
            <w:shd w:val="clear" w:color="auto" w:fill="auto"/>
            <w:noWrap/>
            <w:vAlign w:val="bottom"/>
            <w:hideMark/>
          </w:tcPr>
          <w:p w14:paraId="51736C7E"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(40 - 47)</w:t>
            </w:r>
          </w:p>
        </w:tc>
      </w:tr>
      <w:tr w:rsidR="00582A71" w:rsidRPr="0088290D" w14:paraId="73CF6809" w14:textId="77777777" w:rsidTr="0032387C">
        <w:trPr>
          <w:trHeight w:val="300"/>
        </w:trPr>
        <w:tc>
          <w:tcPr>
            <w:tcW w:w="2977" w:type="dxa"/>
            <w:shd w:val="clear" w:color="auto" w:fill="auto"/>
            <w:noWrap/>
            <w:vAlign w:val="bottom"/>
            <w:hideMark/>
          </w:tcPr>
          <w:p w14:paraId="69F151E5"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Bilirubin (µmol/L)</w:t>
            </w:r>
          </w:p>
        </w:tc>
        <w:tc>
          <w:tcPr>
            <w:tcW w:w="1985" w:type="dxa"/>
            <w:shd w:val="clear" w:color="auto" w:fill="auto"/>
            <w:noWrap/>
            <w:vAlign w:val="bottom"/>
            <w:hideMark/>
          </w:tcPr>
          <w:p w14:paraId="69DFAA9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15</w:t>
            </w:r>
          </w:p>
        </w:tc>
        <w:tc>
          <w:tcPr>
            <w:tcW w:w="1984" w:type="dxa"/>
            <w:shd w:val="clear" w:color="auto" w:fill="auto"/>
            <w:noWrap/>
            <w:vAlign w:val="bottom"/>
            <w:hideMark/>
          </w:tcPr>
          <w:p w14:paraId="44A11C8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(11 - 22)</w:t>
            </w:r>
          </w:p>
        </w:tc>
      </w:tr>
      <w:tr w:rsidR="00582A71" w:rsidRPr="0088290D" w14:paraId="46746734" w14:textId="77777777" w:rsidTr="0032387C">
        <w:trPr>
          <w:trHeight w:val="300"/>
        </w:trPr>
        <w:tc>
          <w:tcPr>
            <w:tcW w:w="2977" w:type="dxa"/>
            <w:shd w:val="clear" w:color="auto" w:fill="auto"/>
            <w:noWrap/>
            <w:vAlign w:val="bottom"/>
            <w:hideMark/>
          </w:tcPr>
          <w:p w14:paraId="76D7260A"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ALT (U/L)</w:t>
            </w:r>
          </w:p>
        </w:tc>
        <w:tc>
          <w:tcPr>
            <w:tcW w:w="1985" w:type="dxa"/>
            <w:shd w:val="clear" w:color="auto" w:fill="auto"/>
            <w:noWrap/>
            <w:vAlign w:val="bottom"/>
            <w:hideMark/>
          </w:tcPr>
          <w:p w14:paraId="36DB48BE"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52</w:t>
            </w:r>
          </w:p>
        </w:tc>
        <w:tc>
          <w:tcPr>
            <w:tcW w:w="1984" w:type="dxa"/>
            <w:shd w:val="clear" w:color="auto" w:fill="auto"/>
            <w:noWrap/>
            <w:vAlign w:val="bottom"/>
            <w:hideMark/>
          </w:tcPr>
          <w:p w14:paraId="15826549"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(26 - 99)</w:t>
            </w:r>
          </w:p>
        </w:tc>
      </w:tr>
      <w:tr w:rsidR="00582A71" w:rsidRPr="0088290D" w14:paraId="458CBA8C" w14:textId="77777777" w:rsidTr="0032387C">
        <w:trPr>
          <w:trHeight w:val="300"/>
        </w:trPr>
        <w:tc>
          <w:tcPr>
            <w:tcW w:w="2977" w:type="dxa"/>
            <w:shd w:val="clear" w:color="auto" w:fill="auto"/>
            <w:noWrap/>
            <w:vAlign w:val="bottom"/>
          </w:tcPr>
          <w:p w14:paraId="7AA80CE1"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AST (U/L)</w:t>
            </w:r>
          </w:p>
        </w:tc>
        <w:tc>
          <w:tcPr>
            <w:tcW w:w="1985" w:type="dxa"/>
            <w:shd w:val="clear" w:color="auto" w:fill="auto"/>
            <w:noWrap/>
            <w:vAlign w:val="bottom"/>
          </w:tcPr>
          <w:p w14:paraId="1C030F86"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41</w:t>
            </w:r>
          </w:p>
        </w:tc>
        <w:tc>
          <w:tcPr>
            <w:tcW w:w="1984" w:type="dxa"/>
            <w:shd w:val="clear" w:color="auto" w:fill="auto"/>
            <w:noWrap/>
            <w:vAlign w:val="bottom"/>
          </w:tcPr>
          <w:p w14:paraId="3C773DDA"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(28 – 66)</w:t>
            </w:r>
          </w:p>
        </w:tc>
      </w:tr>
      <w:tr w:rsidR="00582A71" w:rsidRPr="0088290D" w14:paraId="72C081AA" w14:textId="77777777" w:rsidTr="0032387C">
        <w:trPr>
          <w:trHeight w:val="300"/>
        </w:trPr>
        <w:tc>
          <w:tcPr>
            <w:tcW w:w="2977" w:type="dxa"/>
            <w:shd w:val="clear" w:color="auto" w:fill="auto"/>
            <w:noWrap/>
            <w:vAlign w:val="bottom"/>
            <w:hideMark/>
          </w:tcPr>
          <w:p w14:paraId="42DD6B58"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GGT (U/L)</w:t>
            </w:r>
          </w:p>
        </w:tc>
        <w:tc>
          <w:tcPr>
            <w:tcW w:w="1985" w:type="dxa"/>
            <w:shd w:val="clear" w:color="auto" w:fill="auto"/>
            <w:noWrap/>
            <w:vAlign w:val="bottom"/>
            <w:hideMark/>
          </w:tcPr>
          <w:p w14:paraId="436BEAAE"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152</w:t>
            </w:r>
          </w:p>
        </w:tc>
        <w:tc>
          <w:tcPr>
            <w:tcW w:w="1984" w:type="dxa"/>
            <w:shd w:val="clear" w:color="auto" w:fill="auto"/>
            <w:noWrap/>
            <w:vAlign w:val="bottom"/>
            <w:hideMark/>
          </w:tcPr>
          <w:p w14:paraId="1E16FBA4"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(60 - 310)</w:t>
            </w:r>
          </w:p>
        </w:tc>
      </w:tr>
      <w:tr w:rsidR="00582A71" w:rsidRPr="0088290D" w14:paraId="495D2236" w14:textId="77777777" w:rsidTr="0032387C">
        <w:trPr>
          <w:trHeight w:val="300"/>
        </w:trPr>
        <w:tc>
          <w:tcPr>
            <w:tcW w:w="2977" w:type="dxa"/>
            <w:shd w:val="clear" w:color="auto" w:fill="auto"/>
            <w:noWrap/>
            <w:vAlign w:val="bottom"/>
            <w:hideMark/>
          </w:tcPr>
          <w:p w14:paraId="5E3B54B6"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ALP (U/L)</w:t>
            </w:r>
          </w:p>
        </w:tc>
        <w:tc>
          <w:tcPr>
            <w:tcW w:w="1985" w:type="dxa"/>
            <w:shd w:val="clear" w:color="auto" w:fill="auto"/>
            <w:noWrap/>
            <w:vAlign w:val="bottom"/>
            <w:hideMark/>
          </w:tcPr>
          <w:p w14:paraId="252DB0FF"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524</w:t>
            </w:r>
          </w:p>
        </w:tc>
        <w:tc>
          <w:tcPr>
            <w:tcW w:w="1984" w:type="dxa"/>
            <w:shd w:val="clear" w:color="auto" w:fill="auto"/>
            <w:noWrap/>
            <w:vAlign w:val="bottom"/>
            <w:hideMark/>
          </w:tcPr>
          <w:p w14:paraId="64EBE92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(307 - 822)</w:t>
            </w:r>
          </w:p>
        </w:tc>
      </w:tr>
      <w:tr w:rsidR="00582A71" w:rsidRPr="0088290D" w14:paraId="74E2B60B" w14:textId="77777777" w:rsidTr="0032387C">
        <w:trPr>
          <w:trHeight w:val="300"/>
        </w:trPr>
        <w:tc>
          <w:tcPr>
            <w:tcW w:w="2977" w:type="dxa"/>
            <w:shd w:val="clear" w:color="auto" w:fill="auto"/>
            <w:noWrap/>
            <w:vAlign w:val="bottom"/>
            <w:hideMark/>
          </w:tcPr>
          <w:p w14:paraId="14F65AAB"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INR</w:t>
            </w:r>
          </w:p>
        </w:tc>
        <w:tc>
          <w:tcPr>
            <w:tcW w:w="1985" w:type="dxa"/>
            <w:shd w:val="clear" w:color="auto" w:fill="auto"/>
            <w:noWrap/>
            <w:vAlign w:val="bottom"/>
            <w:hideMark/>
          </w:tcPr>
          <w:p w14:paraId="4A011EE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1.0</w:t>
            </w:r>
          </w:p>
        </w:tc>
        <w:tc>
          <w:tcPr>
            <w:tcW w:w="1984" w:type="dxa"/>
            <w:shd w:val="clear" w:color="auto" w:fill="auto"/>
            <w:noWrap/>
            <w:vAlign w:val="bottom"/>
            <w:hideMark/>
          </w:tcPr>
          <w:p w14:paraId="280C248B"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(1.0 - 1.2)</w:t>
            </w:r>
          </w:p>
        </w:tc>
      </w:tr>
      <w:tr w:rsidR="00582A71" w:rsidRPr="0088290D" w14:paraId="6CE86C2C" w14:textId="77777777" w:rsidTr="0032387C">
        <w:trPr>
          <w:trHeight w:val="300"/>
        </w:trPr>
        <w:tc>
          <w:tcPr>
            <w:tcW w:w="2977" w:type="dxa"/>
            <w:shd w:val="clear" w:color="auto" w:fill="auto"/>
            <w:noWrap/>
            <w:vAlign w:val="bottom"/>
            <w:hideMark/>
          </w:tcPr>
          <w:p w14:paraId="386EC420"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Platelet (10</w:t>
            </w:r>
            <w:r w:rsidRPr="0088290D">
              <w:rPr>
                <w:rFonts w:ascii="Book Antiqua" w:eastAsia="Times New Roman" w:hAnsi="Book Antiqua" w:cs="Arial"/>
                <w:color w:val="000000"/>
                <w:vertAlign w:val="superscript"/>
                <w:lang w:val="en-US" w:eastAsia="hu-HU"/>
              </w:rPr>
              <w:t>9</w:t>
            </w:r>
            <w:r w:rsidRPr="0088290D">
              <w:rPr>
                <w:rFonts w:ascii="Book Antiqua" w:eastAsia="Times New Roman" w:hAnsi="Book Antiqua" w:cs="Arial"/>
                <w:color w:val="000000"/>
                <w:lang w:val="en-US" w:eastAsia="hu-HU"/>
              </w:rPr>
              <w:t>/L)</w:t>
            </w:r>
          </w:p>
        </w:tc>
        <w:tc>
          <w:tcPr>
            <w:tcW w:w="1985" w:type="dxa"/>
            <w:shd w:val="clear" w:color="auto" w:fill="auto"/>
            <w:noWrap/>
            <w:vAlign w:val="bottom"/>
            <w:hideMark/>
          </w:tcPr>
          <w:p w14:paraId="0C66CA7B"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252</w:t>
            </w:r>
          </w:p>
        </w:tc>
        <w:tc>
          <w:tcPr>
            <w:tcW w:w="1984" w:type="dxa"/>
            <w:shd w:val="clear" w:color="auto" w:fill="auto"/>
            <w:noWrap/>
            <w:vAlign w:val="bottom"/>
            <w:hideMark/>
          </w:tcPr>
          <w:p w14:paraId="5E7295C4"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(173 - 319)</w:t>
            </w:r>
          </w:p>
        </w:tc>
      </w:tr>
      <w:tr w:rsidR="00582A71" w:rsidRPr="0088290D" w14:paraId="192BD5FA" w14:textId="77777777" w:rsidTr="0032387C">
        <w:trPr>
          <w:trHeight w:val="300"/>
        </w:trPr>
        <w:tc>
          <w:tcPr>
            <w:tcW w:w="2977" w:type="dxa"/>
            <w:shd w:val="clear" w:color="auto" w:fill="auto"/>
            <w:noWrap/>
            <w:vAlign w:val="bottom"/>
            <w:hideMark/>
          </w:tcPr>
          <w:p w14:paraId="2B8ACA5F"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Mayo risk score</w:t>
            </w:r>
          </w:p>
        </w:tc>
        <w:tc>
          <w:tcPr>
            <w:tcW w:w="1985" w:type="dxa"/>
            <w:shd w:val="clear" w:color="auto" w:fill="auto"/>
            <w:noWrap/>
            <w:vAlign w:val="bottom"/>
            <w:hideMark/>
          </w:tcPr>
          <w:p w14:paraId="0682780E"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-0.595</w:t>
            </w:r>
          </w:p>
        </w:tc>
        <w:tc>
          <w:tcPr>
            <w:tcW w:w="1984" w:type="dxa"/>
            <w:shd w:val="clear" w:color="auto" w:fill="auto"/>
            <w:noWrap/>
            <w:vAlign w:val="bottom"/>
            <w:hideMark/>
          </w:tcPr>
          <w:p w14:paraId="564466E2"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(-1.194 - 0.102)</w:t>
            </w:r>
          </w:p>
        </w:tc>
      </w:tr>
      <w:tr w:rsidR="00582A71" w:rsidRPr="0088290D" w14:paraId="22C8E892" w14:textId="77777777" w:rsidTr="0032387C">
        <w:trPr>
          <w:trHeight w:val="300"/>
        </w:trPr>
        <w:tc>
          <w:tcPr>
            <w:tcW w:w="2977" w:type="dxa"/>
            <w:shd w:val="clear" w:color="auto" w:fill="auto"/>
            <w:noWrap/>
            <w:vAlign w:val="bottom"/>
          </w:tcPr>
          <w:p w14:paraId="41BCA48C"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Atypical P-ANCA IgG</w:t>
            </w:r>
          </w:p>
        </w:tc>
        <w:tc>
          <w:tcPr>
            <w:tcW w:w="1985" w:type="dxa"/>
            <w:shd w:val="clear" w:color="auto" w:fill="auto"/>
            <w:noWrap/>
            <w:vAlign w:val="bottom"/>
          </w:tcPr>
          <w:p w14:paraId="7D0168B2"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85.1%</w:t>
            </w:r>
          </w:p>
        </w:tc>
        <w:tc>
          <w:tcPr>
            <w:tcW w:w="1984" w:type="dxa"/>
            <w:shd w:val="clear" w:color="auto" w:fill="auto"/>
            <w:noWrap/>
            <w:vAlign w:val="bottom"/>
          </w:tcPr>
          <w:p w14:paraId="3A1A6CB3"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(57)</w:t>
            </w:r>
          </w:p>
        </w:tc>
      </w:tr>
      <w:tr w:rsidR="00582A71" w:rsidRPr="0088290D" w14:paraId="1C486077" w14:textId="77777777" w:rsidTr="0032387C">
        <w:trPr>
          <w:trHeight w:val="300"/>
        </w:trPr>
        <w:tc>
          <w:tcPr>
            <w:tcW w:w="2977" w:type="dxa"/>
            <w:shd w:val="clear" w:color="auto" w:fill="auto"/>
            <w:noWrap/>
            <w:vAlign w:val="bottom"/>
          </w:tcPr>
          <w:p w14:paraId="108EDED7"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EMA IgA</w:t>
            </w:r>
          </w:p>
        </w:tc>
        <w:tc>
          <w:tcPr>
            <w:tcW w:w="1985" w:type="dxa"/>
            <w:shd w:val="clear" w:color="auto" w:fill="auto"/>
            <w:noWrap/>
            <w:vAlign w:val="bottom"/>
          </w:tcPr>
          <w:p w14:paraId="5407A19D"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1.5%</w:t>
            </w:r>
          </w:p>
        </w:tc>
        <w:tc>
          <w:tcPr>
            <w:tcW w:w="1984" w:type="dxa"/>
            <w:shd w:val="clear" w:color="auto" w:fill="auto"/>
            <w:noWrap/>
            <w:vAlign w:val="bottom"/>
          </w:tcPr>
          <w:p w14:paraId="43CFF720"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w:t>
            </w:r>
          </w:p>
        </w:tc>
      </w:tr>
      <w:tr w:rsidR="00582A71" w:rsidRPr="0088290D" w14:paraId="489AF0DA" w14:textId="77777777" w:rsidTr="0032387C">
        <w:trPr>
          <w:trHeight w:val="300"/>
        </w:trPr>
        <w:tc>
          <w:tcPr>
            <w:tcW w:w="2977" w:type="dxa"/>
            <w:shd w:val="clear" w:color="auto" w:fill="auto"/>
            <w:noWrap/>
            <w:vAlign w:val="bottom"/>
          </w:tcPr>
          <w:p w14:paraId="1FA986E8"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EMA IgG</w:t>
            </w:r>
          </w:p>
        </w:tc>
        <w:tc>
          <w:tcPr>
            <w:tcW w:w="1985" w:type="dxa"/>
            <w:shd w:val="clear" w:color="auto" w:fill="auto"/>
            <w:noWrap/>
            <w:vAlign w:val="bottom"/>
          </w:tcPr>
          <w:p w14:paraId="45A9254F"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1.5%</w:t>
            </w:r>
          </w:p>
        </w:tc>
        <w:tc>
          <w:tcPr>
            <w:tcW w:w="1984" w:type="dxa"/>
            <w:shd w:val="clear" w:color="auto" w:fill="auto"/>
            <w:noWrap/>
            <w:vAlign w:val="bottom"/>
          </w:tcPr>
          <w:p w14:paraId="050915EE" w14:textId="77777777" w:rsidR="00582A71" w:rsidRPr="0088290D" w:rsidRDefault="00582A71" w:rsidP="007940D7">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(1)</w:t>
            </w:r>
          </w:p>
        </w:tc>
      </w:tr>
    </w:tbl>
    <w:p w14:paraId="2F1823DE" w14:textId="4C917AF1" w:rsidR="00582A71" w:rsidRPr="0032387C" w:rsidRDefault="00582A71" w:rsidP="007940D7">
      <w:pPr>
        <w:spacing w:line="360" w:lineRule="auto"/>
        <w:jc w:val="both"/>
        <w:rPr>
          <w:rFonts w:ascii="Book Antiqua" w:eastAsia="SimSun" w:hAnsi="Book Antiqua" w:cs="Arial"/>
          <w:lang w:val="en-US" w:eastAsia="zh-CN"/>
        </w:rPr>
      </w:pPr>
      <w:r w:rsidRPr="0088290D">
        <w:rPr>
          <w:rFonts w:ascii="Book Antiqua" w:hAnsi="Book Antiqua" w:cs="Arial"/>
          <w:lang w:val="en-US"/>
        </w:rPr>
        <w:t>Data are summarized as median, (interquartile range: 25</w:t>
      </w:r>
      <w:r w:rsidRPr="0088290D">
        <w:rPr>
          <w:rFonts w:ascii="Book Antiqua" w:hAnsi="Book Antiqua" w:cs="Arial"/>
          <w:vertAlign w:val="superscript"/>
          <w:lang w:val="en-US"/>
        </w:rPr>
        <w:t>th</w:t>
      </w:r>
      <w:r w:rsidRPr="0088290D">
        <w:rPr>
          <w:rFonts w:ascii="Book Antiqua" w:hAnsi="Book Antiqua" w:cs="Arial"/>
          <w:lang w:val="en-US"/>
        </w:rPr>
        <w:t>-75</w:t>
      </w:r>
      <w:r w:rsidRPr="0088290D">
        <w:rPr>
          <w:rFonts w:ascii="Book Antiqua" w:hAnsi="Book Antiqua" w:cs="Arial"/>
          <w:vertAlign w:val="superscript"/>
          <w:lang w:val="en-US"/>
        </w:rPr>
        <w:t>th</w:t>
      </w:r>
      <w:r w:rsidRPr="0088290D">
        <w:rPr>
          <w:rFonts w:ascii="Book Antiqua" w:hAnsi="Book Antiqua" w:cs="Arial"/>
          <w:lang w:val="en-US"/>
        </w:rPr>
        <w:t xml:space="preserve"> percentile) or as percentage</w:t>
      </w:r>
      <w:r w:rsidR="0032387C">
        <w:rPr>
          <w:rFonts w:ascii="Book Antiqua" w:eastAsia="SimSun" w:hAnsi="Book Antiqua" w:cs="Arial" w:hint="eastAsia"/>
          <w:lang w:val="en-US" w:eastAsia="zh-CN"/>
        </w:rPr>
        <w:t xml:space="preserve"> (</w:t>
      </w:r>
      <w:r w:rsidR="0032387C" w:rsidRPr="00074A8A">
        <w:rPr>
          <w:rFonts w:ascii="Book Antiqua" w:eastAsia="SimSun" w:hAnsi="Book Antiqua" w:cs="Arial" w:hint="eastAsia"/>
          <w:i/>
          <w:lang w:val="en-US" w:eastAsia="zh-CN"/>
        </w:rPr>
        <w:t>n</w:t>
      </w:r>
      <w:r w:rsidR="0032387C">
        <w:rPr>
          <w:rFonts w:ascii="Book Antiqua" w:eastAsia="SimSun" w:hAnsi="Book Antiqua" w:cs="Arial" w:hint="eastAsia"/>
          <w:lang w:val="en-US" w:eastAsia="zh-CN"/>
        </w:rPr>
        <w:t>)</w:t>
      </w:r>
      <w:r w:rsidRPr="0088290D">
        <w:rPr>
          <w:rFonts w:ascii="Book Antiqua" w:hAnsi="Book Antiqua" w:cs="Arial"/>
          <w:lang w:val="en-US"/>
        </w:rPr>
        <w:t xml:space="preserve">. ALP: </w:t>
      </w:r>
      <w:r w:rsidR="0032387C" w:rsidRPr="0088290D">
        <w:rPr>
          <w:rFonts w:ascii="Book Antiqua" w:hAnsi="Book Antiqua" w:cs="Arial"/>
          <w:bCs/>
          <w:lang w:val="en-US"/>
        </w:rPr>
        <w:t xml:space="preserve">Alkaline </w:t>
      </w:r>
      <w:r w:rsidRPr="0088290D">
        <w:rPr>
          <w:rFonts w:ascii="Book Antiqua" w:hAnsi="Book Antiqua" w:cs="Arial"/>
          <w:bCs/>
          <w:lang w:val="en-US"/>
        </w:rPr>
        <w:t>phosphatase</w:t>
      </w:r>
      <w:r w:rsidR="0032387C">
        <w:rPr>
          <w:rFonts w:ascii="Book Antiqua" w:eastAsia="SimSun" w:hAnsi="Book Antiqua" w:cs="Arial" w:hint="eastAsia"/>
          <w:lang w:val="en-US" w:eastAsia="zh-CN"/>
        </w:rPr>
        <w:t>;</w:t>
      </w:r>
      <w:r w:rsidRPr="0088290D">
        <w:rPr>
          <w:rFonts w:ascii="Book Antiqua" w:hAnsi="Book Antiqua" w:cs="Arial"/>
          <w:lang w:val="en-US"/>
        </w:rPr>
        <w:t xml:space="preserve"> ALT: </w:t>
      </w:r>
      <w:r w:rsidR="0032387C" w:rsidRPr="0088290D">
        <w:rPr>
          <w:rFonts w:ascii="Book Antiqua" w:hAnsi="Book Antiqua" w:cs="Arial"/>
          <w:lang w:val="en-US"/>
        </w:rPr>
        <w:t xml:space="preserve">Alanine </w:t>
      </w:r>
      <w:r w:rsidRPr="0088290D">
        <w:rPr>
          <w:rFonts w:ascii="Book Antiqua" w:hAnsi="Book Antiqua" w:cs="Arial"/>
          <w:lang w:val="en-US"/>
        </w:rPr>
        <w:t>transaminase</w:t>
      </w:r>
      <w:r w:rsidR="0032387C">
        <w:rPr>
          <w:rFonts w:ascii="Book Antiqua" w:eastAsia="SimSun" w:hAnsi="Book Antiqua" w:cs="Arial" w:hint="eastAsia"/>
          <w:lang w:val="en-US" w:eastAsia="zh-CN"/>
        </w:rPr>
        <w:t xml:space="preserve">; </w:t>
      </w:r>
      <w:r w:rsidRPr="0088290D">
        <w:rPr>
          <w:rFonts w:ascii="Book Antiqua" w:hAnsi="Book Antiqua" w:cs="Arial"/>
          <w:lang w:val="en-US"/>
        </w:rPr>
        <w:lastRenderedPageBreak/>
        <w:t xml:space="preserve">AST: </w:t>
      </w:r>
      <w:r w:rsidR="0032387C" w:rsidRPr="0088290D">
        <w:rPr>
          <w:rFonts w:ascii="Book Antiqua" w:hAnsi="Book Antiqua" w:cs="Arial"/>
          <w:lang w:val="en-US"/>
        </w:rPr>
        <w:t xml:space="preserve">Aspartate </w:t>
      </w:r>
      <w:r w:rsidRPr="0088290D">
        <w:rPr>
          <w:rFonts w:ascii="Book Antiqua" w:hAnsi="Book Antiqua" w:cs="Arial"/>
          <w:lang w:val="en-US"/>
        </w:rPr>
        <w:t>transaminase</w:t>
      </w:r>
      <w:r w:rsidR="0032387C">
        <w:rPr>
          <w:rFonts w:ascii="Book Antiqua" w:eastAsia="SimSun" w:hAnsi="Book Antiqua" w:cs="Arial" w:hint="eastAsia"/>
          <w:lang w:val="en-US" w:eastAsia="zh-CN"/>
        </w:rPr>
        <w:t xml:space="preserve">; </w:t>
      </w:r>
      <w:r w:rsidRPr="0088290D">
        <w:rPr>
          <w:rFonts w:ascii="Book Antiqua" w:hAnsi="Book Antiqua" w:cs="Arial"/>
          <w:lang w:val="en-US"/>
        </w:rPr>
        <w:t xml:space="preserve">GGT: </w:t>
      </w:r>
      <w:r w:rsidR="0032387C" w:rsidRPr="0088290D">
        <w:rPr>
          <w:rFonts w:ascii="Book Antiqua" w:hAnsi="Book Antiqua" w:cs="Arial"/>
          <w:lang w:val="en-US"/>
        </w:rPr>
        <w:t xml:space="preserve">Gamma </w:t>
      </w:r>
      <w:r w:rsidRPr="0088290D">
        <w:rPr>
          <w:rFonts w:ascii="Book Antiqua" w:hAnsi="Book Antiqua" w:cs="Arial"/>
          <w:lang w:val="en-US"/>
        </w:rPr>
        <w:t>glutamyl transferase</w:t>
      </w:r>
      <w:r w:rsidR="0032387C">
        <w:rPr>
          <w:rFonts w:ascii="Book Antiqua" w:eastAsia="SimSun" w:hAnsi="Book Antiqua" w:cs="Arial" w:hint="eastAsia"/>
          <w:lang w:val="en-US" w:eastAsia="zh-CN"/>
        </w:rPr>
        <w:t xml:space="preserve">; </w:t>
      </w:r>
      <w:r w:rsidRPr="0088290D">
        <w:rPr>
          <w:rFonts w:ascii="Book Antiqua" w:hAnsi="Book Antiqua" w:cs="Arial"/>
          <w:lang w:val="en-US"/>
        </w:rPr>
        <w:t xml:space="preserve">INR: </w:t>
      </w:r>
      <w:r w:rsidR="0032387C" w:rsidRPr="0088290D">
        <w:rPr>
          <w:rFonts w:ascii="Book Antiqua" w:hAnsi="Book Antiqua" w:cs="Arial"/>
          <w:lang w:val="en-US"/>
        </w:rPr>
        <w:t xml:space="preserve">International </w:t>
      </w:r>
      <w:r w:rsidRPr="0088290D">
        <w:rPr>
          <w:rFonts w:ascii="Book Antiqua" w:hAnsi="Book Antiqua" w:cs="Arial"/>
          <w:lang w:val="en-US"/>
        </w:rPr>
        <w:t>normalized ratio</w:t>
      </w:r>
      <w:r w:rsidR="0032387C">
        <w:rPr>
          <w:rFonts w:ascii="Book Antiqua" w:eastAsia="SimSun" w:hAnsi="Book Antiqua" w:cs="Arial" w:hint="eastAsia"/>
          <w:lang w:val="en-US" w:eastAsia="zh-CN"/>
        </w:rPr>
        <w:t>;</w:t>
      </w:r>
      <w:r w:rsidRPr="0088290D">
        <w:rPr>
          <w:rFonts w:ascii="Book Antiqua" w:hAnsi="Book Antiqua" w:cs="Arial"/>
          <w:lang w:val="en-US"/>
        </w:rPr>
        <w:t xml:space="preserve"> P-ANCA:</w:t>
      </w:r>
      <w:r w:rsidR="00074A8A">
        <w:rPr>
          <w:rFonts w:ascii="Book Antiqua" w:eastAsia="SimSun" w:hAnsi="Book Antiqua" w:cs="Arial" w:hint="eastAsia"/>
          <w:lang w:val="en-US" w:eastAsia="zh-CN"/>
        </w:rPr>
        <w:t xml:space="preserve"> </w:t>
      </w:r>
      <w:r w:rsidR="0032387C" w:rsidRPr="0088290D">
        <w:rPr>
          <w:rFonts w:ascii="Book Antiqua" w:hAnsi="Book Antiqua" w:cs="Arial"/>
          <w:lang w:val="en-US"/>
        </w:rPr>
        <w:t xml:space="preserve">Perinuclear </w:t>
      </w:r>
      <w:r w:rsidRPr="0088290D">
        <w:rPr>
          <w:rFonts w:ascii="Book Antiqua" w:hAnsi="Book Antiqua" w:cs="Arial"/>
          <w:lang w:val="en-US"/>
        </w:rPr>
        <w:t>a</w:t>
      </w:r>
      <w:r w:rsidRPr="0088290D">
        <w:rPr>
          <w:rFonts w:ascii="Book Antiqua" w:hAnsi="Book Antiqua" w:cs="Helvetica"/>
          <w:bCs/>
          <w:lang w:val="en-US"/>
        </w:rPr>
        <w:t>nti-neutrophil cytoplasmic antibodies</w:t>
      </w:r>
      <w:r w:rsidR="0032387C">
        <w:rPr>
          <w:rFonts w:ascii="Book Antiqua" w:eastAsia="SimSun" w:hAnsi="Book Antiqua" w:cs="Arial" w:hint="eastAsia"/>
          <w:lang w:val="en-US" w:eastAsia="zh-CN"/>
        </w:rPr>
        <w:t xml:space="preserve">; </w:t>
      </w:r>
      <w:r w:rsidRPr="0088290D">
        <w:rPr>
          <w:rFonts w:ascii="Book Antiqua" w:hAnsi="Book Antiqua" w:cs="Arial"/>
          <w:lang w:val="en-US"/>
        </w:rPr>
        <w:t xml:space="preserve">EMA: </w:t>
      </w:r>
      <w:r w:rsidR="0032387C" w:rsidRPr="0088290D">
        <w:rPr>
          <w:rFonts w:ascii="Book Antiqua" w:hAnsi="Book Antiqua" w:cs="Arial"/>
          <w:lang w:val="en-US"/>
        </w:rPr>
        <w:t>Anti</w:t>
      </w:r>
      <w:r w:rsidRPr="0088290D">
        <w:rPr>
          <w:rFonts w:ascii="Book Antiqua" w:hAnsi="Book Antiqua" w:cs="Arial"/>
          <w:lang w:val="en-US"/>
        </w:rPr>
        <w:t>- endomysial antibodies</w:t>
      </w:r>
      <w:r w:rsidR="0032387C">
        <w:rPr>
          <w:rFonts w:ascii="Book Antiqua" w:eastAsia="SimSun" w:hAnsi="Book Antiqua" w:cs="Arial" w:hint="eastAsia"/>
          <w:lang w:val="en-US" w:eastAsia="zh-CN"/>
        </w:rPr>
        <w:t xml:space="preserve">; </w:t>
      </w:r>
      <w:r w:rsidRPr="0088290D">
        <w:rPr>
          <w:rFonts w:ascii="Book Antiqua" w:hAnsi="Book Antiqua" w:cs="Arial"/>
          <w:lang w:val="en-US"/>
        </w:rPr>
        <w:t xml:space="preserve">OLTx: </w:t>
      </w:r>
      <w:r w:rsidR="0032387C" w:rsidRPr="0088290D">
        <w:rPr>
          <w:rFonts w:ascii="Book Antiqua" w:hAnsi="Book Antiqua" w:cs="Arial"/>
          <w:lang w:val="en-US"/>
        </w:rPr>
        <w:t xml:space="preserve">Orthotopic </w:t>
      </w:r>
      <w:r w:rsidRPr="0088290D">
        <w:rPr>
          <w:rFonts w:ascii="Book Antiqua" w:hAnsi="Book Antiqua" w:cs="Arial"/>
          <w:lang w:val="en-US"/>
        </w:rPr>
        <w:t>liver transplantation</w:t>
      </w:r>
      <w:r w:rsidR="0032387C">
        <w:rPr>
          <w:rFonts w:ascii="Book Antiqua" w:eastAsia="SimSun" w:hAnsi="Book Antiqua" w:cs="Arial" w:hint="eastAsia"/>
          <w:lang w:val="en-US" w:eastAsia="zh-CN"/>
        </w:rPr>
        <w:t xml:space="preserve">; </w:t>
      </w:r>
      <w:r w:rsidRPr="0088290D">
        <w:rPr>
          <w:rFonts w:ascii="Book Antiqua" w:hAnsi="Book Antiqua" w:cs="Arial"/>
          <w:lang w:val="en-US"/>
        </w:rPr>
        <w:t xml:space="preserve">IBD: </w:t>
      </w:r>
      <w:r w:rsidR="0032387C" w:rsidRPr="0088290D">
        <w:rPr>
          <w:rFonts w:ascii="Book Antiqua" w:hAnsi="Book Antiqua" w:cs="Arial"/>
          <w:lang w:val="en-US"/>
        </w:rPr>
        <w:t xml:space="preserve">Inflammatory </w:t>
      </w:r>
      <w:r w:rsidRPr="0088290D">
        <w:rPr>
          <w:rFonts w:ascii="Book Antiqua" w:hAnsi="Book Antiqua" w:cs="Arial"/>
          <w:lang w:val="en-US"/>
        </w:rPr>
        <w:t>bowel disease</w:t>
      </w:r>
      <w:r w:rsidR="0032387C">
        <w:rPr>
          <w:rFonts w:ascii="Book Antiqua" w:eastAsia="SimSun" w:hAnsi="Book Antiqua" w:cs="Arial" w:hint="eastAsia"/>
          <w:lang w:val="en-US" w:eastAsia="zh-CN"/>
        </w:rPr>
        <w:t xml:space="preserve">; </w:t>
      </w:r>
      <w:r w:rsidR="0032387C">
        <w:rPr>
          <w:rFonts w:ascii="Book Antiqua" w:hAnsi="Book Antiqua" w:cs="Arial"/>
          <w:lang w:val="en-US"/>
        </w:rPr>
        <w:t>IQR: inter-quartile range</w:t>
      </w:r>
      <w:r w:rsidR="0032387C">
        <w:rPr>
          <w:rFonts w:ascii="Book Antiqua" w:eastAsia="SimSun" w:hAnsi="Book Antiqua" w:cs="Arial" w:hint="eastAsia"/>
          <w:lang w:val="en-US" w:eastAsia="zh-CN"/>
        </w:rPr>
        <w:t>.</w:t>
      </w:r>
    </w:p>
    <w:p w14:paraId="425B6AD5" w14:textId="7215C74F" w:rsidR="00582A71" w:rsidRPr="0088290D" w:rsidRDefault="00582A71" w:rsidP="007940D7">
      <w:pPr>
        <w:spacing w:line="360" w:lineRule="auto"/>
        <w:jc w:val="both"/>
        <w:rPr>
          <w:rFonts w:ascii="Book Antiqua" w:hAnsi="Book Antiqua"/>
          <w:b/>
          <w:lang w:val="en-US"/>
        </w:rPr>
      </w:pPr>
    </w:p>
    <w:p w14:paraId="58FECA7E" w14:textId="77777777" w:rsidR="0032387C" w:rsidRDefault="0032387C" w:rsidP="007940D7">
      <w:pPr>
        <w:jc w:val="both"/>
        <w:rPr>
          <w:rFonts w:ascii="Book Antiqua" w:hAnsi="Book Antiqua" w:cs="Arial"/>
          <w:b/>
          <w:bCs/>
          <w:lang w:val="en-US"/>
        </w:rPr>
      </w:pPr>
      <w:r>
        <w:rPr>
          <w:rFonts w:ascii="Book Antiqua" w:hAnsi="Book Antiqua" w:cs="Arial"/>
          <w:b/>
          <w:bCs/>
          <w:lang w:val="en-US"/>
        </w:rPr>
        <w:br w:type="page"/>
      </w:r>
    </w:p>
    <w:p w14:paraId="0560778A" w14:textId="5CAF9BC7" w:rsidR="00582A71" w:rsidRPr="00FB059C" w:rsidRDefault="00582A71" w:rsidP="007940D7">
      <w:pPr>
        <w:widowControl w:val="0"/>
        <w:autoSpaceDE w:val="0"/>
        <w:autoSpaceDN w:val="0"/>
        <w:adjustRightInd w:val="0"/>
        <w:spacing w:line="360" w:lineRule="auto"/>
        <w:jc w:val="both"/>
        <w:rPr>
          <w:rFonts w:ascii="Book Antiqua" w:eastAsia="SimSun" w:hAnsi="Book Antiqua" w:cs="Arial"/>
          <w:lang w:val="en-US" w:eastAsia="zh-CN"/>
        </w:rPr>
      </w:pPr>
      <w:r w:rsidRPr="0088290D">
        <w:rPr>
          <w:rFonts w:ascii="Book Antiqua" w:hAnsi="Book Antiqua" w:cs="Arial"/>
          <w:b/>
          <w:bCs/>
          <w:lang w:val="en-US"/>
        </w:rPr>
        <w:lastRenderedPageBreak/>
        <w:t>Table 2</w:t>
      </w:r>
      <w:r w:rsidR="0032387C">
        <w:rPr>
          <w:rFonts w:ascii="Book Antiqua" w:eastAsia="SimSun" w:hAnsi="Book Antiqua" w:cs="Arial" w:hint="eastAsia"/>
          <w:lang w:val="en-US" w:eastAsia="zh-CN"/>
        </w:rPr>
        <w:t xml:space="preserve"> </w:t>
      </w:r>
      <w:r w:rsidRPr="0032387C">
        <w:rPr>
          <w:rFonts w:ascii="Book Antiqua" w:hAnsi="Book Antiqua" w:cs="Arial"/>
          <w:b/>
          <w:lang w:val="en-US"/>
        </w:rPr>
        <w:t xml:space="preserve">Gut failure markers in patients with </w:t>
      </w:r>
      <w:r w:rsidR="00FB059C" w:rsidRPr="00FB059C">
        <w:rPr>
          <w:rFonts w:ascii="Book Antiqua" w:hAnsi="Book Antiqua" w:cs="Arial"/>
          <w:b/>
          <w:lang w:val="en-US"/>
        </w:rPr>
        <w:t xml:space="preserve">primary sclerosing cholangitis </w:t>
      </w:r>
      <w:r w:rsidRPr="0032387C">
        <w:rPr>
          <w:rFonts w:ascii="Book Antiqua" w:hAnsi="Book Antiqua" w:cs="Arial"/>
          <w:b/>
          <w:lang w:val="en-US"/>
        </w:rPr>
        <w:t>and various healthy and diseases</w:t>
      </w:r>
      <w:r w:rsidR="0032387C">
        <w:rPr>
          <w:rFonts w:ascii="Book Antiqua" w:hAnsi="Book Antiqua" w:cs="Arial"/>
          <w:b/>
          <w:lang w:val="en-US"/>
        </w:rPr>
        <w:t xml:space="preserve"> control groups</w:t>
      </w:r>
      <w:r w:rsidR="00FB059C">
        <w:rPr>
          <w:rFonts w:ascii="Book Antiqua" w:eastAsia="SimSun" w:hAnsi="Book Antiqua" w:cs="Arial" w:hint="eastAsia"/>
          <w:b/>
          <w:lang w:val="en-US" w:eastAsia="zh-CN"/>
        </w:rPr>
        <w:t xml:space="preserve"> </w:t>
      </w:r>
      <w:r w:rsidR="00FB059C" w:rsidRPr="0032387C">
        <w:rPr>
          <w:rFonts w:ascii="Book Antiqua" w:eastAsia="Times New Roman" w:hAnsi="Book Antiqua" w:cs="Arial"/>
          <w:b/>
          <w:i/>
          <w:color w:val="000000"/>
          <w:lang w:val="en-US" w:eastAsia="hu-HU"/>
        </w:rPr>
        <w:t>n</w:t>
      </w:r>
      <w:r w:rsidR="00FB059C">
        <w:rPr>
          <w:rFonts w:ascii="Book Antiqua" w:eastAsia="SimSun" w:hAnsi="Book Antiqua" w:cs="Arial" w:hint="eastAsia"/>
          <w:b/>
          <w:color w:val="000000"/>
          <w:lang w:val="en-US" w:eastAsia="zh-CN"/>
        </w:rPr>
        <w:t xml:space="preserve"> (%)</w:t>
      </w:r>
    </w:p>
    <w:tbl>
      <w:tblPr>
        <w:tblW w:w="5416"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99"/>
        <w:gridCol w:w="240"/>
        <w:gridCol w:w="1702"/>
        <w:gridCol w:w="311"/>
        <w:gridCol w:w="1256"/>
        <w:gridCol w:w="1187"/>
        <w:gridCol w:w="225"/>
        <w:gridCol w:w="1415"/>
        <w:gridCol w:w="1207"/>
      </w:tblGrid>
      <w:tr w:rsidR="00FB059C" w:rsidRPr="0032387C" w14:paraId="55E18D77" w14:textId="77777777" w:rsidTr="00FB059C">
        <w:trPr>
          <w:trHeight w:val="395"/>
          <w:jc w:val="center"/>
        </w:trPr>
        <w:tc>
          <w:tcPr>
            <w:tcW w:w="875" w:type="pct"/>
            <w:tcBorders>
              <w:top w:val="single" w:sz="4" w:space="0" w:color="auto"/>
              <w:bottom w:val="nil"/>
            </w:tcBorders>
            <w:shd w:val="clear" w:color="auto" w:fill="auto"/>
            <w:vAlign w:val="center"/>
            <w:hideMark/>
          </w:tcPr>
          <w:p w14:paraId="2469E4E6" w14:textId="77777777" w:rsidR="00FB059C" w:rsidRPr="0032387C" w:rsidRDefault="00FB059C" w:rsidP="00FB059C">
            <w:pPr>
              <w:spacing w:line="360" w:lineRule="auto"/>
              <w:jc w:val="both"/>
              <w:rPr>
                <w:rFonts w:ascii="Book Antiqua" w:eastAsia="Times New Roman" w:hAnsi="Book Antiqua" w:cs="Arial"/>
                <w:b/>
                <w:color w:val="000000"/>
                <w:lang w:val="en-US" w:eastAsia="hu-HU"/>
              </w:rPr>
            </w:pPr>
          </w:p>
        </w:tc>
        <w:tc>
          <w:tcPr>
            <w:tcW w:w="1062" w:type="pct"/>
            <w:gridSpan w:val="2"/>
            <w:tcBorders>
              <w:top w:val="single" w:sz="4" w:space="0" w:color="auto"/>
              <w:bottom w:val="nil"/>
            </w:tcBorders>
            <w:shd w:val="clear" w:color="auto" w:fill="auto"/>
            <w:vAlign w:val="center"/>
            <w:hideMark/>
          </w:tcPr>
          <w:p w14:paraId="0D7F076D" w14:textId="77777777" w:rsidR="00FB059C" w:rsidRPr="0032387C" w:rsidRDefault="00FB059C" w:rsidP="00FB059C">
            <w:pPr>
              <w:spacing w:line="360" w:lineRule="auto"/>
              <w:jc w:val="both"/>
              <w:rPr>
                <w:rFonts w:ascii="Book Antiqua" w:eastAsia="Times New Roman" w:hAnsi="Book Antiqua" w:cs="Arial"/>
                <w:b/>
                <w:color w:val="000000"/>
                <w:lang w:val="en-US" w:eastAsia="hu-HU"/>
              </w:rPr>
            </w:pPr>
            <w:r w:rsidRPr="0032387C">
              <w:rPr>
                <w:rFonts w:ascii="Book Antiqua" w:eastAsia="Times New Roman" w:hAnsi="Book Antiqua" w:cs="Arial"/>
                <w:b/>
                <w:color w:val="000000"/>
                <w:lang w:val="en-US" w:eastAsia="hu-HU"/>
              </w:rPr>
              <w:t>PSC (</w:t>
            </w:r>
            <w:r w:rsidRPr="0032387C">
              <w:rPr>
                <w:rFonts w:ascii="Book Antiqua" w:eastAsia="Times New Roman" w:hAnsi="Book Antiqua" w:cs="Arial"/>
                <w:b/>
                <w:i/>
                <w:color w:val="000000"/>
                <w:lang w:val="en-US" w:eastAsia="hu-HU"/>
              </w:rPr>
              <w:t>n</w:t>
            </w:r>
            <w:r w:rsidRPr="0032387C">
              <w:rPr>
                <w:rFonts w:ascii="Book Antiqua" w:eastAsia="SimSun" w:hAnsi="Book Antiqua" w:cs="Arial" w:hint="eastAsia"/>
                <w:b/>
                <w:color w:val="000000"/>
                <w:lang w:val="en-US" w:eastAsia="zh-CN"/>
              </w:rPr>
              <w:t xml:space="preserve"> </w:t>
            </w:r>
            <w:r w:rsidRPr="0032387C">
              <w:rPr>
                <w:rFonts w:ascii="Book Antiqua" w:eastAsia="Times New Roman" w:hAnsi="Book Antiqua" w:cs="Arial"/>
                <w:b/>
                <w:color w:val="000000"/>
                <w:lang w:val="en-US" w:eastAsia="hu-HU"/>
              </w:rPr>
              <w:t>=</w:t>
            </w:r>
            <w:r w:rsidRPr="0032387C">
              <w:rPr>
                <w:rFonts w:ascii="Book Antiqua" w:eastAsia="SimSun" w:hAnsi="Book Antiqua" w:cs="Arial" w:hint="eastAsia"/>
                <w:b/>
                <w:color w:val="000000"/>
                <w:lang w:val="en-US" w:eastAsia="zh-CN"/>
              </w:rPr>
              <w:t xml:space="preserve"> </w:t>
            </w:r>
            <w:r w:rsidRPr="0032387C">
              <w:rPr>
                <w:rFonts w:ascii="Book Antiqua" w:eastAsia="Times New Roman" w:hAnsi="Book Antiqua" w:cs="Arial"/>
                <w:b/>
                <w:color w:val="000000"/>
                <w:lang w:val="en-US" w:eastAsia="hu-HU"/>
              </w:rPr>
              <w:t>67)</w:t>
            </w:r>
          </w:p>
        </w:tc>
        <w:tc>
          <w:tcPr>
            <w:tcW w:w="1506" w:type="pct"/>
            <w:gridSpan w:val="3"/>
            <w:tcBorders>
              <w:top w:val="single" w:sz="4" w:space="0" w:color="auto"/>
              <w:bottom w:val="nil"/>
            </w:tcBorders>
            <w:shd w:val="clear" w:color="auto" w:fill="auto"/>
            <w:vAlign w:val="center"/>
            <w:hideMark/>
          </w:tcPr>
          <w:p w14:paraId="5D4C9918" w14:textId="77777777" w:rsidR="00FB059C" w:rsidRPr="0032387C" w:rsidRDefault="00FB059C" w:rsidP="00FB059C">
            <w:pPr>
              <w:spacing w:line="360" w:lineRule="auto"/>
              <w:jc w:val="both"/>
              <w:rPr>
                <w:rFonts w:ascii="Book Antiqua" w:eastAsia="Times New Roman" w:hAnsi="Book Antiqua" w:cs="Arial"/>
                <w:b/>
                <w:color w:val="000000"/>
                <w:lang w:val="en-US" w:eastAsia="hu-HU"/>
              </w:rPr>
            </w:pPr>
            <w:r w:rsidRPr="0032387C">
              <w:rPr>
                <w:rFonts w:ascii="Book Antiqua" w:eastAsia="Times New Roman" w:hAnsi="Book Antiqua" w:cs="Arial"/>
                <w:b/>
                <w:color w:val="000000"/>
                <w:lang w:val="en-US" w:eastAsia="hu-HU"/>
              </w:rPr>
              <w:t>UC (</w:t>
            </w:r>
            <w:r w:rsidRPr="0032387C">
              <w:rPr>
                <w:rFonts w:ascii="Book Antiqua" w:eastAsia="Times New Roman" w:hAnsi="Book Antiqua" w:cs="Arial"/>
                <w:b/>
                <w:i/>
                <w:color w:val="000000"/>
                <w:lang w:val="en-US" w:eastAsia="hu-HU"/>
              </w:rPr>
              <w:t>n</w:t>
            </w:r>
            <w:r w:rsidRPr="0032387C">
              <w:rPr>
                <w:rFonts w:ascii="Book Antiqua" w:eastAsia="Times New Roman" w:hAnsi="Book Antiqua" w:cs="Arial"/>
                <w:b/>
                <w:color w:val="000000"/>
                <w:lang w:val="en-US" w:eastAsia="hu-HU"/>
              </w:rPr>
              <w:t xml:space="preserve"> =</w:t>
            </w:r>
            <w:r w:rsidRPr="0032387C">
              <w:rPr>
                <w:rFonts w:ascii="Book Antiqua" w:eastAsia="SimSun" w:hAnsi="Book Antiqua" w:cs="Arial" w:hint="eastAsia"/>
                <w:b/>
                <w:color w:val="000000"/>
                <w:lang w:val="en-US" w:eastAsia="zh-CN"/>
              </w:rPr>
              <w:t xml:space="preserve"> </w:t>
            </w:r>
            <w:r w:rsidRPr="0032387C">
              <w:rPr>
                <w:rFonts w:ascii="Book Antiqua" w:eastAsia="Times New Roman" w:hAnsi="Book Antiqua" w:cs="Arial"/>
                <w:b/>
                <w:color w:val="000000"/>
                <w:lang w:val="en-US" w:eastAsia="hu-HU"/>
              </w:rPr>
              <w:t>172)</w:t>
            </w:r>
          </w:p>
        </w:tc>
        <w:tc>
          <w:tcPr>
            <w:tcW w:w="1558" w:type="pct"/>
            <w:gridSpan w:val="3"/>
            <w:tcBorders>
              <w:top w:val="single" w:sz="4" w:space="0" w:color="auto"/>
              <w:bottom w:val="nil"/>
            </w:tcBorders>
            <w:shd w:val="clear" w:color="auto" w:fill="auto"/>
            <w:vAlign w:val="center"/>
            <w:hideMark/>
          </w:tcPr>
          <w:p w14:paraId="5E9A05E8" w14:textId="77777777" w:rsidR="00FB059C" w:rsidRPr="0032387C" w:rsidRDefault="00FB059C" w:rsidP="00FB059C">
            <w:pPr>
              <w:spacing w:line="360" w:lineRule="auto"/>
              <w:jc w:val="both"/>
              <w:rPr>
                <w:rFonts w:ascii="Book Antiqua" w:eastAsia="Times New Roman" w:hAnsi="Book Antiqua" w:cs="Arial"/>
                <w:b/>
                <w:color w:val="000000"/>
                <w:lang w:val="en-US" w:eastAsia="hu-HU"/>
              </w:rPr>
            </w:pPr>
            <w:r w:rsidRPr="0032387C">
              <w:rPr>
                <w:rFonts w:ascii="Book Antiqua" w:eastAsia="Times New Roman" w:hAnsi="Book Antiqua" w:cs="Arial"/>
                <w:b/>
                <w:color w:val="000000"/>
                <w:lang w:val="en-US" w:eastAsia="hu-HU"/>
              </w:rPr>
              <w:t>HC (</w:t>
            </w:r>
            <w:r w:rsidRPr="0032387C">
              <w:rPr>
                <w:rFonts w:ascii="Book Antiqua" w:eastAsia="Times New Roman" w:hAnsi="Book Antiqua" w:cs="Arial"/>
                <w:b/>
                <w:i/>
                <w:color w:val="000000"/>
                <w:lang w:val="en-US" w:eastAsia="hu-HU"/>
              </w:rPr>
              <w:t>n</w:t>
            </w:r>
            <w:r w:rsidRPr="0032387C">
              <w:rPr>
                <w:rFonts w:ascii="Book Antiqua" w:eastAsia="Times New Roman" w:hAnsi="Book Antiqua" w:cs="Arial"/>
                <w:b/>
                <w:color w:val="000000"/>
                <w:lang w:val="en-US" w:eastAsia="hu-HU"/>
              </w:rPr>
              <w:t xml:space="preserve"> =</w:t>
            </w:r>
            <w:r w:rsidRPr="0032387C">
              <w:rPr>
                <w:rFonts w:ascii="Book Antiqua" w:eastAsia="SimSun" w:hAnsi="Book Antiqua" w:cs="Arial" w:hint="eastAsia"/>
                <w:b/>
                <w:color w:val="000000"/>
                <w:lang w:val="en-US" w:eastAsia="zh-CN"/>
              </w:rPr>
              <w:t xml:space="preserve"> </w:t>
            </w:r>
            <w:r w:rsidRPr="0032387C">
              <w:rPr>
                <w:rFonts w:ascii="Book Antiqua" w:eastAsia="Times New Roman" w:hAnsi="Book Antiqua" w:cs="Arial"/>
                <w:b/>
                <w:color w:val="000000"/>
                <w:lang w:val="en-US" w:eastAsia="hu-HU"/>
              </w:rPr>
              <w:t>153)</w:t>
            </w:r>
          </w:p>
        </w:tc>
      </w:tr>
      <w:tr w:rsidR="00FB059C" w:rsidRPr="0032387C" w14:paraId="3A381B0A" w14:textId="77777777" w:rsidTr="00FB059C">
        <w:trPr>
          <w:trHeight w:val="395"/>
          <w:jc w:val="center"/>
        </w:trPr>
        <w:tc>
          <w:tcPr>
            <w:tcW w:w="875" w:type="pct"/>
            <w:tcBorders>
              <w:top w:val="nil"/>
              <w:bottom w:val="single" w:sz="4" w:space="0" w:color="auto"/>
            </w:tcBorders>
            <w:shd w:val="clear" w:color="auto" w:fill="auto"/>
            <w:noWrap/>
            <w:vAlign w:val="center"/>
          </w:tcPr>
          <w:p w14:paraId="48FCF58E" w14:textId="77777777" w:rsidR="00FB059C" w:rsidRPr="0032387C" w:rsidRDefault="00FB059C" w:rsidP="00FB059C">
            <w:pPr>
              <w:spacing w:line="360" w:lineRule="auto"/>
              <w:jc w:val="both"/>
              <w:rPr>
                <w:rFonts w:ascii="Book Antiqua" w:eastAsia="Times New Roman" w:hAnsi="Book Antiqua" w:cs="Arial"/>
                <w:b/>
                <w:color w:val="000000"/>
                <w:lang w:val="en-US" w:eastAsia="hu-HU"/>
              </w:rPr>
            </w:pPr>
          </w:p>
        </w:tc>
        <w:tc>
          <w:tcPr>
            <w:tcW w:w="131" w:type="pct"/>
            <w:tcBorders>
              <w:top w:val="nil"/>
              <w:bottom w:val="single" w:sz="4" w:space="0" w:color="auto"/>
            </w:tcBorders>
            <w:shd w:val="clear" w:color="auto" w:fill="auto"/>
            <w:vAlign w:val="center"/>
          </w:tcPr>
          <w:p w14:paraId="2B6534EF" w14:textId="77777777" w:rsidR="00FB059C" w:rsidRPr="0032387C" w:rsidRDefault="00FB059C" w:rsidP="00FB059C">
            <w:pPr>
              <w:spacing w:line="360" w:lineRule="auto"/>
              <w:jc w:val="both"/>
              <w:rPr>
                <w:rFonts w:ascii="Book Antiqua" w:eastAsia="Times New Roman" w:hAnsi="Book Antiqua" w:cs="Arial"/>
                <w:b/>
                <w:color w:val="000000"/>
                <w:lang w:val="en-US" w:eastAsia="hu-HU"/>
              </w:rPr>
            </w:pPr>
          </w:p>
        </w:tc>
        <w:tc>
          <w:tcPr>
            <w:tcW w:w="930" w:type="pct"/>
            <w:tcBorders>
              <w:top w:val="nil"/>
              <w:bottom w:val="single" w:sz="4" w:space="0" w:color="auto"/>
            </w:tcBorders>
            <w:shd w:val="clear" w:color="auto" w:fill="auto"/>
            <w:noWrap/>
            <w:vAlign w:val="center"/>
          </w:tcPr>
          <w:p w14:paraId="64AC8153" w14:textId="4F6E7C9E" w:rsidR="00FB059C" w:rsidRPr="0032387C" w:rsidRDefault="00FB059C" w:rsidP="00FB059C">
            <w:pPr>
              <w:spacing w:line="360" w:lineRule="auto"/>
              <w:jc w:val="both"/>
              <w:rPr>
                <w:rFonts w:ascii="Book Antiqua" w:eastAsia="SimSun" w:hAnsi="Book Antiqua" w:cs="Arial"/>
                <w:b/>
                <w:color w:val="000000"/>
                <w:lang w:val="en-US" w:eastAsia="zh-CN"/>
              </w:rPr>
            </w:pPr>
          </w:p>
        </w:tc>
        <w:tc>
          <w:tcPr>
            <w:tcW w:w="170" w:type="pct"/>
            <w:tcBorders>
              <w:top w:val="nil"/>
              <w:bottom w:val="single" w:sz="4" w:space="0" w:color="auto"/>
            </w:tcBorders>
            <w:shd w:val="clear" w:color="auto" w:fill="auto"/>
            <w:vAlign w:val="center"/>
          </w:tcPr>
          <w:p w14:paraId="48EA3873" w14:textId="77777777" w:rsidR="00FB059C" w:rsidRPr="0032387C" w:rsidRDefault="00FB059C" w:rsidP="00FB059C">
            <w:pPr>
              <w:spacing w:line="360" w:lineRule="auto"/>
              <w:jc w:val="both"/>
              <w:rPr>
                <w:rFonts w:ascii="Book Antiqua" w:eastAsia="SimSun" w:hAnsi="Book Antiqua" w:cs="Arial"/>
                <w:b/>
                <w:color w:val="000000"/>
                <w:lang w:val="en-US" w:eastAsia="zh-CN"/>
              </w:rPr>
            </w:pPr>
          </w:p>
        </w:tc>
        <w:tc>
          <w:tcPr>
            <w:tcW w:w="687" w:type="pct"/>
            <w:tcBorders>
              <w:top w:val="nil"/>
              <w:bottom w:val="single" w:sz="4" w:space="0" w:color="auto"/>
            </w:tcBorders>
            <w:shd w:val="clear" w:color="auto" w:fill="auto"/>
            <w:noWrap/>
            <w:vAlign w:val="center"/>
          </w:tcPr>
          <w:p w14:paraId="5C8471D0" w14:textId="6241584D" w:rsidR="00FB059C" w:rsidRPr="00FB059C" w:rsidRDefault="00FB059C" w:rsidP="00FB059C">
            <w:pPr>
              <w:spacing w:line="360" w:lineRule="auto"/>
              <w:jc w:val="both"/>
              <w:rPr>
                <w:rFonts w:ascii="Book Antiqua" w:eastAsia="SimSun" w:hAnsi="Book Antiqua" w:cs="Arial"/>
                <w:b/>
                <w:color w:val="000000"/>
                <w:lang w:val="en-US" w:eastAsia="zh-CN"/>
              </w:rPr>
            </w:pPr>
            <w:r>
              <w:rPr>
                <w:rFonts w:ascii="Book Antiqua" w:eastAsia="SimSun" w:hAnsi="Book Antiqua" w:cs="Arial" w:hint="eastAsia"/>
                <w:b/>
                <w:i/>
                <w:color w:val="000000"/>
                <w:lang w:val="en-US" w:eastAsia="zh-CN"/>
              </w:rPr>
              <w:t xml:space="preserve"> </w:t>
            </w:r>
          </w:p>
        </w:tc>
        <w:tc>
          <w:tcPr>
            <w:tcW w:w="649" w:type="pct"/>
            <w:tcBorders>
              <w:top w:val="nil"/>
              <w:bottom w:val="single" w:sz="4" w:space="0" w:color="auto"/>
            </w:tcBorders>
            <w:shd w:val="clear" w:color="auto" w:fill="auto"/>
            <w:noWrap/>
            <w:vAlign w:val="center"/>
          </w:tcPr>
          <w:p w14:paraId="600F10D4" w14:textId="77777777" w:rsidR="00FB059C" w:rsidRPr="00976FCC" w:rsidRDefault="00FB059C" w:rsidP="00FB059C">
            <w:pPr>
              <w:spacing w:line="360" w:lineRule="auto"/>
              <w:jc w:val="both"/>
              <w:rPr>
                <w:rFonts w:ascii="Book Antiqua" w:eastAsia="SimSun" w:hAnsi="Book Antiqua" w:cs="Arial"/>
                <w:b/>
                <w:color w:val="000000"/>
                <w:lang w:val="en-US" w:eastAsia="zh-CN"/>
              </w:rPr>
            </w:pPr>
            <w:r w:rsidRPr="0032387C">
              <w:rPr>
                <w:rFonts w:ascii="Book Antiqua" w:eastAsia="Times New Roman" w:hAnsi="Book Antiqua" w:cs="Arial"/>
                <w:b/>
                <w:i/>
                <w:color w:val="000000"/>
                <w:lang w:val="en-US" w:eastAsia="hu-HU"/>
              </w:rPr>
              <w:t>P</w:t>
            </w:r>
            <w:r w:rsidRPr="0032387C">
              <w:rPr>
                <w:rFonts w:ascii="Book Antiqua" w:eastAsia="Times New Roman" w:hAnsi="Book Antiqua" w:cs="Arial"/>
                <w:b/>
                <w:color w:val="000000"/>
                <w:lang w:val="en-US" w:eastAsia="hu-HU"/>
              </w:rPr>
              <w:t xml:space="preserve"> value</w:t>
            </w:r>
            <w:r>
              <w:rPr>
                <w:rFonts w:ascii="Book Antiqua" w:eastAsia="SimSun" w:hAnsi="Book Antiqua" w:cs="Arial" w:hint="eastAsia"/>
                <w:b/>
                <w:color w:val="000000"/>
                <w:vertAlign w:val="superscript"/>
                <w:lang w:val="en-US" w:eastAsia="zh-CN"/>
              </w:rPr>
              <w:t>1</w:t>
            </w:r>
            <w:r>
              <w:rPr>
                <w:rFonts w:ascii="Book Antiqua" w:eastAsia="SimSun" w:hAnsi="Book Antiqua" w:cs="Arial" w:hint="eastAsia"/>
                <w:b/>
                <w:color w:val="000000"/>
                <w:lang w:val="en-US" w:eastAsia="zh-CN"/>
              </w:rPr>
              <w:t xml:space="preserve"> </w:t>
            </w:r>
          </w:p>
        </w:tc>
        <w:tc>
          <w:tcPr>
            <w:tcW w:w="123" w:type="pct"/>
            <w:tcBorders>
              <w:top w:val="nil"/>
              <w:bottom w:val="single" w:sz="4" w:space="0" w:color="auto"/>
            </w:tcBorders>
            <w:shd w:val="clear" w:color="auto" w:fill="auto"/>
            <w:vAlign w:val="center"/>
          </w:tcPr>
          <w:p w14:paraId="3D056DCE" w14:textId="77777777" w:rsidR="00FB059C" w:rsidRPr="00976FCC" w:rsidRDefault="00FB059C" w:rsidP="00FB059C">
            <w:pPr>
              <w:spacing w:line="360" w:lineRule="auto"/>
              <w:jc w:val="both"/>
              <w:rPr>
                <w:rFonts w:ascii="Book Antiqua" w:eastAsia="SimSun" w:hAnsi="Book Antiqua" w:cs="Arial"/>
                <w:b/>
                <w:color w:val="000000"/>
                <w:lang w:val="en-US" w:eastAsia="zh-CN"/>
              </w:rPr>
            </w:pPr>
            <w:r>
              <w:rPr>
                <w:rFonts w:ascii="Book Antiqua" w:eastAsia="SimSun" w:hAnsi="Book Antiqua" w:cs="Arial" w:hint="eastAsia"/>
                <w:b/>
                <w:color w:val="000000"/>
                <w:lang w:val="en-US" w:eastAsia="zh-CN"/>
              </w:rPr>
              <w:t xml:space="preserve"> </w:t>
            </w:r>
          </w:p>
        </w:tc>
        <w:tc>
          <w:tcPr>
            <w:tcW w:w="774" w:type="pct"/>
            <w:tcBorders>
              <w:top w:val="nil"/>
              <w:bottom w:val="single" w:sz="4" w:space="0" w:color="auto"/>
            </w:tcBorders>
            <w:shd w:val="clear" w:color="auto" w:fill="auto"/>
            <w:noWrap/>
            <w:vAlign w:val="center"/>
          </w:tcPr>
          <w:p w14:paraId="14525B0B" w14:textId="21A8F691" w:rsidR="00FB059C" w:rsidRPr="00FB059C" w:rsidRDefault="00FB059C" w:rsidP="00FB059C">
            <w:pPr>
              <w:spacing w:line="360" w:lineRule="auto"/>
              <w:jc w:val="both"/>
              <w:rPr>
                <w:rFonts w:ascii="Book Antiqua" w:eastAsia="SimSun" w:hAnsi="Book Antiqua" w:cs="Arial"/>
                <w:b/>
                <w:i/>
                <w:color w:val="000000"/>
                <w:lang w:val="en-US" w:eastAsia="zh-CN"/>
              </w:rPr>
            </w:pPr>
            <w:r>
              <w:rPr>
                <w:rFonts w:ascii="Book Antiqua" w:eastAsia="SimSun" w:hAnsi="Book Antiqua" w:cs="Arial" w:hint="eastAsia"/>
                <w:b/>
                <w:i/>
                <w:color w:val="000000"/>
                <w:lang w:val="en-US" w:eastAsia="zh-CN"/>
              </w:rPr>
              <w:t xml:space="preserve"> </w:t>
            </w:r>
          </w:p>
        </w:tc>
        <w:tc>
          <w:tcPr>
            <w:tcW w:w="661" w:type="pct"/>
            <w:tcBorders>
              <w:top w:val="nil"/>
              <w:bottom w:val="single" w:sz="4" w:space="0" w:color="auto"/>
            </w:tcBorders>
            <w:shd w:val="clear" w:color="auto" w:fill="auto"/>
            <w:noWrap/>
            <w:vAlign w:val="center"/>
          </w:tcPr>
          <w:p w14:paraId="367B7B5B" w14:textId="77777777" w:rsidR="00FB059C" w:rsidRPr="0032387C" w:rsidRDefault="00FB059C" w:rsidP="00FB059C">
            <w:pPr>
              <w:spacing w:line="360" w:lineRule="auto"/>
              <w:jc w:val="both"/>
              <w:rPr>
                <w:rFonts w:ascii="Book Antiqua" w:eastAsia="MS Gothic" w:hAnsi="Book Antiqua" w:cs="Arial"/>
                <w:b/>
                <w:color w:val="000000"/>
                <w:lang w:val="en-US"/>
              </w:rPr>
            </w:pPr>
            <w:r w:rsidRPr="0032387C">
              <w:rPr>
                <w:rFonts w:ascii="Book Antiqua" w:eastAsia="Times New Roman" w:hAnsi="Book Antiqua" w:cs="Arial"/>
                <w:b/>
                <w:i/>
                <w:color w:val="000000"/>
                <w:lang w:val="en-US" w:eastAsia="hu-HU"/>
              </w:rPr>
              <w:t>P</w:t>
            </w:r>
            <w:r w:rsidRPr="0032387C">
              <w:rPr>
                <w:rFonts w:ascii="Book Antiqua" w:eastAsia="SimSun" w:hAnsi="Book Antiqua" w:cs="Arial" w:hint="eastAsia"/>
                <w:b/>
                <w:color w:val="000000"/>
                <w:lang w:val="en-US" w:eastAsia="zh-CN"/>
              </w:rPr>
              <w:t xml:space="preserve"> </w:t>
            </w:r>
            <w:r w:rsidRPr="0032387C">
              <w:rPr>
                <w:rFonts w:ascii="Book Antiqua" w:eastAsia="Times New Roman" w:hAnsi="Book Antiqua" w:cs="Arial"/>
                <w:b/>
                <w:color w:val="000000"/>
                <w:lang w:val="en-US" w:eastAsia="hu-HU"/>
              </w:rPr>
              <w:t>value</w:t>
            </w:r>
            <w:r>
              <w:rPr>
                <w:rFonts w:ascii="Book Antiqua" w:eastAsia="SimSun" w:hAnsi="Book Antiqua" w:hint="eastAsia"/>
                <w:vertAlign w:val="superscript"/>
                <w:lang w:val="en-US" w:eastAsia="zh-CN"/>
              </w:rPr>
              <w:t>1</w:t>
            </w:r>
          </w:p>
        </w:tc>
      </w:tr>
      <w:tr w:rsidR="00FB059C" w:rsidRPr="0088290D" w14:paraId="1C683B29" w14:textId="77777777" w:rsidTr="00FB059C">
        <w:trPr>
          <w:trHeight w:val="395"/>
          <w:jc w:val="center"/>
        </w:trPr>
        <w:tc>
          <w:tcPr>
            <w:tcW w:w="875" w:type="pct"/>
            <w:tcBorders>
              <w:top w:val="single" w:sz="4" w:space="0" w:color="auto"/>
            </w:tcBorders>
            <w:shd w:val="clear" w:color="auto" w:fill="auto"/>
            <w:noWrap/>
            <w:vAlign w:val="center"/>
          </w:tcPr>
          <w:p w14:paraId="15722554"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AAA</w:t>
            </w:r>
          </w:p>
        </w:tc>
        <w:tc>
          <w:tcPr>
            <w:tcW w:w="131" w:type="pct"/>
            <w:tcBorders>
              <w:top w:val="single" w:sz="4" w:space="0" w:color="auto"/>
            </w:tcBorders>
            <w:shd w:val="clear" w:color="auto" w:fill="auto"/>
          </w:tcPr>
          <w:p w14:paraId="570EC10F" w14:textId="77777777" w:rsidR="00FB059C" w:rsidRPr="0088290D" w:rsidRDefault="00FB059C" w:rsidP="00FB059C">
            <w:pPr>
              <w:spacing w:line="360" w:lineRule="auto"/>
              <w:jc w:val="both"/>
              <w:rPr>
                <w:rFonts w:ascii="Book Antiqua" w:hAnsi="Book Antiqua"/>
                <w:lang w:val="en-US"/>
              </w:rPr>
            </w:pPr>
          </w:p>
        </w:tc>
        <w:tc>
          <w:tcPr>
            <w:tcW w:w="930" w:type="pct"/>
            <w:tcBorders>
              <w:top w:val="single" w:sz="4" w:space="0" w:color="auto"/>
            </w:tcBorders>
            <w:shd w:val="clear" w:color="auto" w:fill="auto"/>
            <w:noWrap/>
          </w:tcPr>
          <w:p w14:paraId="6C114978" w14:textId="77777777" w:rsidR="00FB059C" w:rsidRPr="0088290D" w:rsidRDefault="00FB059C" w:rsidP="00FB059C">
            <w:pPr>
              <w:spacing w:line="360" w:lineRule="auto"/>
              <w:jc w:val="both"/>
              <w:rPr>
                <w:rFonts w:ascii="Book Antiqua" w:hAnsi="Book Antiqua"/>
                <w:lang w:val="en-US"/>
              </w:rPr>
            </w:pPr>
          </w:p>
        </w:tc>
        <w:tc>
          <w:tcPr>
            <w:tcW w:w="170" w:type="pct"/>
            <w:tcBorders>
              <w:top w:val="single" w:sz="4" w:space="0" w:color="auto"/>
            </w:tcBorders>
            <w:shd w:val="clear" w:color="auto" w:fill="auto"/>
          </w:tcPr>
          <w:p w14:paraId="6E3C6572" w14:textId="77777777" w:rsidR="00FB059C" w:rsidRPr="0088290D" w:rsidRDefault="00FB059C" w:rsidP="00FB059C">
            <w:pPr>
              <w:spacing w:line="360" w:lineRule="auto"/>
              <w:jc w:val="both"/>
              <w:rPr>
                <w:rFonts w:ascii="Book Antiqua" w:hAnsi="Book Antiqua"/>
                <w:lang w:val="en-US"/>
              </w:rPr>
            </w:pPr>
          </w:p>
        </w:tc>
        <w:tc>
          <w:tcPr>
            <w:tcW w:w="687" w:type="pct"/>
            <w:tcBorders>
              <w:top w:val="single" w:sz="4" w:space="0" w:color="auto"/>
            </w:tcBorders>
            <w:shd w:val="clear" w:color="auto" w:fill="auto"/>
            <w:noWrap/>
          </w:tcPr>
          <w:p w14:paraId="1E0CB2FD" w14:textId="77777777" w:rsidR="00FB059C" w:rsidRPr="0088290D" w:rsidRDefault="00FB059C" w:rsidP="00FB059C">
            <w:pPr>
              <w:spacing w:line="360" w:lineRule="auto"/>
              <w:jc w:val="both"/>
              <w:rPr>
                <w:rFonts w:ascii="Book Antiqua" w:hAnsi="Book Antiqua"/>
                <w:lang w:val="en-US"/>
              </w:rPr>
            </w:pPr>
          </w:p>
        </w:tc>
        <w:tc>
          <w:tcPr>
            <w:tcW w:w="649" w:type="pct"/>
            <w:tcBorders>
              <w:top w:val="single" w:sz="4" w:space="0" w:color="auto"/>
            </w:tcBorders>
            <w:shd w:val="clear" w:color="auto" w:fill="auto"/>
            <w:noWrap/>
          </w:tcPr>
          <w:p w14:paraId="683B4F07" w14:textId="77777777" w:rsidR="00FB059C" w:rsidRPr="0088290D" w:rsidRDefault="00FB059C" w:rsidP="00FB059C">
            <w:pPr>
              <w:spacing w:line="360" w:lineRule="auto"/>
              <w:jc w:val="both"/>
              <w:rPr>
                <w:rFonts w:ascii="Book Antiqua" w:hAnsi="Book Antiqua"/>
                <w:lang w:val="en-US"/>
              </w:rPr>
            </w:pPr>
          </w:p>
        </w:tc>
        <w:tc>
          <w:tcPr>
            <w:tcW w:w="123" w:type="pct"/>
            <w:tcBorders>
              <w:top w:val="single" w:sz="4" w:space="0" w:color="auto"/>
            </w:tcBorders>
            <w:shd w:val="clear" w:color="auto" w:fill="auto"/>
          </w:tcPr>
          <w:p w14:paraId="4653A572" w14:textId="77777777" w:rsidR="00FB059C" w:rsidRPr="0088290D" w:rsidRDefault="00FB059C" w:rsidP="00FB059C">
            <w:pPr>
              <w:spacing w:line="360" w:lineRule="auto"/>
              <w:jc w:val="both"/>
              <w:rPr>
                <w:rFonts w:ascii="Book Antiqua" w:hAnsi="Book Antiqua"/>
                <w:lang w:val="en-US"/>
              </w:rPr>
            </w:pPr>
          </w:p>
        </w:tc>
        <w:tc>
          <w:tcPr>
            <w:tcW w:w="774" w:type="pct"/>
            <w:tcBorders>
              <w:top w:val="single" w:sz="4" w:space="0" w:color="auto"/>
            </w:tcBorders>
            <w:shd w:val="clear" w:color="auto" w:fill="auto"/>
            <w:noWrap/>
          </w:tcPr>
          <w:p w14:paraId="11FEE174" w14:textId="77777777" w:rsidR="00FB059C" w:rsidRPr="0088290D" w:rsidRDefault="00FB059C" w:rsidP="00FB059C">
            <w:pPr>
              <w:spacing w:line="360" w:lineRule="auto"/>
              <w:jc w:val="both"/>
              <w:rPr>
                <w:rFonts w:ascii="Book Antiqua" w:hAnsi="Book Antiqua"/>
                <w:lang w:val="en-US"/>
              </w:rPr>
            </w:pPr>
          </w:p>
        </w:tc>
        <w:tc>
          <w:tcPr>
            <w:tcW w:w="661" w:type="pct"/>
            <w:tcBorders>
              <w:top w:val="single" w:sz="4" w:space="0" w:color="auto"/>
            </w:tcBorders>
            <w:shd w:val="clear" w:color="auto" w:fill="auto"/>
            <w:noWrap/>
          </w:tcPr>
          <w:p w14:paraId="7A1BED36" w14:textId="77777777" w:rsidR="00FB059C" w:rsidRPr="0088290D" w:rsidRDefault="00FB059C" w:rsidP="00FB059C">
            <w:pPr>
              <w:spacing w:line="360" w:lineRule="auto"/>
              <w:jc w:val="both"/>
              <w:rPr>
                <w:rFonts w:ascii="Book Antiqua" w:hAnsi="Book Antiqua"/>
                <w:lang w:val="en-US"/>
              </w:rPr>
            </w:pPr>
          </w:p>
        </w:tc>
      </w:tr>
      <w:tr w:rsidR="00FB059C" w:rsidRPr="0088290D" w14:paraId="3836D82F" w14:textId="77777777" w:rsidTr="00FB059C">
        <w:trPr>
          <w:trHeight w:val="395"/>
          <w:jc w:val="center"/>
        </w:trPr>
        <w:tc>
          <w:tcPr>
            <w:tcW w:w="875" w:type="pct"/>
            <w:shd w:val="clear" w:color="auto" w:fill="auto"/>
            <w:noWrap/>
            <w:vAlign w:val="center"/>
            <w:hideMark/>
          </w:tcPr>
          <w:p w14:paraId="65B26830"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IgA</w:t>
            </w:r>
          </w:p>
        </w:tc>
        <w:tc>
          <w:tcPr>
            <w:tcW w:w="131" w:type="pct"/>
            <w:shd w:val="clear" w:color="auto" w:fill="auto"/>
          </w:tcPr>
          <w:p w14:paraId="0853E08B"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930" w:type="pct"/>
            <w:shd w:val="clear" w:color="auto" w:fill="auto"/>
            <w:noWrap/>
            <w:hideMark/>
          </w:tcPr>
          <w:p w14:paraId="14D9E594" w14:textId="77777777" w:rsidR="00FB059C" w:rsidRPr="0032387C" w:rsidRDefault="00FB059C" w:rsidP="00FB059C">
            <w:pPr>
              <w:spacing w:line="360" w:lineRule="auto"/>
              <w:jc w:val="both"/>
              <w:rPr>
                <w:rFonts w:ascii="Book Antiqua" w:eastAsia="SimSun" w:hAnsi="Book Antiqua" w:cs="Arial"/>
                <w:color w:val="000000"/>
                <w:lang w:val="en-US" w:eastAsia="zh-CN"/>
              </w:rPr>
            </w:pPr>
            <w:r w:rsidRPr="0088290D">
              <w:rPr>
                <w:rFonts w:ascii="Book Antiqua" w:hAnsi="Book Antiqua"/>
                <w:lang w:val="en-US"/>
              </w:rPr>
              <w:t>19</w:t>
            </w:r>
            <w:r>
              <w:rPr>
                <w:rFonts w:ascii="Book Antiqua" w:eastAsia="SimSun" w:hAnsi="Book Antiqua" w:hint="eastAsia"/>
                <w:lang w:val="en-US" w:eastAsia="zh-CN"/>
              </w:rPr>
              <w:t xml:space="preserve"> (</w:t>
            </w:r>
            <w:r w:rsidRPr="0088290D">
              <w:rPr>
                <w:rFonts w:ascii="Book Antiqua" w:hAnsi="Book Antiqua"/>
                <w:lang w:val="en-US"/>
              </w:rPr>
              <w:t>28.4</w:t>
            </w:r>
            <w:r>
              <w:rPr>
                <w:rFonts w:ascii="Book Antiqua" w:hAnsi="Book Antiqua"/>
                <w:lang w:val="en-US"/>
              </w:rPr>
              <w:t>)</w:t>
            </w:r>
          </w:p>
        </w:tc>
        <w:tc>
          <w:tcPr>
            <w:tcW w:w="170" w:type="pct"/>
            <w:shd w:val="clear" w:color="auto" w:fill="auto"/>
          </w:tcPr>
          <w:p w14:paraId="06491145"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687" w:type="pct"/>
            <w:shd w:val="clear" w:color="auto" w:fill="auto"/>
            <w:noWrap/>
            <w:hideMark/>
          </w:tcPr>
          <w:p w14:paraId="3C2847E1" w14:textId="77777777" w:rsidR="00FB059C" w:rsidRPr="0032387C" w:rsidRDefault="00FB059C" w:rsidP="00FB059C">
            <w:pPr>
              <w:spacing w:line="360" w:lineRule="auto"/>
              <w:jc w:val="both"/>
              <w:rPr>
                <w:rFonts w:ascii="Book Antiqua" w:eastAsia="SimSun" w:hAnsi="Book Antiqua" w:cs="Arial"/>
                <w:color w:val="000000"/>
                <w:lang w:val="en-US" w:eastAsia="zh-CN"/>
              </w:rPr>
            </w:pPr>
            <w:r w:rsidRPr="0088290D">
              <w:rPr>
                <w:rFonts w:ascii="Book Antiqua" w:hAnsi="Book Antiqua"/>
                <w:lang w:val="en-US"/>
              </w:rPr>
              <w:t>19</w:t>
            </w:r>
            <w:r>
              <w:rPr>
                <w:rFonts w:ascii="Book Antiqua" w:eastAsia="SimSun" w:hAnsi="Book Antiqua" w:hint="eastAsia"/>
                <w:lang w:val="en-US" w:eastAsia="zh-CN"/>
              </w:rPr>
              <w:t xml:space="preserve"> (</w:t>
            </w:r>
            <w:r w:rsidRPr="0088290D">
              <w:rPr>
                <w:rFonts w:ascii="Book Antiqua" w:hAnsi="Book Antiqua"/>
                <w:lang w:val="en-US"/>
              </w:rPr>
              <w:t>11.2</w:t>
            </w:r>
            <w:r>
              <w:rPr>
                <w:rFonts w:ascii="Book Antiqua" w:hAnsi="Book Antiqua"/>
                <w:lang w:val="en-US"/>
              </w:rPr>
              <w:t>)</w:t>
            </w:r>
          </w:p>
        </w:tc>
        <w:tc>
          <w:tcPr>
            <w:tcW w:w="649" w:type="pct"/>
            <w:shd w:val="clear" w:color="auto" w:fill="auto"/>
            <w:noWrap/>
          </w:tcPr>
          <w:p w14:paraId="705A44F9"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0.003</w:t>
            </w:r>
          </w:p>
        </w:tc>
        <w:tc>
          <w:tcPr>
            <w:tcW w:w="123" w:type="pct"/>
            <w:shd w:val="clear" w:color="auto" w:fill="auto"/>
          </w:tcPr>
          <w:p w14:paraId="5214F42D"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774" w:type="pct"/>
            <w:shd w:val="clear" w:color="auto" w:fill="auto"/>
            <w:noWrap/>
            <w:hideMark/>
          </w:tcPr>
          <w:p w14:paraId="08E83599" w14:textId="77777777" w:rsidR="00FB059C" w:rsidRPr="00976FCC" w:rsidRDefault="00FB059C" w:rsidP="00FB059C">
            <w:pPr>
              <w:spacing w:line="360" w:lineRule="auto"/>
              <w:jc w:val="both"/>
              <w:rPr>
                <w:rFonts w:ascii="Book Antiqua" w:eastAsia="SimSun" w:hAnsi="Book Antiqua" w:cs="Arial"/>
                <w:color w:val="000000"/>
                <w:lang w:val="en-US" w:eastAsia="zh-CN"/>
              </w:rPr>
            </w:pPr>
            <w:r w:rsidRPr="0088290D">
              <w:rPr>
                <w:rFonts w:ascii="Book Antiqua" w:hAnsi="Book Antiqua"/>
                <w:lang w:val="en-US"/>
              </w:rPr>
              <w:t>5</w:t>
            </w:r>
            <w:r>
              <w:rPr>
                <w:rFonts w:ascii="Book Antiqua" w:eastAsia="SimSun" w:hAnsi="Book Antiqua" w:hint="eastAsia"/>
                <w:lang w:val="en-US" w:eastAsia="zh-CN"/>
              </w:rPr>
              <w:t xml:space="preserve"> (</w:t>
            </w:r>
            <w:r w:rsidRPr="0088290D">
              <w:rPr>
                <w:rFonts w:ascii="Book Antiqua" w:hAnsi="Book Antiqua"/>
                <w:lang w:val="en-US"/>
              </w:rPr>
              <w:t>4.4</w:t>
            </w:r>
            <w:r>
              <w:rPr>
                <w:rFonts w:ascii="Book Antiqua" w:hAnsi="Book Antiqua"/>
                <w:lang w:val="en-US"/>
              </w:rPr>
              <w:t>)</w:t>
            </w:r>
          </w:p>
        </w:tc>
        <w:tc>
          <w:tcPr>
            <w:tcW w:w="661" w:type="pct"/>
            <w:shd w:val="clear" w:color="auto" w:fill="auto"/>
            <w:noWrap/>
          </w:tcPr>
          <w:p w14:paraId="4F5CDA7D"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&lt;</w:t>
            </w:r>
            <w:r>
              <w:rPr>
                <w:rFonts w:ascii="Book Antiqua" w:eastAsia="SimSun" w:hAnsi="Book Antiqua" w:hint="eastAsia"/>
                <w:lang w:val="en-US" w:eastAsia="zh-CN"/>
              </w:rPr>
              <w:t xml:space="preserve"> </w:t>
            </w:r>
            <w:r w:rsidRPr="0088290D">
              <w:rPr>
                <w:rFonts w:ascii="Book Antiqua" w:hAnsi="Book Antiqua"/>
                <w:lang w:val="en-US"/>
              </w:rPr>
              <w:t>0.001</w:t>
            </w:r>
          </w:p>
        </w:tc>
      </w:tr>
      <w:tr w:rsidR="00FB059C" w:rsidRPr="0088290D" w14:paraId="13916E79" w14:textId="77777777" w:rsidTr="00FB059C">
        <w:trPr>
          <w:trHeight w:val="395"/>
          <w:jc w:val="center"/>
        </w:trPr>
        <w:tc>
          <w:tcPr>
            <w:tcW w:w="875" w:type="pct"/>
            <w:shd w:val="clear" w:color="auto" w:fill="auto"/>
            <w:noWrap/>
            <w:vAlign w:val="center"/>
            <w:hideMark/>
          </w:tcPr>
          <w:p w14:paraId="2B1056B2"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IgG</w:t>
            </w:r>
          </w:p>
        </w:tc>
        <w:tc>
          <w:tcPr>
            <w:tcW w:w="131" w:type="pct"/>
            <w:shd w:val="clear" w:color="auto" w:fill="auto"/>
          </w:tcPr>
          <w:p w14:paraId="2CDAB96A"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930" w:type="pct"/>
            <w:shd w:val="clear" w:color="auto" w:fill="auto"/>
            <w:noWrap/>
            <w:hideMark/>
          </w:tcPr>
          <w:p w14:paraId="5E07EDAD" w14:textId="77777777" w:rsidR="00FB059C" w:rsidRPr="0032387C" w:rsidRDefault="00FB059C" w:rsidP="00FB059C">
            <w:pPr>
              <w:spacing w:line="360" w:lineRule="auto"/>
              <w:jc w:val="both"/>
              <w:rPr>
                <w:rFonts w:ascii="Book Antiqua" w:eastAsia="SimSun" w:hAnsi="Book Antiqua" w:cs="Arial"/>
                <w:color w:val="000000"/>
                <w:lang w:val="en-US" w:eastAsia="zh-CN"/>
              </w:rPr>
            </w:pPr>
            <w:r w:rsidRPr="0088290D">
              <w:rPr>
                <w:rFonts w:ascii="Book Antiqua" w:hAnsi="Book Antiqua"/>
                <w:lang w:val="en-US"/>
              </w:rPr>
              <w:t>17</w:t>
            </w:r>
            <w:r>
              <w:rPr>
                <w:rFonts w:ascii="Book Antiqua" w:eastAsia="SimSun" w:hAnsi="Book Antiqua" w:hint="eastAsia"/>
                <w:lang w:val="en-US" w:eastAsia="zh-CN"/>
              </w:rPr>
              <w:t xml:space="preserve"> (</w:t>
            </w:r>
            <w:r w:rsidRPr="0088290D">
              <w:rPr>
                <w:rFonts w:ascii="Book Antiqua" w:hAnsi="Book Antiqua"/>
                <w:lang w:val="en-US"/>
              </w:rPr>
              <w:t>25.4</w:t>
            </w:r>
            <w:r>
              <w:rPr>
                <w:rFonts w:ascii="Book Antiqua" w:hAnsi="Book Antiqua"/>
                <w:lang w:val="en-US"/>
              </w:rPr>
              <w:t>)</w:t>
            </w:r>
          </w:p>
        </w:tc>
        <w:tc>
          <w:tcPr>
            <w:tcW w:w="170" w:type="pct"/>
            <w:shd w:val="clear" w:color="auto" w:fill="auto"/>
          </w:tcPr>
          <w:p w14:paraId="7135DB57"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687" w:type="pct"/>
            <w:shd w:val="clear" w:color="auto" w:fill="auto"/>
            <w:noWrap/>
            <w:hideMark/>
          </w:tcPr>
          <w:p w14:paraId="3A2C7C1C"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7</w:t>
            </w:r>
            <w:r>
              <w:rPr>
                <w:rFonts w:ascii="Book Antiqua" w:eastAsia="SimSun" w:hAnsi="Book Antiqua" w:hint="eastAsia"/>
                <w:lang w:val="en-US" w:eastAsia="zh-CN"/>
              </w:rPr>
              <w:t xml:space="preserve"> (</w:t>
            </w:r>
            <w:r w:rsidRPr="0088290D">
              <w:rPr>
                <w:rFonts w:ascii="Book Antiqua" w:hAnsi="Book Antiqua"/>
                <w:lang w:val="en-US"/>
              </w:rPr>
              <w:t>4.1</w:t>
            </w:r>
            <w:r>
              <w:rPr>
                <w:rFonts w:ascii="Book Antiqua" w:hAnsi="Book Antiqua"/>
                <w:lang w:val="en-US"/>
              </w:rPr>
              <w:t>)</w:t>
            </w:r>
          </w:p>
        </w:tc>
        <w:tc>
          <w:tcPr>
            <w:tcW w:w="649" w:type="pct"/>
            <w:shd w:val="clear" w:color="auto" w:fill="auto"/>
            <w:noWrap/>
          </w:tcPr>
          <w:p w14:paraId="57A22067"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&lt;</w:t>
            </w:r>
            <w:r>
              <w:rPr>
                <w:rFonts w:ascii="Book Antiqua" w:eastAsia="SimSun" w:hAnsi="Book Antiqua" w:hint="eastAsia"/>
                <w:lang w:val="en-US" w:eastAsia="zh-CN"/>
              </w:rPr>
              <w:t xml:space="preserve"> </w:t>
            </w:r>
            <w:r w:rsidRPr="0088290D">
              <w:rPr>
                <w:rFonts w:ascii="Book Antiqua" w:hAnsi="Book Antiqua"/>
                <w:lang w:val="en-US"/>
              </w:rPr>
              <w:t>0.001</w:t>
            </w:r>
          </w:p>
        </w:tc>
        <w:tc>
          <w:tcPr>
            <w:tcW w:w="123" w:type="pct"/>
            <w:shd w:val="clear" w:color="auto" w:fill="auto"/>
          </w:tcPr>
          <w:p w14:paraId="01C1EE48"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774" w:type="pct"/>
            <w:shd w:val="clear" w:color="auto" w:fill="auto"/>
            <w:noWrap/>
            <w:hideMark/>
          </w:tcPr>
          <w:p w14:paraId="07DEF1FD" w14:textId="77777777" w:rsidR="00FB059C" w:rsidRPr="00976FCC" w:rsidRDefault="00FB059C" w:rsidP="00FB059C">
            <w:pPr>
              <w:spacing w:line="360" w:lineRule="auto"/>
              <w:jc w:val="both"/>
              <w:rPr>
                <w:rFonts w:ascii="Book Antiqua" w:eastAsia="SimSun" w:hAnsi="Book Antiqua" w:cs="Arial"/>
                <w:color w:val="000000"/>
                <w:lang w:val="en-US" w:eastAsia="zh-CN"/>
              </w:rPr>
            </w:pPr>
            <w:r w:rsidRPr="0088290D">
              <w:rPr>
                <w:rFonts w:ascii="Book Antiqua" w:hAnsi="Book Antiqua"/>
                <w:lang w:val="en-US"/>
              </w:rPr>
              <w:t>3</w:t>
            </w:r>
            <w:r>
              <w:rPr>
                <w:rFonts w:ascii="Book Antiqua" w:eastAsia="SimSun" w:hAnsi="Book Antiqua" w:hint="eastAsia"/>
                <w:lang w:val="en-US" w:eastAsia="zh-CN"/>
              </w:rPr>
              <w:t xml:space="preserve"> (</w:t>
            </w:r>
            <w:r w:rsidRPr="0088290D">
              <w:rPr>
                <w:rFonts w:ascii="Book Antiqua" w:hAnsi="Book Antiqua"/>
                <w:lang w:val="en-US"/>
              </w:rPr>
              <w:t>2.7</w:t>
            </w:r>
            <w:r>
              <w:rPr>
                <w:rFonts w:ascii="Book Antiqua" w:hAnsi="Book Antiqua"/>
                <w:lang w:val="en-US"/>
              </w:rPr>
              <w:t>)</w:t>
            </w:r>
          </w:p>
        </w:tc>
        <w:tc>
          <w:tcPr>
            <w:tcW w:w="661" w:type="pct"/>
            <w:shd w:val="clear" w:color="auto" w:fill="auto"/>
            <w:noWrap/>
          </w:tcPr>
          <w:p w14:paraId="0EF62260"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&lt;</w:t>
            </w:r>
            <w:r>
              <w:rPr>
                <w:rFonts w:ascii="Book Antiqua" w:eastAsia="SimSun" w:hAnsi="Book Antiqua" w:hint="eastAsia"/>
                <w:lang w:val="en-US" w:eastAsia="zh-CN"/>
              </w:rPr>
              <w:t xml:space="preserve"> </w:t>
            </w:r>
            <w:r w:rsidRPr="0088290D">
              <w:rPr>
                <w:rFonts w:ascii="Book Antiqua" w:hAnsi="Book Antiqua"/>
                <w:lang w:val="en-US"/>
              </w:rPr>
              <w:t>0.001</w:t>
            </w:r>
          </w:p>
        </w:tc>
      </w:tr>
      <w:tr w:rsidR="00FB059C" w:rsidRPr="0088290D" w14:paraId="5D7BE15D" w14:textId="77777777" w:rsidTr="00FB059C">
        <w:trPr>
          <w:trHeight w:val="395"/>
          <w:jc w:val="center"/>
        </w:trPr>
        <w:tc>
          <w:tcPr>
            <w:tcW w:w="875" w:type="pct"/>
            <w:shd w:val="clear" w:color="auto" w:fill="auto"/>
            <w:noWrap/>
            <w:vAlign w:val="center"/>
          </w:tcPr>
          <w:p w14:paraId="4D47C5A0"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IgA or IgG</w:t>
            </w:r>
          </w:p>
        </w:tc>
        <w:tc>
          <w:tcPr>
            <w:tcW w:w="131" w:type="pct"/>
            <w:shd w:val="clear" w:color="auto" w:fill="auto"/>
          </w:tcPr>
          <w:p w14:paraId="55756D05" w14:textId="77777777" w:rsidR="00FB059C" w:rsidRPr="0088290D" w:rsidRDefault="00FB059C" w:rsidP="00FB059C">
            <w:pPr>
              <w:spacing w:line="360" w:lineRule="auto"/>
              <w:jc w:val="both"/>
              <w:rPr>
                <w:rFonts w:ascii="Book Antiqua" w:hAnsi="Book Antiqua"/>
                <w:lang w:val="en-US"/>
              </w:rPr>
            </w:pPr>
          </w:p>
        </w:tc>
        <w:tc>
          <w:tcPr>
            <w:tcW w:w="930" w:type="pct"/>
            <w:shd w:val="clear" w:color="auto" w:fill="auto"/>
            <w:noWrap/>
          </w:tcPr>
          <w:p w14:paraId="14E42B8A" w14:textId="77777777" w:rsidR="00FB059C" w:rsidRPr="0032387C" w:rsidRDefault="00FB059C" w:rsidP="00FB059C">
            <w:pPr>
              <w:spacing w:line="360" w:lineRule="auto"/>
              <w:jc w:val="both"/>
              <w:rPr>
                <w:rFonts w:ascii="Book Antiqua" w:eastAsia="SimSun" w:hAnsi="Book Antiqua"/>
                <w:lang w:val="en-US" w:eastAsia="zh-CN"/>
              </w:rPr>
            </w:pPr>
            <w:r w:rsidRPr="0088290D">
              <w:rPr>
                <w:rFonts w:ascii="Book Antiqua" w:hAnsi="Book Antiqua"/>
                <w:lang w:val="en-US"/>
              </w:rPr>
              <w:t>27</w:t>
            </w:r>
            <w:r>
              <w:rPr>
                <w:rFonts w:ascii="Book Antiqua" w:eastAsia="SimSun" w:hAnsi="Book Antiqua" w:hint="eastAsia"/>
                <w:lang w:val="en-US" w:eastAsia="zh-CN"/>
              </w:rPr>
              <w:t xml:space="preserve"> (</w:t>
            </w:r>
            <w:r w:rsidRPr="0088290D">
              <w:rPr>
                <w:rFonts w:ascii="Book Antiqua" w:hAnsi="Book Antiqua"/>
                <w:lang w:val="en-US"/>
              </w:rPr>
              <w:t>40.3</w:t>
            </w:r>
            <w:r>
              <w:rPr>
                <w:rFonts w:ascii="Book Antiqua" w:hAnsi="Book Antiqua"/>
                <w:lang w:val="en-US"/>
              </w:rPr>
              <w:t>)</w:t>
            </w:r>
          </w:p>
        </w:tc>
        <w:tc>
          <w:tcPr>
            <w:tcW w:w="170" w:type="pct"/>
            <w:shd w:val="clear" w:color="auto" w:fill="auto"/>
          </w:tcPr>
          <w:p w14:paraId="106714FE" w14:textId="77777777" w:rsidR="00FB059C" w:rsidRPr="0088290D" w:rsidRDefault="00FB059C" w:rsidP="00FB059C">
            <w:pPr>
              <w:spacing w:line="360" w:lineRule="auto"/>
              <w:jc w:val="both"/>
              <w:rPr>
                <w:rFonts w:ascii="Book Antiqua" w:hAnsi="Book Antiqua"/>
                <w:lang w:val="en-US"/>
              </w:rPr>
            </w:pPr>
          </w:p>
        </w:tc>
        <w:tc>
          <w:tcPr>
            <w:tcW w:w="687" w:type="pct"/>
            <w:shd w:val="clear" w:color="auto" w:fill="auto"/>
            <w:noWrap/>
          </w:tcPr>
          <w:p w14:paraId="5D9D0F2A"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25</w:t>
            </w:r>
            <w:r>
              <w:rPr>
                <w:rFonts w:ascii="Book Antiqua" w:eastAsia="SimSun" w:hAnsi="Book Antiqua" w:hint="eastAsia"/>
                <w:lang w:val="en-US" w:eastAsia="zh-CN"/>
              </w:rPr>
              <w:t xml:space="preserve"> (</w:t>
            </w:r>
            <w:r w:rsidRPr="0088290D">
              <w:rPr>
                <w:rFonts w:ascii="Book Antiqua" w:hAnsi="Book Antiqua"/>
                <w:lang w:val="en-US"/>
              </w:rPr>
              <w:t>14.7</w:t>
            </w:r>
            <w:r>
              <w:rPr>
                <w:rFonts w:ascii="Book Antiqua" w:hAnsi="Book Antiqua"/>
                <w:lang w:val="en-US"/>
              </w:rPr>
              <w:t>)</w:t>
            </w:r>
          </w:p>
        </w:tc>
        <w:tc>
          <w:tcPr>
            <w:tcW w:w="649" w:type="pct"/>
            <w:shd w:val="clear" w:color="auto" w:fill="auto"/>
            <w:noWrap/>
          </w:tcPr>
          <w:p w14:paraId="6D5BB59E"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&lt;</w:t>
            </w:r>
            <w:r>
              <w:rPr>
                <w:rFonts w:ascii="Book Antiqua" w:eastAsia="SimSun" w:hAnsi="Book Antiqua" w:hint="eastAsia"/>
                <w:lang w:val="en-US" w:eastAsia="zh-CN"/>
              </w:rPr>
              <w:t xml:space="preserve"> </w:t>
            </w:r>
            <w:r w:rsidRPr="0088290D">
              <w:rPr>
                <w:rFonts w:ascii="Book Antiqua" w:hAnsi="Book Antiqua"/>
                <w:lang w:val="en-US"/>
              </w:rPr>
              <w:t>0.001</w:t>
            </w:r>
          </w:p>
        </w:tc>
        <w:tc>
          <w:tcPr>
            <w:tcW w:w="123" w:type="pct"/>
            <w:shd w:val="clear" w:color="auto" w:fill="auto"/>
          </w:tcPr>
          <w:p w14:paraId="725355CC" w14:textId="77777777" w:rsidR="00FB059C" w:rsidRPr="0088290D" w:rsidRDefault="00FB059C" w:rsidP="00FB059C">
            <w:pPr>
              <w:spacing w:line="360" w:lineRule="auto"/>
              <w:jc w:val="both"/>
              <w:rPr>
                <w:rFonts w:ascii="Book Antiqua" w:hAnsi="Book Antiqua"/>
                <w:lang w:val="en-US"/>
              </w:rPr>
            </w:pPr>
          </w:p>
        </w:tc>
        <w:tc>
          <w:tcPr>
            <w:tcW w:w="774" w:type="pct"/>
            <w:shd w:val="clear" w:color="auto" w:fill="auto"/>
            <w:noWrap/>
          </w:tcPr>
          <w:p w14:paraId="020F666E"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7</w:t>
            </w:r>
            <w:r>
              <w:rPr>
                <w:rFonts w:ascii="Book Antiqua" w:eastAsia="SimSun" w:hAnsi="Book Antiqua" w:hint="eastAsia"/>
                <w:lang w:val="en-US" w:eastAsia="zh-CN"/>
              </w:rPr>
              <w:t xml:space="preserve"> (</w:t>
            </w:r>
            <w:r w:rsidRPr="0088290D">
              <w:rPr>
                <w:rFonts w:ascii="Book Antiqua" w:hAnsi="Book Antiqua"/>
                <w:lang w:val="en-US"/>
              </w:rPr>
              <w:t>6.2</w:t>
            </w:r>
            <w:r>
              <w:rPr>
                <w:rFonts w:ascii="Book Antiqua" w:hAnsi="Book Antiqua"/>
                <w:lang w:val="en-US"/>
              </w:rPr>
              <w:t>)</w:t>
            </w:r>
          </w:p>
        </w:tc>
        <w:tc>
          <w:tcPr>
            <w:tcW w:w="661" w:type="pct"/>
            <w:shd w:val="clear" w:color="auto" w:fill="auto"/>
            <w:noWrap/>
          </w:tcPr>
          <w:p w14:paraId="23D92C0E"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&lt;</w:t>
            </w:r>
            <w:r>
              <w:rPr>
                <w:rFonts w:ascii="Book Antiqua" w:eastAsia="SimSun" w:hAnsi="Book Antiqua" w:hint="eastAsia"/>
                <w:lang w:val="en-US" w:eastAsia="zh-CN"/>
              </w:rPr>
              <w:t xml:space="preserve"> </w:t>
            </w:r>
            <w:r w:rsidRPr="0088290D">
              <w:rPr>
                <w:rFonts w:ascii="Book Antiqua" w:hAnsi="Book Antiqua"/>
                <w:lang w:val="en-US"/>
              </w:rPr>
              <w:t>0.001</w:t>
            </w:r>
          </w:p>
        </w:tc>
      </w:tr>
      <w:tr w:rsidR="00FB059C" w:rsidRPr="0088290D" w14:paraId="345335CF" w14:textId="77777777" w:rsidTr="00FB059C">
        <w:trPr>
          <w:trHeight w:val="395"/>
          <w:jc w:val="center"/>
        </w:trPr>
        <w:tc>
          <w:tcPr>
            <w:tcW w:w="875" w:type="pct"/>
            <w:shd w:val="clear" w:color="auto" w:fill="auto"/>
            <w:noWrap/>
            <w:vAlign w:val="center"/>
          </w:tcPr>
          <w:p w14:paraId="74819A2D"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IgA and IgG</w:t>
            </w:r>
          </w:p>
        </w:tc>
        <w:tc>
          <w:tcPr>
            <w:tcW w:w="131" w:type="pct"/>
            <w:shd w:val="clear" w:color="auto" w:fill="auto"/>
          </w:tcPr>
          <w:p w14:paraId="2B04B80B" w14:textId="77777777" w:rsidR="00FB059C" w:rsidRPr="0088290D" w:rsidRDefault="00FB059C" w:rsidP="00FB059C">
            <w:pPr>
              <w:spacing w:line="360" w:lineRule="auto"/>
              <w:jc w:val="both"/>
              <w:rPr>
                <w:rFonts w:ascii="Book Antiqua" w:hAnsi="Book Antiqua"/>
                <w:lang w:val="en-US"/>
              </w:rPr>
            </w:pPr>
          </w:p>
        </w:tc>
        <w:tc>
          <w:tcPr>
            <w:tcW w:w="930" w:type="pct"/>
            <w:shd w:val="clear" w:color="auto" w:fill="auto"/>
            <w:noWrap/>
          </w:tcPr>
          <w:p w14:paraId="6F155609" w14:textId="77777777" w:rsidR="00FB059C" w:rsidRPr="0032387C" w:rsidRDefault="00FB059C" w:rsidP="00FB059C">
            <w:pPr>
              <w:spacing w:line="360" w:lineRule="auto"/>
              <w:jc w:val="both"/>
              <w:rPr>
                <w:rFonts w:ascii="Book Antiqua" w:eastAsia="SimSun" w:hAnsi="Book Antiqua"/>
                <w:lang w:val="en-US" w:eastAsia="zh-CN"/>
              </w:rPr>
            </w:pPr>
            <w:r w:rsidRPr="0088290D">
              <w:rPr>
                <w:rFonts w:ascii="Book Antiqua" w:hAnsi="Book Antiqua"/>
                <w:lang w:val="en-US"/>
              </w:rPr>
              <w:t>9</w:t>
            </w:r>
            <w:r>
              <w:rPr>
                <w:rFonts w:ascii="Book Antiqua" w:eastAsia="SimSun" w:hAnsi="Book Antiqua" w:hint="eastAsia"/>
                <w:lang w:val="en-US" w:eastAsia="zh-CN"/>
              </w:rPr>
              <w:t xml:space="preserve"> (</w:t>
            </w:r>
            <w:r w:rsidRPr="0088290D">
              <w:rPr>
                <w:rFonts w:ascii="Book Antiqua" w:hAnsi="Book Antiqua"/>
                <w:lang w:val="en-US"/>
              </w:rPr>
              <w:t>13.4</w:t>
            </w:r>
            <w:r>
              <w:rPr>
                <w:rFonts w:ascii="Book Antiqua" w:hAnsi="Book Antiqua"/>
                <w:lang w:val="en-US"/>
              </w:rPr>
              <w:t>)</w:t>
            </w:r>
          </w:p>
        </w:tc>
        <w:tc>
          <w:tcPr>
            <w:tcW w:w="170" w:type="pct"/>
            <w:shd w:val="clear" w:color="auto" w:fill="auto"/>
          </w:tcPr>
          <w:p w14:paraId="20928185" w14:textId="77777777" w:rsidR="00FB059C" w:rsidRPr="0088290D" w:rsidRDefault="00FB059C" w:rsidP="00FB059C">
            <w:pPr>
              <w:spacing w:line="360" w:lineRule="auto"/>
              <w:jc w:val="both"/>
              <w:rPr>
                <w:rFonts w:ascii="Book Antiqua" w:hAnsi="Book Antiqua"/>
                <w:lang w:val="en-US"/>
              </w:rPr>
            </w:pPr>
          </w:p>
        </w:tc>
        <w:tc>
          <w:tcPr>
            <w:tcW w:w="687" w:type="pct"/>
            <w:shd w:val="clear" w:color="auto" w:fill="auto"/>
            <w:noWrap/>
          </w:tcPr>
          <w:p w14:paraId="2F7F9486"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1</w:t>
            </w:r>
            <w:r>
              <w:rPr>
                <w:rFonts w:ascii="Book Antiqua" w:eastAsia="SimSun" w:hAnsi="Book Antiqua" w:hint="eastAsia"/>
                <w:lang w:val="en-US" w:eastAsia="zh-CN"/>
              </w:rPr>
              <w:t xml:space="preserve"> (</w:t>
            </w:r>
            <w:r w:rsidRPr="0088290D">
              <w:rPr>
                <w:rFonts w:ascii="Book Antiqua" w:hAnsi="Book Antiqua"/>
                <w:lang w:val="en-US"/>
              </w:rPr>
              <w:t>0.6</w:t>
            </w:r>
            <w:r>
              <w:rPr>
                <w:rFonts w:ascii="Book Antiqua" w:hAnsi="Book Antiqua"/>
                <w:lang w:val="en-US"/>
              </w:rPr>
              <w:t>)</w:t>
            </w:r>
          </w:p>
        </w:tc>
        <w:tc>
          <w:tcPr>
            <w:tcW w:w="649" w:type="pct"/>
            <w:shd w:val="clear" w:color="auto" w:fill="auto"/>
            <w:noWrap/>
          </w:tcPr>
          <w:p w14:paraId="4C719DEA"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&lt;</w:t>
            </w:r>
            <w:r>
              <w:rPr>
                <w:rFonts w:ascii="Book Antiqua" w:eastAsia="SimSun" w:hAnsi="Book Antiqua" w:hint="eastAsia"/>
                <w:lang w:val="en-US" w:eastAsia="zh-CN"/>
              </w:rPr>
              <w:t xml:space="preserve"> </w:t>
            </w:r>
            <w:r w:rsidRPr="0088290D">
              <w:rPr>
                <w:rFonts w:ascii="Book Antiqua" w:hAnsi="Book Antiqua"/>
                <w:lang w:val="en-US"/>
              </w:rPr>
              <w:t>0.001</w:t>
            </w:r>
          </w:p>
        </w:tc>
        <w:tc>
          <w:tcPr>
            <w:tcW w:w="123" w:type="pct"/>
            <w:shd w:val="clear" w:color="auto" w:fill="auto"/>
          </w:tcPr>
          <w:p w14:paraId="3DC3ED8E" w14:textId="77777777" w:rsidR="00FB059C" w:rsidRPr="0088290D" w:rsidRDefault="00FB059C" w:rsidP="00FB059C">
            <w:pPr>
              <w:spacing w:line="360" w:lineRule="auto"/>
              <w:jc w:val="both"/>
              <w:rPr>
                <w:rFonts w:ascii="Book Antiqua" w:hAnsi="Book Antiqua"/>
                <w:lang w:val="en-US"/>
              </w:rPr>
            </w:pPr>
          </w:p>
        </w:tc>
        <w:tc>
          <w:tcPr>
            <w:tcW w:w="774" w:type="pct"/>
            <w:shd w:val="clear" w:color="auto" w:fill="auto"/>
            <w:noWrap/>
          </w:tcPr>
          <w:p w14:paraId="207D285F"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1</w:t>
            </w:r>
            <w:r>
              <w:rPr>
                <w:rFonts w:ascii="Book Antiqua" w:eastAsia="SimSun" w:hAnsi="Book Antiqua" w:hint="eastAsia"/>
                <w:lang w:val="en-US" w:eastAsia="zh-CN"/>
              </w:rPr>
              <w:t xml:space="preserve"> (</w:t>
            </w:r>
            <w:r w:rsidRPr="0088290D">
              <w:rPr>
                <w:rFonts w:ascii="Book Antiqua" w:hAnsi="Book Antiqua"/>
                <w:lang w:val="en-US"/>
              </w:rPr>
              <w:t>0.9</w:t>
            </w:r>
            <w:r>
              <w:rPr>
                <w:rFonts w:ascii="Book Antiqua" w:hAnsi="Book Antiqua"/>
                <w:lang w:val="en-US"/>
              </w:rPr>
              <w:t>)</w:t>
            </w:r>
          </w:p>
        </w:tc>
        <w:tc>
          <w:tcPr>
            <w:tcW w:w="661" w:type="pct"/>
            <w:shd w:val="clear" w:color="auto" w:fill="auto"/>
            <w:noWrap/>
          </w:tcPr>
          <w:p w14:paraId="7C82786F"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0.001</w:t>
            </w:r>
          </w:p>
        </w:tc>
      </w:tr>
      <w:tr w:rsidR="00FB059C" w:rsidRPr="0088290D" w14:paraId="757A6130" w14:textId="77777777" w:rsidTr="00FB059C">
        <w:trPr>
          <w:trHeight w:val="395"/>
          <w:jc w:val="center"/>
        </w:trPr>
        <w:tc>
          <w:tcPr>
            <w:tcW w:w="875" w:type="pct"/>
            <w:shd w:val="clear" w:color="auto" w:fill="auto"/>
            <w:noWrap/>
            <w:vAlign w:val="center"/>
          </w:tcPr>
          <w:p w14:paraId="774406DC"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AGA</w:t>
            </w:r>
          </w:p>
        </w:tc>
        <w:tc>
          <w:tcPr>
            <w:tcW w:w="131" w:type="pct"/>
            <w:shd w:val="clear" w:color="auto" w:fill="auto"/>
          </w:tcPr>
          <w:p w14:paraId="07C81CC3" w14:textId="77777777" w:rsidR="00FB059C" w:rsidRPr="0088290D" w:rsidRDefault="00FB059C" w:rsidP="00FB059C">
            <w:pPr>
              <w:spacing w:line="360" w:lineRule="auto"/>
              <w:jc w:val="both"/>
              <w:rPr>
                <w:rFonts w:ascii="Book Antiqua" w:hAnsi="Book Antiqua"/>
                <w:lang w:val="en-US"/>
              </w:rPr>
            </w:pPr>
          </w:p>
        </w:tc>
        <w:tc>
          <w:tcPr>
            <w:tcW w:w="930" w:type="pct"/>
            <w:shd w:val="clear" w:color="auto" w:fill="auto"/>
            <w:noWrap/>
          </w:tcPr>
          <w:p w14:paraId="23041B77" w14:textId="77777777" w:rsidR="00FB059C" w:rsidRPr="0088290D" w:rsidRDefault="00FB059C" w:rsidP="00FB059C">
            <w:pPr>
              <w:spacing w:line="360" w:lineRule="auto"/>
              <w:jc w:val="both"/>
              <w:rPr>
                <w:rFonts w:ascii="Book Antiqua" w:hAnsi="Book Antiqua"/>
                <w:lang w:val="en-US"/>
              </w:rPr>
            </w:pPr>
          </w:p>
        </w:tc>
        <w:tc>
          <w:tcPr>
            <w:tcW w:w="170" w:type="pct"/>
            <w:shd w:val="clear" w:color="auto" w:fill="auto"/>
          </w:tcPr>
          <w:p w14:paraId="6F9E67AA" w14:textId="77777777" w:rsidR="00FB059C" w:rsidRPr="0088290D" w:rsidRDefault="00FB059C" w:rsidP="00FB059C">
            <w:pPr>
              <w:spacing w:line="360" w:lineRule="auto"/>
              <w:jc w:val="both"/>
              <w:rPr>
                <w:rFonts w:ascii="Book Antiqua" w:hAnsi="Book Antiqua"/>
                <w:lang w:val="en-US"/>
              </w:rPr>
            </w:pPr>
          </w:p>
        </w:tc>
        <w:tc>
          <w:tcPr>
            <w:tcW w:w="687" w:type="pct"/>
            <w:shd w:val="clear" w:color="auto" w:fill="auto"/>
            <w:noWrap/>
          </w:tcPr>
          <w:p w14:paraId="2AFBD0E2" w14:textId="77777777" w:rsidR="00FB059C" w:rsidRPr="0088290D" w:rsidRDefault="00FB059C" w:rsidP="00FB059C">
            <w:pPr>
              <w:spacing w:line="360" w:lineRule="auto"/>
              <w:jc w:val="both"/>
              <w:rPr>
                <w:rFonts w:ascii="Book Antiqua" w:hAnsi="Book Antiqua"/>
                <w:lang w:val="en-US"/>
              </w:rPr>
            </w:pPr>
          </w:p>
        </w:tc>
        <w:tc>
          <w:tcPr>
            <w:tcW w:w="649" w:type="pct"/>
            <w:shd w:val="clear" w:color="auto" w:fill="auto"/>
            <w:noWrap/>
          </w:tcPr>
          <w:p w14:paraId="198925C7" w14:textId="77777777" w:rsidR="00FB059C" w:rsidRPr="0088290D" w:rsidRDefault="00FB059C" w:rsidP="00FB059C">
            <w:pPr>
              <w:spacing w:line="360" w:lineRule="auto"/>
              <w:jc w:val="both"/>
              <w:rPr>
                <w:rFonts w:ascii="Book Antiqua" w:hAnsi="Book Antiqua"/>
                <w:lang w:val="en-US"/>
              </w:rPr>
            </w:pPr>
          </w:p>
        </w:tc>
        <w:tc>
          <w:tcPr>
            <w:tcW w:w="123" w:type="pct"/>
            <w:shd w:val="clear" w:color="auto" w:fill="auto"/>
          </w:tcPr>
          <w:p w14:paraId="3D7AF532" w14:textId="77777777" w:rsidR="00FB059C" w:rsidRPr="0088290D" w:rsidRDefault="00FB059C" w:rsidP="00FB059C">
            <w:pPr>
              <w:spacing w:line="360" w:lineRule="auto"/>
              <w:jc w:val="both"/>
              <w:rPr>
                <w:rFonts w:ascii="Book Antiqua" w:hAnsi="Book Antiqua"/>
                <w:lang w:val="en-US"/>
              </w:rPr>
            </w:pPr>
          </w:p>
        </w:tc>
        <w:tc>
          <w:tcPr>
            <w:tcW w:w="774" w:type="pct"/>
            <w:shd w:val="clear" w:color="auto" w:fill="auto"/>
            <w:noWrap/>
          </w:tcPr>
          <w:p w14:paraId="311D57F5" w14:textId="77777777" w:rsidR="00FB059C" w:rsidRPr="0088290D" w:rsidRDefault="00FB059C" w:rsidP="00FB059C">
            <w:pPr>
              <w:spacing w:line="360" w:lineRule="auto"/>
              <w:jc w:val="both"/>
              <w:rPr>
                <w:rFonts w:ascii="Book Antiqua" w:hAnsi="Book Antiqua"/>
                <w:lang w:val="en-US"/>
              </w:rPr>
            </w:pPr>
          </w:p>
        </w:tc>
        <w:tc>
          <w:tcPr>
            <w:tcW w:w="661" w:type="pct"/>
            <w:shd w:val="clear" w:color="auto" w:fill="auto"/>
            <w:noWrap/>
          </w:tcPr>
          <w:p w14:paraId="4DC40ED8" w14:textId="77777777" w:rsidR="00FB059C" w:rsidRPr="0088290D" w:rsidRDefault="00FB059C" w:rsidP="00FB059C">
            <w:pPr>
              <w:spacing w:line="360" w:lineRule="auto"/>
              <w:jc w:val="both"/>
              <w:rPr>
                <w:rFonts w:ascii="Book Antiqua" w:hAnsi="Book Antiqua"/>
                <w:lang w:val="en-US"/>
              </w:rPr>
            </w:pPr>
          </w:p>
        </w:tc>
      </w:tr>
      <w:tr w:rsidR="00FB059C" w:rsidRPr="0088290D" w14:paraId="7DA5B0B5" w14:textId="77777777" w:rsidTr="00FB059C">
        <w:trPr>
          <w:trHeight w:val="395"/>
          <w:jc w:val="center"/>
        </w:trPr>
        <w:tc>
          <w:tcPr>
            <w:tcW w:w="875" w:type="pct"/>
            <w:shd w:val="clear" w:color="auto" w:fill="auto"/>
            <w:noWrap/>
            <w:vAlign w:val="center"/>
          </w:tcPr>
          <w:p w14:paraId="72EF5DC7"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IgA</w:t>
            </w:r>
          </w:p>
        </w:tc>
        <w:tc>
          <w:tcPr>
            <w:tcW w:w="131" w:type="pct"/>
            <w:shd w:val="clear" w:color="auto" w:fill="auto"/>
          </w:tcPr>
          <w:p w14:paraId="63ED9859"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930" w:type="pct"/>
            <w:shd w:val="clear" w:color="auto" w:fill="auto"/>
            <w:noWrap/>
          </w:tcPr>
          <w:p w14:paraId="2CFA6E51" w14:textId="77777777" w:rsidR="00FB059C" w:rsidRPr="0032387C" w:rsidRDefault="00FB059C" w:rsidP="00FB059C">
            <w:pPr>
              <w:spacing w:line="360" w:lineRule="auto"/>
              <w:jc w:val="both"/>
              <w:rPr>
                <w:rFonts w:ascii="Book Antiqua" w:eastAsia="SimSun" w:hAnsi="Book Antiqua" w:cs="Arial"/>
                <w:color w:val="000000"/>
                <w:lang w:val="en-US" w:eastAsia="zh-CN"/>
              </w:rPr>
            </w:pPr>
            <w:r w:rsidRPr="0088290D">
              <w:rPr>
                <w:rFonts w:ascii="Book Antiqua" w:hAnsi="Book Antiqua"/>
                <w:lang w:val="en-US"/>
              </w:rPr>
              <w:t>6</w:t>
            </w:r>
            <w:r>
              <w:rPr>
                <w:rFonts w:ascii="Book Antiqua" w:eastAsia="SimSun" w:hAnsi="Book Antiqua" w:hint="eastAsia"/>
                <w:lang w:val="en-US" w:eastAsia="zh-CN"/>
              </w:rPr>
              <w:t xml:space="preserve"> (</w:t>
            </w:r>
            <w:r w:rsidRPr="0088290D">
              <w:rPr>
                <w:rFonts w:ascii="Book Antiqua" w:hAnsi="Book Antiqua"/>
                <w:lang w:val="en-US"/>
              </w:rPr>
              <w:t>9.0</w:t>
            </w:r>
            <w:r>
              <w:rPr>
                <w:rFonts w:ascii="Book Antiqua" w:hAnsi="Book Antiqua"/>
                <w:lang w:val="en-US"/>
              </w:rPr>
              <w:t>)</w:t>
            </w:r>
          </w:p>
        </w:tc>
        <w:tc>
          <w:tcPr>
            <w:tcW w:w="170" w:type="pct"/>
            <w:shd w:val="clear" w:color="auto" w:fill="auto"/>
          </w:tcPr>
          <w:p w14:paraId="1E66E70E"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687" w:type="pct"/>
            <w:shd w:val="clear" w:color="auto" w:fill="auto"/>
            <w:noWrap/>
          </w:tcPr>
          <w:p w14:paraId="6CBABE74"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6</w:t>
            </w:r>
            <w:r>
              <w:rPr>
                <w:rFonts w:ascii="Book Antiqua" w:eastAsia="SimSun" w:hAnsi="Book Antiqua" w:hint="eastAsia"/>
                <w:lang w:val="en-US" w:eastAsia="zh-CN"/>
              </w:rPr>
              <w:t xml:space="preserve"> (</w:t>
            </w:r>
            <w:r w:rsidRPr="0088290D">
              <w:rPr>
                <w:rFonts w:ascii="Book Antiqua" w:hAnsi="Book Antiqua"/>
                <w:lang w:val="en-US"/>
              </w:rPr>
              <w:t>3.5</w:t>
            </w:r>
            <w:r>
              <w:rPr>
                <w:rFonts w:ascii="Book Antiqua" w:hAnsi="Book Antiqua"/>
                <w:lang w:val="en-US"/>
              </w:rPr>
              <w:t>)</w:t>
            </w:r>
          </w:p>
        </w:tc>
        <w:tc>
          <w:tcPr>
            <w:tcW w:w="649" w:type="pct"/>
            <w:shd w:val="clear" w:color="auto" w:fill="auto"/>
            <w:noWrap/>
          </w:tcPr>
          <w:p w14:paraId="53295516"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0.101</w:t>
            </w:r>
          </w:p>
        </w:tc>
        <w:tc>
          <w:tcPr>
            <w:tcW w:w="123" w:type="pct"/>
            <w:shd w:val="clear" w:color="auto" w:fill="auto"/>
          </w:tcPr>
          <w:p w14:paraId="73B20AE0"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774" w:type="pct"/>
            <w:shd w:val="clear" w:color="auto" w:fill="auto"/>
            <w:noWrap/>
          </w:tcPr>
          <w:p w14:paraId="10582412"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4</w:t>
            </w:r>
            <w:r>
              <w:rPr>
                <w:rFonts w:ascii="Book Antiqua" w:eastAsia="SimSun" w:hAnsi="Book Antiqua" w:hint="eastAsia"/>
                <w:lang w:val="en-US" w:eastAsia="zh-CN"/>
              </w:rPr>
              <w:t xml:space="preserve"> (</w:t>
            </w:r>
            <w:r w:rsidRPr="0088290D">
              <w:rPr>
                <w:rFonts w:ascii="Book Antiqua" w:hAnsi="Book Antiqua"/>
                <w:lang w:val="en-US"/>
              </w:rPr>
              <w:t>2.6</w:t>
            </w:r>
            <w:r>
              <w:rPr>
                <w:rFonts w:ascii="Book Antiqua" w:hAnsi="Book Antiqua"/>
                <w:lang w:val="en-US"/>
              </w:rPr>
              <w:t>)</w:t>
            </w:r>
          </w:p>
        </w:tc>
        <w:tc>
          <w:tcPr>
            <w:tcW w:w="661" w:type="pct"/>
            <w:shd w:val="clear" w:color="auto" w:fill="auto"/>
            <w:noWrap/>
          </w:tcPr>
          <w:p w14:paraId="206C8136"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0.071</w:t>
            </w:r>
          </w:p>
        </w:tc>
      </w:tr>
      <w:tr w:rsidR="00FB059C" w:rsidRPr="0088290D" w14:paraId="4ED1E62F" w14:textId="77777777" w:rsidTr="00FB059C">
        <w:trPr>
          <w:trHeight w:val="395"/>
          <w:jc w:val="center"/>
        </w:trPr>
        <w:tc>
          <w:tcPr>
            <w:tcW w:w="875" w:type="pct"/>
            <w:shd w:val="clear" w:color="auto" w:fill="auto"/>
            <w:noWrap/>
            <w:vAlign w:val="center"/>
          </w:tcPr>
          <w:p w14:paraId="58790384"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IgG</w:t>
            </w:r>
          </w:p>
        </w:tc>
        <w:tc>
          <w:tcPr>
            <w:tcW w:w="131" w:type="pct"/>
            <w:shd w:val="clear" w:color="auto" w:fill="auto"/>
          </w:tcPr>
          <w:p w14:paraId="3588D138"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930" w:type="pct"/>
            <w:shd w:val="clear" w:color="auto" w:fill="auto"/>
            <w:noWrap/>
          </w:tcPr>
          <w:p w14:paraId="5CCF2B42"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14</w:t>
            </w:r>
            <w:r>
              <w:rPr>
                <w:rFonts w:ascii="Book Antiqua" w:eastAsia="SimSun" w:hAnsi="Book Antiqua" w:hint="eastAsia"/>
                <w:lang w:val="en-US" w:eastAsia="zh-CN"/>
              </w:rPr>
              <w:t xml:space="preserve"> (</w:t>
            </w:r>
            <w:r w:rsidRPr="0088290D">
              <w:rPr>
                <w:rFonts w:ascii="Book Antiqua" w:hAnsi="Book Antiqua"/>
                <w:lang w:val="en-US"/>
              </w:rPr>
              <w:t>20.9</w:t>
            </w:r>
            <w:r>
              <w:rPr>
                <w:rFonts w:ascii="Book Antiqua" w:hAnsi="Book Antiqua"/>
                <w:lang w:val="en-US"/>
              </w:rPr>
              <w:t>)</w:t>
            </w:r>
          </w:p>
        </w:tc>
        <w:tc>
          <w:tcPr>
            <w:tcW w:w="170" w:type="pct"/>
            <w:shd w:val="clear" w:color="auto" w:fill="auto"/>
          </w:tcPr>
          <w:p w14:paraId="12BB5B9F"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687" w:type="pct"/>
            <w:shd w:val="clear" w:color="auto" w:fill="auto"/>
            <w:noWrap/>
          </w:tcPr>
          <w:p w14:paraId="38B691AB"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15</w:t>
            </w:r>
            <w:r>
              <w:rPr>
                <w:rFonts w:ascii="Book Antiqua" w:eastAsia="SimSun" w:hAnsi="Book Antiqua" w:hint="eastAsia"/>
                <w:lang w:val="en-US" w:eastAsia="zh-CN"/>
              </w:rPr>
              <w:t xml:space="preserve"> (</w:t>
            </w:r>
            <w:r w:rsidRPr="0088290D">
              <w:rPr>
                <w:rFonts w:ascii="Book Antiqua" w:hAnsi="Book Antiqua"/>
                <w:lang w:val="en-US"/>
              </w:rPr>
              <w:t>8.7</w:t>
            </w:r>
            <w:r>
              <w:rPr>
                <w:rFonts w:ascii="Book Antiqua" w:hAnsi="Book Antiqua"/>
                <w:lang w:val="en-US"/>
              </w:rPr>
              <w:t>)</w:t>
            </w:r>
          </w:p>
        </w:tc>
        <w:tc>
          <w:tcPr>
            <w:tcW w:w="649" w:type="pct"/>
            <w:shd w:val="clear" w:color="auto" w:fill="auto"/>
            <w:noWrap/>
          </w:tcPr>
          <w:p w14:paraId="4EFF1BB8"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0.014</w:t>
            </w:r>
          </w:p>
        </w:tc>
        <w:tc>
          <w:tcPr>
            <w:tcW w:w="123" w:type="pct"/>
            <w:shd w:val="clear" w:color="auto" w:fill="auto"/>
          </w:tcPr>
          <w:p w14:paraId="2BD75071"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p>
        </w:tc>
        <w:tc>
          <w:tcPr>
            <w:tcW w:w="774" w:type="pct"/>
            <w:shd w:val="clear" w:color="auto" w:fill="auto"/>
            <w:noWrap/>
          </w:tcPr>
          <w:p w14:paraId="7E35B66B"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9</w:t>
            </w:r>
            <w:r>
              <w:rPr>
                <w:rFonts w:ascii="Book Antiqua" w:eastAsia="SimSun" w:hAnsi="Book Antiqua" w:hint="eastAsia"/>
                <w:lang w:val="en-US" w:eastAsia="zh-CN"/>
              </w:rPr>
              <w:t xml:space="preserve"> (</w:t>
            </w:r>
            <w:r w:rsidRPr="0088290D">
              <w:rPr>
                <w:rFonts w:ascii="Book Antiqua" w:hAnsi="Book Antiqua"/>
                <w:lang w:val="en-US"/>
              </w:rPr>
              <w:t>5.9</w:t>
            </w:r>
            <w:r>
              <w:rPr>
                <w:rFonts w:ascii="Book Antiqua" w:hAnsi="Book Antiqua"/>
                <w:lang w:val="en-US"/>
              </w:rPr>
              <w:t>)</w:t>
            </w:r>
          </w:p>
        </w:tc>
        <w:tc>
          <w:tcPr>
            <w:tcW w:w="661" w:type="pct"/>
            <w:shd w:val="clear" w:color="auto" w:fill="auto"/>
            <w:noWrap/>
          </w:tcPr>
          <w:p w14:paraId="6DA42FFD"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hAnsi="Book Antiqua"/>
                <w:lang w:val="en-US"/>
              </w:rPr>
              <w:t>0.002</w:t>
            </w:r>
          </w:p>
        </w:tc>
      </w:tr>
      <w:tr w:rsidR="00FB059C" w:rsidRPr="0088290D" w14:paraId="5AA732E6" w14:textId="77777777" w:rsidTr="00FB059C">
        <w:trPr>
          <w:trHeight w:val="395"/>
          <w:jc w:val="center"/>
        </w:trPr>
        <w:tc>
          <w:tcPr>
            <w:tcW w:w="875" w:type="pct"/>
            <w:shd w:val="clear" w:color="auto" w:fill="auto"/>
            <w:noWrap/>
            <w:vAlign w:val="center"/>
          </w:tcPr>
          <w:p w14:paraId="65787ADB"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IgA or IgG</w:t>
            </w:r>
          </w:p>
        </w:tc>
        <w:tc>
          <w:tcPr>
            <w:tcW w:w="131" w:type="pct"/>
            <w:shd w:val="clear" w:color="auto" w:fill="auto"/>
          </w:tcPr>
          <w:p w14:paraId="5A0DFEF8" w14:textId="77777777" w:rsidR="00FB059C" w:rsidRPr="0088290D" w:rsidRDefault="00FB059C" w:rsidP="00FB059C">
            <w:pPr>
              <w:spacing w:line="360" w:lineRule="auto"/>
              <w:jc w:val="both"/>
              <w:rPr>
                <w:rFonts w:ascii="Book Antiqua" w:hAnsi="Book Antiqua"/>
                <w:lang w:val="en-US"/>
              </w:rPr>
            </w:pPr>
          </w:p>
        </w:tc>
        <w:tc>
          <w:tcPr>
            <w:tcW w:w="930" w:type="pct"/>
            <w:shd w:val="clear" w:color="auto" w:fill="auto"/>
            <w:noWrap/>
          </w:tcPr>
          <w:p w14:paraId="65FB6102"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15</w:t>
            </w:r>
            <w:r>
              <w:rPr>
                <w:rFonts w:ascii="Book Antiqua" w:eastAsia="SimSun" w:hAnsi="Book Antiqua" w:hint="eastAsia"/>
                <w:lang w:val="en-US" w:eastAsia="zh-CN"/>
              </w:rPr>
              <w:t xml:space="preserve"> (</w:t>
            </w:r>
            <w:r w:rsidRPr="0088290D">
              <w:rPr>
                <w:rFonts w:ascii="Book Antiqua" w:hAnsi="Book Antiqua"/>
                <w:lang w:val="en-US"/>
              </w:rPr>
              <w:t>22.4</w:t>
            </w:r>
            <w:r>
              <w:rPr>
                <w:rFonts w:ascii="Book Antiqua" w:hAnsi="Book Antiqua"/>
                <w:lang w:val="en-US"/>
              </w:rPr>
              <w:t>)</w:t>
            </w:r>
          </w:p>
        </w:tc>
        <w:tc>
          <w:tcPr>
            <w:tcW w:w="170" w:type="pct"/>
            <w:shd w:val="clear" w:color="auto" w:fill="auto"/>
          </w:tcPr>
          <w:p w14:paraId="77C57FA9" w14:textId="77777777" w:rsidR="00FB059C" w:rsidRPr="0088290D" w:rsidRDefault="00FB059C" w:rsidP="00FB059C">
            <w:pPr>
              <w:spacing w:line="360" w:lineRule="auto"/>
              <w:jc w:val="both"/>
              <w:rPr>
                <w:rFonts w:ascii="Book Antiqua" w:hAnsi="Book Antiqua"/>
                <w:lang w:val="en-US"/>
              </w:rPr>
            </w:pPr>
          </w:p>
        </w:tc>
        <w:tc>
          <w:tcPr>
            <w:tcW w:w="687" w:type="pct"/>
            <w:shd w:val="clear" w:color="auto" w:fill="auto"/>
            <w:noWrap/>
          </w:tcPr>
          <w:p w14:paraId="6EBF72D9"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20</w:t>
            </w:r>
            <w:r>
              <w:rPr>
                <w:rFonts w:ascii="Book Antiqua" w:eastAsia="SimSun" w:hAnsi="Book Antiqua" w:hint="eastAsia"/>
                <w:lang w:val="en-US" w:eastAsia="zh-CN"/>
              </w:rPr>
              <w:t xml:space="preserve"> (</w:t>
            </w:r>
            <w:r w:rsidRPr="0088290D">
              <w:rPr>
                <w:rFonts w:ascii="Book Antiqua" w:hAnsi="Book Antiqua"/>
                <w:lang w:val="en-US"/>
              </w:rPr>
              <w:t>11.6</w:t>
            </w:r>
            <w:r>
              <w:rPr>
                <w:rFonts w:ascii="Book Antiqua" w:hAnsi="Book Antiqua"/>
                <w:lang w:val="en-US"/>
              </w:rPr>
              <w:t>)</w:t>
            </w:r>
          </w:p>
        </w:tc>
        <w:tc>
          <w:tcPr>
            <w:tcW w:w="649" w:type="pct"/>
            <w:shd w:val="clear" w:color="auto" w:fill="auto"/>
            <w:noWrap/>
          </w:tcPr>
          <w:p w14:paraId="41A5E3CC"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0.042</w:t>
            </w:r>
          </w:p>
        </w:tc>
        <w:tc>
          <w:tcPr>
            <w:tcW w:w="123" w:type="pct"/>
            <w:shd w:val="clear" w:color="auto" w:fill="auto"/>
          </w:tcPr>
          <w:p w14:paraId="1420D16B" w14:textId="77777777" w:rsidR="00FB059C" w:rsidRPr="0088290D" w:rsidRDefault="00FB059C" w:rsidP="00FB059C">
            <w:pPr>
              <w:spacing w:line="360" w:lineRule="auto"/>
              <w:jc w:val="both"/>
              <w:rPr>
                <w:rFonts w:ascii="Book Antiqua" w:hAnsi="Book Antiqua"/>
                <w:lang w:val="en-US"/>
              </w:rPr>
            </w:pPr>
          </w:p>
        </w:tc>
        <w:tc>
          <w:tcPr>
            <w:tcW w:w="774" w:type="pct"/>
            <w:shd w:val="clear" w:color="auto" w:fill="auto"/>
            <w:noWrap/>
          </w:tcPr>
          <w:p w14:paraId="4A0EB436"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11</w:t>
            </w:r>
            <w:r>
              <w:rPr>
                <w:rFonts w:ascii="Book Antiqua" w:eastAsia="SimSun" w:hAnsi="Book Antiqua" w:hint="eastAsia"/>
                <w:lang w:val="en-US" w:eastAsia="zh-CN"/>
              </w:rPr>
              <w:t xml:space="preserve"> (</w:t>
            </w:r>
            <w:r w:rsidRPr="0088290D">
              <w:rPr>
                <w:rFonts w:ascii="Book Antiqua" w:hAnsi="Book Antiqua"/>
                <w:lang w:val="en-US"/>
              </w:rPr>
              <w:t>7.2</w:t>
            </w:r>
            <w:r>
              <w:rPr>
                <w:rFonts w:ascii="Book Antiqua" w:hAnsi="Book Antiqua"/>
                <w:lang w:val="en-US"/>
              </w:rPr>
              <w:t>)</w:t>
            </w:r>
          </w:p>
        </w:tc>
        <w:tc>
          <w:tcPr>
            <w:tcW w:w="661" w:type="pct"/>
            <w:shd w:val="clear" w:color="auto" w:fill="auto"/>
            <w:noWrap/>
          </w:tcPr>
          <w:p w14:paraId="31245A41"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0.003</w:t>
            </w:r>
          </w:p>
        </w:tc>
      </w:tr>
      <w:tr w:rsidR="00FB059C" w:rsidRPr="0088290D" w14:paraId="42918097" w14:textId="77777777" w:rsidTr="00FB059C">
        <w:trPr>
          <w:trHeight w:val="395"/>
          <w:jc w:val="center"/>
        </w:trPr>
        <w:tc>
          <w:tcPr>
            <w:tcW w:w="875" w:type="pct"/>
            <w:shd w:val="clear" w:color="auto" w:fill="auto"/>
            <w:noWrap/>
            <w:vAlign w:val="center"/>
          </w:tcPr>
          <w:p w14:paraId="5B587FBD" w14:textId="77777777" w:rsidR="00FB059C" w:rsidRPr="0088290D" w:rsidRDefault="00FB059C" w:rsidP="00FB059C">
            <w:pPr>
              <w:spacing w:line="360" w:lineRule="auto"/>
              <w:jc w:val="both"/>
              <w:rPr>
                <w:rFonts w:ascii="Book Antiqua" w:eastAsia="Times New Roman" w:hAnsi="Book Antiqua" w:cs="Arial"/>
                <w:color w:val="000000"/>
                <w:lang w:val="en-US" w:eastAsia="hu-HU"/>
              </w:rPr>
            </w:pPr>
            <w:r w:rsidRPr="0088290D">
              <w:rPr>
                <w:rFonts w:ascii="Book Antiqua" w:eastAsia="Times New Roman" w:hAnsi="Book Antiqua" w:cs="Arial"/>
                <w:color w:val="000000"/>
                <w:lang w:val="en-US" w:eastAsia="hu-HU"/>
              </w:rPr>
              <w:t>IgA and IgG</w:t>
            </w:r>
          </w:p>
        </w:tc>
        <w:tc>
          <w:tcPr>
            <w:tcW w:w="131" w:type="pct"/>
            <w:shd w:val="clear" w:color="auto" w:fill="auto"/>
          </w:tcPr>
          <w:p w14:paraId="6D295BDC" w14:textId="77777777" w:rsidR="00FB059C" w:rsidRPr="0088290D" w:rsidRDefault="00FB059C" w:rsidP="00FB059C">
            <w:pPr>
              <w:spacing w:line="360" w:lineRule="auto"/>
              <w:jc w:val="both"/>
              <w:rPr>
                <w:rFonts w:ascii="Book Antiqua" w:hAnsi="Book Antiqua"/>
                <w:lang w:val="en-US"/>
              </w:rPr>
            </w:pPr>
          </w:p>
        </w:tc>
        <w:tc>
          <w:tcPr>
            <w:tcW w:w="930" w:type="pct"/>
            <w:shd w:val="clear" w:color="auto" w:fill="auto"/>
            <w:noWrap/>
          </w:tcPr>
          <w:p w14:paraId="66B5FDD5"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5</w:t>
            </w:r>
            <w:r>
              <w:rPr>
                <w:rFonts w:ascii="Book Antiqua" w:eastAsia="SimSun" w:hAnsi="Book Antiqua" w:hint="eastAsia"/>
                <w:lang w:val="en-US" w:eastAsia="zh-CN"/>
              </w:rPr>
              <w:t xml:space="preserve"> (</w:t>
            </w:r>
            <w:r w:rsidRPr="0088290D">
              <w:rPr>
                <w:rFonts w:ascii="Book Antiqua" w:hAnsi="Book Antiqua"/>
                <w:lang w:val="en-US"/>
              </w:rPr>
              <w:t>7.5</w:t>
            </w:r>
            <w:r>
              <w:rPr>
                <w:rFonts w:ascii="Book Antiqua" w:hAnsi="Book Antiqua"/>
                <w:lang w:val="en-US"/>
              </w:rPr>
              <w:t>)</w:t>
            </w:r>
          </w:p>
        </w:tc>
        <w:tc>
          <w:tcPr>
            <w:tcW w:w="170" w:type="pct"/>
            <w:shd w:val="clear" w:color="auto" w:fill="auto"/>
          </w:tcPr>
          <w:p w14:paraId="6ED7B868" w14:textId="77777777" w:rsidR="00FB059C" w:rsidRPr="0088290D" w:rsidRDefault="00FB059C" w:rsidP="00FB059C">
            <w:pPr>
              <w:spacing w:line="360" w:lineRule="auto"/>
              <w:jc w:val="both"/>
              <w:rPr>
                <w:rFonts w:ascii="Book Antiqua" w:hAnsi="Book Antiqua"/>
                <w:lang w:val="en-US"/>
              </w:rPr>
            </w:pPr>
          </w:p>
        </w:tc>
        <w:tc>
          <w:tcPr>
            <w:tcW w:w="687" w:type="pct"/>
            <w:shd w:val="clear" w:color="auto" w:fill="auto"/>
            <w:noWrap/>
          </w:tcPr>
          <w:p w14:paraId="64CA5A6D"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1</w:t>
            </w:r>
            <w:r>
              <w:rPr>
                <w:rFonts w:ascii="Book Antiqua" w:eastAsia="SimSun" w:hAnsi="Book Antiqua" w:hint="eastAsia"/>
                <w:lang w:val="en-US" w:eastAsia="zh-CN"/>
              </w:rPr>
              <w:t xml:space="preserve"> (</w:t>
            </w:r>
            <w:r w:rsidRPr="0088290D">
              <w:rPr>
                <w:rFonts w:ascii="Book Antiqua" w:hAnsi="Book Antiqua"/>
                <w:lang w:val="en-US"/>
              </w:rPr>
              <w:t>0.6</w:t>
            </w:r>
            <w:r>
              <w:rPr>
                <w:rFonts w:ascii="Book Antiqua" w:hAnsi="Book Antiqua"/>
                <w:lang w:val="en-US"/>
              </w:rPr>
              <w:t>)</w:t>
            </w:r>
          </w:p>
        </w:tc>
        <w:tc>
          <w:tcPr>
            <w:tcW w:w="649" w:type="pct"/>
            <w:shd w:val="clear" w:color="auto" w:fill="auto"/>
            <w:noWrap/>
          </w:tcPr>
          <w:p w14:paraId="41FBEFF9"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0.007</w:t>
            </w:r>
          </w:p>
        </w:tc>
        <w:tc>
          <w:tcPr>
            <w:tcW w:w="123" w:type="pct"/>
            <w:shd w:val="clear" w:color="auto" w:fill="auto"/>
          </w:tcPr>
          <w:p w14:paraId="7931FE44" w14:textId="77777777" w:rsidR="00FB059C" w:rsidRPr="0088290D" w:rsidRDefault="00FB059C" w:rsidP="00FB059C">
            <w:pPr>
              <w:spacing w:line="360" w:lineRule="auto"/>
              <w:jc w:val="both"/>
              <w:rPr>
                <w:rFonts w:ascii="Book Antiqua" w:hAnsi="Book Antiqua"/>
                <w:lang w:val="en-US"/>
              </w:rPr>
            </w:pPr>
          </w:p>
        </w:tc>
        <w:tc>
          <w:tcPr>
            <w:tcW w:w="774" w:type="pct"/>
            <w:shd w:val="clear" w:color="auto" w:fill="auto"/>
            <w:noWrap/>
          </w:tcPr>
          <w:p w14:paraId="0DF47C9A"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2</w:t>
            </w:r>
            <w:r>
              <w:rPr>
                <w:rFonts w:ascii="Book Antiqua" w:eastAsia="SimSun" w:hAnsi="Book Antiqua" w:hint="eastAsia"/>
                <w:lang w:val="en-US" w:eastAsia="zh-CN"/>
              </w:rPr>
              <w:t xml:space="preserve"> (</w:t>
            </w:r>
            <w:r w:rsidRPr="0088290D">
              <w:rPr>
                <w:rFonts w:ascii="Book Antiqua" w:hAnsi="Book Antiqua"/>
                <w:lang w:val="en-US"/>
              </w:rPr>
              <w:t>1.3</w:t>
            </w:r>
            <w:r>
              <w:rPr>
                <w:rFonts w:ascii="Book Antiqua" w:hAnsi="Book Antiqua"/>
                <w:lang w:val="en-US"/>
              </w:rPr>
              <w:t>)</w:t>
            </w:r>
          </w:p>
        </w:tc>
        <w:tc>
          <w:tcPr>
            <w:tcW w:w="661" w:type="pct"/>
            <w:shd w:val="clear" w:color="auto" w:fill="auto"/>
            <w:noWrap/>
          </w:tcPr>
          <w:p w14:paraId="775CEA32" w14:textId="77777777" w:rsidR="00FB059C" w:rsidRPr="0088290D" w:rsidRDefault="00FB059C" w:rsidP="00FB059C">
            <w:pPr>
              <w:spacing w:line="360" w:lineRule="auto"/>
              <w:jc w:val="both"/>
              <w:rPr>
                <w:rFonts w:ascii="Book Antiqua" w:hAnsi="Book Antiqua"/>
                <w:lang w:val="en-US"/>
              </w:rPr>
            </w:pPr>
            <w:r w:rsidRPr="0088290D">
              <w:rPr>
                <w:rFonts w:ascii="Book Antiqua" w:hAnsi="Book Antiqua"/>
                <w:lang w:val="en-US"/>
              </w:rPr>
              <w:t>0.029</w:t>
            </w:r>
          </w:p>
        </w:tc>
      </w:tr>
    </w:tbl>
    <w:p w14:paraId="07A4DE28" w14:textId="42ECA4EC" w:rsidR="00582A71" w:rsidRPr="0032387C" w:rsidRDefault="0032387C" w:rsidP="007940D7">
      <w:pPr>
        <w:widowControl w:val="0"/>
        <w:autoSpaceDE w:val="0"/>
        <w:autoSpaceDN w:val="0"/>
        <w:adjustRightInd w:val="0"/>
        <w:spacing w:line="360" w:lineRule="auto"/>
        <w:jc w:val="both"/>
        <w:rPr>
          <w:rFonts w:ascii="Book Antiqua" w:hAnsi="Book Antiqua" w:cs="Arial"/>
          <w:lang w:val="en-US"/>
        </w:rPr>
      </w:pPr>
      <w:r>
        <w:rPr>
          <w:rFonts w:ascii="Book Antiqua" w:eastAsia="SimSun" w:hAnsi="Book Antiqua" w:hint="eastAsia"/>
          <w:vertAlign w:val="superscript"/>
          <w:lang w:val="en-US" w:eastAsia="zh-CN"/>
        </w:rPr>
        <w:t>1</w:t>
      </w:r>
      <w:r w:rsidRPr="0032387C">
        <w:rPr>
          <w:rFonts w:ascii="Book Antiqua" w:hAnsi="Book Antiqua" w:cs="Arial"/>
          <w:i/>
          <w:lang w:val="en-US"/>
        </w:rPr>
        <w:t>P</w:t>
      </w:r>
      <w:r w:rsidRPr="0088290D">
        <w:rPr>
          <w:rFonts w:ascii="Book Antiqua" w:hAnsi="Book Antiqua" w:cs="Arial"/>
          <w:lang w:val="en-US"/>
        </w:rPr>
        <w:t>-values pertain to comparisons between P</w:t>
      </w:r>
      <w:r>
        <w:rPr>
          <w:rFonts w:ascii="Book Antiqua" w:hAnsi="Book Antiqua" w:cs="Arial"/>
          <w:lang w:val="en-US"/>
        </w:rPr>
        <w:t>SC and the given control group.</w:t>
      </w:r>
      <w:r>
        <w:rPr>
          <w:rFonts w:ascii="Book Antiqua" w:eastAsia="SimSun" w:hAnsi="Book Antiqua" w:cs="Arial" w:hint="eastAsia"/>
          <w:lang w:val="en-US" w:eastAsia="zh-CN"/>
        </w:rPr>
        <w:t xml:space="preserve"> </w:t>
      </w:r>
      <w:r w:rsidRPr="0088290D">
        <w:rPr>
          <w:rFonts w:ascii="Book Antiqua" w:hAnsi="Book Antiqua"/>
          <w:lang w:val="en-US"/>
        </w:rPr>
        <w:t>AAA IgA/G was measured in 170 patients with UC and 113 healthy controls.</w:t>
      </w:r>
      <w:r>
        <w:rPr>
          <w:rFonts w:ascii="Book Antiqua" w:eastAsia="SimSun" w:hAnsi="Book Antiqua" w:hint="eastAsia"/>
          <w:lang w:val="en-US" w:eastAsia="zh-CN"/>
        </w:rPr>
        <w:t xml:space="preserve"> </w:t>
      </w:r>
      <w:r w:rsidR="00582A71" w:rsidRPr="0088290D">
        <w:rPr>
          <w:rFonts w:ascii="Book Antiqua" w:hAnsi="Book Antiqua" w:cs="Arial"/>
          <w:lang w:val="en-US"/>
        </w:rPr>
        <w:t xml:space="preserve">PSC: </w:t>
      </w:r>
      <w:r w:rsidRPr="0088290D">
        <w:rPr>
          <w:rFonts w:ascii="Book Antiqua" w:hAnsi="Book Antiqua" w:cs="Arial"/>
          <w:lang w:val="en-US"/>
        </w:rPr>
        <w:t xml:space="preserve">Primary </w:t>
      </w:r>
      <w:r w:rsidR="00582A71" w:rsidRPr="0088290D">
        <w:rPr>
          <w:rFonts w:ascii="Book Antiqua" w:hAnsi="Book Antiqua" w:cs="Arial"/>
          <w:lang w:val="en-US"/>
        </w:rPr>
        <w:t>sclerosing cholangitis</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UC: </w:t>
      </w:r>
      <w:r w:rsidRPr="0088290D">
        <w:rPr>
          <w:rFonts w:ascii="Book Antiqua" w:hAnsi="Book Antiqua" w:cs="Arial"/>
          <w:lang w:val="en-US"/>
        </w:rPr>
        <w:t xml:space="preserve">Ulcerative </w:t>
      </w:r>
      <w:r w:rsidR="00582A71" w:rsidRPr="0088290D">
        <w:rPr>
          <w:rFonts w:ascii="Book Antiqua" w:hAnsi="Book Antiqua" w:cs="Arial"/>
          <w:lang w:val="en-US"/>
        </w:rPr>
        <w:t>colitis</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HC: </w:t>
      </w:r>
      <w:r w:rsidRPr="0088290D">
        <w:rPr>
          <w:rFonts w:ascii="Book Antiqua" w:hAnsi="Book Antiqua" w:cs="Arial"/>
          <w:lang w:val="en-US"/>
        </w:rPr>
        <w:t xml:space="preserve">Healthy </w:t>
      </w:r>
      <w:r w:rsidR="00582A71" w:rsidRPr="0088290D">
        <w:rPr>
          <w:rFonts w:ascii="Book Antiqua" w:hAnsi="Book Antiqua" w:cs="Arial"/>
          <w:lang w:val="en-US"/>
        </w:rPr>
        <w:t>controls</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AAA: </w:t>
      </w:r>
      <w:r w:rsidRPr="0088290D">
        <w:rPr>
          <w:rFonts w:ascii="Book Antiqua" w:hAnsi="Book Antiqua"/>
          <w:lang w:val="en-US"/>
        </w:rPr>
        <w:t>Anti</w:t>
      </w:r>
      <w:r w:rsidR="00582A71" w:rsidRPr="0088290D">
        <w:rPr>
          <w:rFonts w:ascii="Book Antiqua" w:hAnsi="Book Antiqua"/>
          <w:lang w:val="en-US"/>
        </w:rPr>
        <w:t>-</w:t>
      </w:r>
      <w:r w:rsidR="00582A71" w:rsidRPr="0088290D">
        <w:rPr>
          <w:rFonts w:ascii="Book Antiqua" w:hAnsi="Book Antiqua" w:cs="Times"/>
          <w:lang w:val="en-US"/>
        </w:rPr>
        <w:t>F-actin antibody</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AGA: </w:t>
      </w:r>
      <w:r w:rsidRPr="0088290D">
        <w:rPr>
          <w:rFonts w:ascii="Book Antiqua" w:hAnsi="Book Antiqua"/>
          <w:lang w:val="en-US"/>
        </w:rPr>
        <w:t>Anti</w:t>
      </w:r>
      <w:r w:rsidR="00582A71" w:rsidRPr="0088290D">
        <w:rPr>
          <w:rFonts w:ascii="Book Antiqua" w:hAnsi="Book Antiqua"/>
          <w:lang w:val="en-US"/>
        </w:rPr>
        <w:t>-gliadin antibody</w:t>
      </w:r>
      <w:r>
        <w:rPr>
          <w:rFonts w:ascii="Book Antiqua" w:eastAsia="SimSun" w:hAnsi="Book Antiqua" w:hint="eastAsia"/>
          <w:lang w:val="en-US" w:eastAsia="zh-CN"/>
        </w:rPr>
        <w:t>.</w:t>
      </w:r>
    </w:p>
    <w:p w14:paraId="5AEB6964" w14:textId="441B3594" w:rsidR="00582A71" w:rsidRPr="0088290D" w:rsidRDefault="00582A71" w:rsidP="007940D7">
      <w:pPr>
        <w:widowControl w:val="0"/>
        <w:autoSpaceDE w:val="0"/>
        <w:autoSpaceDN w:val="0"/>
        <w:adjustRightInd w:val="0"/>
        <w:spacing w:line="360" w:lineRule="auto"/>
        <w:jc w:val="both"/>
        <w:rPr>
          <w:rFonts w:ascii="Book Antiqua" w:hAnsi="Book Antiqua"/>
          <w:lang w:val="en-US"/>
        </w:rPr>
      </w:pPr>
    </w:p>
    <w:p w14:paraId="488C1AB5" w14:textId="64F4EE89" w:rsidR="00582A71" w:rsidRPr="0088290D" w:rsidRDefault="00582A71" w:rsidP="007940D7">
      <w:pPr>
        <w:spacing w:line="360" w:lineRule="auto"/>
        <w:jc w:val="both"/>
        <w:rPr>
          <w:rFonts w:ascii="Book Antiqua" w:hAnsi="Book Antiqua"/>
          <w:b/>
          <w:lang w:val="en-US"/>
        </w:rPr>
      </w:pPr>
    </w:p>
    <w:p w14:paraId="144DB697" w14:textId="77777777" w:rsidR="00582A71" w:rsidRPr="0088290D" w:rsidRDefault="00582A71" w:rsidP="007940D7">
      <w:pPr>
        <w:jc w:val="both"/>
        <w:rPr>
          <w:rFonts w:ascii="Book Antiqua" w:hAnsi="Book Antiqua" w:cs="Arial"/>
          <w:b/>
          <w:bCs/>
          <w:lang w:val="en-US"/>
        </w:rPr>
      </w:pPr>
      <w:r w:rsidRPr="0088290D">
        <w:rPr>
          <w:rFonts w:ascii="Book Antiqua" w:hAnsi="Book Antiqua" w:cs="Arial"/>
          <w:b/>
          <w:bCs/>
          <w:lang w:val="en-US"/>
        </w:rPr>
        <w:br w:type="page"/>
      </w:r>
    </w:p>
    <w:p w14:paraId="490D3F9B" w14:textId="7AB22FBB" w:rsidR="00582A71" w:rsidRPr="00976FCC" w:rsidRDefault="00582A71" w:rsidP="007940D7">
      <w:pPr>
        <w:widowControl w:val="0"/>
        <w:autoSpaceDE w:val="0"/>
        <w:autoSpaceDN w:val="0"/>
        <w:adjustRightInd w:val="0"/>
        <w:spacing w:line="360" w:lineRule="auto"/>
        <w:jc w:val="both"/>
        <w:rPr>
          <w:rFonts w:ascii="Book Antiqua" w:hAnsi="Book Antiqua" w:cs="Arial"/>
          <w:b/>
          <w:lang w:val="en-US"/>
        </w:rPr>
      </w:pPr>
      <w:r w:rsidRPr="0088290D">
        <w:rPr>
          <w:rFonts w:ascii="Book Antiqua" w:hAnsi="Book Antiqua" w:cs="Arial"/>
          <w:b/>
          <w:bCs/>
          <w:lang w:val="en-US"/>
        </w:rPr>
        <w:lastRenderedPageBreak/>
        <w:t>Table 3</w:t>
      </w:r>
      <w:r w:rsidR="00976FCC">
        <w:rPr>
          <w:rFonts w:ascii="Book Antiqua" w:eastAsia="SimSun" w:hAnsi="Book Antiqua" w:cs="Arial" w:hint="eastAsia"/>
          <w:lang w:val="en-US" w:eastAsia="zh-CN"/>
        </w:rPr>
        <w:t xml:space="preserve"> </w:t>
      </w:r>
      <w:r w:rsidRPr="00976FCC">
        <w:rPr>
          <w:rFonts w:ascii="Book Antiqua" w:hAnsi="Book Antiqua" w:cs="Arial"/>
          <w:b/>
          <w:lang w:val="en-US"/>
        </w:rPr>
        <w:t xml:space="preserve">Associations between gut failure markers and disease or laboratory characteristics in patients with </w:t>
      </w:r>
      <w:r w:rsidR="00FB059C" w:rsidRPr="00FB059C">
        <w:rPr>
          <w:rFonts w:ascii="Book Antiqua" w:hAnsi="Book Antiqua" w:cs="Arial"/>
          <w:b/>
          <w:lang w:val="en-US"/>
        </w:rPr>
        <w:t xml:space="preserve">primary sclerosing cholangitis </w:t>
      </w:r>
      <w:r w:rsidRPr="00976FCC">
        <w:rPr>
          <w:rFonts w:ascii="Book Antiqua" w:hAnsi="Book Antiqua" w:cs="Arial"/>
          <w:b/>
          <w:lang w:val="en-US"/>
        </w:rPr>
        <w:t xml:space="preserve">at enrolment. </w:t>
      </w:r>
    </w:p>
    <w:tbl>
      <w:tblPr>
        <w:tblW w:w="15175" w:type="dxa"/>
        <w:tblInd w:w="-176" w:type="dxa"/>
        <w:tblBorders>
          <w:top w:val="single" w:sz="8" w:space="0" w:color="auto"/>
          <w:bottom w:val="single" w:sz="8" w:space="0" w:color="auto"/>
        </w:tblBorders>
        <w:tblLayout w:type="fixed"/>
        <w:tblLook w:val="04A0" w:firstRow="1" w:lastRow="0" w:firstColumn="1" w:lastColumn="0" w:noHBand="0" w:noVBand="1"/>
      </w:tblPr>
      <w:tblGrid>
        <w:gridCol w:w="1911"/>
        <w:gridCol w:w="1115"/>
        <w:gridCol w:w="1134"/>
        <w:gridCol w:w="851"/>
        <w:gridCol w:w="1276"/>
        <w:gridCol w:w="1275"/>
        <w:gridCol w:w="851"/>
        <w:gridCol w:w="1276"/>
        <w:gridCol w:w="1134"/>
        <w:gridCol w:w="708"/>
        <w:gridCol w:w="1276"/>
        <w:gridCol w:w="1234"/>
        <w:gridCol w:w="1134"/>
      </w:tblGrid>
      <w:tr w:rsidR="00976FCC" w:rsidRPr="00B0764C" w14:paraId="171D3F25" w14:textId="77777777" w:rsidTr="00976FCC">
        <w:trPr>
          <w:trHeight w:val="330"/>
        </w:trPr>
        <w:tc>
          <w:tcPr>
            <w:tcW w:w="1911" w:type="dxa"/>
            <w:tcBorders>
              <w:top w:val="single" w:sz="8" w:space="0" w:color="auto"/>
              <w:bottom w:val="nil"/>
            </w:tcBorders>
            <w:shd w:val="clear" w:color="auto" w:fill="auto"/>
            <w:noWrap/>
            <w:vAlign w:val="bottom"/>
            <w:hideMark/>
          </w:tcPr>
          <w:p w14:paraId="08067F0F"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 xml:space="preserve">　</w:t>
            </w:r>
          </w:p>
        </w:tc>
        <w:tc>
          <w:tcPr>
            <w:tcW w:w="2249" w:type="dxa"/>
            <w:gridSpan w:val="2"/>
            <w:tcBorders>
              <w:top w:val="single" w:sz="8" w:space="0" w:color="auto"/>
              <w:bottom w:val="nil"/>
            </w:tcBorders>
            <w:shd w:val="clear" w:color="auto" w:fill="auto"/>
            <w:vAlign w:val="center"/>
            <w:hideMark/>
          </w:tcPr>
          <w:p w14:paraId="7C4526C8"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Anti-F-Actin IgA</w:t>
            </w:r>
          </w:p>
        </w:tc>
        <w:tc>
          <w:tcPr>
            <w:tcW w:w="851" w:type="dxa"/>
            <w:tcBorders>
              <w:top w:val="single" w:sz="8" w:space="0" w:color="auto"/>
              <w:bottom w:val="nil"/>
            </w:tcBorders>
            <w:shd w:val="clear" w:color="auto" w:fill="auto"/>
            <w:vAlign w:val="center"/>
            <w:hideMark/>
          </w:tcPr>
          <w:p w14:paraId="03EDB9AD"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 xml:space="preserve">　</w:t>
            </w:r>
          </w:p>
        </w:tc>
        <w:tc>
          <w:tcPr>
            <w:tcW w:w="2551" w:type="dxa"/>
            <w:gridSpan w:val="2"/>
            <w:tcBorders>
              <w:top w:val="single" w:sz="8" w:space="0" w:color="auto"/>
              <w:bottom w:val="nil"/>
            </w:tcBorders>
            <w:shd w:val="clear" w:color="auto" w:fill="auto"/>
            <w:noWrap/>
            <w:vAlign w:val="center"/>
            <w:hideMark/>
          </w:tcPr>
          <w:p w14:paraId="51F8CE6E"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Anti-F-Actin IgG</w:t>
            </w:r>
          </w:p>
        </w:tc>
        <w:tc>
          <w:tcPr>
            <w:tcW w:w="851" w:type="dxa"/>
            <w:tcBorders>
              <w:top w:val="single" w:sz="8" w:space="0" w:color="auto"/>
              <w:bottom w:val="nil"/>
            </w:tcBorders>
            <w:shd w:val="clear" w:color="auto" w:fill="auto"/>
            <w:noWrap/>
            <w:vAlign w:val="bottom"/>
            <w:hideMark/>
          </w:tcPr>
          <w:p w14:paraId="51142EB9"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 xml:space="preserve">　</w:t>
            </w:r>
          </w:p>
        </w:tc>
        <w:tc>
          <w:tcPr>
            <w:tcW w:w="2410" w:type="dxa"/>
            <w:gridSpan w:val="2"/>
            <w:tcBorders>
              <w:top w:val="single" w:sz="8" w:space="0" w:color="auto"/>
              <w:bottom w:val="nil"/>
            </w:tcBorders>
            <w:shd w:val="clear" w:color="auto" w:fill="auto"/>
            <w:vAlign w:val="center"/>
            <w:hideMark/>
          </w:tcPr>
          <w:p w14:paraId="0E51441B"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Anti-Gliadin IgA</w:t>
            </w:r>
          </w:p>
        </w:tc>
        <w:tc>
          <w:tcPr>
            <w:tcW w:w="708" w:type="dxa"/>
            <w:tcBorders>
              <w:top w:val="single" w:sz="8" w:space="0" w:color="auto"/>
              <w:bottom w:val="nil"/>
            </w:tcBorders>
            <w:shd w:val="clear" w:color="auto" w:fill="auto"/>
            <w:vAlign w:val="center"/>
            <w:hideMark/>
          </w:tcPr>
          <w:p w14:paraId="5EAE6B91"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 xml:space="preserve">　</w:t>
            </w:r>
          </w:p>
        </w:tc>
        <w:tc>
          <w:tcPr>
            <w:tcW w:w="2510" w:type="dxa"/>
            <w:gridSpan w:val="2"/>
            <w:tcBorders>
              <w:top w:val="single" w:sz="8" w:space="0" w:color="auto"/>
              <w:bottom w:val="nil"/>
            </w:tcBorders>
            <w:shd w:val="clear" w:color="auto" w:fill="auto"/>
            <w:noWrap/>
            <w:vAlign w:val="center"/>
            <w:hideMark/>
          </w:tcPr>
          <w:p w14:paraId="64617683"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Anti-Gliadin IgG</w:t>
            </w:r>
          </w:p>
        </w:tc>
        <w:tc>
          <w:tcPr>
            <w:tcW w:w="1134" w:type="dxa"/>
            <w:shd w:val="clear" w:color="auto" w:fill="auto"/>
            <w:noWrap/>
            <w:vAlign w:val="bottom"/>
            <w:hideMark/>
          </w:tcPr>
          <w:p w14:paraId="0A0C5B75"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 xml:space="preserve">　</w:t>
            </w:r>
          </w:p>
        </w:tc>
      </w:tr>
      <w:tr w:rsidR="00976FCC" w:rsidRPr="00B0764C" w14:paraId="72F14EA6" w14:textId="77777777" w:rsidTr="00976FCC">
        <w:trPr>
          <w:trHeight w:val="315"/>
        </w:trPr>
        <w:tc>
          <w:tcPr>
            <w:tcW w:w="1911" w:type="dxa"/>
            <w:vMerge w:val="restart"/>
            <w:tcBorders>
              <w:top w:val="nil"/>
              <w:bottom w:val="nil"/>
            </w:tcBorders>
            <w:shd w:val="clear" w:color="auto" w:fill="auto"/>
            <w:noWrap/>
            <w:vAlign w:val="bottom"/>
            <w:hideMark/>
          </w:tcPr>
          <w:p w14:paraId="580C254A"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 xml:space="preserve">　</w:t>
            </w:r>
          </w:p>
        </w:tc>
        <w:tc>
          <w:tcPr>
            <w:tcW w:w="1115" w:type="dxa"/>
            <w:tcBorders>
              <w:top w:val="nil"/>
              <w:bottom w:val="nil"/>
            </w:tcBorders>
            <w:shd w:val="clear" w:color="auto" w:fill="auto"/>
            <w:vAlign w:val="center"/>
            <w:hideMark/>
          </w:tcPr>
          <w:p w14:paraId="64FF6039"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Negative</w:t>
            </w:r>
          </w:p>
        </w:tc>
        <w:tc>
          <w:tcPr>
            <w:tcW w:w="1134" w:type="dxa"/>
            <w:tcBorders>
              <w:top w:val="nil"/>
              <w:bottom w:val="nil"/>
            </w:tcBorders>
            <w:shd w:val="clear" w:color="auto" w:fill="auto"/>
            <w:vAlign w:val="center"/>
            <w:hideMark/>
          </w:tcPr>
          <w:p w14:paraId="341B4A77"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Positive</w:t>
            </w:r>
          </w:p>
        </w:tc>
        <w:tc>
          <w:tcPr>
            <w:tcW w:w="851" w:type="dxa"/>
            <w:tcBorders>
              <w:top w:val="nil"/>
              <w:bottom w:val="nil"/>
            </w:tcBorders>
            <w:shd w:val="clear" w:color="auto" w:fill="auto"/>
            <w:vAlign w:val="center"/>
            <w:hideMark/>
          </w:tcPr>
          <w:p w14:paraId="16049651" w14:textId="77777777" w:rsidR="00976FCC" w:rsidRPr="00B0764C" w:rsidRDefault="00976FCC" w:rsidP="007940D7">
            <w:pPr>
              <w:spacing w:line="360" w:lineRule="auto"/>
              <w:jc w:val="both"/>
              <w:rPr>
                <w:rFonts w:ascii="Book Antiqua" w:eastAsia="SimSun" w:hAnsi="Book Antiqua" w:cs="SimSun"/>
                <w:b/>
                <w:i/>
                <w:color w:val="000000"/>
                <w:sz w:val="21"/>
                <w:szCs w:val="21"/>
              </w:rPr>
            </w:pPr>
            <w:r w:rsidRPr="00B0764C">
              <w:rPr>
                <w:rFonts w:ascii="Book Antiqua" w:eastAsia="SimSun" w:hAnsi="Book Antiqua" w:cs="SimSun"/>
                <w:b/>
                <w:i/>
                <w:color w:val="000000"/>
                <w:szCs w:val="21"/>
              </w:rPr>
              <w:t>P</w:t>
            </w:r>
            <w:r w:rsidRPr="00B0764C">
              <w:rPr>
                <w:rFonts w:ascii="Book Antiqua" w:eastAsia="SimSun" w:hAnsi="Book Antiqua" w:cs="SimSun" w:hint="eastAsia"/>
                <w:b/>
                <w:i/>
                <w:color w:val="000000"/>
                <w:szCs w:val="21"/>
              </w:rPr>
              <w:t xml:space="preserve"> </w:t>
            </w:r>
          </w:p>
        </w:tc>
        <w:tc>
          <w:tcPr>
            <w:tcW w:w="1276" w:type="dxa"/>
            <w:tcBorders>
              <w:top w:val="nil"/>
              <w:bottom w:val="nil"/>
            </w:tcBorders>
            <w:shd w:val="clear" w:color="auto" w:fill="auto"/>
            <w:noWrap/>
            <w:vAlign w:val="center"/>
            <w:hideMark/>
          </w:tcPr>
          <w:p w14:paraId="49076828"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Negative</w:t>
            </w:r>
          </w:p>
        </w:tc>
        <w:tc>
          <w:tcPr>
            <w:tcW w:w="1275" w:type="dxa"/>
            <w:tcBorders>
              <w:top w:val="nil"/>
              <w:bottom w:val="nil"/>
            </w:tcBorders>
            <w:shd w:val="clear" w:color="auto" w:fill="auto"/>
            <w:noWrap/>
            <w:vAlign w:val="center"/>
            <w:hideMark/>
          </w:tcPr>
          <w:p w14:paraId="3C33B25B"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Positive</w:t>
            </w:r>
          </w:p>
        </w:tc>
        <w:tc>
          <w:tcPr>
            <w:tcW w:w="851" w:type="dxa"/>
            <w:tcBorders>
              <w:top w:val="nil"/>
              <w:bottom w:val="nil"/>
            </w:tcBorders>
            <w:shd w:val="clear" w:color="auto" w:fill="auto"/>
            <w:noWrap/>
            <w:vAlign w:val="center"/>
            <w:hideMark/>
          </w:tcPr>
          <w:p w14:paraId="264E0F26"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i/>
                <w:color w:val="000000"/>
                <w:szCs w:val="21"/>
              </w:rPr>
              <w:t>P</w:t>
            </w:r>
            <w:r w:rsidRPr="00B0764C">
              <w:rPr>
                <w:rFonts w:ascii="Book Antiqua" w:eastAsia="SimSun" w:hAnsi="Book Antiqua" w:cs="SimSun" w:hint="eastAsia"/>
                <w:b/>
                <w:color w:val="000000"/>
                <w:szCs w:val="21"/>
              </w:rPr>
              <w:t xml:space="preserve"> </w:t>
            </w:r>
          </w:p>
        </w:tc>
        <w:tc>
          <w:tcPr>
            <w:tcW w:w="1276" w:type="dxa"/>
            <w:tcBorders>
              <w:top w:val="nil"/>
              <w:bottom w:val="nil"/>
            </w:tcBorders>
            <w:shd w:val="clear" w:color="auto" w:fill="auto"/>
            <w:vAlign w:val="center"/>
            <w:hideMark/>
          </w:tcPr>
          <w:p w14:paraId="1BA7E03A"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Negative</w:t>
            </w:r>
          </w:p>
        </w:tc>
        <w:tc>
          <w:tcPr>
            <w:tcW w:w="1134" w:type="dxa"/>
            <w:tcBorders>
              <w:top w:val="nil"/>
              <w:bottom w:val="nil"/>
            </w:tcBorders>
            <w:shd w:val="clear" w:color="auto" w:fill="auto"/>
            <w:vAlign w:val="center"/>
            <w:hideMark/>
          </w:tcPr>
          <w:p w14:paraId="1251C61F"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Positive</w:t>
            </w:r>
          </w:p>
        </w:tc>
        <w:tc>
          <w:tcPr>
            <w:tcW w:w="708" w:type="dxa"/>
            <w:tcBorders>
              <w:top w:val="nil"/>
              <w:bottom w:val="nil"/>
            </w:tcBorders>
            <w:shd w:val="clear" w:color="auto" w:fill="auto"/>
            <w:vAlign w:val="center"/>
            <w:hideMark/>
          </w:tcPr>
          <w:p w14:paraId="662A5DD0"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i/>
                <w:color w:val="000000"/>
                <w:szCs w:val="21"/>
              </w:rPr>
              <w:t>P</w:t>
            </w:r>
            <w:r w:rsidRPr="00B0764C">
              <w:rPr>
                <w:rFonts w:ascii="Book Antiqua" w:eastAsia="SimSun" w:hAnsi="Book Antiqua" w:cs="SimSun" w:hint="eastAsia"/>
                <w:b/>
                <w:color w:val="000000"/>
                <w:szCs w:val="21"/>
              </w:rPr>
              <w:t xml:space="preserve"> </w:t>
            </w:r>
          </w:p>
        </w:tc>
        <w:tc>
          <w:tcPr>
            <w:tcW w:w="1276" w:type="dxa"/>
            <w:tcBorders>
              <w:top w:val="nil"/>
              <w:bottom w:val="nil"/>
            </w:tcBorders>
            <w:shd w:val="clear" w:color="auto" w:fill="auto"/>
            <w:noWrap/>
            <w:vAlign w:val="center"/>
            <w:hideMark/>
          </w:tcPr>
          <w:p w14:paraId="025DEA81"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Negative</w:t>
            </w:r>
          </w:p>
        </w:tc>
        <w:tc>
          <w:tcPr>
            <w:tcW w:w="1234" w:type="dxa"/>
            <w:shd w:val="clear" w:color="auto" w:fill="auto"/>
            <w:noWrap/>
            <w:vAlign w:val="center"/>
            <w:hideMark/>
          </w:tcPr>
          <w:p w14:paraId="67FA0697"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Positive</w:t>
            </w:r>
          </w:p>
        </w:tc>
        <w:tc>
          <w:tcPr>
            <w:tcW w:w="1134" w:type="dxa"/>
            <w:shd w:val="clear" w:color="auto" w:fill="auto"/>
            <w:noWrap/>
            <w:vAlign w:val="center"/>
            <w:hideMark/>
          </w:tcPr>
          <w:p w14:paraId="7DDBC3BE"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i/>
                <w:color w:val="000000"/>
                <w:szCs w:val="21"/>
              </w:rPr>
              <w:t>P</w:t>
            </w:r>
            <w:r w:rsidRPr="00B0764C">
              <w:rPr>
                <w:rFonts w:ascii="Book Antiqua" w:eastAsia="SimSun" w:hAnsi="Book Antiqua" w:cs="SimSun" w:hint="eastAsia"/>
                <w:b/>
                <w:color w:val="000000"/>
                <w:szCs w:val="21"/>
              </w:rPr>
              <w:t xml:space="preserve"> </w:t>
            </w:r>
          </w:p>
        </w:tc>
      </w:tr>
      <w:tr w:rsidR="00976FCC" w:rsidRPr="00B0764C" w14:paraId="601FCF5D" w14:textId="77777777" w:rsidTr="00976FCC">
        <w:trPr>
          <w:trHeight w:val="330"/>
        </w:trPr>
        <w:tc>
          <w:tcPr>
            <w:tcW w:w="1911" w:type="dxa"/>
            <w:vMerge/>
            <w:tcBorders>
              <w:top w:val="nil"/>
              <w:bottom w:val="single" w:sz="8" w:space="0" w:color="auto"/>
            </w:tcBorders>
            <w:vAlign w:val="center"/>
            <w:hideMark/>
          </w:tcPr>
          <w:p w14:paraId="2E633576" w14:textId="77777777" w:rsidR="00976FCC" w:rsidRPr="00B0764C" w:rsidRDefault="00976FCC" w:rsidP="007940D7">
            <w:pPr>
              <w:spacing w:line="360" w:lineRule="auto"/>
              <w:jc w:val="both"/>
              <w:rPr>
                <w:rFonts w:ascii="Book Antiqua" w:eastAsia="SimSun" w:hAnsi="Book Antiqua" w:cs="SimSun"/>
                <w:b/>
                <w:color w:val="000000"/>
                <w:sz w:val="21"/>
                <w:szCs w:val="21"/>
              </w:rPr>
            </w:pPr>
          </w:p>
        </w:tc>
        <w:tc>
          <w:tcPr>
            <w:tcW w:w="1115" w:type="dxa"/>
            <w:tcBorders>
              <w:top w:val="nil"/>
              <w:bottom w:val="single" w:sz="8" w:space="0" w:color="auto"/>
            </w:tcBorders>
            <w:shd w:val="clear" w:color="auto" w:fill="auto"/>
            <w:vAlign w:val="center"/>
            <w:hideMark/>
          </w:tcPr>
          <w:p w14:paraId="2F06ACC9"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48)</w:t>
            </w:r>
          </w:p>
        </w:tc>
        <w:tc>
          <w:tcPr>
            <w:tcW w:w="1134" w:type="dxa"/>
            <w:tcBorders>
              <w:top w:val="nil"/>
              <w:bottom w:val="single" w:sz="8" w:space="0" w:color="auto"/>
            </w:tcBorders>
            <w:shd w:val="clear" w:color="auto" w:fill="auto"/>
            <w:vAlign w:val="center"/>
            <w:hideMark/>
          </w:tcPr>
          <w:p w14:paraId="2E1F6859"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19)</w:t>
            </w:r>
          </w:p>
        </w:tc>
        <w:tc>
          <w:tcPr>
            <w:tcW w:w="851" w:type="dxa"/>
            <w:tcBorders>
              <w:top w:val="nil"/>
              <w:bottom w:val="single" w:sz="8" w:space="0" w:color="auto"/>
            </w:tcBorders>
            <w:shd w:val="clear" w:color="auto" w:fill="auto"/>
            <w:vAlign w:val="center"/>
            <w:hideMark/>
          </w:tcPr>
          <w:p w14:paraId="05F2E332"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value</w:t>
            </w:r>
          </w:p>
        </w:tc>
        <w:tc>
          <w:tcPr>
            <w:tcW w:w="1276" w:type="dxa"/>
            <w:tcBorders>
              <w:top w:val="nil"/>
              <w:bottom w:val="single" w:sz="8" w:space="0" w:color="auto"/>
            </w:tcBorders>
            <w:shd w:val="clear" w:color="auto" w:fill="auto"/>
            <w:noWrap/>
            <w:vAlign w:val="center"/>
            <w:hideMark/>
          </w:tcPr>
          <w:p w14:paraId="5202A5DE"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50)</w:t>
            </w:r>
          </w:p>
        </w:tc>
        <w:tc>
          <w:tcPr>
            <w:tcW w:w="1275" w:type="dxa"/>
            <w:tcBorders>
              <w:top w:val="nil"/>
              <w:bottom w:val="single" w:sz="8" w:space="0" w:color="auto"/>
            </w:tcBorders>
            <w:shd w:val="clear" w:color="auto" w:fill="auto"/>
            <w:noWrap/>
            <w:vAlign w:val="center"/>
            <w:hideMark/>
          </w:tcPr>
          <w:p w14:paraId="4AA21209"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17)</w:t>
            </w:r>
          </w:p>
        </w:tc>
        <w:tc>
          <w:tcPr>
            <w:tcW w:w="851" w:type="dxa"/>
            <w:tcBorders>
              <w:top w:val="nil"/>
              <w:bottom w:val="single" w:sz="8" w:space="0" w:color="auto"/>
            </w:tcBorders>
            <w:shd w:val="clear" w:color="auto" w:fill="auto"/>
            <w:noWrap/>
            <w:vAlign w:val="center"/>
            <w:hideMark/>
          </w:tcPr>
          <w:p w14:paraId="469ABBAF"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value</w:t>
            </w:r>
          </w:p>
        </w:tc>
        <w:tc>
          <w:tcPr>
            <w:tcW w:w="1276" w:type="dxa"/>
            <w:tcBorders>
              <w:top w:val="nil"/>
              <w:bottom w:val="single" w:sz="8" w:space="0" w:color="auto"/>
            </w:tcBorders>
            <w:shd w:val="clear" w:color="auto" w:fill="auto"/>
            <w:vAlign w:val="center"/>
            <w:hideMark/>
          </w:tcPr>
          <w:p w14:paraId="391F0F4D"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61)</w:t>
            </w:r>
          </w:p>
        </w:tc>
        <w:tc>
          <w:tcPr>
            <w:tcW w:w="1134" w:type="dxa"/>
            <w:tcBorders>
              <w:top w:val="nil"/>
              <w:bottom w:val="single" w:sz="8" w:space="0" w:color="auto"/>
            </w:tcBorders>
            <w:shd w:val="clear" w:color="auto" w:fill="auto"/>
            <w:vAlign w:val="center"/>
            <w:hideMark/>
          </w:tcPr>
          <w:p w14:paraId="779AD7EF"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6)</w:t>
            </w:r>
          </w:p>
        </w:tc>
        <w:tc>
          <w:tcPr>
            <w:tcW w:w="708" w:type="dxa"/>
            <w:tcBorders>
              <w:top w:val="nil"/>
              <w:bottom w:val="single" w:sz="8" w:space="0" w:color="auto"/>
            </w:tcBorders>
            <w:shd w:val="clear" w:color="auto" w:fill="auto"/>
            <w:vAlign w:val="center"/>
            <w:hideMark/>
          </w:tcPr>
          <w:p w14:paraId="0A5AD94C"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value</w:t>
            </w:r>
          </w:p>
        </w:tc>
        <w:tc>
          <w:tcPr>
            <w:tcW w:w="1276" w:type="dxa"/>
            <w:tcBorders>
              <w:top w:val="nil"/>
              <w:bottom w:val="single" w:sz="8" w:space="0" w:color="auto"/>
            </w:tcBorders>
            <w:shd w:val="clear" w:color="auto" w:fill="auto"/>
            <w:noWrap/>
            <w:vAlign w:val="center"/>
            <w:hideMark/>
          </w:tcPr>
          <w:p w14:paraId="5A4EFA9F"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53)</w:t>
            </w:r>
          </w:p>
        </w:tc>
        <w:tc>
          <w:tcPr>
            <w:tcW w:w="1234" w:type="dxa"/>
            <w:shd w:val="clear" w:color="auto" w:fill="auto"/>
            <w:noWrap/>
            <w:vAlign w:val="center"/>
            <w:hideMark/>
          </w:tcPr>
          <w:p w14:paraId="22F18094"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w:t>
            </w:r>
            <w:r w:rsidRPr="00B0764C">
              <w:rPr>
                <w:rFonts w:ascii="Book Antiqua" w:eastAsia="SimSun" w:hAnsi="Book Antiqua" w:cs="SimSun"/>
                <w:b/>
                <w:i/>
                <w:color w:val="000000"/>
                <w:sz w:val="21"/>
                <w:szCs w:val="21"/>
              </w:rPr>
              <w:t>n</w:t>
            </w:r>
            <w:r w:rsidRPr="00B0764C">
              <w:rPr>
                <w:rFonts w:ascii="Book Antiqua" w:eastAsia="SimSun" w:hAnsi="Book Antiqua" w:cs="SimSun" w:hint="eastAsia"/>
                <w:b/>
                <w:i/>
                <w:color w:val="000000"/>
                <w:szCs w:val="21"/>
              </w:rPr>
              <w:t xml:space="preserve"> </w:t>
            </w:r>
            <w:r w:rsidRPr="00B0764C">
              <w:rPr>
                <w:rFonts w:ascii="Book Antiqua" w:eastAsia="SimSun" w:hAnsi="Book Antiqua" w:cs="SimSun"/>
                <w:b/>
                <w:color w:val="000000"/>
                <w:sz w:val="21"/>
                <w:szCs w:val="21"/>
              </w:rPr>
              <w:t>=</w:t>
            </w:r>
            <w:r>
              <w:rPr>
                <w:rFonts w:ascii="Book Antiqua" w:eastAsia="SimSun" w:hAnsi="Book Antiqua" w:cs="SimSun" w:hint="eastAsia"/>
                <w:b/>
                <w:color w:val="000000"/>
                <w:szCs w:val="21"/>
              </w:rPr>
              <w:t xml:space="preserve"> </w:t>
            </w:r>
            <w:r w:rsidRPr="00B0764C">
              <w:rPr>
                <w:rFonts w:ascii="Book Antiqua" w:eastAsia="SimSun" w:hAnsi="Book Antiqua" w:cs="SimSun"/>
                <w:b/>
                <w:color w:val="000000"/>
                <w:sz w:val="21"/>
                <w:szCs w:val="21"/>
              </w:rPr>
              <w:t>14)</w:t>
            </w:r>
          </w:p>
        </w:tc>
        <w:tc>
          <w:tcPr>
            <w:tcW w:w="1134" w:type="dxa"/>
            <w:shd w:val="clear" w:color="auto" w:fill="auto"/>
            <w:noWrap/>
            <w:vAlign w:val="center"/>
            <w:hideMark/>
          </w:tcPr>
          <w:p w14:paraId="25DE66F0" w14:textId="77777777" w:rsidR="00976FCC" w:rsidRPr="00B0764C" w:rsidRDefault="00976FCC" w:rsidP="007940D7">
            <w:pPr>
              <w:spacing w:line="360" w:lineRule="auto"/>
              <w:jc w:val="both"/>
              <w:rPr>
                <w:rFonts w:ascii="Book Antiqua" w:eastAsia="SimSun" w:hAnsi="Book Antiqua" w:cs="SimSun"/>
                <w:b/>
                <w:color w:val="000000"/>
                <w:sz w:val="21"/>
                <w:szCs w:val="21"/>
              </w:rPr>
            </w:pPr>
            <w:r w:rsidRPr="00B0764C">
              <w:rPr>
                <w:rFonts w:ascii="Book Antiqua" w:eastAsia="SimSun" w:hAnsi="Book Antiqua" w:cs="SimSun"/>
                <w:b/>
                <w:color w:val="000000"/>
                <w:sz w:val="21"/>
                <w:szCs w:val="21"/>
              </w:rPr>
              <w:t>value</w:t>
            </w:r>
          </w:p>
        </w:tc>
      </w:tr>
      <w:tr w:rsidR="00976FCC" w:rsidRPr="00B0764C" w14:paraId="379AEBCF" w14:textId="77777777" w:rsidTr="00976FCC">
        <w:trPr>
          <w:trHeight w:val="645"/>
        </w:trPr>
        <w:tc>
          <w:tcPr>
            <w:tcW w:w="1911" w:type="dxa"/>
            <w:tcBorders>
              <w:top w:val="single" w:sz="8" w:space="0" w:color="auto"/>
            </w:tcBorders>
            <w:shd w:val="clear" w:color="auto" w:fill="auto"/>
            <w:noWrap/>
            <w:vAlign w:val="center"/>
            <w:hideMark/>
          </w:tcPr>
          <w:p w14:paraId="3F631C3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Male gender</w:t>
            </w:r>
          </w:p>
        </w:tc>
        <w:tc>
          <w:tcPr>
            <w:tcW w:w="1115" w:type="dxa"/>
            <w:tcBorders>
              <w:top w:val="single" w:sz="8" w:space="0" w:color="auto"/>
            </w:tcBorders>
            <w:shd w:val="clear" w:color="auto" w:fill="auto"/>
            <w:vAlign w:val="center"/>
            <w:hideMark/>
          </w:tcPr>
          <w:p w14:paraId="583F613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35</w:t>
            </w:r>
            <w:r>
              <w:rPr>
                <w:rFonts w:ascii="Book Antiqua" w:eastAsia="SimSun" w:hAnsi="Book Antiqua" w:cs="SimSun" w:hint="eastAsia"/>
                <w:color w:val="000000"/>
                <w:szCs w:val="21"/>
              </w:rPr>
              <w:t xml:space="preserve"> </w:t>
            </w:r>
            <w:r w:rsidRPr="00B0764C">
              <w:rPr>
                <w:rFonts w:ascii="Book Antiqua" w:eastAsia="SimSun" w:hAnsi="Book Antiqua" w:cs="SimSun"/>
                <w:color w:val="000000"/>
                <w:sz w:val="21"/>
                <w:szCs w:val="21"/>
              </w:rPr>
              <w:t>(72.9)</w:t>
            </w:r>
          </w:p>
        </w:tc>
        <w:tc>
          <w:tcPr>
            <w:tcW w:w="1134" w:type="dxa"/>
            <w:tcBorders>
              <w:top w:val="single" w:sz="8" w:space="0" w:color="auto"/>
            </w:tcBorders>
            <w:shd w:val="clear" w:color="auto" w:fill="auto"/>
            <w:vAlign w:val="center"/>
            <w:hideMark/>
          </w:tcPr>
          <w:p w14:paraId="1281945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13</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(68.4%)</w:t>
            </w:r>
          </w:p>
        </w:tc>
        <w:tc>
          <w:tcPr>
            <w:tcW w:w="851" w:type="dxa"/>
            <w:tcBorders>
              <w:top w:val="single" w:sz="8" w:space="0" w:color="auto"/>
            </w:tcBorders>
            <w:shd w:val="clear" w:color="auto" w:fill="auto"/>
            <w:vAlign w:val="center"/>
            <w:hideMark/>
          </w:tcPr>
          <w:p w14:paraId="1025604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0.713</w:t>
            </w:r>
          </w:p>
        </w:tc>
        <w:tc>
          <w:tcPr>
            <w:tcW w:w="1276" w:type="dxa"/>
            <w:tcBorders>
              <w:top w:val="single" w:sz="8" w:space="0" w:color="auto"/>
            </w:tcBorders>
            <w:shd w:val="clear" w:color="auto" w:fill="auto"/>
            <w:noWrap/>
            <w:vAlign w:val="center"/>
            <w:hideMark/>
          </w:tcPr>
          <w:p w14:paraId="04EBF30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38</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(76.0%)</w:t>
            </w:r>
          </w:p>
        </w:tc>
        <w:tc>
          <w:tcPr>
            <w:tcW w:w="1275" w:type="dxa"/>
            <w:tcBorders>
              <w:top w:val="single" w:sz="8" w:space="0" w:color="auto"/>
            </w:tcBorders>
            <w:shd w:val="clear" w:color="auto" w:fill="auto"/>
            <w:noWrap/>
            <w:vAlign w:val="center"/>
            <w:hideMark/>
          </w:tcPr>
          <w:p w14:paraId="6AD79FA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10</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(58.8%)</w:t>
            </w:r>
          </w:p>
        </w:tc>
        <w:tc>
          <w:tcPr>
            <w:tcW w:w="851" w:type="dxa"/>
            <w:tcBorders>
              <w:top w:val="single" w:sz="8" w:space="0" w:color="auto"/>
            </w:tcBorders>
            <w:shd w:val="clear" w:color="auto" w:fill="auto"/>
            <w:noWrap/>
            <w:vAlign w:val="center"/>
            <w:hideMark/>
          </w:tcPr>
          <w:p w14:paraId="6D14750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0.175</w:t>
            </w:r>
          </w:p>
        </w:tc>
        <w:tc>
          <w:tcPr>
            <w:tcW w:w="1276" w:type="dxa"/>
            <w:tcBorders>
              <w:top w:val="single" w:sz="8" w:space="0" w:color="auto"/>
            </w:tcBorders>
            <w:shd w:val="clear" w:color="auto" w:fill="auto"/>
            <w:vAlign w:val="center"/>
            <w:hideMark/>
          </w:tcPr>
          <w:p w14:paraId="44DB542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44</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(72.1%)</w:t>
            </w:r>
          </w:p>
        </w:tc>
        <w:tc>
          <w:tcPr>
            <w:tcW w:w="1134" w:type="dxa"/>
            <w:tcBorders>
              <w:top w:val="single" w:sz="8" w:space="0" w:color="auto"/>
            </w:tcBorders>
            <w:shd w:val="clear" w:color="auto" w:fill="auto"/>
            <w:vAlign w:val="center"/>
            <w:hideMark/>
          </w:tcPr>
          <w:p w14:paraId="2D3853A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 (66.7%)</w:t>
            </w:r>
          </w:p>
        </w:tc>
        <w:tc>
          <w:tcPr>
            <w:tcW w:w="708" w:type="dxa"/>
            <w:tcBorders>
              <w:top w:val="single" w:sz="8" w:space="0" w:color="auto"/>
            </w:tcBorders>
            <w:shd w:val="clear" w:color="auto" w:fill="auto"/>
            <w:vAlign w:val="center"/>
            <w:hideMark/>
          </w:tcPr>
          <w:p w14:paraId="64EF092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0.777</w:t>
            </w:r>
          </w:p>
        </w:tc>
        <w:tc>
          <w:tcPr>
            <w:tcW w:w="1276" w:type="dxa"/>
            <w:tcBorders>
              <w:top w:val="single" w:sz="8" w:space="0" w:color="auto"/>
            </w:tcBorders>
            <w:shd w:val="clear" w:color="auto" w:fill="auto"/>
            <w:noWrap/>
            <w:vAlign w:val="center"/>
            <w:hideMark/>
          </w:tcPr>
          <w:p w14:paraId="41403B2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37</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(69.8%)</w:t>
            </w:r>
          </w:p>
        </w:tc>
        <w:tc>
          <w:tcPr>
            <w:tcW w:w="1234" w:type="dxa"/>
            <w:shd w:val="clear" w:color="auto" w:fill="auto"/>
            <w:noWrap/>
            <w:vAlign w:val="center"/>
            <w:hideMark/>
          </w:tcPr>
          <w:p w14:paraId="5829E9E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(78.6%)</w:t>
            </w:r>
          </w:p>
        </w:tc>
        <w:tc>
          <w:tcPr>
            <w:tcW w:w="1134" w:type="dxa"/>
            <w:shd w:val="clear" w:color="auto" w:fill="auto"/>
            <w:noWrap/>
            <w:vAlign w:val="center"/>
            <w:hideMark/>
          </w:tcPr>
          <w:p w14:paraId="5B005A7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0.518</w:t>
            </w:r>
          </w:p>
        </w:tc>
      </w:tr>
      <w:tr w:rsidR="00976FCC" w:rsidRPr="00B0764C" w14:paraId="4314BF00" w14:textId="77777777" w:rsidTr="00976FCC">
        <w:trPr>
          <w:trHeight w:val="630"/>
        </w:trPr>
        <w:tc>
          <w:tcPr>
            <w:tcW w:w="1911" w:type="dxa"/>
            <w:shd w:val="clear" w:color="auto" w:fill="auto"/>
            <w:noWrap/>
            <w:vAlign w:val="center"/>
            <w:hideMark/>
          </w:tcPr>
          <w:p w14:paraId="4D552B9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Presence of </w:t>
            </w:r>
          </w:p>
        </w:tc>
        <w:tc>
          <w:tcPr>
            <w:tcW w:w="1115" w:type="dxa"/>
            <w:vMerge w:val="restart"/>
            <w:shd w:val="clear" w:color="auto" w:fill="auto"/>
            <w:vAlign w:val="center"/>
            <w:hideMark/>
          </w:tcPr>
          <w:p w14:paraId="5776B71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8 (16.7%)</w:t>
            </w:r>
          </w:p>
        </w:tc>
        <w:tc>
          <w:tcPr>
            <w:tcW w:w="1134" w:type="dxa"/>
            <w:vMerge w:val="restart"/>
            <w:shd w:val="clear" w:color="auto" w:fill="auto"/>
            <w:vAlign w:val="center"/>
            <w:hideMark/>
          </w:tcPr>
          <w:p w14:paraId="005BE3A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(26.3%)</w:t>
            </w:r>
          </w:p>
        </w:tc>
        <w:tc>
          <w:tcPr>
            <w:tcW w:w="851" w:type="dxa"/>
            <w:vMerge w:val="restart"/>
            <w:shd w:val="clear" w:color="auto" w:fill="auto"/>
            <w:vAlign w:val="center"/>
            <w:hideMark/>
          </w:tcPr>
          <w:p w14:paraId="60382FE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0.368</w:t>
            </w:r>
          </w:p>
        </w:tc>
        <w:tc>
          <w:tcPr>
            <w:tcW w:w="1276" w:type="dxa"/>
            <w:vMerge w:val="restart"/>
            <w:shd w:val="clear" w:color="auto" w:fill="auto"/>
            <w:noWrap/>
            <w:vAlign w:val="center"/>
            <w:hideMark/>
          </w:tcPr>
          <w:p w14:paraId="6693061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9</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(18.0%)</w:t>
            </w:r>
          </w:p>
        </w:tc>
        <w:tc>
          <w:tcPr>
            <w:tcW w:w="1275" w:type="dxa"/>
            <w:vMerge w:val="restart"/>
            <w:shd w:val="clear" w:color="auto" w:fill="auto"/>
            <w:noWrap/>
            <w:vAlign w:val="center"/>
            <w:hideMark/>
          </w:tcPr>
          <w:p w14:paraId="315D7FA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 (23.5%)</w:t>
            </w:r>
          </w:p>
        </w:tc>
        <w:tc>
          <w:tcPr>
            <w:tcW w:w="851" w:type="dxa"/>
            <w:vMerge w:val="restart"/>
            <w:shd w:val="clear" w:color="auto" w:fill="auto"/>
            <w:noWrap/>
            <w:vAlign w:val="center"/>
            <w:hideMark/>
          </w:tcPr>
          <w:p w14:paraId="6AF7786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0.618</w:t>
            </w:r>
          </w:p>
        </w:tc>
        <w:tc>
          <w:tcPr>
            <w:tcW w:w="1276" w:type="dxa"/>
            <w:vMerge w:val="restart"/>
            <w:shd w:val="clear" w:color="auto" w:fill="auto"/>
            <w:vAlign w:val="center"/>
            <w:hideMark/>
          </w:tcPr>
          <w:p w14:paraId="32D29A2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 (18%)</w:t>
            </w:r>
          </w:p>
        </w:tc>
        <w:tc>
          <w:tcPr>
            <w:tcW w:w="1134" w:type="dxa"/>
            <w:vMerge w:val="restart"/>
            <w:shd w:val="clear" w:color="auto" w:fill="auto"/>
            <w:vAlign w:val="center"/>
            <w:hideMark/>
          </w:tcPr>
          <w:p w14:paraId="54708D6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(33.3%)</w:t>
            </w:r>
          </w:p>
        </w:tc>
        <w:tc>
          <w:tcPr>
            <w:tcW w:w="708" w:type="dxa"/>
            <w:vMerge w:val="restart"/>
            <w:shd w:val="clear" w:color="auto" w:fill="auto"/>
            <w:vAlign w:val="center"/>
            <w:hideMark/>
          </w:tcPr>
          <w:p w14:paraId="7CEC997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0.366</w:t>
            </w:r>
          </w:p>
        </w:tc>
        <w:tc>
          <w:tcPr>
            <w:tcW w:w="1276" w:type="dxa"/>
            <w:vMerge w:val="restart"/>
            <w:shd w:val="clear" w:color="auto" w:fill="auto"/>
            <w:noWrap/>
            <w:vAlign w:val="center"/>
            <w:hideMark/>
          </w:tcPr>
          <w:p w14:paraId="1BC7E17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10 (18.9%)</w:t>
            </w:r>
          </w:p>
        </w:tc>
        <w:tc>
          <w:tcPr>
            <w:tcW w:w="1234" w:type="dxa"/>
            <w:vMerge w:val="restart"/>
            <w:shd w:val="clear" w:color="auto" w:fill="auto"/>
            <w:noWrap/>
            <w:vAlign w:val="center"/>
            <w:hideMark/>
          </w:tcPr>
          <w:p w14:paraId="5E21627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(21.4%)</w:t>
            </w:r>
          </w:p>
        </w:tc>
        <w:tc>
          <w:tcPr>
            <w:tcW w:w="1134" w:type="dxa"/>
            <w:vMerge w:val="restart"/>
            <w:shd w:val="clear" w:color="auto" w:fill="auto"/>
            <w:noWrap/>
            <w:vAlign w:val="center"/>
            <w:hideMark/>
          </w:tcPr>
          <w:p w14:paraId="41CBD0C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0.829</w:t>
            </w:r>
          </w:p>
        </w:tc>
      </w:tr>
      <w:tr w:rsidR="00976FCC" w:rsidRPr="00B0764C" w14:paraId="71044687" w14:textId="77777777" w:rsidTr="00976FCC">
        <w:trPr>
          <w:trHeight w:val="330"/>
        </w:trPr>
        <w:tc>
          <w:tcPr>
            <w:tcW w:w="1911" w:type="dxa"/>
            <w:shd w:val="clear" w:color="auto" w:fill="auto"/>
            <w:noWrap/>
            <w:vAlign w:val="center"/>
            <w:hideMark/>
          </w:tcPr>
          <w:p w14:paraId="0DF04E0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cirrhosis</w:t>
            </w:r>
          </w:p>
        </w:tc>
        <w:tc>
          <w:tcPr>
            <w:tcW w:w="1115" w:type="dxa"/>
            <w:vMerge/>
            <w:vAlign w:val="center"/>
            <w:hideMark/>
          </w:tcPr>
          <w:p w14:paraId="56ED1829"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60C4C5A5"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77DF223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463122BA"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660E059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42FA8C9D"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20F1336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604EFF5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51A69A86"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7F82F26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5D9B211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2350E23F"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3BC3757A" w14:textId="77777777" w:rsidTr="00976FCC">
        <w:trPr>
          <w:trHeight w:val="630"/>
        </w:trPr>
        <w:tc>
          <w:tcPr>
            <w:tcW w:w="1911" w:type="dxa"/>
            <w:shd w:val="clear" w:color="auto" w:fill="auto"/>
            <w:noWrap/>
            <w:vAlign w:val="center"/>
            <w:hideMark/>
          </w:tcPr>
          <w:p w14:paraId="4C12995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Presence of </w:t>
            </w:r>
          </w:p>
        </w:tc>
        <w:tc>
          <w:tcPr>
            <w:tcW w:w="1115" w:type="dxa"/>
            <w:vMerge w:val="restart"/>
            <w:shd w:val="clear" w:color="auto" w:fill="auto"/>
            <w:vAlign w:val="center"/>
            <w:hideMark/>
          </w:tcPr>
          <w:p w14:paraId="0092430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36 (75%)</w:t>
            </w:r>
          </w:p>
        </w:tc>
        <w:tc>
          <w:tcPr>
            <w:tcW w:w="1134" w:type="dxa"/>
            <w:vMerge w:val="restart"/>
            <w:shd w:val="clear" w:color="auto" w:fill="auto"/>
            <w:vAlign w:val="center"/>
            <w:hideMark/>
          </w:tcPr>
          <w:p w14:paraId="0623216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 (78.9%)</w:t>
            </w:r>
          </w:p>
        </w:tc>
        <w:tc>
          <w:tcPr>
            <w:tcW w:w="851" w:type="dxa"/>
            <w:vMerge w:val="restart"/>
            <w:shd w:val="clear" w:color="auto" w:fill="auto"/>
            <w:vAlign w:val="center"/>
            <w:hideMark/>
          </w:tcPr>
          <w:p w14:paraId="0CC4C0B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0.733</w:t>
            </w:r>
          </w:p>
        </w:tc>
        <w:tc>
          <w:tcPr>
            <w:tcW w:w="1276" w:type="dxa"/>
            <w:vMerge w:val="restart"/>
            <w:shd w:val="clear" w:color="auto" w:fill="auto"/>
            <w:noWrap/>
            <w:vAlign w:val="center"/>
            <w:hideMark/>
          </w:tcPr>
          <w:p w14:paraId="7322D59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40</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(80.0%)</w:t>
            </w:r>
          </w:p>
        </w:tc>
        <w:tc>
          <w:tcPr>
            <w:tcW w:w="1275" w:type="dxa"/>
            <w:vMerge w:val="restart"/>
            <w:shd w:val="clear" w:color="auto" w:fill="auto"/>
            <w:noWrap/>
            <w:vAlign w:val="center"/>
            <w:hideMark/>
          </w:tcPr>
          <w:p w14:paraId="1A6993A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(64.7%)</w:t>
            </w:r>
          </w:p>
        </w:tc>
        <w:tc>
          <w:tcPr>
            <w:tcW w:w="851" w:type="dxa"/>
            <w:vMerge w:val="restart"/>
            <w:shd w:val="clear" w:color="auto" w:fill="auto"/>
            <w:noWrap/>
            <w:vAlign w:val="center"/>
            <w:hideMark/>
          </w:tcPr>
          <w:p w14:paraId="5F535FB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0.201</w:t>
            </w:r>
          </w:p>
        </w:tc>
        <w:tc>
          <w:tcPr>
            <w:tcW w:w="1276" w:type="dxa"/>
            <w:vMerge w:val="restart"/>
            <w:shd w:val="clear" w:color="auto" w:fill="auto"/>
            <w:vAlign w:val="center"/>
            <w:hideMark/>
          </w:tcPr>
          <w:p w14:paraId="1C8CB43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47 (77%)</w:t>
            </w:r>
          </w:p>
        </w:tc>
        <w:tc>
          <w:tcPr>
            <w:tcW w:w="1134" w:type="dxa"/>
            <w:vMerge w:val="restart"/>
            <w:shd w:val="clear" w:color="auto" w:fill="auto"/>
            <w:vAlign w:val="center"/>
            <w:hideMark/>
          </w:tcPr>
          <w:p w14:paraId="5CEAAB0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 (66.7%)</w:t>
            </w:r>
          </w:p>
        </w:tc>
        <w:tc>
          <w:tcPr>
            <w:tcW w:w="708" w:type="dxa"/>
            <w:vMerge w:val="restart"/>
            <w:shd w:val="clear" w:color="auto" w:fill="auto"/>
            <w:vAlign w:val="center"/>
            <w:hideMark/>
          </w:tcPr>
          <w:p w14:paraId="31AFE77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0.569</w:t>
            </w:r>
          </w:p>
        </w:tc>
        <w:tc>
          <w:tcPr>
            <w:tcW w:w="1276" w:type="dxa"/>
            <w:vMerge w:val="restart"/>
            <w:shd w:val="clear" w:color="auto" w:fill="auto"/>
            <w:noWrap/>
            <w:vAlign w:val="center"/>
            <w:hideMark/>
          </w:tcPr>
          <w:p w14:paraId="445065E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40</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(75.5%)</w:t>
            </w:r>
          </w:p>
        </w:tc>
        <w:tc>
          <w:tcPr>
            <w:tcW w:w="1234" w:type="dxa"/>
            <w:vMerge w:val="restart"/>
            <w:shd w:val="clear" w:color="auto" w:fill="auto"/>
            <w:noWrap/>
            <w:vAlign w:val="center"/>
            <w:hideMark/>
          </w:tcPr>
          <w:p w14:paraId="5B61167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w:t>
            </w:r>
            <w:r w:rsidRPr="00B0764C">
              <w:rPr>
                <w:rFonts w:ascii="Book Antiqua" w:eastAsia="SimSun" w:hAnsi="Book Antiqua" w:cs="SimSun"/>
                <w:color w:val="000000"/>
                <w:szCs w:val="21"/>
              </w:rPr>
              <w:t xml:space="preserve"> </w:t>
            </w:r>
            <w:r w:rsidRPr="00B0764C">
              <w:rPr>
                <w:rFonts w:ascii="Book Antiqua" w:eastAsia="SimSun" w:hAnsi="Book Antiqua" w:cs="SimSun"/>
                <w:color w:val="000000"/>
                <w:sz w:val="21"/>
                <w:szCs w:val="21"/>
              </w:rPr>
              <w:t>(78.6%)</w:t>
            </w:r>
          </w:p>
        </w:tc>
        <w:tc>
          <w:tcPr>
            <w:tcW w:w="1134" w:type="dxa"/>
            <w:vMerge w:val="restart"/>
            <w:shd w:val="clear" w:color="auto" w:fill="auto"/>
            <w:noWrap/>
            <w:vAlign w:val="center"/>
            <w:hideMark/>
          </w:tcPr>
          <w:p w14:paraId="36A6E59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0.809</w:t>
            </w:r>
          </w:p>
        </w:tc>
      </w:tr>
      <w:tr w:rsidR="00976FCC" w:rsidRPr="00B0764C" w14:paraId="29437DFB" w14:textId="77777777" w:rsidTr="00976FCC">
        <w:trPr>
          <w:trHeight w:val="588"/>
        </w:trPr>
        <w:tc>
          <w:tcPr>
            <w:tcW w:w="1911" w:type="dxa"/>
            <w:shd w:val="clear" w:color="auto" w:fill="auto"/>
            <w:noWrap/>
            <w:vAlign w:val="center"/>
            <w:hideMark/>
          </w:tcPr>
          <w:p w14:paraId="547EA10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IBD</w:t>
            </w:r>
          </w:p>
        </w:tc>
        <w:tc>
          <w:tcPr>
            <w:tcW w:w="1115" w:type="dxa"/>
            <w:vMerge/>
            <w:vAlign w:val="center"/>
            <w:hideMark/>
          </w:tcPr>
          <w:p w14:paraId="18F5B13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249B582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7690ADB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276573D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7A19CCA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4ACD22C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3ABCB6D0"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74BE2712"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3DEDD1C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6794A876"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4D0F9E6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6B3D49C2"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3AD839F2" w14:textId="77777777" w:rsidTr="00976FCC">
        <w:trPr>
          <w:trHeight w:val="645"/>
        </w:trPr>
        <w:tc>
          <w:tcPr>
            <w:tcW w:w="1911" w:type="dxa"/>
            <w:shd w:val="clear" w:color="auto" w:fill="auto"/>
            <w:noWrap/>
            <w:vAlign w:val="center"/>
            <w:hideMark/>
          </w:tcPr>
          <w:p w14:paraId="1D44CC3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Median, IQR</w:t>
            </w:r>
          </w:p>
        </w:tc>
        <w:tc>
          <w:tcPr>
            <w:tcW w:w="1115" w:type="dxa"/>
            <w:shd w:val="clear" w:color="auto" w:fill="auto"/>
            <w:vAlign w:val="center"/>
            <w:hideMark/>
          </w:tcPr>
          <w:p w14:paraId="735C39F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134" w:type="dxa"/>
            <w:shd w:val="clear" w:color="auto" w:fill="auto"/>
            <w:vAlign w:val="center"/>
            <w:hideMark/>
          </w:tcPr>
          <w:p w14:paraId="3429AC7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851" w:type="dxa"/>
            <w:shd w:val="clear" w:color="auto" w:fill="auto"/>
            <w:vAlign w:val="center"/>
            <w:hideMark/>
          </w:tcPr>
          <w:p w14:paraId="3DC9964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276" w:type="dxa"/>
            <w:shd w:val="clear" w:color="auto" w:fill="auto"/>
            <w:noWrap/>
            <w:vAlign w:val="center"/>
            <w:hideMark/>
          </w:tcPr>
          <w:p w14:paraId="7996640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275" w:type="dxa"/>
            <w:shd w:val="clear" w:color="auto" w:fill="auto"/>
            <w:noWrap/>
            <w:vAlign w:val="center"/>
            <w:hideMark/>
          </w:tcPr>
          <w:p w14:paraId="19892D2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851" w:type="dxa"/>
            <w:shd w:val="clear" w:color="auto" w:fill="auto"/>
            <w:noWrap/>
            <w:vAlign w:val="center"/>
            <w:hideMark/>
          </w:tcPr>
          <w:p w14:paraId="3E95F05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276" w:type="dxa"/>
            <w:shd w:val="clear" w:color="auto" w:fill="auto"/>
            <w:vAlign w:val="center"/>
            <w:hideMark/>
          </w:tcPr>
          <w:p w14:paraId="1931CB7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134" w:type="dxa"/>
            <w:shd w:val="clear" w:color="auto" w:fill="auto"/>
            <w:vAlign w:val="center"/>
            <w:hideMark/>
          </w:tcPr>
          <w:p w14:paraId="26566A5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708" w:type="dxa"/>
            <w:shd w:val="clear" w:color="auto" w:fill="auto"/>
            <w:vAlign w:val="center"/>
            <w:hideMark/>
          </w:tcPr>
          <w:p w14:paraId="5C3B7A7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276" w:type="dxa"/>
            <w:shd w:val="clear" w:color="auto" w:fill="auto"/>
            <w:noWrap/>
            <w:vAlign w:val="center"/>
            <w:hideMark/>
          </w:tcPr>
          <w:p w14:paraId="70D599F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234" w:type="dxa"/>
            <w:shd w:val="clear" w:color="auto" w:fill="auto"/>
            <w:noWrap/>
            <w:vAlign w:val="center"/>
            <w:hideMark/>
          </w:tcPr>
          <w:p w14:paraId="4D80932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c>
          <w:tcPr>
            <w:tcW w:w="1134" w:type="dxa"/>
            <w:shd w:val="clear" w:color="auto" w:fill="auto"/>
            <w:noWrap/>
            <w:vAlign w:val="center"/>
            <w:hideMark/>
          </w:tcPr>
          <w:p w14:paraId="589A847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　</w:t>
            </w:r>
          </w:p>
        </w:tc>
      </w:tr>
      <w:tr w:rsidR="00976FCC" w:rsidRPr="00B0764C" w14:paraId="5758CADA" w14:textId="77777777" w:rsidTr="00976FCC">
        <w:trPr>
          <w:trHeight w:val="315"/>
        </w:trPr>
        <w:tc>
          <w:tcPr>
            <w:tcW w:w="1911" w:type="dxa"/>
            <w:shd w:val="clear" w:color="auto" w:fill="auto"/>
            <w:noWrap/>
            <w:vAlign w:val="center"/>
            <w:hideMark/>
          </w:tcPr>
          <w:p w14:paraId="1433D0A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Age at </w:t>
            </w:r>
          </w:p>
        </w:tc>
        <w:tc>
          <w:tcPr>
            <w:tcW w:w="1115" w:type="dxa"/>
            <w:vMerge w:val="restart"/>
            <w:shd w:val="clear" w:color="auto" w:fill="auto"/>
            <w:vAlign w:val="center"/>
            <w:hideMark/>
          </w:tcPr>
          <w:p w14:paraId="22D88B6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23 (17 - 33)</w:t>
            </w:r>
          </w:p>
        </w:tc>
        <w:tc>
          <w:tcPr>
            <w:tcW w:w="1134" w:type="dxa"/>
            <w:vMerge w:val="restart"/>
            <w:shd w:val="clear" w:color="auto" w:fill="auto"/>
            <w:vAlign w:val="center"/>
            <w:hideMark/>
          </w:tcPr>
          <w:p w14:paraId="6868EE7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26 (18 - 37)</w:t>
            </w:r>
          </w:p>
        </w:tc>
        <w:tc>
          <w:tcPr>
            <w:tcW w:w="851" w:type="dxa"/>
            <w:vMerge w:val="restart"/>
            <w:shd w:val="clear" w:color="auto" w:fill="auto"/>
            <w:vAlign w:val="center"/>
            <w:hideMark/>
          </w:tcPr>
          <w:p w14:paraId="1C915BB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0.713</w:t>
            </w:r>
          </w:p>
        </w:tc>
        <w:tc>
          <w:tcPr>
            <w:tcW w:w="1276" w:type="dxa"/>
            <w:vMerge w:val="restart"/>
            <w:shd w:val="clear" w:color="auto" w:fill="auto"/>
            <w:noWrap/>
            <w:vAlign w:val="center"/>
            <w:hideMark/>
          </w:tcPr>
          <w:p w14:paraId="0F7776F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25 (17 - 37)</w:t>
            </w:r>
          </w:p>
        </w:tc>
        <w:tc>
          <w:tcPr>
            <w:tcW w:w="1275" w:type="dxa"/>
            <w:vMerge w:val="restart"/>
            <w:shd w:val="clear" w:color="auto" w:fill="auto"/>
            <w:noWrap/>
            <w:vAlign w:val="center"/>
            <w:hideMark/>
          </w:tcPr>
          <w:p w14:paraId="751A7C4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20 (11 - 31)</w:t>
            </w:r>
          </w:p>
        </w:tc>
        <w:tc>
          <w:tcPr>
            <w:tcW w:w="851" w:type="dxa"/>
            <w:vMerge w:val="restart"/>
            <w:shd w:val="clear" w:color="auto" w:fill="auto"/>
            <w:noWrap/>
            <w:vAlign w:val="center"/>
            <w:hideMark/>
          </w:tcPr>
          <w:p w14:paraId="141F68C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0.22</w:t>
            </w:r>
          </w:p>
        </w:tc>
        <w:tc>
          <w:tcPr>
            <w:tcW w:w="1276" w:type="dxa"/>
            <w:vMerge w:val="restart"/>
            <w:shd w:val="clear" w:color="auto" w:fill="auto"/>
            <w:vAlign w:val="center"/>
            <w:hideMark/>
          </w:tcPr>
          <w:p w14:paraId="14031C7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23 (17 - 35)</w:t>
            </w:r>
          </w:p>
        </w:tc>
        <w:tc>
          <w:tcPr>
            <w:tcW w:w="1134" w:type="dxa"/>
            <w:vMerge w:val="restart"/>
            <w:shd w:val="clear" w:color="auto" w:fill="auto"/>
            <w:vAlign w:val="center"/>
            <w:hideMark/>
          </w:tcPr>
          <w:p w14:paraId="5667E55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23 (18 - 29)</w:t>
            </w:r>
          </w:p>
        </w:tc>
        <w:tc>
          <w:tcPr>
            <w:tcW w:w="708" w:type="dxa"/>
            <w:vMerge w:val="restart"/>
            <w:shd w:val="clear" w:color="auto" w:fill="auto"/>
            <w:vAlign w:val="center"/>
            <w:hideMark/>
          </w:tcPr>
          <w:p w14:paraId="6AD5E17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0.925</w:t>
            </w:r>
          </w:p>
        </w:tc>
        <w:tc>
          <w:tcPr>
            <w:tcW w:w="1276" w:type="dxa"/>
            <w:vMerge w:val="restart"/>
            <w:shd w:val="clear" w:color="auto" w:fill="auto"/>
            <w:noWrap/>
            <w:vAlign w:val="center"/>
            <w:hideMark/>
          </w:tcPr>
          <w:p w14:paraId="2A38830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23 (17 - 37)</w:t>
            </w:r>
          </w:p>
        </w:tc>
        <w:tc>
          <w:tcPr>
            <w:tcW w:w="1234" w:type="dxa"/>
            <w:vMerge w:val="restart"/>
            <w:shd w:val="clear" w:color="auto" w:fill="auto"/>
            <w:noWrap/>
            <w:vAlign w:val="center"/>
            <w:hideMark/>
          </w:tcPr>
          <w:p w14:paraId="55077EB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22 (17 - 29)</w:t>
            </w:r>
          </w:p>
        </w:tc>
        <w:tc>
          <w:tcPr>
            <w:tcW w:w="1134" w:type="dxa"/>
            <w:vMerge w:val="restart"/>
            <w:shd w:val="clear" w:color="auto" w:fill="auto"/>
            <w:noWrap/>
            <w:vAlign w:val="center"/>
            <w:hideMark/>
          </w:tcPr>
          <w:p w14:paraId="1B95A7F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0.502</w:t>
            </w:r>
          </w:p>
        </w:tc>
      </w:tr>
      <w:tr w:rsidR="00976FCC" w:rsidRPr="00B0764C" w14:paraId="0D8B27F4" w14:textId="77777777" w:rsidTr="00976FCC">
        <w:trPr>
          <w:trHeight w:val="645"/>
        </w:trPr>
        <w:tc>
          <w:tcPr>
            <w:tcW w:w="1911" w:type="dxa"/>
            <w:shd w:val="clear" w:color="auto" w:fill="auto"/>
            <w:noWrap/>
            <w:vAlign w:val="center"/>
            <w:hideMark/>
          </w:tcPr>
          <w:p w14:paraId="046AE22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diagnosis (y)</w:t>
            </w:r>
          </w:p>
        </w:tc>
        <w:tc>
          <w:tcPr>
            <w:tcW w:w="1115" w:type="dxa"/>
            <w:vMerge/>
            <w:vAlign w:val="center"/>
            <w:hideMark/>
          </w:tcPr>
          <w:p w14:paraId="13733E5A"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472BB50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72CD699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4D58DD0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6525776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69631E15"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1A860025"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21C0503A"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69D2912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4E17FF2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09A36D0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5D9A8FCA"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73EA6B22" w14:textId="77777777" w:rsidTr="00976FCC">
        <w:trPr>
          <w:trHeight w:val="960"/>
        </w:trPr>
        <w:tc>
          <w:tcPr>
            <w:tcW w:w="1911" w:type="dxa"/>
            <w:shd w:val="clear" w:color="auto" w:fill="auto"/>
            <w:noWrap/>
            <w:vAlign w:val="center"/>
            <w:hideMark/>
          </w:tcPr>
          <w:p w14:paraId="2E8880E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Diseaseduration (y) </w:t>
            </w:r>
          </w:p>
        </w:tc>
        <w:tc>
          <w:tcPr>
            <w:tcW w:w="1115" w:type="dxa"/>
            <w:shd w:val="clear" w:color="auto" w:fill="auto"/>
            <w:vAlign w:val="center"/>
            <w:hideMark/>
          </w:tcPr>
          <w:p w14:paraId="45C4E4E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 (3 - 8)</w:t>
            </w:r>
          </w:p>
        </w:tc>
        <w:tc>
          <w:tcPr>
            <w:tcW w:w="1134" w:type="dxa"/>
            <w:shd w:val="clear" w:color="auto" w:fill="auto"/>
            <w:vAlign w:val="center"/>
            <w:hideMark/>
          </w:tcPr>
          <w:p w14:paraId="2D8EF98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7 (2 - 12)</w:t>
            </w:r>
          </w:p>
        </w:tc>
        <w:tc>
          <w:tcPr>
            <w:tcW w:w="851" w:type="dxa"/>
            <w:shd w:val="clear" w:color="auto" w:fill="auto"/>
            <w:vAlign w:val="center"/>
            <w:hideMark/>
          </w:tcPr>
          <w:p w14:paraId="6107173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0.24</w:t>
            </w:r>
          </w:p>
        </w:tc>
        <w:tc>
          <w:tcPr>
            <w:tcW w:w="1276" w:type="dxa"/>
            <w:shd w:val="clear" w:color="auto" w:fill="auto"/>
            <w:noWrap/>
            <w:vAlign w:val="center"/>
            <w:hideMark/>
          </w:tcPr>
          <w:p w14:paraId="68137AA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 (4 - 10)</w:t>
            </w:r>
          </w:p>
        </w:tc>
        <w:tc>
          <w:tcPr>
            <w:tcW w:w="1275" w:type="dxa"/>
            <w:shd w:val="clear" w:color="auto" w:fill="auto"/>
            <w:noWrap/>
            <w:vAlign w:val="center"/>
            <w:hideMark/>
          </w:tcPr>
          <w:p w14:paraId="4E54CC9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 (1 - 9)</w:t>
            </w:r>
          </w:p>
        </w:tc>
        <w:tc>
          <w:tcPr>
            <w:tcW w:w="851" w:type="dxa"/>
            <w:shd w:val="clear" w:color="auto" w:fill="auto"/>
            <w:noWrap/>
            <w:vAlign w:val="center"/>
            <w:hideMark/>
          </w:tcPr>
          <w:p w14:paraId="263A26C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0.219</w:t>
            </w:r>
          </w:p>
        </w:tc>
        <w:tc>
          <w:tcPr>
            <w:tcW w:w="1276" w:type="dxa"/>
            <w:shd w:val="clear" w:color="auto" w:fill="auto"/>
            <w:vAlign w:val="center"/>
            <w:hideMark/>
          </w:tcPr>
          <w:p w14:paraId="1FEEA3A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 (3 - 9)</w:t>
            </w:r>
          </w:p>
        </w:tc>
        <w:tc>
          <w:tcPr>
            <w:tcW w:w="1134" w:type="dxa"/>
            <w:shd w:val="clear" w:color="auto" w:fill="auto"/>
            <w:vAlign w:val="center"/>
            <w:hideMark/>
          </w:tcPr>
          <w:p w14:paraId="2108B46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9 (1 - 12)</w:t>
            </w:r>
          </w:p>
        </w:tc>
        <w:tc>
          <w:tcPr>
            <w:tcW w:w="708" w:type="dxa"/>
            <w:shd w:val="clear" w:color="auto" w:fill="auto"/>
            <w:vAlign w:val="center"/>
            <w:hideMark/>
          </w:tcPr>
          <w:p w14:paraId="65FCB2F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0.76</w:t>
            </w:r>
          </w:p>
        </w:tc>
        <w:tc>
          <w:tcPr>
            <w:tcW w:w="1276" w:type="dxa"/>
            <w:shd w:val="clear" w:color="auto" w:fill="auto"/>
            <w:noWrap/>
            <w:vAlign w:val="center"/>
            <w:hideMark/>
          </w:tcPr>
          <w:p w14:paraId="2A6BBE9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 (3 - 8)</w:t>
            </w:r>
          </w:p>
        </w:tc>
        <w:tc>
          <w:tcPr>
            <w:tcW w:w="1234" w:type="dxa"/>
            <w:shd w:val="clear" w:color="auto" w:fill="auto"/>
            <w:noWrap/>
            <w:vAlign w:val="center"/>
            <w:hideMark/>
          </w:tcPr>
          <w:p w14:paraId="027BC4E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 (2 - 17)</w:t>
            </w:r>
          </w:p>
        </w:tc>
        <w:tc>
          <w:tcPr>
            <w:tcW w:w="1134" w:type="dxa"/>
            <w:shd w:val="clear" w:color="auto" w:fill="auto"/>
            <w:noWrap/>
            <w:vAlign w:val="center"/>
            <w:hideMark/>
          </w:tcPr>
          <w:p w14:paraId="613CC8A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0.506</w:t>
            </w:r>
          </w:p>
        </w:tc>
      </w:tr>
      <w:tr w:rsidR="00976FCC" w:rsidRPr="00B0764C" w14:paraId="11AF6C28" w14:textId="77777777" w:rsidTr="00976FCC">
        <w:trPr>
          <w:trHeight w:val="330"/>
        </w:trPr>
        <w:tc>
          <w:tcPr>
            <w:tcW w:w="1911" w:type="dxa"/>
            <w:shd w:val="clear" w:color="auto" w:fill="auto"/>
            <w:noWrap/>
            <w:vAlign w:val="center"/>
            <w:hideMark/>
          </w:tcPr>
          <w:p w14:paraId="031CFE9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Albumin </w:t>
            </w:r>
          </w:p>
        </w:tc>
        <w:tc>
          <w:tcPr>
            <w:tcW w:w="1115" w:type="dxa"/>
            <w:vMerge w:val="restart"/>
            <w:shd w:val="clear" w:color="auto" w:fill="auto"/>
            <w:vAlign w:val="center"/>
            <w:hideMark/>
          </w:tcPr>
          <w:p w14:paraId="0A60082E"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44 (42 - 46)</w:t>
            </w:r>
          </w:p>
        </w:tc>
        <w:tc>
          <w:tcPr>
            <w:tcW w:w="1134" w:type="dxa"/>
            <w:vMerge w:val="restart"/>
            <w:shd w:val="clear" w:color="auto" w:fill="auto"/>
            <w:vAlign w:val="center"/>
            <w:hideMark/>
          </w:tcPr>
          <w:p w14:paraId="212682F7"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39 (38 - 47)</w:t>
            </w:r>
          </w:p>
        </w:tc>
        <w:tc>
          <w:tcPr>
            <w:tcW w:w="851" w:type="dxa"/>
            <w:vMerge w:val="restart"/>
            <w:shd w:val="clear" w:color="auto" w:fill="auto"/>
            <w:vAlign w:val="center"/>
            <w:hideMark/>
          </w:tcPr>
          <w:p w14:paraId="5D7AF551"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0.02</w:t>
            </w:r>
          </w:p>
        </w:tc>
        <w:tc>
          <w:tcPr>
            <w:tcW w:w="1276" w:type="dxa"/>
            <w:vMerge w:val="restart"/>
            <w:shd w:val="clear" w:color="auto" w:fill="auto"/>
            <w:noWrap/>
            <w:vAlign w:val="center"/>
            <w:hideMark/>
          </w:tcPr>
          <w:p w14:paraId="51220CD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44 (40 - 46)</w:t>
            </w:r>
          </w:p>
        </w:tc>
        <w:tc>
          <w:tcPr>
            <w:tcW w:w="1275" w:type="dxa"/>
            <w:vMerge w:val="restart"/>
            <w:shd w:val="clear" w:color="auto" w:fill="auto"/>
            <w:noWrap/>
            <w:vAlign w:val="center"/>
            <w:hideMark/>
          </w:tcPr>
          <w:p w14:paraId="22535F4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43 (39 - 47)</w:t>
            </w:r>
          </w:p>
        </w:tc>
        <w:tc>
          <w:tcPr>
            <w:tcW w:w="851" w:type="dxa"/>
            <w:vMerge w:val="restart"/>
            <w:shd w:val="clear" w:color="auto" w:fill="auto"/>
            <w:noWrap/>
            <w:vAlign w:val="center"/>
            <w:hideMark/>
          </w:tcPr>
          <w:p w14:paraId="737A47E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0.442</w:t>
            </w:r>
          </w:p>
        </w:tc>
        <w:tc>
          <w:tcPr>
            <w:tcW w:w="1276" w:type="dxa"/>
            <w:vMerge w:val="restart"/>
            <w:shd w:val="clear" w:color="auto" w:fill="auto"/>
            <w:vAlign w:val="center"/>
            <w:hideMark/>
          </w:tcPr>
          <w:p w14:paraId="3526775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44 (40 - 47)</w:t>
            </w:r>
          </w:p>
        </w:tc>
        <w:tc>
          <w:tcPr>
            <w:tcW w:w="1134" w:type="dxa"/>
            <w:vMerge w:val="restart"/>
            <w:shd w:val="clear" w:color="auto" w:fill="auto"/>
            <w:vAlign w:val="center"/>
            <w:hideMark/>
          </w:tcPr>
          <w:p w14:paraId="1FBC09A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39 (39 - 42)</w:t>
            </w:r>
          </w:p>
        </w:tc>
        <w:tc>
          <w:tcPr>
            <w:tcW w:w="708" w:type="dxa"/>
            <w:vMerge w:val="restart"/>
            <w:shd w:val="clear" w:color="auto" w:fill="auto"/>
            <w:vAlign w:val="center"/>
            <w:hideMark/>
          </w:tcPr>
          <w:p w14:paraId="0BCB6AD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0.21</w:t>
            </w:r>
          </w:p>
        </w:tc>
        <w:tc>
          <w:tcPr>
            <w:tcW w:w="1276" w:type="dxa"/>
            <w:vMerge w:val="restart"/>
            <w:shd w:val="clear" w:color="auto" w:fill="auto"/>
            <w:noWrap/>
            <w:vAlign w:val="center"/>
            <w:hideMark/>
          </w:tcPr>
          <w:p w14:paraId="15CDA64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44 (40 - 46)</w:t>
            </w:r>
          </w:p>
        </w:tc>
        <w:tc>
          <w:tcPr>
            <w:tcW w:w="1234" w:type="dxa"/>
            <w:vMerge w:val="restart"/>
            <w:shd w:val="clear" w:color="auto" w:fill="auto"/>
            <w:noWrap/>
            <w:vAlign w:val="center"/>
            <w:hideMark/>
          </w:tcPr>
          <w:p w14:paraId="0D7096D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43 (39 - 47)</w:t>
            </w:r>
          </w:p>
        </w:tc>
        <w:tc>
          <w:tcPr>
            <w:tcW w:w="1134" w:type="dxa"/>
            <w:vMerge w:val="restart"/>
            <w:shd w:val="clear" w:color="auto" w:fill="auto"/>
            <w:noWrap/>
            <w:vAlign w:val="center"/>
            <w:hideMark/>
          </w:tcPr>
          <w:p w14:paraId="335652B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0.726</w:t>
            </w:r>
          </w:p>
        </w:tc>
      </w:tr>
      <w:tr w:rsidR="00976FCC" w:rsidRPr="00B0764C" w14:paraId="68EF2160" w14:textId="77777777" w:rsidTr="00976FCC">
        <w:trPr>
          <w:trHeight w:val="330"/>
        </w:trPr>
        <w:tc>
          <w:tcPr>
            <w:tcW w:w="1911" w:type="dxa"/>
            <w:shd w:val="clear" w:color="auto" w:fill="auto"/>
            <w:noWrap/>
            <w:vAlign w:val="center"/>
            <w:hideMark/>
          </w:tcPr>
          <w:p w14:paraId="11D4E6D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(g/L)</w:t>
            </w:r>
          </w:p>
        </w:tc>
        <w:tc>
          <w:tcPr>
            <w:tcW w:w="1115" w:type="dxa"/>
            <w:vMerge/>
            <w:vAlign w:val="center"/>
            <w:hideMark/>
          </w:tcPr>
          <w:p w14:paraId="2FA7A0D1"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134" w:type="dxa"/>
            <w:vMerge/>
            <w:vAlign w:val="center"/>
            <w:hideMark/>
          </w:tcPr>
          <w:p w14:paraId="4CD130F1"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851" w:type="dxa"/>
            <w:vMerge/>
            <w:vAlign w:val="center"/>
            <w:hideMark/>
          </w:tcPr>
          <w:p w14:paraId="104F5E2D"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276" w:type="dxa"/>
            <w:vMerge/>
            <w:vAlign w:val="center"/>
            <w:hideMark/>
          </w:tcPr>
          <w:p w14:paraId="4FDCA8E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5F48ADD6"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0241D79E"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32F978F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27A1F71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0B912505"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5A45E75D"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46C9BD9E"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447C2047"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78B2F22F" w14:textId="77777777" w:rsidTr="00976FCC">
        <w:trPr>
          <w:trHeight w:val="315"/>
        </w:trPr>
        <w:tc>
          <w:tcPr>
            <w:tcW w:w="1911" w:type="dxa"/>
            <w:shd w:val="clear" w:color="auto" w:fill="auto"/>
            <w:noWrap/>
            <w:vAlign w:val="center"/>
            <w:hideMark/>
          </w:tcPr>
          <w:p w14:paraId="38E05B0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Bilirubin </w:t>
            </w:r>
          </w:p>
        </w:tc>
        <w:tc>
          <w:tcPr>
            <w:tcW w:w="1115" w:type="dxa"/>
            <w:vMerge w:val="restart"/>
            <w:shd w:val="clear" w:color="auto" w:fill="auto"/>
            <w:vAlign w:val="center"/>
            <w:hideMark/>
          </w:tcPr>
          <w:p w14:paraId="1212199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 (11 - 20)</w:t>
            </w:r>
          </w:p>
        </w:tc>
        <w:tc>
          <w:tcPr>
            <w:tcW w:w="1134" w:type="dxa"/>
            <w:vMerge w:val="restart"/>
            <w:shd w:val="clear" w:color="auto" w:fill="auto"/>
            <w:vAlign w:val="center"/>
            <w:hideMark/>
          </w:tcPr>
          <w:p w14:paraId="5B6D09E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14 (11 - 37)</w:t>
            </w:r>
          </w:p>
        </w:tc>
        <w:tc>
          <w:tcPr>
            <w:tcW w:w="851" w:type="dxa"/>
            <w:vMerge w:val="restart"/>
            <w:shd w:val="clear" w:color="auto" w:fill="auto"/>
            <w:vAlign w:val="center"/>
            <w:hideMark/>
          </w:tcPr>
          <w:p w14:paraId="0121BE6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0.704</w:t>
            </w:r>
          </w:p>
        </w:tc>
        <w:tc>
          <w:tcPr>
            <w:tcW w:w="1276" w:type="dxa"/>
            <w:vMerge w:val="restart"/>
            <w:shd w:val="clear" w:color="auto" w:fill="auto"/>
            <w:noWrap/>
            <w:vAlign w:val="center"/>
            <w:hideMark/>
          </w:tcPr>
          <w:p w14:paraId="06926D4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 (11 - 20)</w:t>
            </w:r>
          </w:p>
        </w:tc>
        <w:tc>
          <w:tcPr>
            <w:tcW w:w="1275" w:type="dxa"/>
            <w:vMerge w:val="restart"/>
            <w:shd w:val="clear" w:color="auto" w:fill="auto"/>
            <w:noWrap/>
            <w:vAlign w:val="center"/>
            <w:hideMark/>
          </w:tcPr>
          <w:p w14:paraId="3A7814C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13 (10 - 22)</w:t>
            </w:r>
          </w:p>
        </w:tc>
        <w:tc>
          <w:tcPr>
            <w:tcW w:w="851" w:type="dxa"/>
            <w:vMerge w:val="restart"/>
            <w:shd w:val="clear" w:color="auto" w:fill="auto"/>
            <w:noWrap/>
            <w:vAlign w:val="center"/>
            <w:hideMark/>
          </w:tcPr>
          <w:p w14:paraId="2BC26B5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0.705</w:t>
            </w:r>
          </w:p>
        </w:tc>
        <w:tc>
          <w:tcPr>
            <w:tcW w:w="1276" w:type="dxa"/>
            <w:vMerge w:val="restart"/>
            <w:shd w:val="clear" w:color="auto" w:fill="auto"/>
            <w:vAlign w:val="center"/>
            <w:hideMark/>
          </w:tcPr>
          <w:p w14:paraId="5C9D356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14 (10 - 22)</w:t>
            </w:r>
          </w:p>
        </w:tc>
        <w:tc>
          <w:tcPr>
            <w:tcW w:w="1134" w:type="dxa"/>
            <w:vMerge w:val="restart"/>
            <w:shd w:val="clear" w:color="auto" w:fill="auto"/>
            <w:vAlign w:val="center"/>
            <w:hideMark/>
          </w:tcPr>
          <w:p w14:paraId="1615DAB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17 (16 - 21)</w:t>
            </w:r>
          </w:p>
        </w:tc>
        <w:tc>
          <w:tcPr>
            <w:tcW w:w="708" w:type="dxa"/>
            <w:vMerge w:val="restart"/>
            <w:shd w:val="clear" w:color="auto" w:fill="auto"/>
            <w:vAlign w:val="center"/>
            <w:hideMark/>
          </w:tcPr>
          <w:p w14:paraId="5F73E6A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0.216</w:t>
            </w:r>
          </w:p>
        </w:tc>
        <w:tc>
          <w:tcPr>
            <w:tcW w:w="1276" w:type="dxa"/>
            <w:vMerge w:val="restart"/>
            <w:shd w:val="clear" w:color="auto" w:fill="auto"/>
            <w:noWrap/>
            <w:vAlign w:val="center"/>
            <w:hideMark/>
          </w:tcPr>
          <w:p w14:paraId="7C64AED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 (11 - 23)</w:t>
            </w:r>
          </w:p>
        </w:tc>
        <w:tc>
          <w:tcPr>
            <w:tcW w:w="1234" w:type="dxa"/>
            <w:vMerge w:val="restart"/>
            <w:shd w:val="clear" w:color="auto" w:fill="auto"/>
            <w:noWrap/>
            <w:vAlign w:val="center"/>
            <w:hideMark/>
          </w:tcPr>
          <w:p w14:paraId="3D9573C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17 (12 - 20)</w:t>
            </w:r>
          </w:p>
        </w:tc>
        <w:tc>
          <w:tcPr>
            <w:tcW w:w="1134" w:type="dxa"/>
            <w:vMerge w:val="restart"/>
            <w:shd w:val="clear" w:color="auto" w:fill="auto"/>
            <w:noWrap/>
            <w:vAlign w:val="center"/>
            <w:hideMark/>
          </w:tcPr>
          <w:p w14:paraId="29889B1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0.813</w:t>
            </w:r>
          </w:p>
        </w:tc>
      </w:tr>
      <w:tr w:rsidR="00976FCC" w:rsidRPr="00B0764C" w14:paraId="3466FF06" w14:textId="77777777" w:rsidTr="00976FCC">
        <w:trPr>
          <w:trHeight w:val="645"/>
        </w:trPr>
        <w:tc>
          <w:tcPr>
            <w:tcW w:w="1911" w:type="dxa"/>
            <w:shd w:val="clear" w:color="auto" w:fill="auto"/>
            <w:noWrap/>
            <w:vAlign w:val="center"/>
            <w:hideMark/>
          </w:tcPr>
          <w:p w14:paraId="0401E8B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(μmol/L)</w:t>
            </w:r>
          </w:p>
        </w:tc>
        <w:tc>
          <w:tcPr>
            <w:tcW w:w="1115" w:type="dxa"/>
            <w:vMerge/>
            <w:vAlign w:val="center"/>
            <w:hideMark/>
          </w:tcPr>
          <w:p w14:paraId="58488C4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7239EED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338D45D0"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4DBC18F3"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4415FAB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1A3F3F0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0761CA82"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4DA2A455"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7387392D"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25A96D8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6FDCC450"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03642834"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45F65621" w14:textId="77777777" w:rsidTr="00976FCC">
        <w:trPr>
          <w:trHeight w:val="330"/>
        </w:trPr>
        <w:tc>
          <w:tcPr>
            <w:tcW w:w="1911" w:type="dxa"/>
            <w:shd w:val="clear" w:color="auto" w:fill="auto"/>
            <w:noWrap/>
            <w:vAlign w:val="center"/>
            <w:hideMark/>
          </w:tcPr>
          <w:p w14:paraId="6E52627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AST </w:t>
            </w:r>
          </w:p>
        </w:tc>
        <w:tc>
          <w:tcPr>
            <w:tcW w:w="1115" w:type="dxa"/>
            <w:vMerge w:val="restart"/>
            <w:shd w:val="clear" w:color="auto" w:fill="auto"/>
            <w:vAlign w:val="center"/>
            <w:hideMark/>
          </w:tcPr>
          <w:p w14:paraId="69996964"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35 (25 - 56)</w:t>
            </w:r>
          </w:p>
        </w:tc>
        <w:tc>
          <w:tcPr>
            <w:tcW w:w="1134" w:type="dxa"/>
            <w:vMerge w:val="restart"/>
            <w:shd w:val="clear" w:color="auto" w:fill="auto"/>
            <w:vAlign w:val="center"/>
            <w:hideMark/>
          </w:tcPr>
          <w:p w14:paraId="3D6D17A4"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55 (37 - 94)</w:t>
            </w:r>
          </w:p>
        </w:tc>
        <w:tc>
          <w:tcPr>
            <w:tcW w:w="851" w:type="dxa"/>
            <w:vMerge w:val="restart"/>
            <w:shd w:val="clear" w:color="auto" w:fill="auto"/>
            <w:vAlign w:val="center"/>
            <w:hideMark/>
          </w:tcPr>
          <w:p w14:paraId="1D30C127"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0.006</w:t>
            </w:r>
          </w:p>
        </w:tc>
        <w:tc>
          <w:tcPr>
            <w:tcW w:w="1276" w:type="dxa"/>
            <w:vMerge w:val="restart"/>
            <w:shd w:val="clear" w:color="auto" w:fill="auto"/>
            <w:noWrap/>
            <w:vAlign w:val="center"/>
            <w:hideMark/>
          </w:tcPr>
          <w:p w14:paraId="726EAF1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36 (27 - 56)</w:t>
            </w:r>
          </w:p>
        </w:tc>
        <w:tc>
          <w:tcPr>
            <w:tcW w:w="1275" w:type="dxa"/>
            <w:vMerge w:val="restart"/>
            <w:shd w:val="clear" w:color="auto" w:fill="auto"/>
            <w:noWrap/>
            <w:vAlign w:val="center"/>
            <w:hideMark/>
          </w:tcPr>
          <w:p w14:paraId="1B3FC87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44 (34 - 85)</w:t>
            </w:r>
          </w:p>
        </w:tc>
        <w:tc>
          <w:tcPr>
            <w:tcW w:w="851" w:type="dxa"/>
            <w:vMerge w:val="restart"/>
            <w:shd w:val="clear" w:color="auto" w:fill="auto"/>
            <w:noWrap/>
            <w:vAlign w:val="center"/>
            <w:hideMark/>
          </w:tcPr>
          <w:p w14:paraId="78FB5A0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0.182</w:t>
            </w:r>
          </w:p>
        </w:tc>
        <w:tc>
          <w:tcPr>
            <w:tcW w:w="1276" w:type="dxa"/>
            <w:vMerge w:val="restart"/>
            <w:shd w:val="clear" w:color="auto" w:fill="auto"/>
            <w:vAlign w:val="center"/>
            <w:hideMark/>
          </w:tcPr>
          <w:p w14:paraId="5DB9604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39 (28 - 61)</w:t>
            </w:r>
          </w:p>
        </w:tc>
        <w:tc>
          <w:tcPr>
            <w:tcW w:w="1134" w:type="dxa"/>
            <w:vMerge w:val="restart"/>
            <w:shd w:val="clear" w:color="auto" w:fill="auto"/>
            <w:vAlign w:val="center"/>
            <w:hideMark/>
          </w:tcPr>
          <w:p w14:paraId="2BAEBA2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41 (34 - 48)</w:t>
            </w:r>
          </w:p>
        </w:tc>
        <w:tc>
          <w:tcPr>
            <w:tcW w:w="708" w:type="dxa"/>
            <w:vMerge w:val="restart"/>
            <w:shd w:val="clear" w:color="auto" w:fill="auto"/>
            <w:vAlign w:val="center"/>
            <w:hideMark/>
          </w:tcPr>
          <w:p w14:paraId="6927BBB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0.861</w:t>
            </w:r>
          </w:p>
        </w:tc>
        <w:tc>
          <w:tcPr>
            <w:tcW w:w="1276" w:type="dxa"/>
            <w:vMerge w:val="restart"/>
            <w:shd w:val="clear" w:color="auto" w:fill="auto"/>
            <w:noWrap/>
            <w:vAlign w:val="center"/>
            <w:hideMark/>
          </w:tcPr>
          <w:p w14:paraId="34591DA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42 (28 - 61)</w:t>
            </w:r>
          </w:p>
        </w:tc>
        <w:tc>
          <w:tcPr>
            <w:tcW w:w="1234" w:type="dxa"/>
            <w:vMerge w:val="restart"/>
            <w:shd w:val="clear" w:color="auto" w:fill="auto"/>
            <w:noWrap/>
            <w:vAlign w:val="center"/>
            <w:hideMark/>
          </w:tcPr>
          <w:p w14:paraId="59D3055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35 (25 - 55)</w:t>
            </w:r>
          </w:p>
        </w:tc>
        <w:tc>
          <w:tcPr>
            <w:tcW w:w="1134" w:type="dxa"/>
            <w:vMerge w:val="restart"/>
            <w:shd w:val="clear" w:color="auto" w:fill="auto"/>
            <w:noWrap/>
            <w:vAlign w:val="center"/>
            <w:hideMark/>
          </w:tcPr>
          <w:p w14:paraId="0F803EC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0.524</w:t>
            </w:r>
          </w:p>
        </w:tc>
      </w:tr>
      <w:tr w:rsidR="00976FCC" w:rsidRPr="00B0764C" w14:paraId="5DCC0056" w14:textId="77777777" w:rsidTr="00976FCC">
        <w:trPr>
          <w:trHeight w:val="330"/>
        </w:trPr>
        <w:tc>
          <w:tcPr>
            <w:tcW w:w="1911" w:type="dxa"/>
            <w:shd w:val="clear" w:color="auto" w:fill="auto"/>
            <w:noWrap/>
            <w:vAlign w:val="center"/>
            <w:hideMark/>
          </w:tcPr>
          <w:p w14:paraId="1652FC0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(U/L)</w:t>
            </w:r>
          </w:p>
        </w:tc>
        <w:tc>
          <w:tcPr>
            <w:tcW w:w="1115" w:type="dxa"/>
            <w:vMerge/>
            <w:vAlign w:val="center"/>
            <w:hideMark/>
          </w:tcPr>
          <w:p w14:paraId="089BF37D"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134" w:type="dxa"/>
            <w:vMerge/>
            <w:vAlign w:val="center"/>
            <w:hideMark/>
          </w:tcPr>
          <w:p w14:paraId="61D8AC71"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851" w:type="dxa"/>
            <w:vMerge/>
            <w:vAlign w:val="center"/>
            <w:hideMark/>
          </w:tcPr>
          <w:p w14:paraId="505C676E"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276" w:type="dxa"/>
            <w:vMerge/>
            <w:vAlign w:val="center"/>
            <w:hideMark/>
          </w:tcPr>
          <w:p w14:paraId="03F8D4E2"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7C0BA77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6625218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39841E05"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1C8087D3"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09E7739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0F4AE5DE"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47611FF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7414D212"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799AC04E" w14:textId="77777777" w:rsidTr="00976FCC">
        <w:trPr>
          <w:trHeight w:val="330"/>
        </w:trPr>
        <w:tc>
          <w:tcPr>
            <w:tcW w:w="1911" w:type="dxa"/>
            <w:shd w:val="clear" w:color="auto" w:fill="auto"/>
            <w:noWrap/>
            <w:vAlign w:val="center"/>
            <w:hideMark/>
          </w:tcPr>
          <w:p w14:paraId="7635D08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ALT </w:t>
            </w:r>
          </w:p>
        </w:tc>
        <w:tc>
          <w:tcPr>
            <w:tcW w:w="1115" w:type="dxa"/>
            <w:vMerge w:val="restart"/>
            <w:shd w:val="clear" w:color="auto" w:fill="auto"/>
            <w:vAlign w:val="center"/>
            <w:hideMark/>
          </w:tcPr>
          <w:p w14:paraId="098EFEAE"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46 (21 - 92)</w:t>
            </w:r>
          </w:p>
        </w:tc>
        <w:tc>
          <w:tcPr>
            <w:tcW w:w="1134" w:type="dxa"/>
            <w:vMerge w:val="restart"/>
            <w:shd w:val="clear" w:color="auto" w:fill="auto"/>
            <w:vAlign w:val="center"/>
            <w:hideMark/>
          </w:tcPr>
          <w:p w14:paraId="4DCD0EEF"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65 (45 - 165)</w:t>
            </w:r>
          </w:p>
        </w:tc>
        <w:tc>
          <w:tcPr>
            <w:tcW w:w="851" w:type="dxa"/>
            <w:vMerge w:val="restart"/>
            <w:shd w:val="clear" w:color="auto" w:fill="auto"/>
            <w:vAlign w:val="center"/>
            <w:hideMark/>
          </w:tcPr>
          <w:p w14:paraId="4EC2C9BB"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0.03</w:t>
            </w:r>
          </w:p>
        </w:tc>
        <w:tc>
          <w:tcPr>
            <w:tcW w:w="1276" w:type="dxa"/>
            <w:vMerge w:val="restart"/>
            <w:shd w:val="clear" w:color="auto" w:fill="auto"/>
            <w:noWrap/>
            <w:vAlign w:val="center"/>
            <w:hideMark/>
          </w:tcPr>
          <w:p w14:paraId="21C1DBC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50 (25 - 97)</w:t>
            </w:r>
          </w:p>
        </w:tc>
        <w:tc>
          <w:tcPr>
            <w:tcW w:w="1275" w:type="dxa"/>
            <w:vMerge w:val="restart"/>
            <w:shd w:val="clear" w:color="auto" w:fill="auto"/>
            <w:noWrap/>
            <w:vAlign w:val="center"/>
            <w:hideMark/>
          </w:tcPr>
          <w:p w14:paraId="2519611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55 (32 - 165)</w:t>
            </w:r>
          </w:p>
        </w:tc>
        <w:tc>
          <w:tcPr>
            <w:tcW w:w="851" w:type="dxa"/>
            <w:vMerge w:val="restart"/>
            <w:shd w:val="clear" w:color="auto" w:fill="auto"/>
            <w:noWrap/>
            <w:vAlign w:val="center"/>
            <w:hideMark/>
          </w:tcPr>
          <w:p w14:paraId="59AFB77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0.532</w:t>
            </w:r>
          </w:p>
        </w:tc>
        <w:tc>
          <w:tcPr>
            <w:tcW w:w="1276" w:type="dxa"/>
            <w:vMerge w:val="restart"/>
            <w:shd w:val="clear" w:color="auto" w:fill="auto"/>
            <w:vAlign w:val="center"/>
            <w:hideMark/>
          </w:tcPr>
          <w:p w14:paraId="451DCB2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52 (25 - 100)</w:t>
            </w:r>
          </w:p>
        </w:tc>
        <w:tc>
          <w:tcPr>
            <w:tcW w:w="1134" w:type="dxa"/>
            <w:vMerge w:val="restart"/>
            <w:shd w:val="clear" w:color="auto" w:fill="auto"/>
            <w:vAlign w:val="center"/>
            <w:hideMark/>
          </w:tcPr>
          <w:p w14:paraId="2306CA1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44 (37 - 52)</w:t>
            </w:r>
          </w:p>
        </w:tc>
        <w:tc>
          <w:tcPr>
            <w:tcW w:w="708" w:type="dxa"/>
            <w:vMerge w:val="restart"/>
            <w:shd w:val="clear" w:color="auto" w:fill="auto"/>
            <w:vAlign w:val="center"/>
            <w:hideMark/>
          </w:tcPr>
          <w:p w14:paraId="5682CB8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0.294</w:t>
            </w:r>
          </w:p>
        </w:tc>
        <w:tc>
          <w:tcPr>
            <w:tcW w:w="1276" w:type="dxa"/>
            <w:vMerge w:val="restart"/>
            <w:shd w:val="clear" w:color="auto" w:fill="auto"/>
            <w:noWrap/>
            <w:vAlign w:val="center"/>
            <w:hideMark/>
          </w:tcPr>
          <w:p w14:paraId="72C72D0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54 (32 - 111)</w:t>
            </w:r>
          </w:p>
        </w:tc>
        <w:tc>
          <w:tcPr>
            <w:tcW w:w="1234" w:type="dxa"/>
            <w:vMerge w:val="restart"/>
            <w:shd w:val="clear" w:color="auto" w:fill="auto"/>
            <w:noWrap/>
            <w:vAlign w:val="center"/>
            <w:hideMark/>
          </w:tcPr>
          <w:p w14:paraId="5E17FCE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42 (24 - 65)</w:t>
            </w:r>
          </w:p>
        </w:tc>
        <w:tc>
          <w:tcPr>
            <w:tcW w:w="1134" w:type="dxa"/>
            <w:vMerge w:val="restart"/>
            <w:shd w:val="clear" w:color="auto" w:fill="auto"/>
            <w:noWrap/>
            <w:vAlign w:val="center"/>
            <w:hideMark/>
          </w:tcPr>
          <w:p w14:paraId="594CFD3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0.188</w:t>
            </w:r>
          </w:p>
        </w:tc>
      </w:tr>
      <w:tr w:rsidR="00976FCC" w:rsidRPr="00B0764C" w14:paraId="34AF063A" w14:textId="77777777" w:rsidTr="00976FCC">
        <w:trPr>
          <w:trHeight w:val="330"/>
        </w:trPr>
        <w:tc>
          <w:tcPr>
            <w:tcW w:w="1911" w:type="dxa"/>
            <w:shd w:val="clear" w:color="auto" w:fill="auto"/>
            <w:noWrap/>
            <w:vAlign w:val="center"/>
            <w:hideMark/>
          </w:tcPr>
          <w:p w14:paraId="40D0595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(U/L)</w:t>
            </w:r>
          </w:p>
        </w:tc>
        <w:tc>
          <w:tcPr>
            <w:tcW w:w="1115" w:type="dxa"/>
            <w:vMerge/>
            <w:vAlign w:val="center"/>
            <w:hideMark/>
          </w:tcPr>
          <w:p w14:paraId="13FF17F9"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134" w:type="dxa"/>
            <w:vMerge/>
            <w:vAlign w:val="center"/>
            <w:hideMark/>
          </w:tcPr>
          <w:p w14:paraId="3C4770FE"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851" w:type="dxa"/>
            <w:vMerge/>
            <w:vAlign w:val="center"/>
            <w:hideMark/>
          </w:tcPr>
          <w:p w14:paraId="1BC68955"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276" w:type="dxa"/>
            <w:vMerge/>
            <w:vAlign w:val="center"/>
            <w:hideMark/>
          </w:tcPr>
          <w:p w14:paraId="2A8F392D"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53914F22"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0895B8C0"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72DD58B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30A162D0"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3A58827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70927602"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3DC615F3"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7344E26B"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5AE81DC6" w14:textId="77777777" w:rsidTr="00976FCC">
        <w:trPr>
          <w:trHeight w:val="330"/>
        </w:trPr>
        <w:tc>
          <w:tcPr>
            <w:tcW w:w="1911" w:type="dxa"/>
            <w:shd w:val="clear" w:color="auto" w:fill="auto"/>
            <w:noWrap/>
            <w:vAlign w:val="center"/>
            <w:hideMark/>
          </w:tcPr>
          <w:p w14:paraId="398EB35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GGT </w:t>
            </w:r>
          </w:p>
        </w:tc>
        <w:tc>
          <w:tcPr>
            <w:tcW w:w="1115" w:type="dxa"/>
            <w:vMerge w:val="restart"/>
            <w:shd w:val="clear" w:color="auto" w:fill="auto"/>
            <w:vAlign w:val="center"/>
            <w:hideMark/>
          </w:tcPr>
          <w:p w14:paraId="3283DDE3"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142 (45 - 269)</w:t>
            </w:r>
          </w:p>
        </w:tc>
        <w:tc>
          <w:tcPr>
            <w:tcW w:w="1134" w:type="dxa"/>
            <w:vMerge w:val="restart"/>
            <w:shd w:val="clear" w:color="auto" w:fill="auto"/>
            <w:vAlign w:val="center"/>
            <w:hideMark/>
          </w:tcPr>
          <w:p w14:paraId="07E424E9"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193 (112 - 478)</w:t>
            </w:r>
          </w:p>
        </w:tc>
        <w:tc>
          <w:tcPr>
            <w:tcW w:w="851" w:type="dxa"/>
            <w:vMerge w:val="restart"/>
            <w:shd w:val="clear" w:color="auto" w:fill="auto"/>
            <w:vAlign w:val="center"/>
            <w:hideMark/>
          </w:tcPr>
          <w:p w14:paraId="5668B125"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0.041</w:t>
            </w:r>
          </w:p>
        </w:tc>
        <w:tc>
          <w:tcPr>
            <w:tcW w:w="1276" w:type="dxa"/>
            <w:vMerge w:val="restart"/>
            <w:shd w:val="clear" w:color="auto" w:fill="auto"/>
            <w:noWrap/>
            <w:vAlign w:val="center"/>
            <w:hideMark/>
          </w:tcPr>
          <w:p w14:paraId="0960C29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153 (63 - 305)</w:t>
            </w:r>
          </w:p>
        </w:tc>
        <w:tc>
          <w:tcPr>
            <w:tcW w:w="1275" w:type="dxa"/>
            <w:vMerge w:val="restart"/>
            <w:shd w:val="clear" w:color="auto" w:fill="auto"/>
            <w:noWrap/>
            <w:vAlign w:val="center"/>
            <w:hideMark/>
          </w:tcPr>
          <w:p w14:paraId="6016E9A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153 (60 - 420)</w:t>
            </w:r>
          </w:p>
        </w:tc>
        <w:tc>
          <w:tcPr>
            <w:tcW w:w="851" w:type="dxa"/>
            <w:vMerge w:val="restart"/>
            <w:shd w:val="clear" w:color="auto" w:fill="auto"/>
            <w:noWrap/>
            <w:vAlign w:val="center"/>
            <w:hideMark/>
          </w:tcPr>
          <w:p w14:paraId="6A0DDB9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0.748</w:t>
            </w:r>
          </w:p>
        </w:tc>
        <w:tc>
          <w:tcPr>
            <w:tcW w:w="1276" w:type="dxa"/>
            <w:vMerge w:val="restart"/>
            <w:shd w:val="clear" w:color="auto" w:fill="auto"/>
            <w:vAlign w:val="center"/>
            <w:hideMark/>
          </w:tcPr>
          <w:p w14:paraId="30AD433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154 (60 - 310)</w:t>
            </w:r>
          </w:p>
        </w:tc>
        <w:tc>
          <w:tcPr>
            <w:tcW w:w="1134" w:type="dxa"/>
            <w:vMerge w:val="restart"/>
            <w:shd w:val="clear" w:color="auto" w:fill="auto"/>
            <w:vAlign w:val="center"/>
            <w:hideMark/>
          </w:tcPr>
          <w:p w14:paraId="01F839E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140 (93 - 305)</w:t>
            </w:r>
          </w:p>
        </w:tc>
        <w:tc>
          <w:tcPr>
            <w:tcW w:w="708" w:type="dxa"/>
            <w:vMerge w:val="restart"/>
            <w:shd w:val="clear" w:color="auto" w:fill="auto"/>
            <w:vAlign w:val="center"/>
            <w:hideMark/>
          </w:tcPr>
          <w:p w14:paraId="2AD2DB4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0.943</w:t>
            </w:r>
          </w:p>
        </w:tc>
        <w:tc>
          <w:tcPr>
            <w:tcW w:w="1276" w:type="dxa"/>
            <w:vMerge w:val="restart"/>
            <w:shd w:val="clear" w:color="auto" w:fill="auto"/>
            <w:noWrap/>
            <w:vAlign w:val="center"/>
            <w:hideMark/>
          </w:tcPr>
          <w:p w14:paraId="763292F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160 (54 - 310)</w:t>
            </w:r>
          </w:p>
        </w:tc>
        <w:tc>
          <w:tcPr>
            <w:tcW w:w="1234" w:type="dxa"/>
            <w:vMerge w:val="restart"/>
            <w:shd w:val="clear" w:color="auto" w:fill="auto"/>
            <w:noWrap/>
            <w:vAlign w:val="center"/>
            <w:hideMark/>
          </w:tcPr>
          <w:p w14:paraId="0D3C5D8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126 (88 - 305)</w:t>
            </w:r>
          </w:p>
        </w:tc>
        <w:tc>
          <w:tcPr>
            <w:tcW w:w="1134" w:type="dxa"/>
            <w:vMerge w:val="restart"/>
            <w:shd w:val="clear" w:color="auto" w:fill="auto"/>
            <w:noWrap/>
            <w:vAlign w:val="center"/>
            <w:hideMark/>
          </w:tcPr>
          <w:p w14:paraId="5FDDCC0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0.895</w:t>
            </w:r>
          </w:p>
        </w:tc>
      </w:tr>
      <w:tr w:rsidR="00976FCC" w:rsidRPr="00B0764C" w14:paraId="19B56578" w14:textId="77777777" w:rsidTr="00976FCC">
        <w:trPr>
          <w:trHeight w:val="330"/>
        </w:trPr>
        <w:tc>
          <w:tcPr>
            <w:tcW w:w="1911" w:type="dxa"/>
            <w:shd w:val="clear" w:color="auto" w:fill="auto"/>
            <w:noWrap/>
            <w:vAlign w:val="center"/>
            <w:hideMark/>
          </w:tcPr>
          <w:p w14:paraId="15CB25D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(U/L)</w:t>
            </w:r>
          </w:p>
        </w:tc>
        <w:tc>
          <w:tcPr>
            <w:tcW w:w="1115" w:type="dxa"/>
            <w:vMerge/>
            <w:vAlign w:val="center"/>
            <w:hideMark/>
          </w:tcPr>
          <w:p w14:paraId="2D77C568"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134" w:type="dxa"/>
            <w:vMerge/>
            <w:vAlign w:val="center"/>
            <w:hideMark/>
          </w:tcPr>
          <w:p w14:paraId="66DCFCDF"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851" w:type="dxa"/>
            <w:vMerge/>
            <w:vAlign w:val="center"/>
            <w:hideMark/>
          </w:tcPr>
          <w:p w14:paraId="46DDEBE6"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276" w:type="dxa"/>
            <w:vMerge/>
            <w:vAlign w:val="center"/>
            <w:hideMark/>
          </w:tcPr>
          <w:p w14:paraId="4AAFBE2E"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531FCC9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05F7B90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0B833AE3"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4476C00D"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1AB2854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4DB06E8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048D1A8C"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344016BF"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6D6E5D40" w14:textId="77777777" w:rsidTr="00976FCC">
        <w:trPr>
          <w:trHeight w:val="330"/>
        </w:trPr>
        <w:tc>
          <w:tcPr>
            <w:tcW w:w="1911" w:type="dxa"/>
            <w:shd w:val="clear" w:color="auto" w:fill="auto"/>
            <w:noWrap/>
            <w:vAlign w:val="center"/>
            <w:hideMark/>
          </w:tcPr>
          <w:p w14:paraId="5F027C6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 xml:space="preserve">ALP </w:t>
            </w:r>
          </w:p>
        </w:tc>
        <w:tc>
          <w:tcPr>
            <w:tcW w:w="1115" w:type="dxa"/>
            <w:vMerge w:val="restart"/>
            <w:shd w:val="clear" w:color="auto" w:fill="auto"/>
            <w:vAlign w:val="center"/>
            <w:hideMark/>
          </w:tcPr>
          <w:p w14:paraId="7D6AF353"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406 (253 - 643)</w:t>
            </w:r>
          </w:p>
        </w:tc>
        <w:tc>
          <w:tcPr>
            <w:tcW w:w="1134" w:type="dxa"/>
            <w:vMerge w:val="restart"/>
            <w:shd w:val="clear" w:color="auto" w:fill="auto"/>
            <w:vAlign w:val="center"/>
            <w:hideMark/>
          </w:tcPr>
          <w:p w14:paraId="0B059FAE"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1198 (595 - 1766)</w:t>
            </w:r>
          </w:p>
        </w:tc>
        <w:tc>
          <w:tcPr>
            <w:tcW w:w="851" w:type="dxa"/>
            <w:vMerge w:val="restart"/>
            <w:shd w:val="clear" w:color="auto" w:fill="auto"/>
            <w:vAlign w:val="center"/>
            <w:hideMark/>
          </w:tcPr>
          <w:p w14:paraId="71CB98AB" w14:textId="2B7C1670"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&lt;</w:t>
            </w:r>
            <w:r>
              <w:rPr>
                <w:rFonts w:ascii="Book Antiqua" w:eastAsia="SimSun" w:hAnsi="Book Antiqua" w:cs="SimSun" w:hint="eastAsia"/>
                <w:bCs/>
                <w:color w:val="000000"/>
                <w:sz w:val="21"/>
                <w:szCs w:val="21"/>
                <w:lang w:eastAsia="zh-CN"/>
              </w:rPr>
              <w:t xml:space="preserve"> </w:t>
            </w:r>
            <w:r w:rsidRPr="00B0764C">
              <w:rPr>
                <w:rFonts w:ascii="Book Antiqua" w:eastAsia="SimSun" w:hAnsi="Book Antiqua" w:cs="SimSun"/>
                <w:bCs/>
                <w:color w:val="000000"/>
                <w:sz w:val="21"/>
                <w:szCs w:val="21"/>
              </w:rPr>
              <w:t>0.001</w:t>
            </w:r>
          </w:p>
        </w:tc>
        <w:tc>
          <w:tcPr>
            <w:tcW w:w="1276" w:type="dxa"/>
            <w:vMerge w:val="restart"/>
            <w:shd w:val="clear" w:color="auto" w:fill="auto"/>
            <w:noWrap/>
            <w:vAlign w:val="center"/>
            <w:hideMark/>
          </w:tcPr>
          <w:p w14:paraId="2AACDCB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469 (268 - 734)</w:t>
            </w:r>
          </w:p>
        </w:tc>
        <w:tc>
          <w:tcPr>
            <w:tcW w:w="1275" w:type="dxa"/>
            <w:vMerge w:val="restart"/>
            <w:shd w:val="clear" w:color="auto" w:fill="auto"/>
            <w:noWrap/>
            <w:vAlign w:val="center"/>
            <w:hideMark/>
          </w:tcPr>
          <w:p w14:paraId="449D523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715 (507 - 1496)</w:t>
            </w:r>
          </w:p>
        </w:tc>
        <w:tc>
          <w:tcPr>
            <w:tcW w:w="851" w:type="dxa"/>
            <w:vMerge w:val="restart"/>
            <w:shd w:val="clear" w:color="auto" w:fill="auto"/>
            <w:noWrap/>
            <w:vAlign w:val="center"/>
            <w:hideMark/>
          </w:tcPr>
          <w:p w14:paraId="6267149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0.04</w:t>
            </w:r>
          </w:p>
        </w:tc>
        <w:tc>
          <w:tcPr>
            <w:tcW w:w="1276" w:type="dxa"/>
            <w:vMerge w:val="restart"/>
            <w:shd w:val="clear" w:color="auto" w:fill="auto"/>
            <w:vAlign w:val="center"/>
            <w:hideMark/>
          </w:tcPr>
          <w:p w14:paraId="278DC93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524 (312 - 784)</w:t>
            </w:r>
          </w:p>
        </w:tc>
        <w:tc>
          <w:tcPr>
            <w:tcW w:w="1134" w:type="dxa"/>
            <w:vMerge w:val="restart"/>
            <w:shd w:val="clear" w:color="auto" w:fill="auto"/>
            <w:vAlign w:val="center"/>
            <w:hideMark/>
          </w:tcPr>
          <w:p w14:paraId="056BF23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1204 (307 - 1299)</w:t>
            </w:r>
          </w:p>
        </w:tc>
        <w:tc>
          <w:tcPr>
            <w:tcW w:w="708" w:type="dxa"/>
            <w:vMerge w:val="restart"/>
            <w:shd w:val="clear" w:color="auto" w:fill="auto"/>
            <w:vAlign w:val="center"/>
            <w:hideMark/>
          </w:tcPr>
          <w:p w14:paraId="1938995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0.336</w:t>
            </w:r>
          </w:p>
        </w:tc>
        <w:tc>
          <w:tcPr>
            <w:tcW w:w="1276" w:type="dxa"/>
            <w:vMerge w:val="restart"/>
            <w:shd w:val="clear" w:color="auto" w:fill="auto"/>
            <w:noWrap/>
            <w:vAlign w:val="center"/>
            <w:hideMark/>
          </w:tcPr>
          <w:p w14:paraId="2B5EE17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507 (326 - 746)</w:t>
            </w:r>
          </w:p>
        </w:tc>
        <w:tc>
          <w:tcPr>
            <w:tcW w:w="1234" w:type="dxa"/>
            <w:vMerge w:val="restart"/>
            <w:shd w:val="clear" w:color="auto" w:fill="auto"/>
            <w:noWrap/>
            <w:vAlign w:val="center"/>
            <w:hideMark/>
          </w:tcPr>
          <w:p w14:paraId="71FC63AD"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652 (268 - 1204)</w:t>
            </w:r>
          </w:p>
        </w:tc>
        <w:tc>
          <w:tcPr>
            <w:tcW w:w="1134" w:type="dxa"/>
            <w:vMerge w:val="restart"/>
            <w:shd w:val="clear" w:color="auto" w:fill="auto"/>
            <w:noWrap/>
            <w:vAlign w:val="center"/>
            <w:hideMark/>
          </w:tcPr>
          <w:p w14:paraId="7A88CEB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0.394</w:t>
            </w:r>
          </w:p>
        </w:tc>
      </w:tr>
      <w:tr w:rsidR="00976FCC" w:rsidRPr="00B0764C" w14:paraId="715CCDAB" w14:textId="77777777" w:rsidTr="00976FCC">
        <w:trPr>
          <w:trHeight w:val="330"/>
        </w:trPr>
        <w:tc>
          <w:tcPr>
            <w:tcW w:w="1911" w:type="dxa"/>
            <w:shd w:val="clear" w:color="auto" w:fill="auto"/>
            <w:noWrap/>
            <w:vAlign w:val="center"/>
            <w:hideMark/>
          </w:tcPr>
          <w:p w14:paraId="3DFC515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(U/L)</w:t>
            </w:r>
          </w:p>
        </w:tc>
        <w:tc>
          <w:tcPr>
            <w:tcW w:w="1115" w:type="dxa"/>
            <w:vMerge/>
            <w:vAlign w:val="center"/>
            <w:hideMark/>
          </w:tcPr>
          <w:p w14:paraId="13C86E04"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134" w:type="dxa"/>
            <w:vMerge/>
            <w:vAlign w:val="center"/>
            <w:hideMark/>
          </w:tcPr>
          <w:p w14:paraId="0B313DEA"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851" w:type="dxa"/>
            <w:vMerge/>
            <w:vAlign w:val="center"/>
            <w:hideMark/>
          </w:tcPr>
          <w:p w14:paraId="7B20DECB" w14:textId="77777777" w:rsidR="00976FCC" w:rsidRPr="00B0764C" w:rsidRDefault="00976FCC" w:rsidP="007940D7">
            <w:pPr>
              <w:spacing w:line="360" w:lineRule="auto"/>
              <w:jc w:val="both"/>
              <w:rPr>
                <w:rFonts w:ascii="Book Antiqua" w:eastAsia="SimSun" w:hAnsi="Book Antiqua" w:cs="SimSun"/>
                <w:bCs/>
                <w:color w:val="000000"/>
                <w:sz w:val="21"/>
                <w:szCs w:val="21"/>
              </w:rPr>
            </w:pPr>
          </w:p>
        </w:tc>
        <w:tc>
          <w:tcPr>
            <w:tcW w:w="1276" w:type="dxa"/>
            <w:vMerge/>
            <w:vAlign w:val="center"/>
            <w:hideMark/>
          </w:tcPr>
          <w:p w14:paraId="3710191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7F9E7CA9"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7E215747"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601E309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013BA73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688ABAF3"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2D32F18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16692AB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5B98009F"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0CE8720D" w14:textId="77777777" w:rsidTr="00976FCC">
        <w:trPr>
          <w:trHeight w:val="315"/>
        </w:trPr>
        <w:tc>
          <w:tcPr>
            <w:tcW w:w="1911" w:type="dxa"/>
            <w:shd w:val="clear" w:color="auto" w:fill="auto"/>
            <w:noWrap/>
            <w:vAlign w:val="center"/>
            <w:hideMark/>
          </w:tcPr>
          <w:p w14:paraId="104B074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PLT</w:t>
            </w:r>
          </w:p>
        </w:tc>
        <w:tc>
          <w:tcPr>
            <w:tcW w:w="1115" w:type="dxa"/>
            <w:vMerge w:val="restart"/>
            <w:shd w:val="clear" w:color="auto" w:fill="auto"/>
            <w:vAlign w:val="center"/>
            <w:hideMark/>
          </w:tcPr>
          <w:p w14:paraId="296295F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238 (181 - 292)</w:t>
            </w:r>
          </w:p>
        </w:tc>
        <w:tc>
          <w:tcPr>
            <w:tcW w:w="1134" w:type="dxa"/>
            <w:vMerge w:val="restart"/>
            <w:shd w:val="clear" w:color="auto" w:fill="auto"/>
            <w:vAlign w:val="center"/>
            <w:hideMark/>
          </w:tcPr>
          <w:p w14:paraId="4621066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315 (162 - 494)</w:t>
            </w:r>
          </w:p>
        </w:tc>
        <w:tc>
          <w:tcPr>
            <w:tcW w:w="851" w:type="dxa"/>
            <w:vMerge w:val="restart"/>
            <w:shd w:val="clear" w:color="auto" w:fill="auto"/>
            <w:vAlign w:val="center"/>
            <w:hideMark/>
          </w:tcPr>
          <w:p w14:paraId="7BFF115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0.212</w:t>
            </w:r>
          </w:p>
        </w:tc>
        <w:tc>
          <w:tcPr>
            <w:tcW w:w="1276" w:type="dxa"/>
            <w:vMerge w:val="restart"/>
            <w:shd w:val="clear" w:color="auto" w:fill="auto"/>
            <w:noWrap/>
            <w:vAlign w:val="center"/>
            <w:hideMark/>
          </w:tcPr>
          <w:p w14:paraId="0349A08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235 (175 - 274)</w:t>
            </w:r>
          </w:p>
        </w:tc>
        <w:tc>
          <w:tcPr>
            <w:tcW w:w="1275" w:type="dxa"/>
            <w:vMerge w:val="restart"/>
            <w:shd w:val="clear" w:color="auto" w:fill="auto"/>
            <w:noWrap/>
            <w:vAlign w:val="center"/>
            <w:hideMark/>
          </w:tcPr>
          <w:p w14:paraId="3AA05E65"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320 (162 - 466)</w:t>
            </w:r>
          </w:p>
        </w:tc>
        <w:tc>
          <w:tcPr>
            <w:tcW w:w="851" w:type="dxa"/>
            <w:vMerge w:val="restart"/>
            <w:shd w:val="clear" w:color="auto" w:fill="auto"/>
            <w:noWrap/>
            <w:vAlign w:val="center"/>
            <w:hideMark/>
          </w:tcPr>
          <w:p w14:paraId="35520C2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0.066</w:t>
            </w:r>
          </w:p>
        </w:tc>
        <w:tc>
          <w:tcPr>
            <w:tcW w:w="1276" w:type="dxa"/>
            <w:vMerge w:val="restart"/>
            <w:shd w:val="clear" w:color="auto" w:fill="auto"/>
            <w:vAlign w:val="center"/>
            <w:hideMark/>
          </w:tcPr>
          <w:p w14:paraId="27A82AC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248 (165 - 316)</w:t>
            </w:r>
          </w:p>
        </w:tc>
        <w:tc>
          <w:tcPr>
            <w:tcW w:w="1134" w:type="dxa"/>
            <w:vMerge w:val="restart"/>
            <w:shd w:val="clear" w:color="auto" w:fill="auto"/>
            <w:vAlign w:val="center"/>
            <w:hideMark/>
          </w:tcPr>
          <w:p w14:paraId="797CDCA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274 (232 - 494)</w:t>
            </w:r>
          </w:p>
        </w:tc>
        <w:tc>
          <w:tcPr>
            <w:tcW w:w="708" w:type="dxa"/>
            <w:vMerge w:val="restart"/>
            <w:shd w:val="clear" w:color="auto" w:fill="auto"/>
            <w:vAlign w:val="center"/>
            <w:hideMark/>
          </w:tcPr>
          <w:p w14:paraId="4629781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0.292</w:t>
            </w:r>
          </w:p>
        </w:tc>
        <w:tc>
          <w:tcPr>
            <w:tcW w:w="1276" w:type="dxa"/>
            <w:vMerge w:val="restart"/>
            <w:shd w:val="clear" w:color="auto" w:fill="auto"/>
            <w:noWrap/>
            <w:vAlign w:val="center"/>
            <w:hideMark/>
          </w:tcPr>
          <w:p w14:paraId="3FEFDAA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253 (165 - 316)</w:t>
            </w:r>
          </w:p>
        </w:tc>
        <w:tc>
          <w:tcPr>
            <w:tcW w:w="1234" w:type="dxa"/>
            <w:vMerge w:val="restart"/>
            <w:shd w:val="clear" w:color="auto" w:fill="auto"/>
            <w:noWrap/>
            <w:vAlign w:val="center"/>
            <w:hideMark/>
          </w:tcPr>
          <w:p w14:paraId="6FA3EE2A"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241 (187 - 356)</w:t>
            </w:r>
          </w:p>
        </w:tc>
        <w:tc>
          <w:tcPr>
            <w:tcW w:w="1134" w:type="dxa"/>
            <w:vMerge w:val="restart"/>
            <w:shd w:val="clear" w:color="auto" w:fill="auto"/>
            <w:noWrap/>
            <w:vAlign w:val="center"/>
            <w:hideMark/>
          </w:tcPr>
          <w:p w14:paraId="7EF4B59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0.751</w:t>
            </w:r>
          </w:p>
        </w:tc>
      </w:tr>
      <w:tr w:rsidR="00976FCC" w:rsidRPr="00B0764C" w14:paraId="3CAA5981" w14:textId="77777777" w:rsidTr="00976FCC">
        <w:trPr>
          <w:trHeight w:val="330"/>
        </w:trPr>
        <w:tc>
          <w:tcPr>
            <w:tcW w:w="1911" w:type="dxa"/>
            <w:shd w:val="clear" w:color="auto" w:fill="auto"/>
            <w:noWrap/>
            <w:vAlign w:val="center"/>
            <w:hideMark/>
          </w:tcPr>
          <w:p w14:paraId="4C6C15B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(G/L)</w:t>
            </w:r>
          </w:p>
        </w:tc>
        <w:tc>
          <w:tcPr>
            <w:tcW w:w="1115" w:type="dxa"/>
            <w:vMerge/>
            <w:vAlign w:val="center"/>
            <w:hideMark/>
          </w:tcPr>
          <w:p w14:paraId="698AFCA0"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140A87D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73099399"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51704EA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5" w:type="dxa"/>
            <w:vMerge/>
            <w:vAlign w:val="center"/>
            <w:hideMark/>
          </w:tcPr>
          <w:p w14:paraId="5C85BF5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851" w:type="dxa"/>
            <w:vMerge/>
            <w:vAlign w:val="center"/>
            <w:hideMark/>
          </w:tcPr>
          <w:p w14:paraId="120B7888"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5D1BA4CA"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088DB9BF"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708" w:type="dxa"/>
            <w:vMerge/>
            <w:vAlign w:val="center"/>
            <w:hideMark/>
          </w:tcPr>
          <w:p w14:paraId="401B7821"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vMerge/>
            <w:vAlign w:val="center"/>
            <w:hideMark/>
          </w:tcPr>
          <w:p w14:paraId="78DC561D"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34" w:type="dxa"/>
            <w:vMerge/>
            <w:vAlign w:val="center"/>
            <w:hideMark/>
          </w:tcPr>
          <w:p w14:paraId="37E0855B"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134" w:type="dxa"/>
            <w:vMerge/>
            <w:vAlign w:val="center"/>
            <w:hideMark/>
          </w:tcPr>
          <w:p w14:paraId="3B68C069"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r w:rsidR="00976FCC" w:rsidRPr="00B0764C" w14:paraId="59238867" w14:textId="77777777" w:rsidTr="00976FCC">
        <w:trPr>
          <w:trHeight w:val="330"/>
        </w:trPr>
        <w:tc>
          <w:tcPr>
            <w:tcW w:w="1911" w:type="dxa"/>
            <w:shd w:val="clear" w:color="auto" w:fill="auto"/>
            <w:noWrap/>
            <w:vAlign w:val="center"/>
            <w:hideMark/>
          </w:tcPr>
          <w:p w14:paraId="6E389023"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lastRenderedPageBreak/>
              <w:t xml:space="preserve">Mayo </w:t>
            </w:r>
          </w:p>
        </w:tc>
        <w:tc>
          <w:tcPr>
            <w:tcW w:w="1115" w:type="dxa"/>
            <w:shd w:val="clear" w:color="auto" w:fill="auto"/>
            <w:vAlign w:val="center"/>
            <w:hideMark/>
          </w:tcPr>
          <w:p w14:paraId="0AFE8C99"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-0.834</w:t>
            </w:r>
          </w:p>
        </w:tc>
        <w:tc>
          <w:tcPr>
            <w:tcW w:w="1134" w:type="dxa"/>
            <w:shd w:val="clear" w:color="auto" w:fill="auto"/>
            <w:vAlign w:val="center"/>
            <w:hideMark/>
          </w:tcPr>
          <w:p w14:paraId="6264830D"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0.021</w:t>
            </w:r>
          </w:p>
        </w:tc>
        <w:tc>
          <w:tcPr>
            <w:tcW w:w="851" w:type="dxa"/>
            <w:vMerge w:val="restart"/>
            <w:shd w:val="clear" w:color="auto" w:fill="auto"/>
            <w:vAlign w:val="center"/>
            <w:hideMark/>
          </w:tcPr>
          <w:p w14:paraId="45046FC6"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0.016</w:t>
            </w:r>
          </w:p>
        </w:tc>
        <w:tc>
          <w:tcPr>
            <w:tcW w:w="1276" w:type="dxa"/>
            <w:shd w:val="clear" w:color="auto" w:fill="auto"/>
            <w:noWrap/>
            <w:vAlign w:val="center"/>
            <w:hideMark/>
          </w:tcPr>
          <w:p w14:paraId="5640E7E7"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-0.62</w:t>
            </w:r>
          </w:p>
        </w:tc>
        <w:tc>
          <w:tcPr>
            <w:tcW w:w="1275" w:type="dxa"/>
            <w:shd w:val="clear" w:color="auto" w:fill="auto"/>
            <w:noWrap/>
            <w:vAlign w:val="center"/>
            <w:hideMark/>
          </w:tcPr>
          <w:p w14:paraId="130D751E"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-0.226</w:t>
            </w:r>
          </w:p>
        </w:tc>
        <w:tc>
          <w:tcPr>
            <w:tcW w:w="851" w:type="dxa"/>
            <w:vMerge w:val="restart"/>
            <w:shd w:val="clear" w:color="auto" w:fill="auto"/>
            <w:noWrap/>
            <w:vAlign w:val="center"/>
            <w:hideMark/>
          </w:tcPr>
          <w:p w14:paraId="0652BE7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0.623</w:t>
            </w:r>
          </w:p>
        </w:tc>
        <w:tc>
          <w:tcPr>
            <w:tcW w:w="1276" w:type="dxa"/>
            <w:shd w:val="clear" w:color="auto" w:fill="auto"/>
            <w:vAlign w:val="center"/>
            <w:hideMark/>
          </w:tcPr>
          <w:p w14:paraId="2F61A86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-0.595</w:t>
            </w:r>
          </w:p>
        </w:tc>
        <w:tc>
          <w:tcPr>
            <w:tcW w:w="1134" w:type="dxa"/>
            <w:shd w:val="clear" w:color="auto" w:fill="auto"/>
            <w:vAlign w:val="center"/>
            <w:hideMark/>
          </w:tcPr>
          <w:p w14:paraId="50867B11"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0.021</w:t>
            </w:r>
          </w:p>
        </w:tc>
        <w:tc>
          <w:tcPr>
            <w:tcW w:w="708" w:type="dxa"/>
            <w:vMerge w:val="restart"/>
            <w:shd w:val="clear" w:color="auto" w:fill="auto"/>
            <w:vAlign w:val="center"/>
            <w:hideMark/>
          </w:tcPr>
          <w:p w14:paraId="522C1A7C"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0.429</w:t>
            </w:r>
          </w:p>
        </w:tc>
        <w:tc>
          <w:tcPr>
            <w:tcW w:w="1276" w:type="dxa"/>
            <w:shd w:val="clear" w:color="auto" w:fill="auto"/>
            <w:noWrap/>
            <w:vAlign w:val="center"/>
            <w:hideMark/>
          </w:tcPr>
          <w:p w14:paraId="0100E2B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-0.579</w:t>
            </w:r>
          </w:p>
        </w:tc>
        <w:tc>
          <w:tcPr>
            <w:tcW w:w="1234" w:type="dxa"/>
            <w:shd w:val="clear" w:color="auto" w:fill="auto"/>
            <w:noWrap/>
            <w:vAlign w:val="center"/>
            <w:hideMark/>
          </w:tcPr>
          <w:p w14:paraId="1A05330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-0.651</w:t>
            </w:r>
          </w:p>
        </w:tc>
        <w:tc>
          <w:tcPr>
            <w:tcW w:w="1134" w:type="dxa"/>
            <w:vMerge w:val="restart"/>
            <w:shd w:val="clear" w:color="auto" w:fill="auto"/>
            <w:noWrap/>
            <w:vAlign w:val="center"/>
            <w:hideMark/>
          </w:tcPr>
          <w:p w14:paraId="5483A37B"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0.762</w:t>
            </w:r>
          </w:p>
        </w:tc>
      </w:tr>
      <w:tr w:rsidR="00976FCC" w:rsidRPr="00B0764C" w14:paraId="67770558" w14:textId="77777777" w:rsidTr="00976FCC">
        <w:trPr>
          <w:trHeight w:val="675"/>
        </w:trPr>
        <w:tc>
          <w:tcPr>
            <w:tcW w:w="1911" w:type="dxa"/>
            <w:shd w:val="clear" w:color="auto" w:fill="auto"/>
            <w:noWrap/>
            <w:vAlign w:val="center"/>
            <w:hideMark/>
          </w:tcPr>
          <w:p w14:paraId="4334AA10"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risk score</w:t>
            </w:r>
          </w:p>
        </w:tc>
        <w:tc>
          <w:tcPr>
            <w:tcW w:w="1115" w:type="dxa"/>
            <w:shd w:val="clear" w:color="auto" w:fill="auto"/>
            <w:vAlign w:val="center"/>
            <w:hideMark/>
          </w:tcPr>
          <w:p w14:paraId="566D0F10"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(-1.378 - -0.131)</w:t>
            </w:r>
          </w:p>
        </w:tc>
        <w:tc>
          <w:tcPr>
            <w:tcW w:w="1134" w:type="dxa"/>
            <w:shd w:val="clear" w:color="auto" w:fill="auto"/>
            <w:vAlign w:val="center"/>
            <w:hideMark/>
          </w:tcPr>
          <w:p w14:paraId="30E7BE31" w14:textId="77777777" w:rsidR="00976FCC" w:rsidRPr="00B0764C" w:rsidRDefault="00976FCC" w:rsidP="007940D7">
            <w:pPr>
              <w:spacing w:line="360" w:lineRule="auto"/>
              <w:jc w:val="both"/>
              <w:rPr>
                <w:rFonts w:ascii="Book Antiqua" w:eastAsia="SimSun" w:hAnsi="Book Antiqua" w:cs="SimSun"/>
                <w:bCs/>
                <w:color w:val="000000"/>
                <w:sz w:val="21"/>
                <w:szCs w:val="21"/>
              </w:rPr>
            </w:pPr>
            <w:r w:rsidRPr="00B0764C">
              <w:rPr>
                <w:rFonts w:ascii="Book Antiqua" w:eastAsia="SimSun" w:hAnsi="Book Antiqua" w:cs="SimSun"/>
                <w:bCs/>
                <w:color w:val="000000"/>
                <w:sz w:val="21"/>
                <w:szCs w:val="21"/>
              </w:rPr>
              <w:t>(-0.554 - 1.248)</w:t>
            </w:r>
          </w:p>
        </w:tc>
        <w:tc>
          <w:tcPr>
            <w:tcW w:w="851" w:type="dxa"/>
            <w:vMerge/>
            <w:vAlign w:val="center"/>
            <w:hideMark/>
          </w:tcPr>
          <w:p w14:paraId="45782E6C" w14:textId="77777777" w:rsidR="00976FCC" w:rsidRPr="00B0764C" w:rsidRDefault="00976FCC" w:rsidP="007940D7">
            <w:pPr>
              <w:spacing w:line="360" w:lineRule="auto"/>
              <w:jc w:val="both"/>
              <w:rPr>
                <w:rFonts w:ascii="Book Antiqua" w:eastAsia="SimSun" w:hAnsi="Book Antiqua" w:cs="SimSun"/>
                <w:b/>
                <w:bCs/>
                <w:color w:val="000000"/>
                <w:sz w:val="21"/>
                <w:szCs w:val="21"/>
              </w:rPr>
            </w:pPr>
          </w:p>
        </w:tc>
        <w:tc>
          <w:tcPr>
            <w:tcW w:w="1276" w:type="dxa"/>
            <w:shd w:val="clear" w:color="auto" w:fill="auto"/>
            <w:noWrap/>
            <w:vAlign w:val="center"/>
            <w:hideMark/>
          </w:tcPr>
          <w:p w14:paraId="2E99D029"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(-1.142 - 0.102)</w:t>
            </w:r>
          </w:p>
        </w:tc>
        <w:tc>
          <w:tcPr>
            <w:tcW w:w="1275" w:type="dxa"/>
            <w:shd w:val="clear" w:color="auto" w:fill="auto"/>
            <w:noWrap/>
            <w:vAlign w:val="center"/>
            <w:hideMark/>
          </w:tcPr>
          <w:p w14:paraId="5DD37016"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(-1.578 - 0.292)</w:t>
            </w:r>
          </w:p>
        </w:tc>
        <w:tc>
          <w:tcPr>
            <w:tcW w:w="851" w:type="dxa"/>
            <w:vMerge/>
            <w:vAlign w:val="center"/>
            <w:hideMark/>
          </w:tcPr>
          <w:p w14:paraId="137FE8DE"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shd w:val="clear" w:color="auto" w:fill="auto"/>
            <w:vAlign w:val="center"/>
            <w:hideMark/>
          </w:tcPr>
          <w:p w14:paraId="2D153D34"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(-1.194 - 0.102)</w:t>
            </w:r>
          </w:p>
        </w:tc>
        <w:tc>
          <w:tcPr>
            <w:tcW w:w="1134" w:type="dxa"/>
            <w:shd w:val="clear" w:color="auto" w:fill="auto"/>
            <w:vAlign w:val="center"/>
            <w:hideMark/>
          </w:tcPr>
          <w:p w14:paraId="22D9C258"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(-0.843 - 1.327)</w:t>
            </w:r>
          </w:p>
        </w:tc>
        <w:tc>
          <w:tcPr>
            <w:tcW w:w="708" w:type="dxa"/>
            <w:vMerge/>
            <w:vAlign w:val="center"/>
            <w:hideMark/>
          </w:tcPr>
          <w:p w14:paraId="17016444" w14:textId="77777777" w:rsidR="00976FCC" w:rsidRPr="00B0764C" w:rsidRDefault="00976FCC" w:rsidP="007940D7">
            <w:pPr>
              <w:spacing w:line="360" w:lineRule="auto"/>
              <w:jc w:val="both"/>
              <w:rPr>
                <w:rFonts w:ascii="Book Antiqua" w:eastAsia="SimSun" w:hAnsi="Book Antiqua" w:cs="SimSun"/>
                <w:color w:val="000000"/>
                <w:sz w:val="21"/>
                <w:szCs w:val="21"/>
              </w:rPr>
            </w:pPr>
          </w:p>
        </w:tc>
        <w:tc>
          <w:tcPr>
            <w:tcW w:w="1276" w:type="dxa"/>
            <w:shd w:val="clear" w:color="auto" w:fill="auto"/>
            <w:noWrap/>
            <w:vAlign w:val="center"/>
            <w:hideMark/>
          </w:tcPr>
          <w:p w14:paraId="2B704452"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(-1.102 - 0.174)</w:t>
            </w:r>
          </w:p>
        </w:tc>
        <w:tc>
          <w:tcPr>
            <w:tcW w:w="1234" w:type="dxa"/>
            <w:shd w:val="clear" w:color="auto" w:fill="auto"/>
            <w:noWrap/>
            <w:vAlign w:val="center"/>
            <w:hideMark/>
          </w:tcPr>
          <w:p w14:paraId="0CF9B96F" w14:textId="77777777" w:rsidR="00976FCC" w:rsidRPr="00B0764C" w:rsidRDefault="00976FCC" w:rsidP="007940D7">
            <w:pPr>
              <w:spacing w:line="360" w:lineRule="auto"/>
              <w:jc w:val="both"/>
              <w:rPr>
                <w:rFonts w:ascii="Book Antiqua" w:eastAsia="SimSun" w:hAnsi="Book Antiqua" w:cs="SimSun"/>
                <w:color w:val="000000"/>
                <w:sz w:val="21"/>
                <w:szCs w:val="21"/>
              </w:rPr>
            </w:pPr>
            <w:r w:rsidRPr="00B0764C">
              <w:rPr>
                <w:rFonts w:ascii="Book Antiqua" w:eastAsia="SimSun" w:hAnsi="Book Antiqua" w:cs="SimSun"/>
                <w:color w:val="000000"/>
                <w:sz w:val="21"/>
                <w:szCs w:val="21"/>
              </w:rPr>
              <w:t>(-1.194 - 0.021)</w:t>
            </w:r>
          </w:p>
        </w:tc>
        <w:tc>
          <w:tcPr>
            <w:tcW w:w="1134" w:type="dxa"/>
            <w:vMerge/>
            <w:vAlign w:val="center"/>
            <w:hideMark/>
          </w:tcPr>
          <w:p w14:paraId="634BA147" w14:textId="77777777" w:rsidR="00976FCC" w:rsidRPr="00B0764C" w:rsidRDefault="00976FCC" w:rsidP="007940D7">
            <w:pPr>
              <w:spacing w:line="360" w:lineRule="auto"/>
              <w:jc w:val="both"/>
              <w:rPr>
                <w:rFonts w:ascii="Book Antiqua" w:eastAsia="SimSun" w:hAnsi="Book Antiqua" w:cs="SimSun"/>
                <w:color w:val="000000"/>
                <w:sz w:val="21"/>
                <w:szCs w:val="21"/>
              </w:rPr>
            </w:pPr>
          </w:p>
        </w:tc>
      </w:tr>
    </w:tbl>
    <w:p w14:paraId="4B8B4820" w14:textId="5C14F807" w:rsidR="00582A71" w:rsidRPr="0088290D" w:rsidRDefault="00976FCC" w:rsidP="007940D7">
      <w:pPr>
        <w:widowControl w:val="0"/>
        <w:autoSpaceDE w:val="0"/>
        <w:autoSpaceDN w:val="0"/>
        <w:adjustRightInd w:val="0"/>
        <w:spacing w:line="480" w:lineRule="auto"/>
        <w:jc w:val="both"/>
        <w:rPr>
          <w:rFonts w:ascii="Book Antiqua" w:hAnsi="Book Antiqua" w:cs="Arial"/>
          <w:b/>
          <w:lang w:val="en-US"/>
        </w:rPr>
      </w:pPr>
      <w:r w:rsidRPr="0088290D">
        <w:rPr>
          <w:rFonts w:ascii="Book Antiqua" w:hAnsi="Book Antiqua" w:cs="Arial"/>
          <w:lang w:val="en-US"/>
        </w:rPr>
        <w:t xml:space="preserve"> </w:t>
      </w:r>
      <w:r w:rsidR="00582A71" w:rsidRPr="0088290D">
        <w:rPr>
          <w:rFonts w:ascii="Book Antiqua" w:hAnsi="Book Antiqua" w:cs="Arial"/>
          <w:lang w:val="en-US"/>
        </w:rPr>
        <w:t>Significant associations are indicated in bold.</w:t>
      </w:r>
    </w:p>
    <w:p w14:paraId="48BD7587" w14:textId="752306F7" w:rsidR="00582A71" w:rsidRPr="0088290D" w:rsidRDefault="00582A71" w:rsidP="007940D7">
      <w:pPr>
        <w:jc w:val="both"/>
        <w:rPr>
          <w:rFonts w:ascii="Book Antiqua" w:hAnsi="Book Antiqua"/>
          <w:b/>
          <w:lang w:val="en-US"/>
        </w:rPr>
      </w:pPr>
      <w:r w:rsidRPr="0088290D">
        <w:rPr>
          <w:rFonts w:ascii="Book Antiqua" w:hAnsi="Book Antiqua"/>
          <w:b/>
          <w:lang w:val="en-US"/>
        </w:rPr>
        <w:br w:type="page"/>
      </w:r>
    </w:p>
    <w:p w14:paraId="3D7DB667" w14:textId="00D67829" w:rsidR="00582A71" w:rsidRPr="00976FCC" w:rsidRDefault="00582A71" w:rsidP="007940D7">
      <w:pPr>
        <w:spacing w:line="360" w:lineRule="auto"/>
        <w:jc w:val="both"/>
        <w:rPr>
          <w:rFonts w:ascii="Book Antiqua" w:eastAsia="SimSun" w:hAnsi="Book Antiqua" w:cs="Arial"/>
          <w:lang w:val="en-US" w:eastAsia="zh-CN"/>
        </w:rPr>
      </w:pPr>
      <w:r w:rsidRPr="0088290D">
        <w:rPr>
          <w:rFonts w:ascii="Book Antiqua" w:hAnsi="Book Antiqua" w:cs="Arial"/>
          <w:b/>
          <w:lang w:val="en-US"/>
        </w:rPr>
        <w:lastRenderedPageBreak/>
        <w:t>Table 4</w:t>
      </w:r>
      <w:r w:rsidR="00976FCC">
        <w:rPr>
          <w:rFonts w:ascii="Book Antiqua" w:eastAsia="SimSun" w:hAnsi="Book Antiqua" w:cs="Arial" w:hint="eastAsia"/>
          <w:lang w:val="en-US" w:eastAsia="zh-CN"/>
        </w:rPr>
        <w:t xml:space="preserve"> </w:t>
      </w:r>
      <w:r w:rsidRPr="00976FCC">
        <w:rPr>
          <w:rFonts w:ascii="Book Antiqua" w:hAnsi="Book Antiqua" w:cs="Arial"/>
          <w:b/>
          <w:lang w:val="en-US"/>
        </w:rPr>
        <w:t>Serum level of bacterial translocation and enterocyte damage markers according to the differ</w:t>
      </w:r>
      <w:r w:rsidR="00976FCC">
        <w:rPr>
          <w:rFonts w:ascii="Book Antiqua" w:hAnsi="Book Antiqua" w:cs="Arial"/>
          <w:b/>
          <w:lang w:val="en-US"/>
        </w:rPr>
        <w:t>ent serologic antibody statuses</w:t>
      </w:r>
    </w:p>
    <w:p w14:paraId="191E6929" w14:textId="77777777" w:rsidR="00BF710C" w:rsidRPr="00BF710C" w:rsidRDefault="00BF710C" w:rsidP="007940D7">
      <w:pPr>
        <w:jc w:val="both"/>
        <w:rPr>
          <w:rFonts w:ascii="Book Antiqua" w:eastAsia="SimSun" w:hAnsi="Book Antiqua"/>
          <w:lang w:val="en-US" w:eastAsia="zh-CN"/>
        </w:rPr>
      </w:pPr>
      <w:r>
        <w:rPr>
          <w:rFonts w:ascii="Book Antiqua" w:eastAsia="SimSun" w:hAnsi="Book Antiqua" w:cs="Arial" w:hint="eastAsia"/>
          <w:lang w:val="en-US" w:eastAsia="zh-CN"/>
        </w:rPr>
        <w:t xml:space="preserve"> </w:t>
      </w:r>
    </w:p>
    <w:tbl>
      <w:tblPr>
        <w:tblW w:w="16986" w:type="dxa"/>
        <w:tblBorders>
          <w:top w:val="single" w:sz="8" w:space="0" w:color="auto"/>
          <w:bottom w:val="single" w:sz="8" w:space="0" w:color="auto"/>
        </w:tblBorders>
        <w:tblLook w:val="04A0" w:firstRow="1" w:lastRow="0" w:firstColumn="1" w:lastColumn="0" w:noHBand="0" w:noVBand="1"/>
      </w:tblPr>
      <w:tblGrid>
        <w:gridCol w:w="1478"/>
        <w:gridCol w:w="1203"/>
        <w:gridCol w:w="1096"/>
        <w:gridCol w:w="816"/>
        <w:gridCol w:w="1350"/>
        <w:gridCol w:w="1470"/>
        <w:gridCol w:w="1080"/>
        <w:gridCol w:w="1478"/>
        <w:gridCol w:w="1203"/>
        <w:gridCol w:w="1096"/>
        <w:gridCol w:w="816"/>
        <w:gridCol w:w="1350"/>
        <w:gridCol w:w="1470"/>
        <w:gridCol w:w="1080"/>
      </w:tblGrid>
      <w:tr w:rsidR="00BF710C" w:rsidRPr="00B0764C" w14:paraId="6BE8E460" w14:textId="77777777" w:rsidTr="00BF710C">
        <w:trPr>
          <w:trHeight w:val="330"/>
        </w:trPr>
        <w:tc>
          <w:tcPr>
            <w:tcW w:w="1478" w:type="dxa"/>
            <w:tcBorders>
              <w:top w:val="single" w:sz="8" w:space="0" w:color="auto"/>
              <w:bottom w:val="nil"/>
            </w:tcBorders>
            <w:shd w:val="clear" w:color="auto" w:fill="auto"/>
            <w:noWrap/>
            <w:vAlign w:val="bottom"/>
            <w:hideMark/>
          </w:tcPr>
          <w:p w14:paraId="3EB4FD72" w14:textId="77777777" w:rsidR="00BF710C" w:rsidRPr="00B0764C" w:rsidRDefault="00BF710C" w:rsidP="007940D7">
            <w:pPr>
              <w:spacing w:line="360" w:lineRule="auto"/>
              <w:jc w:val="both"/>
              <w:rPr>
                <w:rFonts w:ascii="Cambria" w:eastAsia="SimSun" w:hAnsi="Cambria" w:cs="SimSun"/>
                <w:b/>
                <w:color w:val="000000"/>
              </w:rPr>
            </w:pPr>
            <w:r w:rsidRPr="00B0764C">
              <w:rPr>
                <w:rFonts w:ascii="Cambria" w:eastAsia="SimSun" w:hAnsi="Cambria" w:cs="SimSun"/>
                <w:b/>
                <w:color w:val="000000"/>
              </w:rPr>
              <w:t xml:space="preserve">　</w:t>
            </w:r>
          </w:p>
        </w:tc>
        <w:tc>
          <w:tcPr>
            <w:tcW w:w="2299" w:type="dxa"/>
            <w:gridSpan w:val="2"/>
            <w:tcBorders>
              <w:top w:val="single" w:sz="8" w:space="0" w:color="auto"/>
              <w:bottom w:val="nil"/>
            </w:tcBorders>
            <w:shd w:val="clear" w:color="auto" w:fill="auto"/>
            <w:vAlign w:val="center"/>
            <w:hideMark/>
          </w:tcPr>
          <w:p w14:paraId="406BD70E"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Anti-F-Actin IgA</w:t>
            </w:r>
          </w:p>
        </w:tc>
        <w:tc>
          <w:tcPr>
            <w:tcW w:w="816" w:type="dxa"/>
            <w:tcBorders>
              <w:top w:val="single" w:sz="8" w:space="0" w:color="auto"/>
              <w:bottom w:val="nil"/>
            </w:tcBorders>
            <w:shd w:val="clear" w:color="auto" w:fill="auto"/>
            <w:vAlign w:val="center"/>
            <w:hideMark/>
          </w:tcPr>
          <w:p w14:paraId="0426095C"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 xml:space="preserve">　</w:t>
            </w:r>
          </w:p>
        </w:tc>
        <w:tc>
          <w:tcPr>
            <w:tcW w:w="2820" w:type="dxa"/>
            <w:gridSpan w:val="2"/>
            <w:tcBorders>
              <w:top w:val="single" w:sz="8" w:space="0" w:color="auto"/>
              <w:bottom w:val="nil"/>
            </w:tcBorders>
            <w:shd w:val="clear" w:color="auto" w:fill="auto"/>
            <w:noWrap/>
            <w:vAlign w:val="center"/>
            <w:hideMark/>
          </w:tcPr>
          <w:p w14:paraId="4241B6A9"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Anti-F-Actin IgG</w:t>
            </w:r>
          </w:p>
        </w:tc>
        <w:tc>
          <w:tcPr>
            <w:tcW w:w="1080" w:type="dxa"/>
            <w:tcBorders>
              <w:top w:val="single" w:sz="8" w:space="0" w:color="auto"/>
              <w:bottom w:val="nil"/>
            </w:tcBorders>
            <w:shd w:val="clear" w:color="auto" w:fill="auto"/>
            <w:noWrap/>
            <w:vAlign w:val="bottom"/>
            <w:hideMark/>
          </w:tcPr>
          <w:p w14:paraId="6E09399F" w14:textId="77777777" w:rsidR="00BF710C" w:rsidRPr="00B0764C" w:rsidRDefault="00BF710C" w:rsidP="007940D7">
            <w:pPr>
              <w:spacing w:line="360" w:lineRule="auto"/>
              <w:jc w:val="both"/>
              <w:rPr>
                <w:rFonts w:ascii="Cambria" w:eastAsia="SimSun" w:hAnsi="Cambria" w:cs="SimSun"/>
                <w:b/>
                <w:color w:val="000000"/>
              </w:rPr>
            </w:pPr>
            <w:r w:rsidRPr="00B0764C">
              <w:rPr>
                <w:rFonts w:ascii="Cambria" w:eastAsia="SimSun" w:hAnsi="Cambria" w:cs="SimSun"/>
                <w:b/>
                <w:color w:val="000000"/>
              </w:rPr>
              <w:t xml:space="preserve">　</w:t>
            </w:r>
          </w:p>
        </w:tc>
        <w:tc>
          <w:tcPr>
            <w:tcW w:w="1478" w:type="dxa"/>
            <w:tcBorders>
              <w:top w:val="single" w:sz="8" w:space="0" w:color="auto"/>
              <w:bottom w:val="nil"/>
            </w:tcBorders>
            <w:shd w:val="clear" w:color="auto" w:fill="auto"/>
            <w:noWrap/>
            <w:vAlign w:val="bottom"/>
            <w:hideMark/>
          </w:tcPr>
          <w:p w14:paraId="72F48CDC" w14:textId="77777777" w:rsidR="00BF710C" w:rsidRPr="00B0764C" w:rsidRDefault="00BF710C" w:rsidP="007940D7">
            <w:pPr>
              <w:spacing w:line="360" w:lineRule="auto"/>
              <w:jc w:val="both"/>
              <w:rPr>
                <w:rFonts w:ascii="Cambria" w:eastAsia="SimSun" w:hAnsi="Cambria" w:cs="SimSun"/>
                <w:b/>
                <w:color w:val="000000"/>
              </w:rPr>
            </w:pPr>
            <w:r w:rsidRPr="00B0764C">
              <w:rPr>
                <w:rFonts w:ascii="Cambria" w:eastAsia="SimSun" w:hAnsi="Cambria" w:cs="SimSun"/>
                <w:b/>
                <w:color w:val="000000"/>
              </w:rPr>
              <w:t xml:space="preserve">　</w:t>
            </w:r>
          </w:p>
        </w:tc>
        <w:tc>
          <w:tcPr>
            <w:tcW w:w="2299" w:type="dxa"/>
            <w:gridSpan w:val="2"/>
            <w:tcBorders>
              <w:top w:val="single" w:sz="8" w:space="0" w:color="auto"/>
              <w:bottom w:val="nil"/>
            </w:tcBorders>
            <w:shd w:val="clear" w:color="auto" w:fill="auto"/>
            <w:vAlign w:val="center"/>
            <w:hideMark/>
          </w:tcPr>
          <w:p w14:paraId="2ACCB6C1"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Anti-Gliadin IgA</w:t>
            </w:r>
          </w:p>
        </w:tc>
        <w:tc>
          <w:tcPr>
            <w:tcW w:w="816" w:type="dxa"/>
            <w:tcBorders>
              <w:top w:val="single" w:sz="8" w:space="0" w:color="auto"/>
              <w:bottom w:val="nil"/>
            </w:tcBorders>
            <w:shd w:val="clear" w:color="auto" w:fill="auto"/>
            <w:vAlign w:val="center"/>
            <w:hideMark/>
          </w:tcPr>
          <w:p w14:paraId="0A8BD412"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 xml:space="preserve">　</w:t>
            </w:r>
          </w:p>
        </w:tc>
        <w:tc>
          <w:tcPr>
            <w:tcW w:w="2820" w:type="dxa"/>
            <w:gridSpan w:val="2"/>
            <w:tcBorders>
              <w:top w:val="single" w:sz="8" w:space="0" w:color="auto"/>
              <w:bottom w:val="nil"/>
            </w:tcBorders>
            <w:shd w:val="clear" w:color="auto" w:fill="auto"/>
            <w:noWrap/>
            <w:vAlign w:val="center"/>
            <w:hideMark/>
          </w:tcPr>
          <w:p w14:paraId="315374BB"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Anti-Gliadin IgG</w:t>
            </w:r>
          </w:p>
        </w:tc>
        <w:tc>
          <w:tcPr>
            <w:tcW w:w="1080" w:type="dxa"/>
            <w:tcBorders>
              <w:top w:val="single" w:sz="8" w:space="0" w:color="auto"/>
              <w:bottom w:val="nil"/>
            </w:tcBorders>
            <w:shd w:val="clear" w:color="auto" w:fill="auto"/>
            <w:noWrap/>
            <w:vAlign w:val="bottom"/>
            <w:hideMark/>
          </w:tcPr>
          <w:p w14:paraId="69B1FAA1" w14:textId="77777777" w:rsidR="00BF710C" w:rsidRPr="00B0764C" w:rsidRDefault="00BF710C" w:rsidP="007940D7">
            <w:pPr>
              <w:spacing w:line="360" w:lineRule="auto"/>
              <w:jc w:val="both"/>
              <w:rPr>
                <w:rFonts w:ascii="Cambria" w:eastAsia="SimSun" w:hAnsi="Cambria" w:cs="SimSun"/>
                <w:b/>
                <w:color w:val="000000"/>
              </w:rPr>
            </w:pPr>
            <w:r w:rsidRPr="00B0764C">
              <w:rPr>
                <w:rFonts w:ascii="Cambria" w:eastAsia="SimSun" w:hAnsi="Cambria" w:cs="SimSun"/>
                <w:b/>
                <w:color w:val="000000"/>
              </w:rPr>
              <w:t xml:space="preserve">　</w:t>
            </w:r>
          </w:p>
        </w:tc>
      </w:tr>
      <w:tr w:rsidR="00BF710C" w:rsidRPr="00B0764C" w14:paraId="3D272C37" w14:textId="77777777" w:rsidTr="00BF710C">
        <w:trPr>
          <w:trHeight w:val="330"/>
        </w:trPr>
        <w:tc>
          <w:tcPr>
            <w:tcW w:w="1478" w:type="dxa"/>
            <w:vMerge w:val="restart"/>
            <w:tcBorders>
              <w:top w:val="nil"/>
              <w:bottom w:val="nil"/>
            </w:tcBorders>
            <w:shd w:val="clear" w:color="auto" w:fill="auto"/>
            <w:noWrap/>
            <w:vAlign w:val="bottom"/>
            <w:hideMark/>
          </w:tcPr>
          <w:p w14:paraId="608E3AAC" w14:textId="77777777" w:rsidR="00BF710C" w:rsidRPr="00B0764C" w:rsidRDefault="00BF710C" w:rsidP="007940D7">
            <w:pPr>
              <w:spacing w:line="360" w:lineRule="auto"/>
              <w:jc w:val="both"/>
              <w:rPr>
                <w:rFonts w:ascii="Cambria" w:eastAsia="SimSun" w:hAnsi="Cambria" w:cs="SimSun"/>
                <w:b/>
                <w:color w:val="000000"/>
              </w:rPr>
            </w:pPr>
            <w:r w:rsidRPr="00B0764C">
              <w:rPr>
                <w:rFonts w:ascii="Cambria" w:eastAsia="SimSun" w:hAnsi="Cambria" w:cs="SimSun"/>
                <w:b/>
                <w:color w:val="000000"/>
              </w:rPr>
              <w:t xml:space="preserve">　</w:t>
            </w:r>
          </w:p>
        </w:tc>
        <w:tc>
          <w:tcPr>
            <w:tcW w:w="1203" w:type="dxa"/>
            <w:tcBorders>
              <w:top w:val="nil"/>
              <w:bottom w:val="nil"/>
            </w:tcBorders>
            <w:shd w:val="clear" w:color="auto" w:fill="auto"/>
            <w:vAlign w:val="center"/>
            <w:hideMark/>
          </w:tcPr>
          <w:p w14:paraId="4B6DC5CE"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Negative</w:t>
            </w:r>
          </w:p>
        </w:tc>
        <w:tc>
          <w:tcPr>
            <w:tcW w:w="1096" w:type="dxa"/>
            <w:tcBorders>
              <w:top w:val="nil"/>
              <w:bottom w:val="nil"/>
            </w:tcBorders>
            <w:shd w:val="clear" w:color="auto" w:fill="auto"/>
            <w:vAlign w:val="center"/>
            <w:hideMark/>
          </w:tcPr>
          <w:p w14:paraId="4D4A4A33"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Positive</w:t>
            </w:r>
          </w:p>
        </w:tc>
        <w:tc>
          <w:tcPr>
            <w:tcW w:w="816" w:type="dxa"/>
            <w:tcBorders>
              <w:top w:val="nil"/>
              <w:bottom w:val="nil"/>
            </w:tcBorders>
            <w:shd w:val="clear" w:color="auto" w:fill="auto"/>
            <w:vAlign w:val="center"/>
            <w:hideMark/>
          </w:tcPr>
          <w:p w14:paraId="360D629D" w14:textId="77777777" w:rsidR="00BF710C" w:rsidRPr="00B0764C" w:rsidRDefault="00BF710C" w:rsidP="007940D7">
            <w:pPr>
              <w:spacing w:line="360" w:lineRule="auto"/>
              <w:jc w:val="both"/>
              <w:rPr>
                <w:rFonts w:ascii="Book Antiqua" w:eastAsia="SimSun" w:hAnsi="Book Antiqua" w:cs="SimSun"/>
                <w:b/>
                <w:i/>
                <w:color w:val="000000"/>
              </w:rPr>
            </w:pPr>
            <w:r w:rsidRPr="00B0764C">
              <w:rPr>
                <w:rFonts w:ascii="Book Antiqua" w:eastAsia="SimSun" w:hAnsi="Book Antiqua" w:cs="SimSun"/>
                <w:b/>
                <w:i/>
                <w:color w:val="000000"/>
              </w:rPr>
              <w:t>P</w:t>
            </w:r>
            <w:r w:rsidRPr="00B0764C">
              <w:rPr>
                <w:rFonts w:ascii="Book Antiqua" w:eastAsia="SimSun" w:hAnsi="Book Antiqua" w:cs="SimSun" w:hint="eastAsia"/>
                <w:b/>
                <w:i/>
                <w:color w:val="000000"/>
              </w:rPr>
              <w:t xml:space="preserve"> </w:t>
            </w:r>
          </w:p>
        </w:tc>
        <w:tc>
          <w:tcPr>
            <w:tcW w:w="1350" w:type="dxa"/>
            <w:tcBorders>
              <w:top w:val="nil"/>
              <w:bottom w:val="nil"/>
            </w:tcBorders>
            <w:shd w:val="clear" w:color="auto" w:fill="auto"/>
            <w:noWrap/>
            <w:vAlign w:val="center"/>
            <w:hideMark/>
          </w:tcPr>
          <w:p w14:paraId="3A8D03F1"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Negative</w:t>
            </w:r>
          </w:p>
        </w:tc>
        <w:tc>
          <w:tcPr>
            <w:tcW w:w="1470" w:type="dxa"/>
            <w:tcBorders>
              <w:top w:val="nil"/>
              <w:bottom w:val="nil"/>
            </w:tcBorders>
            <w:shd w:val="clear" w:color="auto" w:fill="auto"/>
            <w:noWrap/>
            <w:vAlign w:val="center"/>
            <w:hideMark/>
          </w:tcPr>
          <w:p w14:paraId="4EDD0566"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Positive</w:t>
            </w:r>
          </w:p>
        </w:tc>
        <w:tc>
          <w:tcPr>
            <w:tcW w:w="1080" w:type="dxa"/>
            <w:tcBorders>
              <w:top w:val="nil"/>
              <w:bottom w:val="nil"/>
            </w:tcBorders>
            <w:shd w:val="clear" w:color="auto" w:fill="auto"/>
            <w:noWrap/>
            <w:vAlign w:val="center"/>
            <w:hideMark/>
          </w:tcPr>
          <w:p w14:paraId="1024F386" w14:textId="77777777" w:rsidR="00BF710C" w:rsidRPr="00B0764C" w:rsidRDefault="00BF710C" w:rsidP="007940D7">
            <w:pPr>
              <w:spacing w:line="360" w:lineRule="auto"/>
              <w:jc w:val="both"/>
              <w:rPr>
                <w:rFonts w:ascii="Book Antiqua" w:eastAsia="SimSun" w:hAnsi="Book Antiqua" w:cs="SimSun"/>
                <w:b/>
                <w:i/>
                <w:color w:val="000000"/>
              </w:rPr>
            </w:pPr>
            <w:r w:rsidRPr="00B0764C">
              <w:rPr>
                <w:rFonts w:ascii="Book Antiqua" w:eastAsia="SimSun" w:hAnsi="Book Antiqua" w:cs="SimSun"/>
                <w:b/>
                <w:i/>
                <w:color w:val="000000"/>
              </w:rPr>
              <w:t>P</w:t>
            </w:r>
            <w:r w:rsidRPr="00B0764C">
              <w:rPr>
                <w:rFonts w:ascii="Book Antiqua" w:eastAsia="SimSun" w:hAnsi="Book Antiqua" w:cs="SimSun" w:hint="eastAsia"/>
                <w:b/>
                <w:i/>
                <w:color w:val="000000"/>
              </w:rPr>
              <w:t xml:space="preserve"> </w:t>
            </w:r>
          </w:p>
        </w:tc>
        <w:tc>
          <w:tcPr>
            <w:tcW w:w="1478" w:type="dxa"/>
            <w:vMerge w:val="restart"/>
            <w:tcBorders>
              <w:top w:val="nil"/>
              <w:bottom w:val="nil"/>
            </w:tcBorders>
            <w:shd w:val="clear" w:color="auto" w:fill="auto"/>
            <w:noWrap/>
            <w:vAlign w:val="bottom"/>
            <w:hideMark/>
          </w:tcPr>
          <w:p w14:paraId="749F0A82" w14:textId="77777777" w:rsidR="00BF710C" w:rsidRPr="00B0764C" w:rsidRDefault="00BF710C" w:rsidP="007940D7">
            <w:pPr>
              <w:spacing w:line="360" w:lineRule="auto"/>
              <w:jc w:val="both"/>
              <w:rPr>
                <w:rFonts w:ascii="Cambria" w:eastAsia="SimSun" w:hAnsi="Cambria" w:cs="SimSun"/>
                <w:b/>
                <w:color w:val="000000"/>
              </w:rPr>
            </w:pPr>
            <w:r w:rsidRPr="00B0764C">
              <w:rPr>
                <w:rFonts w:ascii="Cambria" w:eastAsia="SimSun" w:hAnsi="Cambria" w:cs="SimSun"/>
                <w:b/>
                <w:color w:val="000000"/>
              </w:rPr>
              <w:t xml:space="preserve">　</w:t>
            </w:r>
          </w:p>
        </w:tc>
        <w:tc>
          <w:tcPr>
            <w:tcW w:w="1203" w:type="dxa"/>
            <w:tcBorders>
              <w:top w:val="nil"/>
              <w:bottom w:val="nil"/>
            </w:tcBorders>
            <w:shd w:val="clear" w:color="auto" w:fill="auto"/>
            <w:vAlign w:val="center"/>
            <w:hideMark/>
          </w:tcPr>
          <w:p w14:paraId="14630B39"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Negative</w:t>
            </w:r>
          </w:p>
        </w:tc>
        <w:tc>
          <w:tcPr>
            <w:tcW w:w="1096" w:type="dxa"/>
            <w:tcBorders>
              <w:top w:val="nil"/>
              <w:bottom w:val="nil"/>
            </w:tcBorders>
            <w:shd w:val="clear" w:color="auto" w:fill="auto"/>
            <w:vAlign w:val="center"/>
            <w:hideMark/>
          </w:tcPr>
          <w:p w14:paraId="36B2560F"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Positive</w:t>
            </w:r>
          </w:p>
        </w:tc>
        <w:tc>
          <w:tcPr>
            <w:tcW w:w="816" w:type="dxa"/>
            <w:tcBorders>
              <w:top w:val="nil"/>
              <w:bottom w:val="nil"/>
            </w:tcBorders>
            <w:shd w:val="clear" w:color="auto" w:fill="auto"/>
            <w:vAlign w:val="center"/>
            <w:hideMark/>
          </w:tcPr>
          <w:p w14:paraId="729C5ACF" w14:textId="77777777" w:rsidR="00BF710C" w:rsidRPr="00B0764C" w:rsidRDefault="00BF710C" w:rsidP="007940D7">
            <w:pPr>
              <w:spacing w:line="360" w:lineRule="auto"/>
              <w:jc w:val="both"/>
              <w:rPr>
                <w:rFonts w:ascii="Book Antiqua" w:eastAsia="SimSun" w:hAnsi="Book Antiqua" w:cs="SimSun"/>
                <w:b/>
                <w:i/>
                <w:color w:val="000000"/>
              </w:rPr>
            </w:pPr>
            <w:r w:rsidRPr="00B0764C">
              <w:rPr>
                <w:rFonts w:ascii="Book Antiqua" w:eastAsia="SimSun" w:hAnsi="Book Antiqua" w:cs="SimSun"/>
                <w:b/>
                <w:i/>
                <w:color w:val="000000"/>
              </w:rPr>
              <w:t>P</w:t>
            </w:r>
            <w:r w:rsidRPr="00B0764C">
              <w:rPr>
                <w:rFonts w:ascii="Book Antiqua" w:eastAsia="SimSun" w:hAnsi="Book Antiqua" w:cs="SimSun" w:hint="eastAsia"/>
                <w:b/>
                <w:i/>
                <w:color w:val="000000"/>
              </w:rPr>
              <w:t xml:space="preserve"> </w:t>
            </w:r>
          </w:p>
        </w:tc>
        <w:tc>
          <w:tcPr>
            <w:tcW w:w="1350" w:type="dxa"/>
            <w:tcBorders>
              <w:top w:val="nil"/>
              <w:bottom w:val="nil"/>
            </w:tcBorders>
            <w:shd w:val="clear" w:color="auto" w:fill="auto"/>
            <w:noWrap/>
            <w:vAlign w:val="center"/>
            <w:hideMark/>
          </w:tcPr>
          <w:p w14:paraId="73549D79"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Negative</w:t>
            </w:r>
          </w:p>
        </w:tc>
        <w:tc>
          <w:tcPr>
            <w:tcW w:w="1470" w:type="dxa"/>
            <w:tcBorders>
              <w:top w:val="nil"/>
              <w:bottom w:val="nil"/>
            </w:tcBorders>
            <w:shd w:val="clear" w:color="auto" w:fill="auto"/>
            <w:noWrap/>
            <w:vAlign w:val="center"/>
            <w:hideMark/>
          </w:tcPr>
          <w:p w14:paraId="102A28EA"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Positive</w:t>
            </w:r>
          </w:p>
        </w:tc>
        <w:tc>
          <w:tcPr>
            <w:tcW w:w="1080" w:type="dxa"/>
            <w:tcBorders>
              <w:top w:val="nil"/>
              <w:bottom w:val="nil"/>
            </w:tcBorders>
            <w:shd w:val="clear" w:color="auto" w:fill="auto"/>
            <w:noWrap/>
            <w:vAlign w:val="center"/>
            <w:hideMark/>
          </w:tcPr>
          <w:p w14:paraId="3C705986"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i/>
                <w:color w:val="000000"/>
              </w:rPr>
              <w:t>P</w:t>
            </w:r>
          </w:p>
        </w:tc>
      </w:tr>
      <w:tr w:rsidR="00BF710C" w:rsidRPr="00B0764C" w14:paraId="1C521E3A" w14:textId="77777777" w:rsidTr="00BF710C">
        <w:trPr>
          <w:trHeight w:val="315"/>
        </w:trPr>
        <w:tc>
          <w:tcPr>
            <w:tcW w:w="1478" w:type="dxa"/>
            <w:vMerge/>
            <w:tcBorders>
              <w:top w:val="nil"/>
              <w:bottom w:val="single" w:sz="8" w:space="0" w:color="auto"/>
            </w:tcBorders>
            <w:vAlign w:val="center"/>
            <w:hideMark/>
          </w:tcPr>
          <w:p w14:paraId="22D81F36" w14:textId="77777777" w:rsidR="00BF710C" w:rsidRPr="00B0764C" w:rsidRDefault="00BF710C" w:rsidP="007940D7">
            <w:pPr>
              <w:spacing w:line="360" w:lineRule="auto"/>
              <w:jc w:val="both"/>
              <w:rPr>
                <w:rFonts w:ascii="Cambria" w:eastAsia="SimSun" w:hAnsi="Cambria" w:cs="SimSun"/>
                <w:b/>
                <w:color w:val="000000"/>
              </w:rPr>
            </w:pPr>
          </w:p>
        </w:tc>
        <w:tc>
          <w:tcPr>
            <w:tcW w:w="1203" w:type="dxa"/>
            <w:tcBorders>
              <w:top w:val="nil"/>
              <w:bottom w:val="single" w:sz="8" w:space="0" w:color="auto"/>
            </w:tcBorders>
            <w:shd w:val="clear" w:color="auto" w:fill="auto"/>
            <w:vAlign w:val="center"/>
            <w:hideMark/>
          </w:tcPr>
          <w:p w14:paraId="58321D4D"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48)</w:t>
            </w:r>
          </w:p>
        </w:tc>
        <w:tc>
          <w:tcPr>
            <w:tcW w:w="1096" w:type="dxa"/>
            <w:tcBorders>
              <w:top w:val="nil"/>
              <w:bottom w:val="single" w:sz="8" w:space="0" w:color="auto"/>
            </w:tcBorders>
            <w:shd w:val="clear" w:color="auto" w:fill="auto"/>
            <w:vAlign w:val="center"/>
            <w:hideMark/>
          </w:tcPr>
          <w:p w14:paraId="159B0624"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19)</w:t>
            </w:r>
          </w:p>
        </w:tc>
        <w:tc>
          <w:tcPr>
            <w:tcW w:w="816" w:type="dxa"/>
            <w:tcBorders>
              <w:top w:val="nil"/>
              <w:bottom w:val="single" w:sz="8" w:space="0" w:color="auto"/>
            </w:tcBorders>
            <w:shd w:val="clear" w:color="auto" w:fill="auto"/>
            <w:vAlign w:val="center"/>
            <w:hideMark/>
          </w:tcPr>
          <w:p w14:paraId="77474D85"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value</w:t>
            </w:r>
          </w:p>
        </w:tc>
        <w:tc>
          <w:tcPr>
            <w:tcW w:w="1350" w:type="dxa"/>
            <w:tcBorders>
              <w:top w:val="nil"/>
              <w:bottom w:val="single" w:sz="8" w:space="0" w:color="auto"/>
            </w:tcBorders>
            <w:shd w:val="clear" w:color="auto" w:fill="auto"/>
            <w:noWrap/>
            <w:vAlign w:val="center"/>
            <w:hideMark/>
          </w:tcPr>
          <w:p w14:paraId="0575DB3C"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50)</w:t>
            </w:r>
          </w:p>
        </w:tc>
        <w:tc>
          <w:tcPr>
            <w:tcW w:w="1470" w:type="dxa"/>
            <w:tcBorders>
              <w:top w:val="nil"/>
              <w:bottom w:val="single" w:sz="8" w:space="0" w:color="auto"/>
            </w:tcBorders>
            <w:shd w:val="clear" w:color="auto" w:fill="auto"/>
            <w:noWrap/>
            <w:vAlign w:val="center"/>
            <w:hideMark/>
          </w:tcPr>
          <w:p w14:paraId="15684047"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17)</w:t>
            </w:r>
          </w:p>
        </w:tc>
        <w:tc>
          <w:tcPr>
            <w:tcW w:w="1080" w:type="dxa"/>
            <w:tcBorders>
              <w:top w:val="nil"/>
              <w:bottom w:val="single" w:sz="8" w:space="0" w:color="auto"/>
            </w:tcBorders>
            <w:shd w:val="clear" w:color="auto" w:fill="auto"/>
            <w:noWrap/>
            <w:vAlign w:val="center"/>
            <w:hideMark/>
          </w:tcPr>
          <w:p w14:paraId="5B768F1A"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value</w:t>
            </w:r>
          </w:p>
        </w:tc>
        <w:tc>
          <w:tcPr>
            <w:tcW w:w="1478" w:type="dxa"/>
            <w:vMerge/>
            <w:tcBorders>
              <w:top w:val="nil"/>
              <w:bottom w:val="single" w:sz="8" w:space="0" w:color="auto"/>
            </w:tcBorders>
            <w:vAlign w:val="center"/>
            <w:hideMark/>
          </w:tcPr>
          <w:p w14:paraId="6E5CB1D5" w14:textId="77777777" w:rsidR="00BF710C" w:rsidRPr="00B0764C" w:rsidRDefault="00BF710C" w:rsidP="007940D7">
            <w:pPr>
              <w:spacing w:line="360" w:lineRule="auto"/>
              <w:jc w:val="both"/>
              <w:rPr>
                <w:rFonts w:ascii="Cambria" w:eastAsia="SimSun" w:hAnsi="Cambria" w:cs="SimSun"/>
                <w:b/>
                <w:color w:val="000000"/>
              </w:rPr>
            </w:pPr>
          </w:p>
        </w:tc>
        <w:tc>
          <w:tcPr>
            <w:tcW w:w="1203" w:type="dxa"/>
            <w:tcBorders>
              <w:top w:val="nil"/>
              <w:bottom w:val="single" w:sz="8" w:space="0" w:color="auto"/>
            </w:tcBorders>
            <w:shd w:val="clear" w:color="auto" w:fill="auto"/>
            <w:vAlign w:val="center"/>
            <w:hideMark/>
          </w:tcPr>
          <w:p w14:paraId="751F2CF7"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61)</w:t>
            </w:r>
          </w:p>
        </w:tc>
        <w:tc>
          <w:tcPr>
            <w:tcW w:w="1096" w:type="dxa"/>
            <w:tcBorders>
              <w:top w:val="nil"/>
              <w:bottom w:val="single" w:sz="8" w:space="0" w:color="auto"/>
            </w:tcBorders>
            <w:shd w:val="clear" w:color="auto" w:fill="auto"/>
            <w:vAlign w:val="center"/>
            <w:hideMark/>
          </w:tcPr>
          <w:p w14:paraId="480CF1D9"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6)</w:t>
            </w:r>
          </w:p>
        </w:tc>
        <w:tc>
          <w:tcPr>
            <w:tcW w:w="816" w:type="dxa"/>
            <w:tcBorders>
              <w:top w:val="nil"/>
              <w:bottom w:val="single" w:sz="8" w:space="0" w:color="auto"/>
            </w:tcBorders>
            <w:shd w:val="clear" w:color="auto" w:fill="auto"/>
            <w:vAlign w:val="center"/>
            <w:hideMark/>
          </w:tcPr>
          <w:p w14:paraId="33A6DDE3"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value</w:t>
            </w:r>
          </w:p>
        </w:tc>
        <w:tc>
          <w:tcPr>
            <w:tcW w:w="1350" w:type="dxa"/>
            <w:tcBorders>
              <w:top w:val="nil"/>
              <w:bottom w:val="single" w:sz="8" w:space="0" w:color="auto"/>
            </w:tcBorders>
            <w:shd w:val="clear" w:color="auto" w:fill="auto"/>
            <w:noWrap/>
            <w:vAlign w:val="center"/>
            <w:hideMark/>
          </w:tcPr>
          <w:p w14:paraId="239B0EF4"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53)</w:t>
            </w:r>
          </w:p>
        </w:tc>
        <w:tc>
          <w:tcPr>
            <w:tcW w:w="1470" w:type="dxa"/>
            <w:tcBorders>
              <w:top w:val="nil"/>
              <w:bottom w:val="single" w:sz="8" w:space="0" w:color="auto"/>
            </w:tcBorders>
            <w:shd w:val="clear" w:color="auto" w:fill="auto"/>
            <w:noWrap/>
            <w:vAlign w:val="center"/>
            <w:hideMark/>
          </w:tcPr>
          <w:p w14:paraId="0E99770B"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w:t>
            </w:r>
            <w:r w:rsidRPr="00B0764C">
              <w:rPr>
                <w:rFonts w:ascii="Book Antiqua" w:eastAsia="SimSun" w:hAnsi="Book Antiqua" w:cs="SimSun"/>
                <w:b/>
                <w:i/>
                <w:color w:val="000000"/>
              </w:rPr>
              <w:t>n</w:t>
            </w:r>
            <w:r w:rsidRPr="00B0764C">
              <w:rPr>
                <w:rFonts w:ascii="Book Antiqua" w:eastAsia="SimSun" w:hAnsi="Book Antiqua" w:cs="SimSun" w:hint="eastAsia"/>
                <w:b/>
                <w:i/>
                <w:color w:val="000000"/>
              </w:rPr>
              <w:t xml:space="preserve"> </w:t>
            </w:r>
            <w:r w:rsidRPr="00B0764C">
              <w:rPr>
                <w:rFonts w:ascii="Book Antiqua" w:eastAsia="SimSun" w:hAnsi="Book Antiqua" w:cs="SimSun"/>
                <w:b/>
                <w:color w:val="000000"/>
              </w:rPr>
              <w:t>=</w:t>
            </w:r>
            <w:r w:rsidRPr="00B0764C">
              <w:rPr>
                <w:rFonts w:ascii="Book Antiqua" w:eastAsia="SimSun" w:hAnsi="Book Antiqua" w:cs="SimSun" w:hint="eastAsia"/>
                <w:b/>
                <w:color w:val="000000"/>
              </w:rPr>
              <w:t xml:space="preserve"> </w:t>
            </w:r>
            <w:r w:rsidRPr="00B0764C">
              <w:rPr>
                <w:rFonts w:ascii="Book Antiqua" w:eastAsia="SimSun" w:hAnsi="Book Antiqua" w:cs="SimSun"/>
                <w:b/>
                <w:color w:val="000000"/>
              </w:rPr>
              <w:t>14)</w:t>
            </w:r>
          </w:p>
        </w:tc>
        <w:tc>
          <w:tcPr>
            <w:tcW w:w="1080" w:type="dxa"/>
            <w:tcBorders>
              <w:top w:val="nil"/>
              <w:bottom w:val="single" w:sz="8" w:space="0" w:color="auto"/>
            </w:tcBorders>
            <w:shd w:val="clear" w:color="auto" w:fill="auto"/>
            <w:noWrap/>
            <w:vAlign w:val="center"/>
            <w:hideMark/>
          </w:tcPr>
          <w:p w14:paraId="307890A7" w14:textId="77777777" w:rsidR="00BF710C" w:rsidRPr="00B0764C" w:rsidRDefault="00BF710C" w:rsidP="007940D7">
            <w:pPr>
              <w:spacing w:line="360" w:lineRule="auto"/>
              <w:jc w:val="both"/>
              <w:rPr>
                <w:rFonts w:ascii="Book Antiqua" w:eastAsia="SimSun" w:hAnsi="Book Antiqua" w:cs="SimSun"/>
                <w:b/>
                <w:color w:val="000000"/>
              </w:rPr>
            </w:pPr>
            <w:r w:rsidRPr="00B0764C">
              <w:rPr>
                <w:rFonts w:ascii="Book Antiqua" w:eastAsia="SimSun" w:hAnsi="Book Antiqua" w:cs="SimSun"/>
                <w:b/>
                <w:color w:val="000000"/>
              </w:rPr>
              <w:t>value</w:t>
            </w:r>
          </w:p>
        </w:tc>
      </w:tr>
      <w:tr w:rsidR="00BF710C" w:rsidRPr="00B0764C" w14:paraId="0A27C5E3" w14:textId="77777777" w:rsidTr="00BF710C">
        <w:trPr>
          <w:trHeight w:val="645"/>
        </w:trPr>
        <w:tc>
          <w:tcPr>
            <w:tcW w:w="1478" w:type="dxa"/>
            <w:tcBorders>
              <w:top w:val="single" w:sz="8" w:space="0" w:color="auto"/>
            </w:tcBorders>
            <w:shd w:val="clear" w:color="auto" w:fill="auto"/>
            <w:noWrap/>
            <w:vAlign w:val="center"/>
            <w:hideMark/>
          </w:tcPr>
          <w:p w14:paraId="155E5C75"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Median, IQR</w:t>
            </w:r>
          </w:p>
        </w:tc>
        <w:tc>
          <w:tcPr>
            <w:tcW w:w="1203" w:type="dxa"/>
            <w:tcBorders>
              <w:top w:val="single" w:sz="8" w:space="0" w:color="auto"/>
            </w:tcBorders>
            <w:shd w:val="clear" w:color="auto" w:fill="auto"/>
            <w:vAlign w:val="center"/>
            <w:hideMark/>
          </w:tcPr>
          <w:p w14:paraId="600DAF9F"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096" w:type="dxa"/>
            <w:tcBorders>
              <w:top w:val="single" w:sz="8" w:space="0" w:color="auto"/>
            </w:tcBorders>
            <w:shd w:val="clear" w:color="auto" w:fill="auto"/>
            <w:vAlign w:val="center"/>
            <w:hideMark/>
          </w:tcPr>
          <w:p w14:paraId="08174CA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816" w:type="dxa"/>
            <w:tcBorders>
              <w:top w:val="single" w:sz="8" w:space="0" w:color="auto"/>
            </w:tcBorders>
            <w:shd w:val="clear" w:color="auto" w:fill="auto"/>
            <w:vAlign w:val="center"/>
            <w:hideMark/>
          </w:tcPr>
          <w:p w14:paraId="00E4F0C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350" w:type="dxa"/>
            <w:tcBorders>
              <w:top w:val="single" w:sz="8" w:space="0" w:color="auto"/>
            </w:tcBorders>
            <w:shd w:val="clear" w:color="auto" w:fill="auto"/>
            <w:noWrap/>
            <w:vAlign w:val="center"/>
            <w:hideMark/>
          </w:tcPr>
          <w:p w14:paraId="69F6902F"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470" w:type="dxa"/>
            <w:tcBorders>
              <w:top w:val="single" w:sz="8" w:space="0" w:color="auto"/>
            </w:tcBorders>
            <w:shd w:val="clear" w:color="auto" w:fill="auto"/>
            <w:noWrap/>
            <w:vAlign w:val="center"/>
            <w:hideMark/>
          </w:tcPr>
          <w:p w14:paraId="33063F4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080" w:type="dxa"/>
            <w:tcBorders>
              <w:top w:val="single" w:sz="8" w:space="0" w:color="auto"/>
            </w:tcBorders>
            <w:shd w:val="clear" w:color="auto" w:fill="auto"/>
            <w:noWrap/>
            <w:vAlign w:val="center"/>
            <w:hideMark/>
          </w:tcPr>
          <w:p w14:paraId="11B5804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478" w:type="dxa"/>
            <w:tcBorders>
              <w:top w:val="single" w:sz="8" w:space="0" w:color="auto"/>
            </w:tcBorders>
            <w:shd w:val="clear" w:color="auto" w:fill="auto"/>
            <w:noWrap/>
            <w:vAlign w:val="center"/>
            <w:hideMark/>
          </w:tcPr>
          <w:p w14:paraId="7B07BBB9"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Median, IQR</w:t>
            </w:r>
          </w:p>
        </w:tc>
        <w:tc>
          <w:tcPr>
            <w:tcW w:w="1203" w:type="dxa"/>
            <w:tcBorders>
              <w:top w:val="single" w:sz="8" w:space="0" w:color="auto"/>
            </w:tcBorders>
            <w:shd w:val="clear" w:color="auto" w:fill="auto"/>
            <w:vAlign w:val="center"/>
            <w:hideMark/>
          </w:tcPr>
          <w:p w14:paraId="72B9996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096" w:type="dxa"/>
            <w:tcBorders>
              <w:top w:val="single" w:sz="8" w:space="0" w:color="auto"/>
            </w:tcBorders>
            <w:shd w:val="clear" w:color="auto" w:fill="auto"/>
            <w:vAlign w:val="center"/>
            <w:hideMark/>
          </w:tcPr>
          <w:p w14:paraId="553FAFC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816" w:type="dxa"/>
            <w:tcBorders>
              <w:top w:val="single" w:sz="8" w:space="0" w:color="auto"/>
            </w:tcBorders>
            <w:shd w:val="clear" w:color="auto" w:fill="auto"/>
            <w:vAlign w:val="center"/>
            <w:hideMark/>
          </w:tcPr>
          <w:p w14:paraId="07467222"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350" w:type="dxa"/>
            <w:tcBorders>
              <w:top w:val="single" w:sz="8" w:space="0" w:color="auto"/>
            </w:tcBorders>
            <w:shd w:val="clear" w:color="auto" w:fill="auto"/>
            <w:noWrap/>
            <w:vAlign w:val="center"/>
            <w:hideMark/>
          </w:tcPr>
          <w:p w14:paraId="34952ED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470" w:type="dxa"/>
            <w:tcBorders>
              <w:top w:val="single" w:sz="8" w:space="0" w:color="auto"/>
            </w:tcBorders>
            <w:shd w:val="clear" w:color="auto" w:fill="auto"/>
            <w:noWrap/>
            <w:vAlign w:val="center"/>
            <w:hideMark/>
          </w:tcPr>
          <w:p w14:paraId="5A3383B7"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c>
          <w:tcPr>
            <w:tcW w:w="1080" w:type="dxa"/>
            <w:tcBorders>
              <w:top w:val="single" w:sz="8" w:space="0" w:color="auto"/>
            </w:tcBorders>
            <w:shd w:val="clear" w:color="auto" w:fill="auto"/>
            <w:noWrap/>
            <w:vAlign w:val="center"/>
            <w:hideMark/>
          </w:tcPr>
          <w:p w14:paraId="0550DC80"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w:t>
            </w:r>
          </w:p>
        </w:tc>
      </w:tr>
      <w:tr w:rsidR="00BF710C" w:rsidRPr="00B0764C" w14:paraId="10890D13" w14:textId="77777777" w:rsidTr="00BF710C">
        <w:trPr>
          <w:trHeight w:val="330"/>
        </w:trPr>
        <w:tc>
          <w:tcPr>
            <w:tcW w:w="1478" w:type="dxa"/>
            <w:shd w:val="clear" w:color="auto" w:fill="auto"/>
            <w:noWrap/>
            <w:vAlign w:val="center"/>
            <w:hideMark/>
          </w:tcPr>
          <w:p w14:paraId="32DF4F76"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LBP</w:t>
            </w:r>
          </w:p>
        </w:tc>
        <w:tc>
          <w:tcPr>
            <w:tcW w:w="1203" w:type="dxa"/>
            <w:shd w:val="clear" w:color="auto" w:fill="auto"/>
            <w:vAlign w:val="center"/>
            <w:hideMark/>
          </w:tcPr>
          <w:p w14:paraId="3BF82BF9"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7132</w:t>
            </w:r>
          </w:p>
        </w:tc>
        <w:tc>
          <w:tcPr>
            <w:tcW w:w="1096" w:type="dxa"/>
            <w:shd w:val="clear" w:color="auto" w:fill="auto"/>
            <w:vAlign w:val="center"/>
            <w:hideMark/>
          </w:tcPr>
          <w:p w14:paraId="3ABBBB96"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7374</w:t>
            </w:r>
          </w:p>
        </w:tc>
        <w:tc>
          <w:tcPr>
            <w:tcW w:w="816" w:type="dxa"/>
            <w:vMerge w:val="restart"/>
            <w:shd w:val="clear" w:color="auto" w:fill="auto"/>
            <w:vAlign w:val="center"/>
            <w:hideMark/>
          </w:tcPr>
          <w:p w14:paraId="4F1831F2"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0.931</w:t>
            </w:r>
          </w:p>
        </w:tc>
        <w:tc>
          <w:tcPr>
            <w:tcW w:w="1350" w:type="dxa"/>
            <w:shd w:val="clear" w:color="auto" w:fill="auto"/>
            <w:noWrap/>
            <w:vAlign w:val="center"/>
            <w:hideMark/>
          </w:tcPr>
          <w:p w14:paraId="6E41038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7377</w:t>
            </w:r>
          </w:p>
        </w:tc>
        <w:tc>
          <w:tcPr>
            <w:tcW w:w="1470" w:type="dxa"/>
            <w:shd w:val="clear" w:color="auto" w:fill="auto"/>
            <w:noWrap/>
            <w:vAlign w:val="center"/>
            <w:hideMark/>
          </w:tcPr>
          <w:p w14:paraId="4F3234F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6847</w:t>
            </w:r>
          </w:p>
        </w:tc>
        <w:tc>
          <w:tcPr>
            <w:tcW w:w="1080" w:type="dxa"/>
            <w:vMerge w:val="restart"/>
            <w:shd w:val="clear" w:color="auto" w:fill="auto"/>
            <w:noWrap/>
            <w:vAlign w:val="center"/>
            <w:hideMark/>
          </w:tcPr>
          <w:p w14:paraId="5427454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0.852</w:t>
            </w:r>
          </w:p>
        </w:tc>
        <w:tc>
          <w:tcPr>
            <w:tcW w:w="1478" w:type="dxa"/>
            <w:shd w:val="clear" w:color="auto" w:fill="auto"/>
            <w:noWrap/>
            <w:vAlign w:val="center"/>
            <w:hideMark/>
          </w:tcPr>
          <w:p w14:paraId="019A2C5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LBP</w:t>
            </w:r>
          </w:p>
        </w:tc>
        <w:tc>
          <w:tcPr>
            <w:tcW w:w="1203" w:type="dxa"/>
            <w:shd w:val="clear" w:color="auto" w:fill="auto"/>
            <w:vAlign w:val="center"/>
            <w:hideMark/>
          </w:tcPr>
          <w:p w14:paraId="12A47E4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6959</w:t>
            </w:r>
          </w:p>
        </w:tc>
        <w:tc>
          <w:tcPr>
            <w:tcW w:w="1096" w:type="dxa"/>
            <w:shd w:val="clear" w:color="auto" w:fill="auto"/>
            <w:vAlign w:val="center"/>
            <w:hideMark/>
          </w:tcPr>
          <w:p w14:paraId="4B8DD7E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11450</w:t>
            </w:r>
          </w:p>
        </w:tc>
        <w:tc>
          <w:tcPr>
            <w:tcW w:w="816" w:type="dxa"/>
            <w:vMerge w:val="restart"/>
            <w:shd w:val="clear" w:color="auto" w:fill="auto"/>
            <w:vAlign w:val="center"/>
            <w:hideMark/>
          </w:tcPr>
          <w:p w14:paraId="1BA11B17"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0.239</w:t>
            </w:r>
          </w:p>
        </w:tc>
        <w:tc>
          <w:tcPr>
            <w:tcW w:w="1350" w:type="dxa"/>
            <w:shd w:val="clear" w:color="auto" w:fill="auto"/>
            <w:noWrap/>
            <w:vAlign w:val="center"/>
            <w:hideMark/>
          </w:tcPr>
          <w:p w14:paraId="0E9912E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6959</w:t>
            </w:r>
          </w:p>
        </w:tc>
        <w:tc>
          <w:tcPr>
            <w:tcW w:w="1470" w:type="dxa"/>
            <w:shd w:val="clear" w:color="auto" w:fill="auto"/>
            <w:noWrap/>
            <w:vAlign w:val="center"/>
            <w:hideMark/>
          </w:tcPr>
          <w:p w14:paraId="21760D3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8090</w:t>
            </w:r>
          </w:p>
        </w:tc>
        <w:tc>
          <w:tcPr>
            <w:tcW w:w="1080" w:type="dxa"/>
            <w:vMerge w:val="restart"/>
            <w:shd w:val="clear" w:color="auto" w:fill="auto"/>
            <w:noWrap/>
            <w:vAlign w:val="center"/>
            <w:hideMark/>
          </w:tcPr>
          <w:p w14:paraId="48E4E745"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0.274</w:t>
            </w:r>
          </w:p>
        </w:tc>
      </w:tr>
      <w:tr w:rsidR="00BF710C" w:rsidRPr="00B0764C" w14:paraId="11AD1176" w14:textId="77777777" w:rsidTr="00BF710C">
        <w:trPr>
          <w:trHeight w:val="330"/>
        </w:trPr>
        <w:tc>
          <w:tcPr>
            <w:tcW w:w="1478" w:type="dxa"/>
            <w:shd w:val="clear" w:color="auto" w:fill="auto"/>
            <w:noWrap/>
            <w:vAlign w:val="center"/>
            <w:hideMark/>
          </w:tcPr>
          <w:p w14:paraId="74C73E8F"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(µg/L)</w:t>
            </w:r>
          </w:p>
        </w:tc>
        <w:tc>
          <w:tcPr>
            <w:tcW w:w="1203" w:type="dxa"/>
            <w:shd w:val="clear" w:color="auto" w:fill="auto"/>
            <w:vAlign w:val="center"/>
            <w:hideMark/>
          </w:tcPr>
          <w:p w14:paraId="1AB7D7AE"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(5150 - 9806)</w:t>
            </w:r>
          </w:p>
        </w:tc>
        <w:tc>
          <w:tcPr>
            <w:tcW w:w="1096" w:type="dxa"/>
            <w:shd w:val="clear" w:color="auto" w:fill="auto"/>
            <w:vAlign w:val="center"/>
            <w:hideMark/>
          </w:tcPr>
          <w:p w14:paraId="19D9FF10"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(4348 - 12100)</w:t>
            </w:r>
          </w:p>
        </w:tc>
        <w:tc>
          <w:tcPr>
            <w:tcW w:w="816" w:type="dxa"/>
            <w:vMerge/>
            <w:vAlign w:val="center"/>
            <w:hideMark/>
          </w:tcPr>
          <w:p w14:paraId="5B1ABBEA" w14:textId="77777777" w:rsidR="00BF710C" w:rsidRPr="00B0764C" w:rsidRDefault="00BF710C" w:rsidP="007940D7">
            <w:pPr>
              <w:spacing w:line="360" w:lineRule="auto"/>
              <w:jc w:val="both"/>
              <w:rPr>
                <w:rFonts w:ascii="Book Antiqua" w:eastAsia="SimSun" w:hAnsi="Book Antiqua" w:cs="SimSun"/>
                <w:color w:val="000000"/>
              </w:rPr>
            </w:pPr>
          </w:p>
        </w:tc>
        <w:tc>
          <w:tcPr>
            <w:tcW w:w="1350" w:type="dxa"/>
            <w:shd w:val="clear" w:color="auto" w:fill="auto"/>
            <w:noWrap/>
            <w:vAlign w:val="center"/>
            <w:hideMark/>
          </w:tcPr>
          <w:p w14:paraId="2BA7D53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(5795 - 9880)</w:t>
            </w:r>
          </w:p>
        </w:tc>
        <w:tc>
          <w:tcPr>
            <w:tcW w:w="1470" w:type="dxa"/>
            <w:shd w:val="clear" w:color="auto" w:fill="auto"/>
            <w:noWrap/>
            <w:vAlign w:val="center"/>
            <w:hideMark/>
          </w:tcPr>
          <w:p w14:paraId="60AAF385"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(3828 - 13300)</w:t>
            </w:r>
          </w:p>
        </w:tc>
        <w:tc>
          <w:tcPr>
            <w:tcW w:w="1080" w:type="dxa"/>
            <w:vMerge/>
            <w:vAlign w:val="center"/>
            <w:hideMark/>
          </w:tcPr>
          <w:p w14:paraId="194D2809" w14:textId="77777777" w:rsidR="00BF710C" w:rsidRPr="00B0764C" w:rsidRDefault="00BF710C" w:rsidP="007940D7">
            <w:pPr>
              <w:spacing w:line="360" w:lineRule="auto"/>
              <w:jc w:val="both"/>
              <w:rPr>
                <w:rFonts w:ascii="Book Antiqua" w:eastAsia="SimSun" w:hAnsi="Book Antiqua" w:cs="SimSun"/>
                <w:color w:val="000000"/>
              </w:rPr>
            </w:pPr>
          </w:p>
        </w:tc>
        <w:tc>
          <w:tcPr>
            <w:tcW w:w="1478" w:type="dxa"/>
            <w:shd w:val="clear" w:color="auto" w:fill="auto"/>
            <w:noWrap/>
            <w:vAlign w:val="center"/>
            <w:hideMark/>
          </w:tcPr>
          <w:p w14:paraId="4005984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(µg/L)</w:t>
            </w:r>
          </w:p>
        </w:tc>
        <w:tc>
          <w:tcPr>
            <w:tcW w:w="1203" w:type="dxa"/>
            <w:shd w:val="clear" w:color="auto" w:fill="auto"/>
            <w:vAlign w:val="center"/>
            <w:hideMark/>
          </w:tcPr>
          <w:p w14:paraId="31AF4EF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(5044 - 9806)</w:t>
            </w:r>
          </w:p>
        </w:tc>
        <w:tc>
          <w:tcPr>
            <w:tcW w:w="1096" w:type="dxa"/>
            <w:shd w:val="clear" w:color="auto" w:fill="auto"/>
            <w:vAlign w:val="center"/>
            <w:hideMark/>
          </w:tcPr>
          <w:p w14:paraId="2D75CAB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(5836 - 15200)</w:t>
            </w:r>
          </w:p>
        </w:tc>
        <w:tc>
          <w:tcPr>
            <w:tcW w:w="816" w:type="dxa"/>
            <w:vMerge/>
            <w:vAlign w:val="center"/>
            <w:hideMark/>
          </w:tcPr>
          <w:p w14:paraId="1AEE14DD" w14:textId="77777777" w:rsidR="00BF710C" w:rsidRPr="00B0764C" w:rsidRDefault="00BF710C" w:rsidP="007940D7">
            <w:pPr>
              <w:spacing w:line="360" w:lineRule="auto"/>
              <w:jc w:val="both"/>
              <w:rPr>
                <w:rFonts w:ascii="Book Antiqua" w:eastAsia="SimSun" w:hAnsi="Book Antiqua" w:cs="SimSun"/>
                <w:color w:val="000000"/>
              </w:rPr>
            </w:pPr>
          </w:p>
        </w:tc>
        <w:tc>
          <w:tcPr>
            <w:tcW w:w="1350" w:type="dxa"/>
            <w:shd w:val="clear" w:color="auto" w:fill="auto"/>
            <w:noWrap/>
            <w:vAlign w:val="center"/>
            <w:hideMark/>
          </w:tcPr>
          <w:p w14:paraId="3AA321F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(4951 - 9806)</w:t>
            </w:r>
          </w:p>
        </w:tc>
        <w:tc>
          <w:tcPr>
            <w:tcW w:w="1470" w:type="dxa"/>
            <w:shd w:val="clear" w:color="auto" w:fill="auto"/>
            <w:noWrap/>
            <w:vAlign w:val="center"/>
            <w:hideMark/>
          </w:tcPr>
          <w:p w14:paraId="1F5B366F"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(6077 - 12700)</w:t>
            </w:r>
          </w:p>
        </w:tc>
        <w:tc>
          <w:tcPr>
            <w:tcW w:w="1080" w:type="dxa"/>
            <w:vMerge/>
            <w:vAlign w:val="center"/>
            <w:hideMark/>
          </w:tcPr>
          <w:p w14:paraId="09440629" w14:textId="77777777" w:rsidR="00BF710C" w:rsidRPr="00B0764C" w:rsidRDefault="00BF710C" w:rsidP="007940D7">
            <w:pPr>
              <w:spacing w:line="360" w:lineRule="auto"/>
              <w:jc w:val="both"/>
              <w:rPr>
                <w:rFonts w:ascii="Book Antiqua" w:eastAsia="SimSun" w:hAnsi="Book Antiqua" w:cs="SimSun"/>
                <w:color w:val="000000"/>
              </w:rPr>
            </w:pPr>
          </w:p>
        </w:tc>
      </w:tr>
      <w:tr w:rsidR="00BF710C" w:rsidRPr="00B0764C" w14:paraId="553FB699" w14:textId="77777777" w:rsidTr="00BF710C">
        <w:trPr>
          <w:trHeight w:val="330"/>
        </w:trPr>
        <w:tc>
          <w:tcPr>
            <w:tcW w:w="1478" w:type="dxa"/>
            <w:shd w:val="clear" w:color="auto" w:fill="auto"/>
            <w:noWrap/>
            <w:vAlign w:val="center"/>
            <w:hideMark/>
          </w:tcPr>
          <w:p w14:paraId="3783A90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EndoCab IgA </w:t>
            </w:r>
          </w:p>
        </w:tc>
        <w:tc>
          <w:tcPr>
            <w:tcW w:w="1203" w:type="dxa"/>
            <w:shd w:val="clear" w:color="auto" w:fill="auto"/>
            <w:vAlign w:val="center"/>
            <w:hideMark/>
          </w:tcPr>
          <w:p w14:paraId="50F8E848"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58</w:t>
            </w:r>
          </w:p>
        </w:tc>
        <w:tc>
          <w:tcPr>
            <w:tcW w:w="1096" w:type="dxa"/>
            <w:shd w:val="clear" w:color="auto" w:fill="auto"/>
            <w:vAlign w:val="center"/>
            <w:hideMark/>
          </w:tcPr>
          <w:p w14:paraId="77F3F176"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123</w:t>
            </w:r>
          </w:p>
        </w:tc>
        <w:tc>
          <w:tcPr>
            <w:tcW w:w="816" w:type="dxa"/>
            <w:vMerge w:val="restart"/>
            <w:shd w:val="clear" w:color="auto" w:fill="auto"/>
            <w:vAlign w:val="center"/>
            <w:hideMark/>
          </w:tcPr>
          <w:p w14:paraId="64833DDE"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&lt;</w:t>
            </w:r>
            <w:r w:rsidRPr="00B0764C">
              <w:rPr>
                <w:rFonts w:ascii="Book Antiqua" w:eastAsia="SimSun" w:hAnsi="Book Antiqua" w:cs="SimSun" w:hint="eastAsia"/>
                <w:bCs/>
                <w:color w:val="000000"/>
              </w:rPr>
              <w:t xml:space="preserve"> </w:t>
            </w:r>
            <w:r w:rsidRPr="00B0764C">
              <w:rPr>
                <w:rFonts w:ascii="Book Antiqua" w:eastAsia="SimSun" w:hAnsi="Book Antiqua" w:cs="SimSun"/>
                <w:bCs/>
                <w:color w:val="000000"/>
              </w:rPr>
              <w:t>0.001</w:t>
            </w:r>
          </w:p>
        </w:tc>
        <w:tc>
          <w:tcPr>
            <w:tcW w:w="1350" w:type="dxa"/>
            <w:shd w:val="clear" w:color="auto" w:fill="auto"/>
            <w:noWrap/>
            <w:vAlign w:val="center"/>
            <w:hideMark/>
          </w:tcPr>
          <w:p w14:paraId="19E94D2F"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68</w:t>
            </w:r>
          </w:p>
        </w:tc>
        <w:tc>
          <w:tcPr>
            <w:tcW w:w="1470" w:type="dxa"/>
            <w:shd w:val="clear" w:color="auto" w:fill="auto"/>
            <w:noWrap/>
            <w:vAlign w:val="center"/>
            <w:hideMark/>
          </w:tcPr>
          <w:p w14:paraId="2642CE4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113</w:t>
            </w:r>
          </w:p>
        </w:tc>
        <w:tc>
          <w:tcPr>
            <w:tcW w:w="1080" w:type="dxa"/>
            <w:vMerge w:val="restart"/>
            <w:shd w:val="clear" w:color="auto" w:fill="auto"/>
            <w:noWrap/>
            <w:vAlign w:val="center"/>
            <w:hideMark/>
          </w:tcPr>
          <w:p w14:paraId="6BEF66B5"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0.195</w:t>
            </w:r>
          </w:p>
        </w:tc>
        <w:tc>
          <w:tcPr>
            <w:tcW w:w="1478" w:type="dxa"/>
            <w:shd w:val="clear" w:color="auto" w:fill="auto"/>
            <w:noWrap/>
            <w:vAlign w:val="center"/>
            <w:hideMark/>
          </w:tcPr>
          <w:p w14:paraId="5A441873"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EndoCab IgA </w:t>
            </w:r>
          </w:p>
        </w:tc>
        <w:tc>
          <w:tcPr>
            <w:tcW w:w="1203" w:type="dxa"/>
            <w:shd w:val="clear" w:color="auto" w:fill="auto"/>
            <w:vAlign w:val="center"/>
            <w:hideMark/>
          </w:tcPr>
          <w:p w14:paraId="016AE6C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70</w:t>
            </w:r>
          </w:p>
        </w:tc>
        <w:tc>
          <w:tcPr>
            <w:tcW w:w="1096" w:type="dxa"/>
            <w:shd w:val="clear" w:color="auto" w:fill="auto"/>
            <w:vAlign w:val="center"/>
            <w:hideMark/>
          </w:tcPr>
          <w:p w14:paraId="7D24CC9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134</w:t>
            </w:r>
          </w:p>
        </w:tc>
        <w:tc>
          <w:tcPr>
            <w:tcW w:w="816" w:type="dxa"/>
            <w:vMerge w:val="restart"/>
            <w:shd w:val="clear" w:color="auto" w:fill="auto"/>
            <w:vAlign w:val="center"/>
            <w:hideMark/>
          </w:tcPr>
          <w:p w14:paraId="07CA9F32"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0.079</w:t>
            </w:r>
          </w:p>
        </w:tc>
        <w:tc>
          <w:tcPr>
            <w:tcW w:w="1350" w:type="dxa"/>
            <w:shd w:val="clear" w:color="auto" w:fill="auto"/>
            <w:noWrap/>
            <w:vAlign w:val="center"/>
            <w:hideMark/>
          </w:tcPr>
          <w:p w14:paraId="0349FF49"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70</w:t>
            </w:r>
          </w:p>
        </w:tc>
        <w:tc>
          <w:tcPr>
            <w:tcW w:w="1470" w:type="dxa"/>
            <w:shd w:val="clear" w:color="auto" w:fill="auto"/>
            <w:noWrap/>
            <w:vAlign w:val="center"/>
            <w:hideMark/>
          </w:tcPr>
          <w:p w14:paraId="48D336E3"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94</w:t>
            </w:r>
          </w:p>
        </w:tc>
        <w:tc>
          <w:tcPr>
            <w:tcW w:w="1080" w:type="dxa"/>
            <w:vMerge w:val="restart"/>
            <w:shd w:val="clear" w:color="auto" w:fill="auto"/>
            <w:noWrap/>
            <w:vAlign w:val="center"/>
            <w:hideMark/>
          </w:tcPr>
          <w:p w14:paraId="69ED721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0.301</w:t>
            </w:r>
          </w:p>
        </w:tc>
      </w:tr>
      <w:tr w:rsidR="00BF710C" w:rsidRPr="00B0764C" w14:paraId="77303BE6" w14:textId="77777777" w:rsidTr="00BF710C">
        <w:trPr>
          <w:trHeight w:val="330"/>
        </w:trPr>
        <w:tc>
          <w:tcPr>
            <w:tcW w:w="1478" w:type="dxa"/>
            <w:shd w:val="clear" w:color="auto" w:fill="auto"/>
            <w:noWrap/>
            <w:vAlign w:val="center"/>
            <w:hideMark/>
          </w:tcPr>
          <w:p w14:paraId="084CF349"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(U)</w:t>
            </w:r>
          </w:p>
        </w:tc>
        <w:tc>
          <w:tcPr>
            <w:tcW w:w="1203" w:type="dxa"/>
            <w:shd w:val="clear" w:color="auto" w:fill="auto"/>
            <w:vAlign w:val="center"/>
            <w:hideMark/>
          </w:tcPr>
          <w:p w14:paraId="0B1DF9FC"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(40 - 92)</w:t>
            </w:r>
          </w:p>
        </w:tc>
        <w:tc>
          <w:tcPr>
            <w:tcW w:w="1096" w:type="dxa"/>
            <w:shd w:val="clear" w:color="auto" w:fill="auto"/>
            <w:vAlign w:val="center"/>
            <w:hideMark/>
          </w:tcPr>
          <w:p w14:paraId="180BF072"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(93 - 215)</w:t>
            </w:r>
          </w:p>
        </w:tc>
        <w:tc>
          <w:tcPr>
            <w:tcW w:w="816" w:type="dxa"/>
            <w:vMerge/>
            <w:vAlign w:val="center"/>
            <w:hideMark/>
          </w:tcPr>
          <w:p w14:paraId="1D140C39" w14:textId="77777777" w:rsidR="00BF710C" w:rsidRPr="00B0764C" w:rsidRDefault="00BF710C" w:rsidP="007940D7">
            <w:pPr>
              <w:spacing w:line="360" w:lineRule="auto"/>
              <w:jc w:val="both"/>
              <w:rPr>
                <w:rFonts w:ascii="Book Antiqua" w:eastAsia="SimSun" w:hAnsi="Book Antiqua" w:cs="SimSun"/>
                <w:bCs/>
                <w:color w:val="000000"/>
              </w:rPr>
            </w:pPr>
          </w:p>
        </w:tc>
        <w:tc>
          <w:tcPr>
            <w:tcW w:w="1350" w:type="dxa"/>
            <w:shd w:val="clear" w:color="auto" w:fill="auto"/>
            <w:noWrap/>
            <w:vAlign w:val="center"/>
            <w:hideMark/>
          </w:tcPr>
          <w:p w14:paraId="2525B323"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(49 - 97)</w:t>
            </w:r>
          </w:p>
        </w:tc>
        <w:tc>
          <w:tcPr>
            <w:tcW w:w="1470" w:type="dxa"/>
            <w:shd w:val="clear" w:color="auto" w:fill="auto"/>
            <w:noWrap/>
            <w:vAlign w:val="center"/>
            <w:hideMark/>
          </w:tcPr>
          <w:p w14:paraId="325603AF"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(52 - 150)</w:t>
            </w:r>
          </w:p>
        </w:tc>
        <w:tc>
          <w:tcPr>
            <w:tcW w:w="1080" w:type="dxa"/>
            <w:vMerge/>
            <w:vAlign w:val="center"/>
            <w:hideMark/>
          </w:tcPr>
          <w:p w14:paraId="28D80C5E" w14:textId="77777777" w:rsidR="00BF710C" w:rsidRPr="00B0764C" w:rsidRDefault="00BF710C" w:rsidP="007940D7">
            <w:pPr>
              <w:spacing w:line="360" w:lineRule="auto"/>
              <w:jc w:val="both"/>
              <w:rPr>
                <w:rFonts w:ascii="Book Antiqua" w:eastAsia="SimSun" w:hAnsi="Book Antiqua" w:cs="SimSun"/>
                <w:color w:val="000000"/>
              </w:rPr>
            </w:pPr>
          </w:p>
        </w:tc>
        <w:tc>
          <w:tcPr>
            <w:tcW w:w="1478" w:type="dxa"/>
            <w:shd w:val="clear" w:color="auto" w:fill="auto"/>
            <w:noWrap/>
            <w:vAlign w:val="center"/>
            <w:hideMark/>
          </w:tcPr>
          <w:p w14:paraId="035F4A0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 (U)</w:t>
            </w:r>
          </w:p>
        </w:tc>
        <w:tc>
          <w:tcPr>
            <w:tcW w:w="1203" w:type="dxa"/>
            <w:shd w:val="clear" w:color="auto" w:fill="auto"/>
            <w:vAlign w:val="center"/>
            <w:hideMark/>
          </w:tcPr>
          <w:p w14:paraId="79A83DF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(43 - 106)</w:t>
            </w:r>
          </w:p>
        </w:tc>
        <w:tc>
          <w:tcPr>
            <w:tcW w:w="1096" w:type="dxa"/>
            <w:shd w:val="clear" w:color="auto" w:fill="auto"/>
            <w:vAlign w:val="center"/>
            <w:hideMark/>
          </w:tcPr>
          <w:p w14:paraId="465D3E5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(66 - 241)</w:t>
            </w:r>
          </w:p>
        </w:tc>
        <w:tc>
          <w:tcPr>
            <w:tcW w:w="816" w:type="dxa"/>
            <w:vMerge/>
            <w:vAlign w:val="center"/>
            <w:hideMark/>
          </w:tcPr>
          <w:p w14:paraId="022E3A59" w14:textId="77777777" w:rsidR="00BF710C" w:rsidRPr="00B0764C" w:rsidRDefault="00BF710C" w:rsidP="007940D7">
            <w:pPr>
              <w:spacing w:line="360" w:lineRule="auto"/>
              <w:jc w:val="both"/>
              <w:rPr>
                <w:rFonts w:ascii="Book Antiqua" w:eastAsia="SimSun" w:hAnsi="Book Antiqua" w:cs="SimSun"/>
                <w:color w:val="000000"/>
              </w:rPr>
            </w:pPr>
          </w:p>
        </w:tc>
        <w:tc>
          <w:tcPr>
            <w:tcW w:w="1350" w:type="dxa"/>
            <w:shd w:val="clear" w:color="auto" w:fill="auto"/>
            <w:noWrap/>
            <w:vAlign w:val="center"/>
            <w:hideMark/>
          </w:tcPr>
          <w:p w14:paraId="42812387"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(43 - 112)</w:t>
            </w:r>
          </w:p>
        </w:tc>
        <w:tc>
          <w:tcPr>
            <w:tcW w:w="1470" w:type="dxa"/>
            <w:shd w:val="clear" w:color="auto" w:fill="auto"/>
            <w:noWrap/>
            <w:vAlign w:val="center"/>
            <w:hideMark/>
          </w:tcPr>
          <w:p w14:paraId="6F3CB88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(52 - 150)</w:t>
            </w:r>
          </w:p>
        </w:tc>
        <w:tc>
          <w:tcPr>
            <w:tcW w:w="1080" w:type="dxa"/>
            <w:vMerge/>
            <w:vAlign w:val="center"/>
            <w:hideMark/>
          </w:tcPr>
          <w:p w14:paraId="0780E725" w14:textId="77777777" w:rsidR="00BF710C" w:rsidRPr="00B0764C" w:rsidRDefault="00BF710C" w:rsidP="007940D7">
            <w:pPr>
              <w:spacing w:line="360" w:lineRule="auto"/>
              <w:jc w:val="both"/>
              <w:rPr>
                <w:rFonts w:ascii="Book Antiqua" w:eastAsia="SimSun" w:hAnsi="Book Antiqua" w:cs="SimSun"/>
                <w:color w:val="000000"/>
              </w:rPr>
            </w:pPr>
          </w:p>
        </w:tc>
      </w:tr>
      <w:tr w:rsidR="00BF710C" w:rsidRPr="00B0764C" w14:paraId="5ED75C60" w14:textId="77777777" w:rsidTr="00BF710C">
        <w:trPr>
          <w:trHeight w:val="330"/>
        </w:trPr>
        <w:tc>
          <w:tcPr>
            <w:tcW w:w="1478" w:type="dxa"/>
            <w:shd w:val="clear" w:color="auto" w:fill="auto"/>
            <w:noWrap/>
            <w:vAlign w:val="center"/>
            <w:hideMark/>
          </w:tcPr>
          <w:p w14:paraId="1076CF02"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OMP Plus </w:t>
            </w:r>
          </w:p>
        </w:tc>
        <w:tc>
          <w:tcPr>
            <w:tcW w:w="1203" w:type="dxa"/>
            <w:shd w:val="clear" w:color="auto" w:fill="auto"/>
            <w:vAlign w:val="center"/>
            <w:hideMark/>
          </w:tcPr>
          <w:p w14:paraId="38F03B25"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10.60%</w:t>
            </w:r>
          </w:p>
        </w:tc>
        <w:tc>
          <w:tcPr>
            <w:tcW w:w="1096" w:type="dxa"/>
            <w:shd w:val="clear" w:color="auto" w:fill="auto"/>
            <w:vAlign w:val="center"/>
            <w:hideMark/>
          </w:tcPr>
          <w:p w14:paraId="7319D5DA"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36.80%</w:t>
            </w:r>
          </w:p>
        </w:tc>
        <w:tc>
          <w:tcPr>
            <w:tcW w:w="816" w:type="dxa"/>
            <w:vMerge w:val="restart"/>
            <w:shd w:val="clear" w:color="auto" w:fill="auto"/>
            <w:vAlign w:val="center"/>
            <w:hideMark/>
          </w:tcPr>
          <w:p w14:paraId="412DFD1D"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0.012</w:t>
            </w:r>
          </w:p>
        </w:tc>
        <w:tc>
          <w:tcPr>
            <w:tcW w:w="1350" w:type="dxa"/>
            <w:shd w:val="clear" w:color="auto" w:fill="auto"/>
            <w:noWrap/>
            <w:vAlign w:val="center"/>
            <w:hideMark/>
          </w:tcPr>
          <w:p w14:paraId="1C541130"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22%</w:t>
            </w:r>
          </w:p>
        </w:tc>
        <w:tc>
          <w:tcPr>
            <w:tcW w:w="1470" w:type="dxa"/>
            <w:shd w:val="clear" w:color="auto" w:fill="auto"/>
            <w:noWrap/>
            <w:vAlign w:val="center"/>
            <w:hideMark/>
          </w:tcPr>
          <w:p w14:paraId="60241522"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6.30%</w:t>
            </w:r>
          </w:p>
        </w:tc>
        <w:tc>
          <w:tcPr>
            <w:tcW w:w="1080" w:type="dxa"/>
            <w:vMerge w:val="restart"/>
            <w:shd w:val="clear" w:color="auto" w:fill="auto"/>
            <w:noWrap/>
            <w:vAlign w:val="center"/>
            <w:hideMark/>
          </w:tcPr>
          <w:p w14:paraId="634BAA1E"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0.155</w:t>
            </w:r>
          </w:p>
        </w:tc>
        <w:tc>
          <w:tcPr>
            <w:tcW w:w="1478" w:type="dxa"/>
            <w:shd w:val="clear" w:color="auto" w:fill="auto"/>
            <w:noWrap/>
            <w:vAlign w:val="center"/>
            <w:hideMark/>
          </w:tcPr>
          <w:p w14:paraId="68CA28E6"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OMP Plus </w:t>
            </w:r>
          </w:p>
        </w:tc>
        <w:tc>
          <w:tcPr>
            <w:tcW w:w="1203" w:type="dxa"/>
            <w:shd w:val="clear" w:color="auto" w:fill="auto"/>
            <w:vAlign w:val="center"/>
            <w:hideMark/>
          </w:tcPr>
          <w:p w14:paraId="2E8FDDE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20%</w:t>
            </w:r>
          </w:p>
        </w:tc>
        <w:tc>
          <w:tcPr>
            <w:tcW w:w="1096" w:type="dxa"/>
            <w:shd w:val="clear" w:color="auto" w:fill="auto"/>
            <w:vAlign w:val="center"/>
            <w:hideMark/>
          </w:tcPr>
          <w:p w14:paraId="6040419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w:t>
            </w:r>
          </w:p>
        </w:tc>
        <w:tc>
          <w:tcPr>
            <w:tcW w:w="816" w:type="dxa"/>
            <w:vMerge w:val="restart"/>
            <w:shd w:val="clear" w:color="auto" w:fill="auto"/>
            <w:vAlign w:val="center"/>
            <w:hideMark/>
          </w:tcPr>
          <w:p w14:paraId="1C219F9E"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0.226</w:t>
            </w:r>
          </w:p>
        </w:tc>
        <w:tc>
          <w:tcPr>
            <w:tcW w:w="1350" w:type="dxa"/>
            <w:shd w:val="clear" w:color="auto" w:fill="auto"/>
            <w:noWrap/>
            <w:vAlign w:val="center"/>
            <w:hideMark/>
          </w:tcPr>
          <w:p w14:paraId="50F52EB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21.20%</w:t>
            </w:r>
          </w:p>
        </w:tc>
        <w:tc>
          <w:tcPr>
            <w:tcW w:w="1470" w:type="dxa"/>
            <w:shd w:val="clear" w:color="auto" w:fill="auto"/>
            <w:noWrap/>
            <w:vAlign w:val="center"/>
            <w:hideMark/>
          </w:tcPr>
          <w:p w14:paraId="690EE74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7.10%</w:t>
            </w:r>
          </w:p>
        </w:tc>
        <w:tc>
          <w:tcPr>
            <w:tcW w:w="1080" w:type="dxa"/>
            <w:vMerge w:val="restart"/>
            <w:shd w:val="clear" w:color="auto" w:fill="auto"/>
            <w:noWrap/>
            <w:vAlign w:val="center"/>
            <w:hideMark/>
          </w:tcPr>
          <w:p w14:paraId="7BCC11E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0.228</w:t>
            </w:r>
          </w:p>
        </w:tc>
      </w:tr>
      <w:tr w:rsidR="00BF710C" w:rsidRPr="00B0764C" w14:paraId="693DDE85" w14:textId="77777777" w:rsidTr="00BF710C">
        <w:trPr>
          <w:trHeight w:val="330"/>
        </w:trPr>
        <w:tc>
          <w:tcPr>
            <w:tcW w:w="1478" w:type="dxa"/>
            <w:shd w:val="clear" w:color="auto" w:fill="auto"/>
            <w:noWrap/>
            <w:vAlign w:val="center"/>
            <w:hideMark/>
          </w:tcPr>
          <w:p w14:paraId="06FFB528"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IgA (U)</w:t>
            </w:r>
          </w:p>
        </w:tc>
        <w:tc>
          <w:tcPr>
            <w:tcW w:w="1203" w:type="dxa"/>
            <w:shd w:val="clear" w:color="auto" w:fill="auto"/>
            <w:vAlign w:val="center"/>
            <w:hideMark/>
          </w:tcPr>
          <w:p w14:paraId="1AD570B0"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-5</w:t>
            </w:r>
          </w:p>
        </w:tc>
        <w:tc>
          <w:tcPr>
            <w:tcW w:w="1096" w:type="dxa"/>
            <w:shd w:val="clear" w:color="auto" w:fill="auto"/>
            <w:vAlign w:val="center"/>
            <w:hideMark/>
          </w:tcPr>
          <w:p w14:paraId="0950C969"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-7</w:t>
            </w:r>
          </w:p>
        </w:tc>
        <w:tc>
          <w:tcPr>
            <w:tcW w:w="816" w:type="dxa"/>
            <w:vMerge/>
            <w:vAlign w:val="center"/>
            <w:hideMark/>
          </w:tcPr>
          <w:p w14:paraId="7B4B80D5" w14:textId="77777777" w:rsidR="00BF710C" w:rsidRPr="00B0764C" w:rsidRDefault="00BF710C" w:rsidP="007940D7">
            <w:pPr>
              <w:spacing w:line="360" w:lineRule="auto"/>
              <w:jc w:val="both"/>
              <w:rPr>
                <w:rFonts w:ascii="Book Antiqua" w:eastAsia="SimSun" w:hAnsi="Book Antiqua" w:cs="SimSun"/>
                <w:bCs/>
                <w:color w:val="000000"/>
              </w:rPr>
            </w:pPr>
          </w:p>
        </w:tc>
        <w:tc>
          <w:tcPr>
            <w:tcW w:w="1350" w:type="dxa"/>
            <w:shd w:val="clear" w:color="auto" w:fill="auto"/>
            <w:noWrap/>
            <w:vAlign w:val="center"/>
            <w:hideMark/>
          </w:tcPr>
          <w:p w14:paraId="1A9A545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-11</w:t>
            </w:r>
          </w:p>
        </w:tc>
        <w:tc>
          <w:tcPr>
            <w:tcW w:w="1470" w:type="dxa"/>
            <w:shd w:val="clear" w:color="auto" w:fill="auto"/>
            <w:noWrap/>
            <w:vAlign w:val="center"/>
            <w:hideMark/>
          </w:tcPr>
          <w:p w14:paraId="2DA2ECF8"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w:t>
            </w:r>
          </w:p>
        </w:tc>
        <w:tc>
          <w:tcPr>
            <w:tcW w:w="1080" w:type="dxa"/>
            <w:vMerge/>
            <w:vAlign w:val="center"/>
            <w:hideMark/>
          </w:tcPr>
          <w:p w14:paraId="5E69ABA0" w14:textId="77777777" w:rsidR="00BF710C" w:rsidRPr="00B0764C" w:rsidRDefault="00BF710C" w:rsidP="007940D7">
            <w:pPr>
              <w:spacing w:line="360" w:lineRule="auto"/>
              <w:jc w:val="both"/>
              <w:rPr>
                <w:rFonts w:ascii="Book Antiqua" w:eastAsia="SimSun" w:hAnsi="Book Antiqua" w:cs="SimSun"/>
                <w:color w:val="000000"/>
              </w:rPr>
            </w:pPr>
          </w:p>
        </w:tc>
        <w:tc>
          <w:tcPr>
            <w:tcW w:w="1478" w:type="dxa"/>
            <w:shd w:val="clear" w:color="auto" w:fill="auto"/>
            <w:noWrap/>
            <w:vAlign w:val="center"/>
            <w:hideMark/>
          </w:tcPr>
          <w:p w14:paraId="16EA088C"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IgA (U)</w:t>
            </w:r>
          </w:p>
        </w:tc>
        <w:tc>
          <w:tcPr>
            <w:tcW w:w="1203" w:type="dxa"/>
            <w:shd w:val="clear" w:color="auto" w:fill="auto"/>
            <w:vAlign w:val="center"/>
            <w:hideMark/>
          </w:tcPr>
          <w:p w14:paraId="2B569A28"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-12</w:t>
            </w:r>
          </w:p>
        </w:tc>
        <w:tc>
          <w:tcPr>
            <w:tcW w:w="1096" w:type="dxa"/>
            <w:shd w:val="clear" w:color="auto" w:fill="auto"/>
            <w:vAlign w:val="center"/>
            <w:hideMark/>
          </w:tcPr>
          <w:p w14:paraId="3464CC52"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w:t>
            </w:r>
          </w:p>
        </w:tc>
        <w:tc>
          <w:tcPr>
            <w:tcW w:w="816" w:type="dxa"/>
            <w:vMerge/>
            <w:vAlign w:val="center"/>
            <w:hideMark/>
          </w:tcPr>
          <w:p w14:paraId="19FF2CD3" w14:textId="77777777" w:rsidR="00BF710C" w:rsidRPr="00B0764C" w:rsidRDefault="00BF710C" w:rsidP="007940D7">
            <w:pPr>
              <w:spacing w:line="360" w:lineRule="auto"/>
              <w:jc w:val="both"/>
              <w:rPr>
                <w:rFonts w:ascii="Book Antiqua" w:eastAsia="SimSun" w:hAnsi="Book Antiqua" w:cs="SimSun"/>
                <w:color w:val="000000"/>
              </w:rPr>
            </w:pPr>
          </w:p>
        </w:tc>
        <w:tc>
          <w:tcPr>
            <w:tcW w:w="1350" w:type="dxa"/>
            <w:shd w:val="clear" w:color="auto" w:fill="auto"/>
            <w:noWrap/>
            <w:vAlign w:val="center"/>
            <w:hideMark/>
          </w:tcPr>
          <w:p w14:paraId="6D67559E"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-11</w:t>
            </w:r>
          </w:p>
        </w:tc>
        <w:tc>
          <w:tcPr>
            <w:tcW w:w="1470" w:type="dxa"/>
            <w:shd w:val="clear" w:color="auto" w:fill="auto"/>
            <w:noWrap/>
            <w:vAlign w:val="center"/>
            <w:hideMark/>
          </w:tcPr>
          <w:p w14:paraId="304C8CB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w:t>
            </w:r>
          </w:p>
        </w:tc>
        <w:tc>
          <w:tcPr>
            <w:tcW w:w="1080" w:type="dxa"/>
            <w:vMerge/>
            <w:vAlign w:val="center"/>
            <w:hideMark/>
          </w:tcPr>
          <w:p w14:paraId="03BF9EDB" w14:textId="77777777" w:rsidR="00BF710C" w:rsidRPr="00B0764C" w:rsidRDefault="00BF710C" w:rsidP="007940D7">
            <w:pPr>
              <w:spacing w:line="360" w:lineRule="auto"/>
              <w:jc w:val="both"/>
              <w:rPr>
                <w:rFonts w:ascii="Book Antiqua" w:eastAsia="SimSun" w:hAnsi="Book Antiqua" w:cs="SimSun"/>
                <w:color w:val="000000"/>
              </w:rPr>
            </w:pPr>
          </w:p>
        </w:tc>
      </w:tr>
      <w:tr w:rsidR="00BF710C" w:rsidRPr="00B0764C" w14:paraId="01488EB1" w14:textId="77777777" w:rsidTr="00BF710C">
        <w:trPr>
          <w:trHeight w:val="330"/>
        </w:trPr>
        <w:tc>
          <w:tcPr>
            <w:tcW w:w="1478" w:type="dxa"/>
            <w:shd w:val="clear" w:color="auto" w:fill="auto"/>
            <w:noWrap/>
            <w:vAlign w:val="center"/>
            <w:hideMark/>
          </w:tcPr>
          <w:p w14:paraId="058E7F8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I-FABP </w:t>
            </w:r>
          </w:p>
        </w:tc>
        <w:tc>
          <w:tcPr>
            <w:tcW w:w="1203" w:type="dxa"/>
            <w:shd w:val="clear" w:color="auto" w:fill="auto"/>
            <w:vAlign w:val="center"/>
            <w:hideMark/>
          </w:tcPr>
          <w:p w14:paraId="46BFA833"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166</w:t>
            </w:r>
          </w:p>
        </w:tc>
        <w:tc>
          <w:tcPr>
            <w:tcW w:w="1096" w:type="dxa"/>
            <w:shd w:val="clear" w:color="auto" w:fill="auto"/>
            <w:vAlign w:val="center"/>
            <w:hideMark/>
          </w:tcPr>
          <w:p w14:paraId="41A488EA"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365</w:t>
            </w:r>
          </w:p>
        </w:tc>
        <w:tc>
          <w:tcPr>
            <w:tcW w:w="816" w:type="dxa"/>
            <w:vMerge w:val="restart"/>
            <w:shd w:val="clear" w:color="auto" w:fill="auto"/>
            <w:vAlign w:val="center"/>
            <w:hideMark/>
          </w:tcPr>
          <w:p w14:paraId="6025516C" w14:textId="77777777" w:rsidR="00BF710C" w:rsidRPr="00B0764C" w:rsidRDefault="00BF710C" w:rsidP="007940D7">
            <w:pPr>
              <w:spacing w:line="360" w:lineRule="auto"/>
              <w:jc w:val="both"/>
              <w:rPr>
                <w:rFonts w:ascii="Book Antiqua" w:eastAsia="SimSun" w:hAnsi="Book Antiqua" w:cs="SimSun"/>
                <w:bCs/>
                <w:color w:val="000000"/>
              </w:rPr>
            </w:pPr>
            <w:r w:rsidRPr="00B0764C">
              <w:rPr>
                <w:rFonts w:ascii="Book Antiqua" w:eastAsia="SimSun" w:hAnsi="Book Antiqua" w:cs="SimSun"/>
                <w:bCs/>
                <w:color w:val="000000"/>
              </w:rPr>
              <w:t>0.011</w:t>
            </w:r>
          </w:p>
        </w:tc>
        <w:tc>
          <w:tcPr>
            <w:tcW w:w="1350" w:type="dxa"/>
            <w:shd w:val="clear" w:color="auto" w:fill="auto"/>
            <w:noWrap/>
            <w:vAlign w:val="center"/>
            <w:hideMark/>
          </w:tcPr>
          <w:p w14:paraId="12B182F7"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199</w:t>
            </w:r>
          </w:p>
        </w:tc>
        <w:tc>
          <w:tcPr>
            <w:tcW w:w="1470" w:type="dxa"/>
            <w:shd w:val="clear" w:color="auto" w:fill="auto"/>
            <w:noWrap/>
            <w:vAlign w:val="center"/>
            <w:hideMark/>
          </w:tcPr>
          <w:p w14:paraId="3EF9F255"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300</w:t>
            </w:r>
          </w:p>
        </w:tc>
        <w:tc>
          <w:tcPr>
            <w:tcW w:w="1080" w:type="dxa"/>
            <w:vMerge w:val="restart"/>
            <w:shd w:val="clear" w:color="auto" w:fill="auto"/>
            <w:noWrap/>
            <w:vAlign w:val="center"/>
            <w:hideMark/>
          </w:tcPr>
          <w:p w14:paraId="15D26DF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0.794</w:t>
            </w:r>
          </w:p>
        </w:tc>
        <w:tc>
          <w:tcPr>
            <w:tcW w:w="1478" w:type="dxa"/>
            <w:shd w:val="clear" w:color="auto" w:fill="auto"/>
            <w:noWrap/>
            <w:vAlign w:val="center"/>
            <w:hideMark/>
          </w:tcPr>
          <w:p w14:paraId="44D244D9"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 xml:space="preserve">I-FABP </w:t>
            </w:r>
          </w:p>
        </w:tc>
        <w:tc>
          <w:tcPr>
            <w:tcW w:w="1203" w:type="dxa"/>
            <w:shd w:val="clear" w:color="auto" w:fill="auto"/>
            <w:vAlign w:val="center"/>
            <w:hideMark/>
          </w:tcPr>
          <w:p w14:paraId="51A80CA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216</w:t>
            </w:r>
          </w:p>
        </w:tc>
        <w:tc>
          <w:tcPr>
            <w:tcW w:w="1096" w:type="dxa"/>
            <w:shd w:val="clear" w:color="auto" w:fill="auto"/>
            <w:vAlign w:val="center"/>
            <w:hideMark/>
          </w:tcPr>
          <w:p w14:paraId="36FB2C81"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342</w:t>
            </w:r>
          </w:p>
        </w:tc>
        <w:tc>
          <w:tcPr>
            <w:tcW w:w="816" w:type="dxa"/>
            <w:vMerge w:val="restart"/>
            <w:shd w:val="clear" w:color="auto" w:fill="auto"/>
            <w:vAlign w:val="center"/>
            <w:hideMark/>
          </w:tcPr>
          <w:p w14:paraId="5CE71AAB"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0.642</w:t>
            </w:r>
          </w:p>
        </w:tc>
        <w:tc>
          <w:tcPr>
            <w:tcW w:w="1350" w:type="dxa"/>
            <w:shd w:val="clear" w:color="auto" w:fill="auto"/>
            <w:noWrap/>
            <w:vAlign w:val="center"/>
            <w:hideMark/>
          </w:tcPr>
          <w:p w14:paraId="28F6E8B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195</w:t>
            </w:r>
          </w:p>
        </w:tc>
        <w:tc>
          <w:tcPr>
            <w:tcW w:w="1470" w:type="dxa"/>
            <w:shd w:val="clear" w:color="auto" w:fill="auto"/>
            <w:noWrap/>
            <w:vAlign w:val="center"/>
            <w:hideMark/>
          </w:tcPr>
          <w:p w14:paraId="234B739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342</w:t>
            </w:r>
          </w:p>
        </w:tc>
        <w:tc>
          <w:tcPr>
            <w:tcW w:w="1080" w:type="dxa"/>
            <w:vMerge w:val="restart"/>
            <w:shd w:val="clear" w:color="auto" w:fill="auto"/>
            <w:noWrap/>
            <w:vAlign w:val="center"/>
            <w:hideMark/>
          </w:tcPr>
          <w:p w14:paraId="209EA5B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0.092</w:t>
            </w:r>
          </w:p>
        </w:tc>
      </w:tr>
      <w:tr w:rsidR="00BF710C" w:rsidRPr="00B0764C" w14:paraId="02649AB8" w14:textId="77777777" w:rsidTr="00BF710C">
        <w:trPr>
          <w:trHeight w:val="330"/>
        </w:trPr>
        <w:tc>
          <w:tcPr>
            <w:tcW w:w="1478" w:type="dxa"/>
            <w:shd w:val="clear" w:color="auto" w:fill="auto"/>
            <w:noWrap/>
            <w:vAlign w:val="center"/>
            <w:hideMark/>
          </w:tcPr>
          <w:p w14:paraId="5796BFA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(pg/mL)</w:t>
            </w:r>
          </w:p>
        </w:tc>
        <w:tc>
          <w:tcPr>
            <w:tcW w:w="1203" w:type="dxa"/>
            <w:shd w:val="clear" w:color="auto" w:fill="auto"/>
            <w:vAlign w:val="center"/>
            <w:hideMark/>
          </w:tcPr>
          <w:p w14:paraId="4D43D2C5" w14:textId="77777777" w:rsidR="00BF710C" w:rsidRPr="00B0764C" w:rsidRDefault="00BF710C" w:rsidP="007940D7">
            <w:pPr>
              <w:spacing w:line="360" w:lineRule="auto"/>
              <w:jc w:val="both"/>
              <w:rPr>
                <w:rFonts w:ascii="Book Antiqua" w:eastAsia="SimSun" w:hAnsi="Book Antiqua" w:cs="SimSun"/>
                <w:b/>
                <w:bCs/>
                <w:color w:val="000000"/>
              </w:rPr>
            </w:pPr>
            <w:r w:rsidRPr="00B0764C">
              <w:rPr>
                <w:rFonts w:ascii="Book Antiqua" w:eastAsia="SimSun" w:hAnsi="Book Antiqua" w:cs="SimSun"/>
                <w:b/>
                <w:bCs/>
                <w:color w:val="000000"/>
              </w:rPr>
              <w:t>(90 - 365)</w:t>
            </w:r>
          </w:p>
        </w:tc>
        <w:tc>
          <w:tcPr>
            <w:tcW w:w="1096" w:type="dxa"/>
            <w:shd w:val="clear" w:color="auto" w:fill="auto"/>
            <w:vAlign w:val="center"/>
            <w:hideMark/>
          </w:tcPr>
          <w:p w14:paraId="3DF9B818" w14:textId="77777777" w:rsidR="00BF710C" w:rsidRPr="00B0764C" w:rsidRDefault="00BF710C" w:rsidP="007940D7">
            <w:pPr>
              <w:spacing w:line="360" w:lineRule="auto"/>
              <w:jc w:val="both"/>
              <w:rPr>
                <w:rFonts w:ascii="Book Antiqua" w:eastAsia="SimSun" w:hAnsi="Book Antiqua" w:cs="SimSun"/>
                <w:b/>
                <w:bCs/>
                <w:color w:val="000000"/>
              </w:rPr>
            </w:pPr>
            <w:r w:rsidRPr="00B0764C">
              <w:rPr>
                <w:rFonts w:ascii="Book Antiqua" w:eastAsia="SimSun" w:hAnsi="Book Antiqua" w:cs="SimSun"/>
                <w:b/>
                <w:bCs/>
                <w:color w:val="000000"/>
              </w:rPr>
              <w:t>(203 - 1079)</w:t>
            </w:r>
          </w:p>
        </w:tc>
        <w:tc>
          <w:tcPr>
            <w:tcW w:w="816" w:type="dxa"/>
            <w:vMerge/>
            <w:vAlign w:val="center"/>
            <w:hideMark/>
          </w:tcPr>
          <w:p w14:paraId="3018331B" w14:textId="77777777" w:rsidR="00BF710C" w:rsidRPr="00B0764C" w:rsidRDefault="00BF710C" w:rsidP="007940D7">
            <w:pPr>
              <w:spacing w:line="360" w:lineRule="auto"/>
              <w:jc w:val="both"/>
              <w:rPr>
                <w:rFonts w:ascii="Book Antiqua" w:eastAsia="SimSun" w:hAnsi="Book Antiqua" w:cs="SimSun"/>
                <w:b/>
                <w:bCs/>
                <w:color w:val="000000"/>
              </w:rPr>
            </w:pPr>
          </w:p>
        </w:tc>
        <w:tc>
          <w:tcPr>
            <w:tcW w:w="1350" w:type="dxa"/>
            <w:shd w:val="clear" w:color="auto" w:fill="auto"/>
            <w:noWrap/>
            <w:vAlign w:val="center"/>
            <w:hideMark/>
          </w:tcPr>
          <w:p w14:paraId="2B6D6A1A"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(143 - 513)</w:t>
            </w:r>
          </w:p>
        </w:tc>
        <w:tc>
          <w:tcPr>
            <w:tcW w:w="1470" w:type="dxa"/>
            <w:shd w:val="clear" w:color="auto" w:fill="auto"/>
            <w:noWrap/>
            <w:vAlign w:val="center"/>
            <w:hideMark/>
          </w:tcPr>
          <w:p w14:paraId="1F8C3260"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(90 - 365)</w:t>
            </w:r>
          </w:p>
        </w:tc>
        <w:tc>
          <w:tcPr>
            <w:tcW w:w="1080" w:type="dxa"/>
            <w:vMerge/>
            <w:vAlign w:val="center"/>
            <w:hideMark/>
          </w:tcPr>
          <w:p w14:paraId="607558ED" w14:textId="77777777" w:rsidR="00BF710C" w:rsidRPr="00B0764C" w:rsidRDefault="00BF710C" w:rsidP="007940D7">
            <w:pPr>
              <w:spacing w:line="360" w:lineRule="auto"/>
              <w:jc w:val="both"/>
              <w:rPr>
                <w:rFonts w:ascii="Book Antiqua" w:eastAsia="SimSun" w:hAnsi="Book Antiqua" w:cs="SimSun"/>
                <w:color w:val="000000"/>
              </w:rPr>
            </w:pPr>
          </w:p>
        </w:tc>
        <w:tc>
          <w:tcPr>
            <w:tcW w:w="1478" w:type="dxa"/>
            <w:shd w:val="clear" w:color="auto" w:fill="auto"/>
            <w:noWrap/>
            <w:vAlign w:val="center"/>
            <w:hideMark/>
          </w:tcPr>
          <w:p w14:paraId="10E163F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(pg/mL)</w:t>
            </w:r>
          </w:p>
        </w:tc>
        <w:tc>
          <w:tcPr>
            <w:tcW w:w="1203" w:type="dxa"/>
            <w:shd w:val="clear" w:color="auto" w:fill="auto"/>
            <w:vAlign w:val="center"/>
            <w:hideMark/>
          </w:tcPr>
          <w:p w14:paraId="31C431A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(99 - 443)</w:t>
            </w:r>
          </w:p>
        </w:tc>
        <w:tc>
          <w:tcPr>
            <w:tcW w:w="1096" w:type="dxa"/>
            <w:shd w:val="clear" w:color="auto" w:fill="auto"/>
            <w:vAlign w:val="center"/>
            <w:hideMark/>
          </w:tcPr>
          <w:p w14:paraId="4EB28FDD"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(143 - 942)</w:t>
            </w:r>
          </w:p>
        </w:tc>
        <w:tc>
          <w:tcPr>
            <w:tcW w:w="816" w:type="dxa"/>
            <w:vMerge/>
            <w:vAlign w:val="center"/>
            <w:hideMark/>
          </w:tcPr>
          <w:p w14:paraId="3345FF35" w14:textId="77777777" w:rsidR="00BF710C" w:rsidRPr="00B0764C" w:rsidRDefault="00BF710C" w:rsidP="007940D7">
            <w:pPr>
              <w:spacing w:line="360" w:lineRule="auto"/>
              <w:jc w:val="both"/>
              <w:rPr>
                <w:rFonts w:ascii="Book Antiqua" w:eastAsia="SimSun" w:hAnsi="Book Antiqua" w:cs="SimSun"/>
                <w:color w:val="000000"/>
              </w:rPr>
            </w:pPr>
          </w:p>
        </w:tc>
        <w:tc>
          <w:tcPr>
            <w:tcW w:w="1350" w:type="dxa"/>
            <w:shd w:val="clear" w:color="auto" w:fill="auto"/>
            <w:noWrap/>
            <w:vAlign w:val="center"/>
            <w:hideMark/>
          </w:tcPr>
          <w:p w14:paraId="1F5C59A4"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(99 - 379)</w:t>
            </w:r>
          </w:p>
        </w:tc>
        <w:tc>
          <w:tcPr>
            <w:tcW w:w="1470" w:type="dxa"/>
            <w:shd w:val="clear" w:color="auto" w:fill="auto"/>
            <w:noWrap/>
            <w:vAlign w:val="center"/>
            <w:hideMark/>
          </w:tcPr>
          <w:p w14:paraId="34E7A3B3" w14:textId="77777777" w:rsidR="00BF710C" w:rsidRPr="00B0764C" w:rsidRDefault="00BF710C" w:rsidP="007940D7">
            <w:pPr>
              <w:spacing w:line="360" w:lineRule="auto"/>
              <w:jc w:val="both"/>
              <w:rPr>
                <w:rFonts w:ascii="Book Antiqua" w:eastAsia="SimSun" w:hAnsi="Book Antiqua" w:cs="SimSun"/>
                <w:color w:val="000000"/>
              </w:rPr>
            </w:pPr>
            <w:r w:rsidRPr="00B0764C">
              <w:rPr>
                <w:rFonts w:ascii="Book Antiqua" w:eastAsia="SimSun" w:hAnsi="Book Antiqua" w:cs="SimSun"/>
                <w:color w:val="000000"/>
              </w:rPr>
              <w:t>(179 - 1020)</w:t>
            </w:r>
          </w:p>
        </w:tc>
        <w:tc>
          <w:tcPr>
            <w:tcW w:w="1080" w:type="dxa"/>
            <w:vMerge/>
            <w:vAlign w:val="center"/>
            <w:hideMark/>
          </w:tcPr>
          <w:p w14:paraId="357FC991" w14:textId="77777777" w:rsidR="00BF710C" w:rsidRPr="00B0764C" w:rsidRDefault="00BF710C" w:rsidP="007940D7">
            <w:pPr>
              <w:spacing w:line="360" w:lineRule="auto"/>
              <w:jc w:val="both"/>
              <w:rPr>
                <w:rFonts w:ascii="Book Antiqua" w:eastAsia="SimSun" w:hAnsi="Book Antiqua" w:cs="SimSun"/>
                <w:color w:val="000000"/>
              </w:rPr>
            </w:pPr>
          </w:p>
        </w:tc>
      </w:tr>
    </w:tbl>
    <w:p w14:paraId="16B5BF11" w14:textId="357C8D22" w:rsidR="00582A71" w:rsidRPr="00BF710C" w:rsidRDefault="00BF710C" w:rsidP="007940D7">
      <w:pPr>
        <w:widowControl w:val="0"/>
        <w:autoSpaceDE w:val="0"/>
        <w:autoSpaceDN w:val="0"/>
        <w:adjustRightInd w:val="0"/>
        <w:spacing w:line="360" w:lineRule="auto"/>
        <w:jc w:val="both"/>
        <w:rPr>
          <w:rFonts w:ascii="Book Antiqua" w:hAnsi="Book Antiqua" w:cs="Arial"/>
          <w:lang w:val="en-US"/>
        </w:rPr>
      </w:pPr>
      <w:r w:rsidRPr="0088290D">
        <w:rPr>
          <w:rFonts w:ascii="Book Antiqua" w:hAnsi="Book Antiqua" w:cs="Arial"/>
          <w:lang w:val="en-US"/>
        </w:rPr>
        <w:t>Significant asso</w:t>
      </w:r>
      <w:r>
        <w:rPr>
          <w:rFonts w:ascii="Book Antiqua" w:hAnsi="Book Antiqua" w:cs="Arial"/>
          <w:lang w:val="en-US"/>
        </w:rPr>
        <w:t>ciations are indicated in bold.</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LBP: </w:t>
      </w:r>
      <w:r w:rsidRPr="0088290D">
        <w:rPr>
          <w:rFonts w:ascii="Book Antiqua" w:hAnsi="Book Antiqua" w:cs="Arial"/>
          <w:lang w:val="en-US"/>
        </w:rPr>
        <w:t xml:space="preserve">Lipopolysaccharide </w:t>
      </w:r>
      <w:r w:rsidR="00582A71" w:rsidRPr="0088290D">
        <w:rPr>
          <w:rFonts w:ascii="Book Antiqua" w:hAnsi="Book Antiqua" w:cs="Arial"/>
          <w:lang w:val="en-US"/>
        </w:rPr>
        <w:t>[LPS]-binding protein</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EndoCab: </w:t>
      </w:r>
      <w:r w:rsidRPr="0088290D">
        <w:rPr>
          <w:rFonts w:ascii="Book Antiqua" w:hAnsi="Book Antiqua" w:cs="Arial"/>
          <w:lang w:val="en-US"/>
        </w:rPr>
        <w:t xml:space="preserve">Endotoxin </w:t>
      </w:r>
      <w:r w:rsidR="00582A71" w:rsidRPr="0088290D">
        <w:rPr>
          <w:rFonts w:ascii="Book Antiqua" w:hAnsi="Book Antiqua" w:cs="Arial"/>
          <w:lang w:val="en-US"/>
        </w:rPr>
        <w:t>core antibody</w:t>
      </w:r>
      <w:r>
        <w:rPr>
          <w:rFonts w:ascii="Book Antiqua" w:eastAsia="SimSun" w:hAnsi="Book Antiqua" w:cs="Arial" w:hint="eastAsia"/>
          <w:lang w:val="en-US" w:eastAsia="zh-CN"/>
        </w:rPr>
        <w:t>;</w:t>
      </w:r>
      <w:r w:rsidR="00582A71" w:rsidRPr="0088290D">
        <w:rPr>
          <w:rFonts w:ascii="Book Antiqua" w:hAnsi="Book Antiqua" w:cs="Arial"/>
          <w:lang w:val="en-US"/>
        </w:rPr>
        <w:t xml:space="preserve"> I-FABP: </w:t>
      </w:r>
      <w:r w:rsidRPr="0088290D">
        <w:rPr>
          <w:rFonts w:ascii="Book Antiqua" w:hAnsi="Book Antiqua"/>
          <w:lang w:val="en-US"/>
        </w:rPr>
        <w:t xml:space="preserve">Intestinal </w:t>
      </w:r>
      <w:r w:rsidR="00582A71" w:rsidRPr="0088290D">
        <w:rPr>
          <w:rFonts w:ascii="Book Antiqua" w:hAnsi="Book Antiqua"/>
          <w:lang w:val="en-US"/>
        </w:rPr>
        <w:t>fatty acid-binding protein</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sIgA: </w:t>
      </w:r>
      <w:r w:rsidRPr="0088290D">
        <w:rPr>
          <w:rFonts w:ascii="Book Antiqua" w:hAnsi="Book Antiqua" w:cs="Arial"/>
          <w:lang w:val="en-US"/>
        </w:rPr>
        <w:t xml:space="preserve">Secretory </w:t>
      </w:r>
      <w:r w:rsidR="00582A71" w:rsidRPr="0088290D">
        <w:rPr>
          <w:rFonts w:ascii="Book Antiqua" w:hAnsi="Book Antiqua" w:cs="Arial"/>
          <w:lang w:val="en-US"/>
        </w:rPr>
        <w:t>IgA</w:t>
      </w:r>
      <w:r>
        <w:rPr>
          <w:rFonts w:ascii="Book Antiqua" w:eastAsia="SimSun" w:hAnsi="Book Antiqua" w:cs="Arial" w:hint="eastAsia"/>
          <w:lang w:val="en-US" w:eastAsia="zh-CN"/>
        </w:rPr>
        <w:t xml:space="preserve">; </w:t>
      </w:r>
      <w:r w:rsidR="00582A71" w:rsidRPr="0088290D">
        <w:rPr>
          <w:rFonts w:ascii="Book Antiqua" w:hAnsi="Book Antiqua" w:cs="Arial"/>
          <w:lang w:val="en-US"/>
        </w:rPr>
        <w:t xml:space="preserve">IQR: </w:t>
      </w:r>
      <w:r w:rsidRPr="0088290D">
        <w:rPr>
          <w:rFonts w:ascii="Book Antiqua" w:hAnsi="Book Antiqua" w:cs="Arial"/>
          <w:lang w:val="en-US"/>
        </w:rPr>
        <w:t>Inter</w:t>
      </w:r>
      <w:r>
        <w:rPr>
          <w:rFonts w:ascii="Book Antiqua" w:hAnsi="Book Antiqua" w:cs="Arial"/>
          <w:lang w:val="en-US"/>
        </w:rPr>
        <w:t>-quartile range</w:t>
      </w:r>
      <w:r>
        <w:rPr>
          <w:rFonts w:ascii="Book Antiqua" w:eastAsia="SimSun" w:hAnsi="Book Antiqua" w:cs="Arial" w:hint="eastAsia"/>
          <w:lang w:val="en-US" w:eastAsia="zh-CN"/>
        </w:rPr>
        <w:t>.</w:t>
      </w:r>
    </w:p>
    <w:p w14:paraId="5BCF220C" w14:textId="77777777" w:rsidR="00582A71" w:rsidRPr="0088290D" w:rsidRDefault="00582A71" w:rsidP="007940D7">
      <w:pPr>
        <w:spacing w:line="360" w:lineRule="auto"/>
        <w:jc w:val="both"/>
        <w:rPr>
          <w:rFonts w:ascii="Book Antiqua" w:hAnsi="Book Antiqua"/>
          <w:b/>
          <w:lang w:val="en-US"/>
        </w:rPr>
      </w:pPr>
    </w:p>
    <w:p w14:paraId="394E4512" w14:textId="77777777" w:rsidR="00477BD0" w:rsidRPr="0088290D" w:rsidRDefault="00477BD0" w:rsidP="007940D7">
      <w:pPr>
        <w:spacing w:line="360" w:lineRule="auto"/>
        <w:jc w:val="both"/>
        <w:rPr>
          <w:rFonts w:ascii="Book Antiqua" w:hAnsi="Book Antiqua"/>
          <w:b/>
          <w:lang w:val="en-US"/>
        </w:rPr>
      </w:pPr>
      <w:r w:rsidRPr="0088290D">
        <w:rPr>
          <w:rFonts w:ascii="Book Antiqua" w:hAnsi="Book Antiqua"/>
          <w:b/>
          <w:lang w:val="en-US"/>
        </w:rPr>
        <w:br w:type="page"/>
      </w:r>
    </w:p>
    <w:p w14:paraId="6F588B91" w14:textId="3FC20FF9" w:rsidR="002438D7" w:rsidRPr="00BF710C" w:rsidRDefault="00BF710C" w:rsidP="007940D7">
      <w:pPr>
        <w:spacing w:line="360" w:lineRule="auto"/>
        <w:jc w:val="both"/>
        <w:rPr>
          <w:rFonts w:ascii="Book Antiqua" w:eastAsia="SimSun" w:hAnsi="Book Antiqua"/>
          <w:b/>
          <w:lang w:val="en-US" w:eastAsia="zh-CN"/>
        </w:rPr>
      </w:pPr>
      <w:r>
        <w:rPr>
          <w:rFonts w:ascii="Book Antiqua" w:eastAsia="SimSun" w:hAnsi="Book Antiqua" w:hint="eastAsia"/>
          <w:b/>
          <w:lang w:val="en-US" w:eastAsia="zh-CN"/>
        </w:rPr>
        <w:lastRenderedPageBreak/>
        <w:t xml:space="preserve"> </w:t>
      </w:r>
    </w:p>
    <w:p w14:paraId="51A7A86A" w14:textId="183BBB52" w:rsidR="004E3988" w:rsidRPr="0088290D" w:rsidRDefault="00E2472F" w:rsidP="007940D7">
      <w:pPr>
        <w:spacing w:line="360" w:lineRule="auto"/>
        <w:jc w:val="both"/>
        <w:rPr>
          <w:rFonts w:ascii="Book Antiqua" w:hAnsi="Book Antiqua"/>
          <w:b/>
          <w:lang w:val="en-US"/>
        </w:rPr>
      </w:pPr>
      <w:r w:rsidRPr="0088290D">
        <w:rPr>
          <w:rFonts w:ascii="Book Antiqua" w:hAnsi="Book Antiqua"/>
          <w:b/>
          <w:noProof/>
          <w:lang w:val="en-US" w:eastAsia="zh-CN"/>
        </w:rPr>
        <w:drawing>
          <wp:inline distT="0" distB="0" distL="0" distR="0" wp14:anchorId="1A6DE2B1" wp14:editId="5FECBDD7">
            <wp:extent cx="5267325" cy="5048250"/>
            <wp:effectExtent l="0" t="0" r="9525" b="0"/>
            <wp:docPr id="1" name="Kép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5048250"/>
                    </a:xfrm>
                    <a:prstGeom prst="rect">
                      <a:avLst/>
                    </a:prstGeom>
                    <a:noFill/>
                    <a:ln>
                      <a:noFill/>
                    </a:ln>
                  </pic:spPr>
                </pic:pic>
              </a:graphicData>
            </a:graphic>
          </wp:inline>
        </w:drawing>
      </w:r>
    </w:p>
    <w:p w14:paraId="089CBAC5" w14:textId="69A5F76E" w:rsidR="00477BD0" w:rsidRPr="00FB059C" w:rsidRDefault="00F02E29" w:rsidP="00FB059C">
      <w:pPr>
        <w:spacing w:line="360" w:lineRule="auto"/>
        <w:jc w:val="both"/>
        <w:rPr>
          <w:rFonts w:ascii="Book Antiqua" w:eastAsia="SimSun" w:hAnsi="Book Antiqua"/>
          <w:lang w:val="en-US" w:eastAsia="zh-CN"/>
        </w:rPr>
      </w:pPr>
      <w:r w:rsidRPr="0088290D">
        <w:rPr>
          <w:rFonts w:ascii="Book Antiqua" w:hAnsi="Book Antiqua"/>
          <w:b/>
          <w:lang w:val="en-US"/>
        </w:rPr>
        <w:t>Figure 1</w:t>
      </w:r>
      <w:r w:rsidR="00BF710C">
        <w:rPr>
          <w:rFonts w:ascii="Book Antiqua" w:eastAsia="SimSun" w:hAnsi="Book Antiqua" w:hint="eastAsia"/>
          <w:b/>
          <w:lang w:val="en-US" w:eastAsia="zh-CN"/>
        </w:rPr>
        <w:t xml:space="preserve"> </w:t>
      </w:r>
      <w:r w:rsidRPr="0088290D">
        <w:rPr>
          <w:rFonts w:ascii="Book Antiqua" w:hAnsi="Book Antiqua"/>
          <w:b/>
          <w:lang w:val="en-US"/>
        </w:rPr>
        <w:t>Progressive disease course in primary sclerosing cholangitis</w:t>
      </w:r>
      <w:r w:rsidR="00BF710C">
        <w:rPr>
          <w:rFonts w:ascii="Book Antiqua" w:eastAsia="SimSun" w:hAnsi="Book Antiqua" w:hint="eastAsia"/>
          <w:b/>
          <w:lang w:val="en-US" w:eastAsia="zh-CN"/>
        </w:rPr>
        <w:t xml:space="preserve"> </w:t>
      </w:r>
      <w:r w:rsidRPr="0088290D">
        <w:rPr>
          <w:rFonts w:ascii="Book Antiqua" w:hAnsi="Book Antiqua"/>
          <w:b/>
          <w:lang w:val="en-US"/>
        </w:rPr>
        <w:t>according to the presence of different gut-failure r</w:t>
      </w:r>
      <w:r w:rsidR="00BF710C">
        <w:rPr>
          <w:rFonts w:ascii="Book Antiqua" w:hAnsi="Book Antiqua"/>
          <w:b/>
          <w:lang w:val="en-US"/>
        </w:rPr>
        <w:t xml:space="preserve">elated serological antibodies. </w:t>
      </w:r>
      <w:r w:rsidRPr="0088290D">
        <w:rPr>
          <w:rFonts w:ascii="Book Antiqua" w:hAnsi="Book Antiqua"/>
          <w:lang w:val="en-US"/>
        </w:rPr>
        <w:t>Patients positive for anti-F-Actin IgA (A) or anti-gliadin IgA (C) have higher cumulative probability of disease progression defined by need for OLTx and/ or death compared to those negative for these antibodies. IgG isotypes of these antibodies were not associated with progressive disease course (B,</w:t>
      </w:r>
      <w:r w:rsidR="00BF710C">
        <w:rPr>
          <w:rFonts w:ascii="Book Antiqua" w:eastAsia="SimSun" w:hAnsi="Book Antiqua" w:hint="eastAsia"/>
          <w:lang w:val="en-US" w:eastAsia="zh-CN"/>
        </w:rPr>
        <w:t xml:space="preserve"> </w:t>
      </w:r>
      <w:r w:rsidRPr="0088290D">
        <w:rPr>
          <w:rFonts w:ascii="Book Antiqua" w:hAnsi="Book Antiqua"/>
          <w:lang w:val="en-US"/>
        </w:rPr>
        <w:t>D).</w:t>
      </w:r>
      <w:r w:rsidR="00FB059C">
        <w:rPr>
          <w:rFonts w:ascii="Book Antiqua" w:eastAsia="SimSun" w:hAnsi="Book Antiqua" w:hint="eastAsia"/>
          <w:b/>
          <w:lang w:val="en-US" w:eastAsia="zh-CN"/>
        </w:rPr>
        <w:t xml:space="preserve"> </w:t>
      </w:r>
    </w:p>
    <w:p w14:paraId="5992479B" w14:textId="74323069" w:rsidR="003C1041" w:rsidRPr="0088290D" w:rsidRDefault="003C1041" w:rsidP="007940D7">
      <w:pPr>
        <w:spacing w:line="360" w:lineRule="auto"/>
        <w:jc w:val="both"/>
        <w:rPr>
          <w:rFonts w:ascii="Book Antiqua" w:hAnsi="Book Antiqua"/>
          <w:lang w:val="en-US"/>
        </w:rPr>
      </w:pPr>
    </w:p>
    <w:sectPr w:rsidR="003C1041" w:rsidRPr="0088290D" w:rsidSect="00806EA8">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CFA2" w14:textId="77777777" w:rsidR="00BF3BE0" w:rsidRDefault="00BF3BE0" w:rsidP="00806EA8">
      <w:r>
        <w:separator/>
      </w:r>
    </w:p>
  </w:endnote>
  <w:endnote w:type="continuationSeparator" w:id="0">
    <w:p w14:paraId="1CC740C9" w14:textId="77777777" w:rsidR="00BF3BE0" w:rsidRDefault="00BF3BE0" w:rsidP="008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ans">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E85D" w14:textId="77777777" w:rsidR="00BF3BE0" w:rsidRDefault="00BF3BE0" w:rsidP="00806EA8">
      <w:r>
        <w:separator/>
      </w:r>
    </w:p>
  </w:footnote>
  <w:footnote w:type="continuationSeparator" w:id="0">
    <w:p w14:paraId="53354FD1" w14:textId="77777777" w:rsidR="00BF3BE0" w:rsidRDefault="00BF3BE0" w:rsidP="0080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1756" w14:textId="4D7C2B29" w:rsidR="00FB059C" w:rsidRDefault="00FB059C" w:rsidP="00F86D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6CE">
      <w:rPr>
        <w:rStyle w:val="PageNumber"/>
        <w:noProof/>
      </w:rPr>
      <w:t>32</w:t>
    </w:r>
    <w:r>
      <w:rPr>
        <w:rStyle w:val="PageNumber"/>
      </w:rPr>
      <w:fldChar w:fldCharType="end"/>
    </w:r>
  </w:p>
  <w:p w14:paraId="62749E05" w14:textId="77777777" w:rsidR="00FB059C" w:rsidRDefault="00FB0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79F5" w14:textId="0C4BFEEE" w:rsidR="00FB059C" w:rsidRDefault="00FB059C" w:rsidP="00F86D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6CE">
      <w:rPr>
        <w:rStyle w:val="PageNumber"/>
        <w:noProof/>
      </w:rPr>
      <w:t>33</w:t>
    </w:r>
    <w:r>
      <w:rPr>
        <w:rStyle w:val="PageNumber"/>
      </w:rPr>
      <w:fldChar w:fldCharType="end"/>
    </w:r>
  </w:p>
  <w:p w14:paraId="6AED053A" w14:textId="77777777" w:rsidR="00FB059C" w:rsidRDefault="00FB0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85433"/>
    <w:multiLevelType w:val="hybridMultilevel"/>
    <w:tmpl w:val="3766AAEA"/>
    <w:lvl w:ilvl="0" w:tplc="4AD6756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NDSxNDQzsjA2NTdS0lEKTi0uzszPAykwrAUAPkL8QywAAAA="/>
  </w:docVars>
  <w:rsids>
    <w:rsidRoot w:val="00A86DF8"/>
    <w:rsid w:val="000009DE"/>
    <w:rsid w:val="000045B2"/>
    <w:rsid w:val="00010D57"/>
    <w:rsid w:val="00017BC9"/>
    <w:rsid w:val="00027A8A"/>
    <w:rsid w:val="00035AF3"/>
    <w:rsid w:val="00036768"/>
    <w:rsid w:val="00037B9B"/>
    <w:rsid w:val="00041682"/>
    <w:rsid w:val="00042184"/>
    <w:rsid w:val="00042915"/>
    <w:rsid w:val="00042E86"/>
    <w:rsid w:val="00045DEF"/>
    <w:rsid w:val="00046B4B"/>
    <w:rsid w:val="000512D3"/>
    <w:rsid w:val="00056E4D"/>
    <w:rsid w:val="00057066"/>
    <w:rsid w:val="00060756"/>
    <w:rsid w:val="00060A2A"/>
    <w:rsid w:val="000634C6"/>
    <w:rsid w:val="0006595E"/>
    <w:rsid w:val="00067308"/>
    <w:rsid w:val="00070CFE"/>
    <w:rsid w:val="000713D7"/>
    <w:rsid w:val="000725E9"/>
    <w:rsid w:val="00074A8A"/>
    <w:rsid w:val="00076692"/>
    <w:rsid w:val="00082E91"/>
    <w:rsid w:val="0008302C"/>
    <w:rsid w:val="00083805"/>
    <w:rsid w:val="000847CB"/>
    <w:rsid w:val="00085155"/>
    <w:rsid w:val="000854FC"/>
    <w:rsid w:val="0008768E"/>
    <w:rsid w:val="00093868"/>
    <w:rsid w:val="0009510F"/>
    <w:rsid w:val="00095BD2"/>
    <w:rsid w:val="00095DE5"/>
    <w:rsid w:val="00096809"/>
    <w:rsid w:val="00097430"/>
    <w:rsid w:val="000A022B"/>
    <w:rsid w:val="000A21BC"/>
    <w:rsid w:val="000B1B51"/>
    <w:rsid w:val="000B35B1"/>
    <w:rsid w:val="000B38F7"/>
    <w:rsid w:val="000C0B90"/>
    <w:rsid w:val="000C29D3"/>
    <w:rsid w:val="000C4255"/>
    <w:rsid w:val="000C569F"/>
    <w:rsid w:val="000C5A89"/>
    <w:rsid w:val="000C73AB"/>
    <w:rsid w:val="000E48B8"/>
    <w:rsid w:val="000E67A0"/>
    <w:rsid w:val="000E7118"/>
    <w:rsid w:val="000F1F89"/>
    <w:rsid w:val="000F33E6"/>
    <w:rsid w:val="000F7E50"/>
    <w:rsid w:val="00100E07"/>
    <w:rsid w:val="00107735"/>
    <w:rsid w:val="0011123F"/>
    <w:rsid w:val="00112600"/>
    <w:rsid w:val="0011394B"/>
    <w:rsid w:val="001159CC"/>
    <w:rsid w:val="00120E58"/>
    <w:rsid w:val="0012246E"/>
    <w:rsid w:val="0012343A"/>
    <w:rsid w:val="00123C48"/>
    <w:rsid w:val="001253E1"/>
    <w:rsid w:val="001254E4"/>
    <w:rsid w:val="00125A18"/>
    <w:rsid w:val="00125C20"/>
    <w:rsid w:val="001262B2"/>
    <w:rsid w:val="00127648"/>
    <w:rsid w:val="00127BEC"/>
    <w:rsid w:val="00130954"/>
    <w:rsid w:val="0013136B"/>
    <w:rsid w:val="0013172F"/>
    <w:rsid w:val="0013362E"/>
    <w:rsid w:val="00137056"/>
    <w:rsid w:val="00137823"/>
    <w:rsid w:val="001404F7"/>
    <w:rsid w:val="0014085A"/>
    <w:rsid w:val="00143DDE"/>
    <w:rsid w:val="00146820"/>
    <w:rsid w:val="00146F4E"/>
    <w:rsid w:val="00146FD5"/>
    <w:rsid w:val="00147C50"/>
    <w:rsid w:val="001500B8"/>
    <w:rsid w:val="001531F7"/>
    <w:rsid w:val="001548E2"/>
    <w:rsid w:val="001554DA"/>
    <w:rsid w:val="0015573E"/>
    <w:rsid w:val="001575ED"/>
    <w:rsid w:val="00160814"/>
    <w:rsid w:val="00162C20"/>
    <w:rsid w:val="00164CAB"/>
    <w:rsid w:val="00166D45"/>
    <w:rsid w:val="00176678"/>
    <w:rsid w:val="00185677"/>
    <w:rsid w:val="001903DE"/>
    <w:rsid w:val="0019094B"/>
    <w:rsid w:val="001925C9"/>
    <w:rsid w:val="001932FF"/>
    <w:rsid w:val="00193DBD"/>
    <w:rsid w:val="0019431F"/>
    <w:rsid w:val="00194FDF"/>
    <w:rsid w:val="0019525C"/>
    <w:rsid w:val="0019552E"/>
    <w:rsid w:val="001A0D7C"/>
    <w:rsid w:val="001A1768"/>
    <w:rsid w:val="001A39A3"/>
    <w:rsid w:val="001A7698"/>
    <w:rsid w:val="001A7E80"/>
    <w:rsid w:val="001B0DEE"/>
    <w:rsid w:val="001B2867"/>
    <w:rsid w:val="001B3F06"/>
    <w:rsid w:val="001B48B4"/>
    <w:rsid w:val="001B68AB"/>
    <w:rsid w:val="001B6C87"/>
    <w:rsid w:val="001C10A6"/>
    <w:rsid w:val="001C29A5"/>
    <w:rsid w:val="001C5B7C"/>
    <w:rsid w:val="001D19FA"/>
    <w:rsid w:val="001D1B3B"/>
    <w:rsid w:val="001D30AC"/>
    <w:rsid w:val="001D53FA"/>
    <w:rsid w:val="001D6426"/>
    <w:rsid w:val="001D75A1"/>
    <w:rsid w:val="001E0072"/>
    <w:rsid w:val="001E0185"/>
    <w:rsid w:val="001E22B6"/>
    <w:rsid w:val="001E3E75"/>
    <w:rsid w:val="001E7FC9"/>
    <w:rsid w:val="001F11BF"/>
    <w:rsid w:val="001F77FE"/>
    <w:rsid w:val="001F7F54"/>
    <w:rsid w:val="00201621"/>
    <w:rsid w:val="00201C90"/>
    <w:rsid w:val="002029B1"/>
    <w:rsid w:val="00204405"/>
    <w:rsid w:val="002164DF"/>
    <w:rsid w:val="00216E93"/>
    <w:rsid w:val="0022005F"/>
    <w:rsid w:val="00221E51"/>
    <w:rsid w:val="00223B84"/>
    <w:rsid w:val="00224DD9"/>
    <w:rsid w:val="002279D7"/>
    <w:rsid w:val="0023393F"/>
    <w:rsid w:val="0023490A"/>
    <w:rsid w:val="002352BB"/>
    <w:rsid w:val="00240E1A"/>
    <w:rsid w:val="002413DD"/>
    <w:rsid w:val="00243874"/>
    <w:rsid w:val="002438D7"/>
    <w:rsid w:val="0024494A"/>
    <w:rsid w:val="002453A6"/>
    <w:rsid w:val="00252043"/>
    <w:rsid w:val="00252CB1"/>
    <w:rsid w:val="00252ED4"/>
    <w:rsid w:val="0025348C"/>
    <w:rsid w:val="00255587"/>
    <w:rsid w:val="002557CC"/>
    <w:rsid w:val="00257583"/>
    <w:rsid w:val="002578D4"/>
    <w:rsid w:val="00260C3D"/>
    <w:rsid w:val="002614EF"/>
    <w:rsid w:val="00261915"/>
    <w:rsid w:val="00263C39"/>
    <w:rsid w:val="00265A4B"/>
    <w:rsid w:val="002664E7"/>
    <w:rsid w:val="002706FC"/>
    <w:rsid w:val="00274CDA"/>
    <w:rsid w:val="00275572"/>
    <w:rsid w:val="00277C8C"/>
    <w:rsid w:val="0028476A"/>
    <w:rsid w:val="002854DD"/>
    <w:rsid w:val="00291A83"/>
    <w:rsid w:val="00292120"/>
    <w:rsid w:val="0029316E"/>
    <w:rsid w:val="00297B1D"/>
    <w:rsid w:val="00297DF9"/>
    <w:rsid w:val="002A0142"/>
    <w:rsid w:val="002A1509"/>
    <w:rsid w:val="002A2A3A"/>
    <w:rsid w:val="002A3426"/>
    <w:rsid w:val="002A4DFF"/>
    <w:rsid w:val="002B187D"/>
    <w:rsid w:val="002B1D91"/>
    <w:rsid w:val="002B329C"/>
    <w:rsid w:val="002B5C84"/>
    <w:rsid w:val="002B6085"/>
    <w:rsid w:val="002B61AB"/>
    <w:rsid w:val="002B6F53"/>
    <w:rsid w:val="002C2EBF"/>
    <w:rsid w:val="002C41BE"/>
    <w:rsid w:val="002C791B"/>
    <w:rsid w:val="002D2674"/>
    <w:rsid w:val="002D4B81"/>
    <w:rsid w:val="002D746A"/>
    <w:rsid w:val="002D7EC6"/>
    <w:rsid w:val="002E0757"/>
    <w:rsid w:val="002E5C89"/>
    <w:rsid w:val="002E5ED7"/>
    <w:rsid w:val="002E6E99"/>
    <w:rsid w:val="002E7B6E"/>
    <w:rsid w:val="002E7C62"/>
    <w:rsid w:val="002F057A"/>
    <w:rsid w:val="002F15EC"/>
    <w:rsid w:val="002F384F"/>
    <w:rsid w:val="002F3899"/>
    <w:rsid w:val="0030102D"/>
    <w:rsid w:val="00303008"/>
    <w:rsid w:val="0030371D"/>
    <w:rsid w:val="00304D81"/>
    <w:rsid w:val="003113F5"/>
    <w:rsid w:val="00313D37"/>
    <w:rsid w:val="003156B3"/>
    <w:rsid w:val="0031685F"/>
    <w:rsid w:val="00317832"/>
    <w:rsid w:val="00317963"/>
    <w:rsid w:val="00320122"/>
    <w:rsid w:val="00320E1B"/>
    <w:rsid w:val="00321950"/>
    <w:rsid w:val="0032387C"/>
    <w:rsid w:val="0032407F"/>
    <w:rsid w:val="00325914"/>
    <w:rsid w:val="0032608C"/>
    <w:rsid w:val="00326708"/>
    <w:rsid w:val="00332E9C"/>
    <w:rsid w:val="00333836"/>
    <w:rsid w:val="003338E6"/>
    <w:rsid w:val="00333BAA"/>
    <w:rsid w:val="003405E2"/>
    <w:rsid w:val="00340EEB"/>
    <w:rsid w:val="00342BC7"/>
    <w:rsid w:val="003438A7"/>
    <w:rsid w:val="00345FDF"/>
    <w:rsid w:val="003479E5"/>
    <w:rsid w:val="00353517"/>
    <w:rsid w:val="00355858"/>
    <w:rsid w:val="00355DF6"/>
    <w:rsid w:val="00361841"/>
    <w:rsid w:val="00362156"/>
    <w:rsid w:val="00362386"/>
    <w:rsid w:val="0037534B"/>
    <w:rsid w:val="00376678"/>
    <w:rsid w:val="003838CB"/>
    <w:rsid w:val="00385A55"/>
    <w:rsid w:val="00385F46"/>
    <w:rsid w:val="00386773"/>
    <w:rsid w:val="003869A1"/>
    <w:rsid w:val="00386E88"/>
    <w:rsid w:val="003931E1"/>
    <w:rsid w:val="00394391"/>
    <w:rsid w:val="003957CE"/>
    <w:rsid w:val="0039619D"/>
    <w:rsid w:val="003964A0"/>
    <w:rsid w:val="003976A1"/>
    <w:rsid w:val="00397923"/>
    <w:rsid w:val="003A0D00"/>
    <w:rsid w:val="003A2867"/>
    <w:rsid w:val="003A2C3E"/>
    <w:rsid w:val="003A3B53"/>
    <w:rsid w:val="003A5FC8"/>
    <w:rsid w:val="003A792D"/>
    <w:rsid w:val="003B0709"/>
    <w:rsid w:val="003B088D"/>
    <w:rsid w:val="003B1325"/>
    <w:rsid w:val="003B2396"/>
    <w:rsid w:val="003B3777"/>
    <w:rsid w:val="003B4FD2"/>
    <w:rsid w:val="003B7D1E"/>
    <w:rsid w:val="003C0FD9"/>
    <w:rsid w:val="003C1041"/>
    <w:rsid w:val="003C150A"/>
    <w:rsid w:val="003C6708"/>
    <w:rsid w:val="003C690F"/>
    <w:rsid w:val="003C78DB"/>
    <w:rsid w:val="003D0A45"/>
    <w:rsid w:val="003D4EB1"/>
    <w:rsid w:val="003D522B"/>
    <w:rsid w:val="003E38F7"/>
    <w:rsid w:val="003F346B"/>
    <w:rsid w:val="003F3742"/>
    <w:rsid w:val="003F3BC0"/>
    <w:rsid w:val="00405B9A"/>
    <w:rsid w:val="00407A19"/>
    <w:rsid w:val="00407F68"/>
    <w:rsid w:val="0041099F"/>
    <w:rsid w:val="004121D9"/>
    <w:rsid w:val="0041687A"/>
    <w:rsid w:val="00416B3D"/>
    <w:rsid w:val="0042026A"/>
    <w:rsid w:val="004223BE"/>
    <w:rsid w:val="004253F6"/>
    <w:rsid w:val="00425EE7"/>
    <w:rsid w:val="00426190"/>
    <w:rsid w:val="0042619E"/>
    <w:rsid w:val="0042684A"/>
    <w:rsid w:val="004274E9"/>
    <w:rsid w:val="00440388"/>
    <w:rsid w:val="0044218B"/>
    <w:rsid w:val="00442E78"/>
    <w:rsid w:val="00442EF2"/>
    <w:rsid w:val="00444D2E"/>
    <w:rsid w:val="00446DDD"/>
    <w:rsid w:val="00452DA3"/>
    <w:rsid w:val="00454C75"/>
    <w:rsid w:val="0045661F"/>
    <w:rsid w:val="004612DD"/>
    <w:rsid w:val="00463820"/>
    <w:rsid w:val="00464DED"/>
    <w:rsid w:val="00472AB2"/>
    <w:rsid w:val="00472D9A"/>
    <w:rsid w:val="004743E2"/>
    <w:rsid w:val="00475CA5"/>
    <w:rsid w:val="00477BD0"/>
    <w:rsid w:val="004810B2"/>
    <w:rsid w:val="004827E7"/>
    <w:rsid w:val="0048411D"/>
    <w:rsid w:val="00485374"/>
    <w:rsid w:val="00487502"/>
    <w:rsid w:val="004917D4"/>
    <w:rsid w:val="004920AD"/>
    <w:rsid w:val="00497413"/>
    <w:rsid w:val="004A26EE"/>
    <w:rsid w:val="004A3F70"/>
    <w:rsid w:val="004B0A8B"/>
    <w:rsid w:val="004B2279"/>
    <w:rsid w:val="004B5B76"/>
    <w:rsid w:val="004B70C9"/>
    <w:rsid w:val="004C1FD6"/>
    <w:rsid w:val="004C20C3"/>
    <w:rsid w:val="004C29CB"/>
    <w:rsid w:val="004C3041"/>
    <w:rsid w:val="004C461E"/>
    <w:rsid w:val="004C5BCA"/>
    <w:rsid w:val="004D04F3"/>
    <w:rsid w:val="004D0F27"/>
    <w:rsid w:val="004D39CA"/>
    <w:rsid w:val="004E1706"/>
    <w:rsid w:val="004E2AF4"/>
    <w:rsid w:val="004E3988"/>
    <w:rsid w:val="004E42A5"/>
    <w:rsid w:val="004E5923"/>
    <w:rsid w:val="004E676B"/>
    <w:rsid w:val="004E6992"/>
    <w:rsid w:val="004F12D3"/>
    <w:rsid w:val="004F2054"/>
    <w:rsid w:val="004F252B"/>
    <w:rsid w:val="004F5E53"/>
    <w:rsid w:val="004F5FFE"/>
    <w:rsid w:val="00505C62"/>
    <w:rsid w:val="00511D51"/>
    <w:rsid w:val="00513A9B"/>
    <w:rsid w:val="005150D9"/>
    <w:rsid w:val="005163D8"/>
    <w:rsid w:val="00516721"/>
    <w:rsid w:val="00516D55"/>
    <w:rsid w:val="00517908"/>
    <w:rsid w:val="00520484"/>
    <w:rsid w:val="00521B3C"/>
    <w:rsid w:val="00523B53"/>
    <w:rsid w:val="00531AFB"/>
    <w:rsid w:val="00537EB9"/>
    <w:rsid w:val="00540937"/>
    <w:rsid w:val="00540D53"/>
    <w:rsid w:val="005433DF"/>
    <w:rsid w:val="005433E2"/>
    <w:rsid w:val="00545187"/>
    <w:rsid w:val="0054700A"/>
    <w:rsid w:val="00550C18"/>
    <w:rsid w:val="005544F6"/>
    <w:rsid w:val="00554D61"/>
    <w:rsid w:val="00554F79"/>
    <w:rsid w:val="00561627"/>
    <w:rsid w:val="00565132"/>
    <w:rsid w:val="005663B0"/>
    <w:rsid w:val="005667C6"/>
    <w:rsid w:val="00567BAC"/>
    <w:rsid w:val="00570D5A"/>
    <w:rsid w:val="0057208B"/>
    <w:rsid w:val="00574B0B"/>
    <w:rsid w:val="0057609F"/>
    <w:rsid w:val="005808E5"/>
    <w:rsid w:val="00580DF9"/>
    <w:rsid w:val="00582A71"/>
    <w:rsid w:val="00586C82"/>
    <w:rsid w:val="00592393"/>
    <w:rsid w:val="0059304C"/>
    <w:rsid w:val="00594151"/>
    <w:rsid w:val="00595273"/>
    <w:rsid w:val="005955F5"/>
    <w:rsid w:val="00595EFB"/>
    <w:rsid w:val="00597C42"/>
    <w:rsid w:val="005A2EA4"/>
    <w:rsid w:val="005A4468"/>
    <w:rsid w:val="005A523A"/>
    <w:rsid w:val="005A58C7"/>
    <w:rsid w:val="005A77CD"/>
    <w:rsid w:val="005C36FE"/>
    <w:rsid w:val="005D3066"/>
    <w:rsid w:val="005D660A"/>
    <w:rsid w:val="005D7479"/>
    <w:rsid w:val="005E000D"/>
    <w:rsid w:val="005E0421"/>
    <w:rsid w:val="005E0744"/>
    <w:rsid w:val="005E15EB"/>
    <w:rsid w:val="005E1AAB"/>
    <w:rsid w:val="005E3891"/>
    <w:rsid w:val="005E710F"/>
    <w:rsid w:val="005E7C60"/>
    <w:rsid w:val="005F02D6"/>
    <w:rsid w:val="005F0425"/>
    <w:rsid w:val="005F0E66"/>
    <w:rsid w:val="005F169A"/>
    <w:rsid w:val="005F1E93"/>
    <w:rsid w:val="005F7E36"/>
    <w:rsid w:val="00600A7F"/>
    <w:rsid w:val="006015BD"/>
    <w:rsid w:val="006069FA"/>
    <w:rsid w:val="006100D6"/>
    <w:rsid w:val="00610B3C"/>
    <w:rsid w:val="00613C28"/>
    <w:rsid w:val="00615DBD"/>
    <w:rsid w:val="00617017"/>
    <w:rsid w:val="0062186E"/>
    <w:rsid w:val="006218AE"/>
    <w:rsid w:val="00621F7F"/>
    <w:rsid w:val="00622785"/>
    <w:rsid w:val="0062368D"/>
    <w:rsid w:val="00623906"/>
    <w:rsid w:val="0062571B"/>
    <w:rsid w:val="0063005A"/>
    <w:rsid w:val="006307FE"/>
    <w:rsid w:val="00631705"/>
    <w:rsid w:val="0063374D"/>
    <w:rsid w:val="00635D6C"/>
    <w:rsid w:val="00635DC7"/>
    <w:rsid w:val="00640ECB"/>
    <w:rsid w:val="006410C6"/>
    <w:rsid w:val="00641571"/>
    <w:rsid w:val="0064236E"/>
    <w:rsid w:val="006447BA"/>
    <w:rsid w:val="00644920"/>
    <w:rsid w:val="00644F71"/>
    <w:rsid w:val="00647B02"/>
    <w:rsid w:val="0065003B"/>
    <w:rsid w:val="0065133E"/>
    <w:rsid w:val="0065146B"/>
    <w:rsid w:val="00651CFB"/>
    <w:rsid w:val="006536F6"/>
    <w:rsid w:val="00653D8F"/>
    <w:rsid w:val="00662E78"/>
    <w:rsid w:val="0066316D"/>
    <w:rsid w:val="00665EA2"/>
    <w:rsid w:val="006716DE"/>
    <w:rsid w:val="00673C01"/>
    <w:rsid w:val="006746F3"/>
    <w:rsid w:val="00675438"/>
    <w:rsid w:val="00675D08"/>
    <w:rsid w:val="00676D1F"/>
    <w:rsid w:val="00682DFE"/>
    <w:rsid w:val="006836BF"/>
    <w:rsid w:val="00690E31"/>
    <w:rsid w:val="00691E86"/>
    <w:rsid w:val="0069288E"/>
    <w:rsid w:val="006940FD"/>
    <w:rsid w:val="00695DCD"/>
    <w:rsid w:val="006A009B"/>
    <w:rsid w:val="006A392C"/>
    <w:rsid w:val="006A4854"/>
    <w:rsid w:val="006A5A61"/>
    <w:rsid w:val="006B06C4"/>
    <w:rsid w:val="006B0768"/>
    <w:rsid w:val="006B16C9"/>
    <w:rsid w:val="006B1DD6"/>
    <w:rsid w:val="006B1F52"/>
    <w:rsid w:val="006B55B5"/>
    <w:rsid w:val="006C43D7"/>
    <w:rsid w:val="006C6447"/>
    <w:rsid w:val="006C6488"/>
    <w:rsid w:val="006D0A78"/>
    <w:rsid w:val="006D173D"/>
    <w:rsid w:val="006D20B3"/>
    <w:rsid w:val="006D4561"/>
    <w:rsid w:val="006D5C8B"/>
    <w:rsid w:val="006D7687"/>
    <w:rsid w:val="006E0B1E"/>
    <w:rsid w:val="006E2810"/>
    <w:rsid w:val="006E3548"/>
    <w:rsid w:val="006E472A"/>
    <w:rsid w:val="006F0A01"/>
    <w:rsid w:val="006F0A79"/>
    <w:rsid w:val="006F1AE8"/>
    <w:rsid w:val="006F1F70"/>
    <w:rsid w:val="006F3DD7"/>
    <w:rsid w:val="006F487B"/>
    <w:rsid w:val="006F7AE1"/>
    <w:rsid w:val="006F7CEB"/>
    <w:rsid w:val="00703595"/>
    <w:rsid w:val="007053EC"/>
    <w:rsid w:val="0070783B"/>
    <w:rsid w:val="00707BA1"/>
    <w:rsid w:val="0071169C"/>
    <w:rsid w:val="00720018"/>
    <w:rsid w:val="007204A4"/>
    <w:rsid w:val="00721255"/>
    <w:rsid w:val="00723DFC"/>
    <w:rsid w:val="0072519F"/>
    <w:rsid w:val="007305EC"/>
    <w:rsid w:val="00730604"/>
    <w:rsid w:val="00732D92"/>
    <w:rsid w:val="007330A4"/>
    <w:rsid w:val="0073594F"/>
    <w:rsid w:val="00735A6F"/>
    <w:rsid w:val="00736589"/>
    <w:rsid w:val="0073660E"/>
    <w:rsid w:val="00741AB9"/>
    <w:rsid w:val="007434E8"/>
    <w:rsid w:val="0074470C"/>
    <w:rsid w:val="0074732A"/>
    <w:rsid w:val="00751B27"/>
    <w:rsid w:val="007521C2"/>
    <w:rsid w:val="007558BE"/>
    <w:rsid w:val="0076022F"/>
    <w:rsid w:val="0076121D"/>
    <w:rsid w:val="00762B56"/>
    <w:rsid w:val="007659ED"/>
    <w:rsid w:val="00766F7E"/>
    <w:rsid w:val="007670CF"/>
    <w:rsid w:val="007678A7"/>
    <w:rsid w:val="00770DBA"/>
    <w:rsid w:val="0077263B"/>
    <w:rsid w:val="0077331B"/>
    <w:rsid w:val="00773B4D"/>
    <w:rsid w:val="0077648C"/>
    <w:rsid w:val="0077797E"/>
    <w:rsid w:val="00777F57"/>
    <w:rsid w:val="00787039"/>
    <w:rsid w:val="00792A2F"/>
    <w:rsid w:val="00792DD2"/>
    <w:rsid w:val="00793A1A"/>
    <w:rsid w:val="007940D7"/>
    <w:rsid w:val="00795754"/>
    <w:rsid w:val="00796004"/>
    <w:rsid w:val="00797538"/>
    <w:rsid w:val="0079798B"/>
    <w:rsid w:val="00797C81"/>
    <w:rsid w:val="007A2019"/>
    <w:rsid w:val="007B093C"/>
    <w:rsid w:val="007B3CDE"/>
    <w:rsid w:val="007C028B"/>
    <w:rsid w:val="007C1729"/>
    <w:rsid w:val="007C2052"/>
    <w:rsid w:val="007C5584"/>
    <w:rsid w:val="007C5E35"/>
    <w:rsid w:val="007C6019"/>
    <w:rsid w:val="007D1FCA"/>
    <w:rsid w:val="007D4EDD"/>
    <w:rsid w:val="007D7484"/>
    <w:rsid w:val="007E239D"/>
    <w:rsid w:val="007E7CDE"/>
    <w:rsid w:val="007F23B9"/>
    <w:rsid w:val="007F24EE"/>
    <w:rsid w:val="007F2A4F"/>
    <w:rsid w:val="007F7EF4"/>
    <w:rsid w:val="00802FED"/>
    <w:rsid w:val="00804E7C"/>
    <w:rsid w:val="00806EA8"/>
    <w:rsid w:val="00807DEB"/>
    <w:rsid w:val="00812E9D"/>
    <w:rsid w:val="00813DED"/>
    <w:rsid w:val="0081438F"/>
    <w:rsid w:val="00816E1B"/>
    <w:rsid w:val="0082040E"/>
    <w:rsid w:val="008207CE"/>
    <w:rsid w:val="0082574C"/>
    <w:rsid w:val="00827BAB"/>
    <w:rsid w:val="008404B8"/>
    <w:rsid w:val="0084280D"/>
    <w:rsid w:val="00844C78"/>
    <w:rsid w:val="0084653F"/>
    <w:rsid w:val="00846D91"/>
    <w:rsid w:val="00847CF8"/>
    <w:rsid w:val="0085129F"/>
    <w:rsid w:val="00854095"/>
    <w:rsid w:val="00854B48"/>
    <w:rsid w:val="00855160"/>
    <w:rsid w:val="00861CAC"/>
    <w:rsid w:val="008627AC"/>
    <w:rsid w:val="008660D4"/>
    <w:rsid w:val="00866D7C"/>
    <w:rsid w:val="008702A1"/>
    <w:rsid w:val="00870B8D"/>
    <w:rsid w:val="00872298"/>
    <w:rsid w:val="0087325B"/>
    <w:rsid w:val="008746D0"/>
    <w:rsid w:val="00876BEB"/>
    <w:rsid w:val="0088290D"/>
    <w:rsid w:val="00885361"/>
    <w:rsid w:val="0088780F"/>
    <w:rsid w:val="008901D7"/>
    <w:rsid w:val="00890205"/>
    <w:rsid w:val="008909E8"/>
    <w:rsid w:val="008927DC"/>
    <w:rsid w:val="00895FCB"/>
    <w:rsid w:val="008A0B1D"/>
    <w:rsid w:val="008A1C4D"/>
    <w:rsid w:val="008A35C6"/>
    <w:rsid w:val="008A3C7D"/>
    <w:rsid w:val="008B0864"/>
    <w:rsid w:val="008B0AB9"/>
    <w:rsid w:val="008B0EEF"/>
    <w:rsid w:val="008B135E"/>
    <w:rsid w:val="008B556E"/>
    <w:rsid w:val="008C0935"/>
    <w:rsid w:val="008C178B"/>
    <w:rsid w:val="008C3B2B"/>
    <w:rsid w:val="008C57F3"/>
    <w:rsid w:val="008C7092"/>
    <w:rsid w:val="008D0530"/>
    <w:rsid w:val="008D0BB0"/>
    <w:rsid w:val="008D7053"/>
    <w:rsid w:val="008D77FE"/>
    <w:rsid w:val="008E37EE"/>
    <w:rsid w:val="008E41CB"/>
    <w:rsid w:val="008E6A4F"/>
    <w:rsid w:val="008E79B1"/>
    <w:rsid w:val="008F1876"/>
    <w:rsid w:val="008F1B7A"/>
    <w:rsid w:val="008F21D9"/>
    <w:rsid w:val="008F5A9A"/>
    <w:rsid w:val="008F5F86"/>
    <w:rsid w:val="008F74BF"/>
    <w:rsid w:val="008F783F"/>
    <w:rsid w:val="00904DC0"/>
    <w:rsid w:val="00905AC0"/>
    <w:rsid w:val="00905C61"/>
    <w:rsid w:val="00913860"/>
    <w:rsid w:val="009155EC"/>
    <w:rsid w:val="00915AE0"/>
    <w:rsid w:val="009238A3"/>
    <w:rsid w:val="00925EDF"/>
    <w:rsid w:val="009310EA"/>
    <w:rsid w:val="00931AD5"/>
    <w:rsid w:val="00932CA6"/>
    <w:rsid w:val="00935F71"/>
    <w:rsid w:val="00941762"/>
    <w:rsid w:val="00946752"/>
    <w:rsid w:val="00950178"/>
    <w:rsid w:val="00952165"/>
    <w:rsid w:val="009605CC"/>
    <w:rsid w:val="0096160C"/>
    <w:rsid w:val="00961E1F"/>
    <w:rsid w:val="00965A50"/>
    <w:rsid w:val="00966A55"/>
    <w:rsid w:val="00966D0D"/>
    <w:rsid w:val="0096779F"/>
    <w:rsid w:val="009715F9"/>
    <w:rsid w:val="0097188E"/>
    <w:rsid w:val="0097294C"/>
    <w:rsid w:val="00972F27"/>
    <w:rsid w:val="009731B4"/>
    <w:rsid w:val="00973215"/>
    <w:rsid w:val="009732DE"/>
    <w:rsid w:val="009740AE"/>
    <w:rsid w:val="00975681"/>
    <w:rsid w:val="00976C28"/>
    <w:rsid w:val="00976FCC"/>
    <w:rsid w:val="009776D6"/>
    <w:rsid w:val="0098050D"/>
    <w:rsid w:val="009806F7"/>
    <w:rsid w:val="00980F55"/>
    <w:rsid w:val="00985C89"/>
    <w:rsid w:val="0098649F"/>
    <w:rsid w:val="0099067A"/>
    <w:rsid w:val="0099561F"/>
    <w:rsid w:val="00997037"/>
    <w:rsid w:val="0099799D"/>
    <w:rsid w:val="009A1197"/>
    <w:rsid w:val="009A260F"/>
    <w:rsid w:val="009A287D"/>
    <w:rsid w:val="009A36C3"/>
    <w:rsid w:val="009B1A60"/>
    <w:rsid w:val="009B39EA"/>
    <w:rsid w:val="009B624C"/>
    <w:rsid w:val="009C1031"/>
    <w:rsid w:val="009C364C"/>
    <w:rsid w:val="009C5A08"/>
    <w:rsid w:val="009C6227"/>
    <w:rsid w:val="009D4A84"/>
    <w:rsid w:val="009D7ED1"/>
    <w:rsid w:val="009E27C5"/>
    <w:rsid w:val="009E53EA"/>
    <w:rsid w:val="009E727C"/>
    <w:rsid w:val="009F4BEB"/>
    <w:rsid w:val="009F7216"/>
    <w:rsid w:val="00A0089E"/>
    <w:rsid w:val="00A01E7A"/>
    <w:rsid w:val="00A03334"/>
    <w:rsid w:val="00A03A1D"/>
    <w:rsid w:val="00A0504F"/>
    <w:rsid w:val="00A06200"/>
    <w:rsid w:val="00A10335"/>
    <w:rsid w:val="00A10FC4"/>
    <w:rsid w:val="00A1131E"/>
    <w:rsid w:val="00A12640"/>
    <w:rsid w:val="00A147ED"/>
    <w:rsid w:val="00A20571"/>
    <w:rsid w:val="00A22179"/>
    <w:rsid w:val="00A23D93"/>
    <w:rsid w:val="00A25007"/>
    <w:rsid w:val="00A25221"/>
    <w:rsid w:val="00A263A8"/>
    <w:rsid w:val="00A31E65"/>
    <w:rsid w:val="00A3294B"/>
    <w:rsid w:val="00A35495"/>
    <w:rsid w:val="00A35F4B"/>
    <w:rsid w:val="00A36E88"/>
    <w:rsid w:val="00A41B3F"/>
    <w:rsid w:val="00A45CB8"/>
    <w:rsid w:val="00A46B14"/>
    <w:rsid w:val="00A46BA4"/>
    <w:rsid w:val="00A47A9F"/>
    <w:rsid w:val="00A47DAE"/>
    <w:rsid w:val="00A5085A"/>
    <w:rsid w:val="00A52C3F"/>
    <w:rsid w:val="00A52D90"/>
    <w:rsid w:val="00A56E28"/>
    <w:rsid w:val="00A57E25"/>
    <w:rsid w:val="00A61286"/>
    <w:rsid w:val="00A63530"/>
    <w:rsid w:val="00A6440E"/>
    <w:rsid w:val="00A654AC"/>
    <w:rsid w:val="00A751EC"/>
    <w:rsid w:val="00A75715"/>
    <w:rsid w:val="00A80269"/>
    <w:rsid w:val="00A8056E"/>
    <w:rsid w:val="00A81B55"/>
    <w:rsid w:val="00A82214"/>
    <w:rsid w:val="00A84980"/>
    <w:rsid w:val="00A86834"/>
    <w:rsid w:val="00A86D1C"/>
    <w:rsid w:val="00A86DF8"/>
    <w:rsid w:val="00A912A3"/>
    <w:rsid w:val="00A92BE6"/>
    <w:rsid w:val="00A932E3"/>
    <w:rsid w:val="00A93701"/>
    <w:rsid w:val="00A9715E"/>
    <w:rsid w:val="00AA4F30"/>
    <w:rsid w:val="00AB2B90"/>
    <w:rsid w:val="00AB3529"/>
    <w:rsid w:val="00AB49F9"/>
    <w:rsid w:val="00AB520D"/>
    <w:rsid w:val="00AB5340"/>
    <w:rsid w:val="00AB68F9"/>
    <w:rsid w:val="00AB6C42"/>
    <w:rsid w:val="00AC560D"/>
    <w:rsid w:val="00AC63ED"/>
    <w:rsid w:val="00AD0CEA"/>
    <w:rsid w:val="00AE1473"/>
    <w:rsid w:val="00AE2432"/>
    <w:rsid w:val="00AE3F9D"/>
    <w:rsid w:val="00AE4CBE"/>
    <w:rsid w:val="00AE6DAC"/>
    <w:rsid w:val="00AE7CD5"/>
    <w:rsid w:val="00AF1521"/>
    <w:rsid w:val="00AF1744"/>
    <w:rsid w:val="00AF28DC"/>
    <w:rsid w:val="00AF633D"/>
    <w:rsid w:val="00B00D77"/>
    <w:rsid w:val="00B05E38"/>
    <w:rsid w:val="00B07A0D"/>
    <w:rsid w:val="00B10857"/>
    <w:rsid w:val="00B11185"/>
    <w:rsid w:val="00B135F7"/>
    <w:rsid w:val="00B13C6C"/>
    <w:rsid w:val="00B1402E"/>
    <w:rsid w:val="00B14212"/>
    <w:rsid w:val="00B20EAB"/>
    <w:rsid w:val="00B225E7"/>
    <w:rsid w:val="00B23C2A"/>
    <w:rsid w:val="00B24C51"/>
    <w:rsid w:val="00B25686"/>
    <w:rsid w:val="00B3402E"/>
    <w:rsid w:val="00B35815"/>
    <w:rsid w:val="00B35FF2"/>
    <w:rsid w:val="00B37CB6"/>
    <w:rsid w:val="00B4149D"/>
    <w:rsid w:val="00B41FD2"/>
    <w:rsid w:val="00B44815"/>
    <w:rsid w:val="00B46123"/>
    <w:rsid w:val="00B47931"/>
    <w:rsid w:val="00B47BCB"/>
    <w:rsid w:val="00B50ABF"/>
    <w:rsid w:val="00B553F3"/>
    <w:rsid w:val="00B55F9C"/>
    <w:rsid w:val="00B57DF6"/>
    <w:rsid w:val="00B612DF"/>
    <w:rsid w:val="00B6169D"/>
    <w:rsid w:val="00B61DEF"/>
    <w:rsid w:val="00B63F44"/>
    <w:rsid w:val="00B6418F"/>
    <w:rsid w:val="00B642B6"/>
    <w:rsid w:val="00B64E71"/>
    <w:rsid w:val="00B6644C"/>
    <w:rsid w:val="00B679EC"/>
    <w:rsid w:val="00B723E0"/>
    <w:rsid w:val="00B8136D"/>
    <w:rsid w:val="00B81B35"/>
    <w:rsid w:val="00B82837"/>
    <w:rsid w:val="00B86518"/>
    <w:rsid w:val="00B86EFB"/>
    <w:rsid w:val="00B87044"/>
    <w:rsid w:val="00BA000B"/>
    <w:rsid w:val="00BA0FBB"/>
    <w:rsid w:val="00BA381E"/>
    <w:rsid w:val="00BA3AF6"/>
    <w:rsid w:val="00BA4485"/>
    <w:rsid w:val="00BB3C4D"/>
    <w:rsid w:val="00BB7C56"/>
    <w:rsid w:val="00BC066F"/>
    <w:rsid w:val="00BC104E"/>
    <w:rsid w:val="00BC3D79"/>
    <w:rsid w:val="00BC4E3A"/>
    <w:rsid w:val="00BC60D2"/>
    <w:rsid w:val="00BC7C95"/>
    <w:rsid w:val="00BD0CD4"/>
    <w:rsid w:val="00BD1EAD"/>
    <w:rsid w:val="00BD4EB2"/>
    <w:rsid w:val="00BD6928"/>
    <w:rsid w:val="00BE08D5"/>
    <w:rsid w:val="00BE0CE1"/>
    <w:rsid w:val="00BE0FE5"/>
    <w:rsid w:val="00BE5BDC"/>
    <w:rsid w:val="00BE5C42"/>
    <w:rsid w:val="00BE6793"/>
    <w:rsid w:val="00BE747F"/>
    <w:rsid w:val="00BE7CE8"/>
    <w:rsid w:val="00BF2DE9"/>
    <w:rsid w:val="00BF3BE0"/>
    <w:rsid w:val="00BF710C"/>
    <w:rsid w:val="00C00060"/>
    <w:rsid w:val="00C0031E"/>
    <w:rsid w:val="00C0140B"/>
    <w:rsid w:val="00C02D48"/>
    <w:rsid w:val="00C04556"/>
    <w:rsid w:val="00C04A3D"/>
    <w:rsid w:val="00C170DF"/>
    <w:rsid w:val="00C17434"/>
    <w:rsid w:val="00C17A64"/>
    <w:rsid w:val="00C23583"/>
    <w:rsid w:val="00C24F14"/>
    <w:rsid w:val="00C25256"/>
    <w:rsid w:val="00C25617"/>
    <w:rsid w:val="00C2591D"/>
    <w:rsid w:val="00C3013B"/>
    <w:rsid w:val="00C3134C"/>
    <w:rsid w:val="00C334D6"/>
    <w:rsid w:val="00C357C2"/>
    <w:rsid w:val="00C35F50"/>
    <w:rsid w:val="00C36FAD"/>
    <w:rsid w:val="00C3713E"/>
    <w:rsid w:val="00C41B62"/>
    <w:rsid w:val="00C41F81"/>
    <w:rsid w:val="00C42796"/>
    <w:rsid w:val="00C43A69"/>
    <w:rsid w:val="00C47177"/>
    <w:rsid w:val="00C50769"/>
    <w:rsid w:val="00C50E28"/>
    <w:rsid w:val="00C6068A"/>
    <w:rsid w:val="00C627FA"/>
    <w:rsid w:val="00C62E27"/>
    <w:rsid w:val="00C63D0E"/>
    <w:rsid w:val="00C64878"/>
    <w:rsid w:val="00C75EFB"/>
    <w:rsid w:val="00C8002A"/>
    <w:rsid w:val="00C813B9"/>
    <w:rsid w:val="00C8357A"/>
    <w:rsid w:val="00C87282"/>
    <w:rsid w:val="00C938C6"/>
    <w:rsid w:val="00C95FFC"/>
    <w:rsid w:val="00C97489"/>
    <w:rsid w:val="00CA2C8F"/>
    <w:rsid w:val="00CA501B"/>
    <w:rsid w:val="00CA5CA6"/>
    <w:rsid w:val="00CA60A9"/>
    <w:rsid w:val="00CA7BC8"/>
    <w:rsid w:val="00CB0DB1"/>
    <w:rsid w:val="00CB1361"/>
    <w:rsid w:val="00CB2DE3"/>
    <w:rsid w:val="00CB30F6"/>
    <w:rsid w:val="00CB7DC9"/>
    <w:rsid w:val="00CC10F8"/>
    <w:rsid w:val="00CC2D84"/>
    <w:rsid w:val="00CC2E2E"/>
    <w:rsid w:val="00CC3F42"/>
    <w:rsid w:val="00CC4B2A"/>
    <w:rsid w:val="00CC4F88"/>
    <w:rsid w:val="00CC6F6C"/>
    <w:rsid w:val="00CC7230"/>
    <w:rsid w:val="00CD3C63"/>
    <w:rsid w:val="00CD7C94"/>
    <w:rsid w:val="00CE138A"/>
    <w:rsid w:val="00CE292A"/>
    <w:rsid w:val="00CE3BA4"/>
    <w:rsid w:val="00CE45FC"/>
    <w:rsid w:val="00CE4F6A"/>
    <w:rsid w:val="00CE62D4"/>
    <w:rsid w:val="00CF1043"/>
    <w:rsid w:val="00CF1C2B"/>
    <w:rsid w:val="00CF2052"/>
    <w:rsid w:val="00CF3DBD"/>
    <w:rsid w:val="00CF4159"/>
    <w:rsid w:val="00CF4E05"/>
    <w:rsid w:val="00CF529D"/>
    <w:rsid w:val="00D0004F"/>
    <w:rsid w:val="00D00E51"/>
    <w:rsid w:val="00D01492"/>
    <w:rsid w:val="00D0529C"/>
    <w:rsid w:val="00D059E1"/>
    <w:rsid w:val="00D10790"/>
    <w:rsid w:val="00D11302"/>
    <w:rsid w:val="00D1135A"/>
    <w:rsid w:val="00D13809"/>
    <w:rsid w:val="00D15940"/>
    <w:rsid w:val="00D21142"/>
    <w:rsid w:val="00D2148A"/>
    <w:rsid w:val="00D242C8"/>
    <w:rsid w:val="00D32189"/>
    <w:rsid w:val="00D323E1"/>
    <w:rsid w:val="00D331AD"/>
    <w:rsid w:val="00D3344B"/>
    <w:rsid w:val="00D35F54"/>
    <w:rsid w:val="00D37C36"/>
    <w:rsid w:val="00D40D9D"/>
    <w:rsid w:val="00D424FC"/>
    <w:rsid w:val="00D44F0B"/>
    <w:rsid w:val="00D45297"/>
    <w:rsid w:val="00D47E1E"/>
    <w:rsid w:val="00D51267"/>
    <w:rsid w:val="00D52922"/>
    <w:rsid w:val="00D56EA6"/>
    <w:rsid w:val="00D60073"/>
    <w:rsid w:val="00D600AE"/>
    <w:rsid w:val="00D60B49"/>
    <w:rsid w:val="00D619EA"/>
    <w:rsid w:val="00D6253D"/>
    <w:rsid w:val="00D66FC9"/>
    <w:rsid w:val="00D708A3"/>
    <w:rsid w:val="00D70907"/>
    <w:rsid w:val="00D70CBA"/>
    <w:rsid w:val="00D72BE2"/>
    <w:rsid w:val="00D72C7B"/>
    <w:rsid w:val="00D738A5"/>
    <w:rsid w:val="00D74413"/>
    <w:rsid w:val="00D76DFB"/>
    <w:rsid w:val="00D81757"/>
    <w:rsid w:val="00D81D92"/>
    <w:rsid w:val="00D825C0"/>
    <w:rsid w:val="00D86851"/>
    <w:rsid w:val="00D879E3"/>
    <w:rsid w:val="00D91C48"/>
    <w:rsid w:val="00D96C2E"/>
    <w:rsid w:val="00D97BD8"/>
    <w:rsid w:val="00DA19AF"/>
    <w:rsid w:val="00DA2361"/>
    <w:rsid w:val="00DA25A4"/>
    <w:rsid w:val="00DA3EE9"/>
    <w:rsid w:val="00DA54E4"/>
    <w:rsid w:val="00DA57E4"/>
    <w:rsid w:val="00DB19A9"/>
    <w:rsid w:val="00DB20C5"/>
    <w:rsid w:val="00DC0ECE"/>
    <w:rsid w:val="00DC2363"/>
    <w:rsid w:val="00DC70A5"/>
    <w:rsid w:val="00DC76EB"/>
    <w:rsid w:val="00DD0FBD"/>
    <w:rsid w:val="00DD41AC"/>
    <w:rsid w:val="00DE11D3"/>
    <w:rsid w:val="00DE187C"/>
    <w:rsid w:val="00DE6058"/>
    <w:rsid w:val="00DE66FB"/>
    <w:rsid w:val="00DE7A9C"/>
    <w:rsid w:val="00DF02DE"/>
    <w:rsid w:val="00DF2DDC"/>
    <w:rsid w:val="00DF400C"/>
    <w:rsid w:val="00DF4854"/>
    <w:rsid w:val="00DF557A"/>
    <w:rsid w:val="00DF6022"/>
    <w:rsid w:val="00E01584"/>
    <w:rsid w:val="00E044E4"/>
    <w:rsid w:val="00E052AA"/>
    <w:rsid w:val="00E06FB2"/>
    <w:rsid w:val="00E112BE"/>
    <w:rsid w:val="00E117C2"/>
    <w:rsid w:val="00E118E2"/>
    <w:rsid w:val="00E11BAE"/>
    <w:rsid w:val="00E163B3"/>
    <w:rsid w:val="00E17A06"/>
    <w:rsid w:val="00E20FA7"/>
    <w:rsid w:val="00E21A8B"/>
    <w:rsid w:val="00E23988"/>
    <w:rsid w:val="00E24594"/>
    <w:rsid w:val="00E2472F"/>
    <w:rsid w:val="00E256C5"/>
    <w:rsid w:val="00E30A14"/>
    <w:rsid w:val="00E31F5F"/>
    <w:rsid w:val="00E32468"/>
    <w:rsid w:val="00E354BD"/>
    <w:rsid w:val="00E36891"/>
    <w:rsid w:val="00E43AFA"/>
    <w:rsid w:val="00E45E8C"/>
    <w:rsid w:val="00E466F6"/>
    <w:rsid w:val="00E469F2"/>
    <w:rsid w:val="00E4705A"/>
    <w:rsid w:val="00E513EF"/>
    <w:rsid w:val="00E51D17"/>
    <w:rsid w:val="00E52E62"/>
    <w:rsid w:val="00E5314C"/>
    <w:rsid w:val="00E564FA"/>
    <w:rsid w:val="00E57F14"/>
    <w:rsid w:val="00E61EA0"/>
    <w:rsid w:val="00E66A1E"/>
    <w:rsid w:val="00E66B70"/>
    <w:rsid w:val="00E67197"/>
    <w:rsid w:val="00E67C8F"/>
    <w:rsid w:val="00E71A76"/>
    <w:rsid w:val="00E71AB8"/>
    <w:rsid w:val="00E72044"/>
    <w:rsid w:val="00E74200"/>
    <w:rsid w:val="00E772BA"/>
    <w:rsid w:val="00E802D3"/>
    <w:rsid w:val="00E81530"/>
    <w:rsid w:val="00E82743"/>
    <w:rsid w:val="00E83703"/>
    <w:rsid w:val="00E85D3A"/>
    <w:rsid w:val="00E86249"/>
    <w:rsid w:val="00E916CE"/>
    <w:rsid w:val="00E9312E"/>
    <w:rsid w:val="00E95536"/>
    <w:rsid w:val="00EA15E1"/>
    <w:rsid w:val="00EA27CC"/>
    <w:rsid w:val="00EA78F2"/>
    <w:rsid w:val="00EA7CE1"/>
    <w:rsid w:val="00EB3170"/>
    <w:rsid w:val="00EB41D3"/>
    <w:rsid w:val="00EB45BF"/>
    <w:rsid w:val="00EB70DF"/>
    <w:rsid w:val="00EB72EE"/>
    <w:rsid w:val="00EB7A64"/>
    <w:rsid w:val="00EB7CDA"/>
    <w:rsid w:val="00EC0B36"/>
    <w:rsid w:val="00EC12F7"/>
    <w:rsid w:val="00EC1765"/>
    <w:rsid w:val="00EC1C44"/>
    <w:rsid w:val="00EC6087"/>
    <w:rsid w:val="00EC6D54"/>
    <w:rsid w:val="00ED3648"/>
    <w:rsid w:val="00ED50F0"/>
    <w:rsid w:val="00ED53F4"/>
    <w:rsid w:val="00EE6BA4"/>
    <w:rsid w:val="00EF1207"/>
    <w:rsid w:val="00EF1886"/>
    <w:rsid w:val="00EF24D8"/>
    <w:rsid w:val="00EF266F"/>
    <w:rsid w:val="00EF2C71"/>
    <w:rsid w:val="00EF3E8D"/>
    <w:rsid w:val="00EF760E"/>
    <w:rsid w:val="00F000F6"/>
    <w:rsid w:val="00F02E29"/>
    <w:rsid w:val="00F049D0"/>
    <w:rsid w:val="00F07D29"/>
    <w:rsid w:val="00F07DD9"/>
    <w:rsid w:val="00F10526"/>
    <w:rsid w:val="00F2569C"/>
    <w:rsid w:val="00F26F19"/>
    <w:rsid w:val="00F2709A"/>
    <w:rsid w:val="00F322CC"/>
    <w:rsid w:val="00F322F9"/>
    <w:rsid w:val="00F34B50"/>
    <w:rsid w:val="00F3547C"/>
    <w:rsid w:val="00F35A80"/>
    <w:rsid w:val="00F35C36"/>
    <w:rsid w:val="00F368EB"/>
    <w:rsid w:val="00F372AE"/>
    <w:rsid w:val="00F3759B"/>
    <w:rsid w:val="00F43533"/>
    <w:rsid w:val="00F4388E"/>
    <w:rsid w:val="00F5115E"/>
    <w:rsid w:val="00F53106"/>
    <w:rsid w:val="00F60434"/>
    <w:rsid w:val="00F61CA1"/>
    <w:rsid w:val="00F632BC"/>
    <w:rsid w:val="00F64648"/>
    <w:rsid w:val="00F6537B"/>
    <w:rsid w:val="00F65CCF"/>
    <w:rsid w:val="00F672FE"/>
    <w:rsid w:val="00F7073C"/>
    <w:rsid w:val="00F77455"/>
    <w:rsid w:val="00F85E6D"/>
    <w:rsid w:val="00F86D79"/>
    <w:rsid w:val="00F91B33"/>
    <w:rsid w:val="00F94814"/>
    <w:rsid w:val="00F95409"/>
    <w:rsid w:val="00F95DA1"/>
    <w:rsid w:val="00F96809"/>
    <w:rsid w:val="00F97DBC"/>
    <w:rsid w:val="00FA0477"/>
    <w:rsid w:val="00FA1CEF"/>
    <w:rsid w:val="00FA5267"/>
    <w:rsid w:val="00FB059C"/>
    <w:rsid w:val="00FB05F8"/>
    <w:rsid w:val="00FB0CFA"/>
    <w:rsid w:val="00FB52BB"/>
    <w:rsid w:val="00FC4478"/>
    <w:rsid w:val="00FC68DC"/>
    <w:rsid w:val="00FC69D6"/>
    <w:rsid w:val="00FD4AE9"/>
    <w:rsid w:val="00FD5B74"/>
    <w:rsid w:val="00FD6466"/>
    <w:rsid w:val="00FE3B1D"/>
    <w:rsid w:val="00FE7850"/>
    <w:rsid w:val="00FF2380"/>
    <w:rsid w:val="00FF5822"/>
    <w:rsid w:val="00FF6518"/>
    <w:rsid w:val="00FF71BF"/>
    <w:rsid w:val="00FF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1F9C8"/>
  <w15:docId w15:val="{CD146930-9318-4F42-AEFA-7675BB2C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C0"/>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5C0"/>
    <w:pPr>
      <w:jc w:val="both"/>
    </w:pPr>
    <w:rPr>
      <w:rFonts w:ascii="Times New Roman" w:eastAsia="Times New Roman" w:hAnsi="Times New Roman" w:cs="Times New Roman"/>
      <w:b/>
      <w:bCs/>
      <w:lang w:val="en-GB" w:eastAsia="hu-HU"/>
    </w:rPr>
  </w:style>
  <w:style w:type="character" w:customStyle="1" w:styleId="BodyTextChar">
    <w:name w:val="Body Text Char"/>
    <w:basedOn w:val="DefaultParagraphFont"/>
    <w:link w:val="BodyText"/>
    <w:rsid w:val="00D825C0"/>
    <w:rPr>
      <w:rFonts w:ascii="Times New Roman" w:eastAsia="Times New Roman" w:hAnsi="Times New Roman" w:cs="Times New Roman"/>
      <w:b/>
      <w:bCs/>
      <w:lang w:val="en-GB" w:eastAsia="hu-HU"/>
    </w:rPr>
  </w:style>
  <w:style w:type="character" w:styleId="Hyperlink">
    <w:name w:val="Hyperlink"/>
    <w:basedOn w:val="DefaultParagraphFont"/>
    <w:uiPriority w:val="99"/>
    <w:unhideWhenUsed/>
    <w:rsid w:val="001404F7"/>
    <w:rPr>
      <w:color w:val="0000FF" w:themeColor="hyperlink"/>
      <w:u w:val="single"/>
    </w:rPr>
  </w:style>
  <w:style w:type="paragraph" w:styleId="Header">
    <w:name w:val="header"/>
    <w:basedOn w:val="Normal"/>
    <w:link w:val="HeaderChar"/>
    <w:uiPriority w:val="99"/>
    <w:unhideWhenUsed/>
    <w:rsid w:val="00806EA8"/>
    <w:pPr>
      <w:tabs>
        <w:tab w:val="center" w:pos="4153"/>
        <w:tab w:val="right" w:pos="8306"/>
      </w:tabs>
    </w:pPr>
  </w:style>
  <w:style w:type="character" w:customStyle="1" w:styleId="HeaderChar">
    <w:name w:val="Header Char"/>
    <w:basedOn w:val="DefaultParagraphFont"/>
    <w:link w:val="Header"/>
    <w:uiPriority w:val="99"/>
    <w:rsid w:val="00806EA8"/>
    <w:rPr>
      <w:lang w:val="hu-HU"/>
    </w:rPr>
  </w:style>
  <w:style w:type="character" w:styleId="PageNumber">
    <w:name w:val="page number"/>
    <w:basedOn w:val="DefaultParagraphFont"/>
    <w:uiPriority w:val="99"/>
    <w:semiHidden/>
    <w:unhideWhenUsed/>
    <w:rsid w:val="00806EA8"/>
  </w:style>
  <w:style w:type="paragraph" w:styleId="Footer">
    <w:name w:val="footer"/>
    <w:basedOn w:val="Normal"/>
    <w:link w:val="FooterChar"/>
    <w:uiPriority w:val="99"/>
    <w:unhideWhenUsed/>
    <w:rsid w:val="00806EA8"/>
    <w:pPr>
      <w:tabs>
        <w:tab w:val="center" w:pos="4153"/>
        <w:tab w:val="right" w:pos="8306"/>
      </w:tabs>
    </w:pPr>
  </w:style>
  <w:style w:type="character" w:customStyle="1" w:styleId="FooterChar">
    <w:name w:val="Footer Char"/>
    <w:basedOn w:val="DefaultParagraphFont"/>
    <w:link w:val="Footer"/>
    <w:uiPriority w:val="99"/>
    <w:rsid w:val="00806EA8"/>
    <w:rPr>
      <w:lang w:val="hu-HU"/>
    </w:rPr>
  </w:style>
  <w:style w:type="character" w:styleId="CommentReference">
    <w:name w:val="annotation reference"/>
    <w:basedOn w:val="DefaultParagraphFont"/>
    <w:unhideWhenUsed/>
    <w:rsid w:val="00385A55"/>
    <w:rPr>
      <w:sz w:val="18"/>
      <w:szCs w:val="18"/>
    </w:rPr>
  </w:style>
  <w:style w:type="paragraph" w:styleId="CommentText">
    <w:name w:val="annotation text"/>
    <w:basedOn w:val="Normal"/>
    <w:link w:val="CommentTextChar"/>
    <w:unhideWhenUsed/>
    <w:rsid w:val="00385A55"/>
  </w:style>
  <w:style w:type="character" w:customStyle="1" w:styleId="CommentTextChar">
    <w:name w:val="Comment Text Char"/>
    <w:basedOn w:val="DefaultParagraphFont"/>
    <w:link w:val="CommentText"/>
    <w:rsid w:val="00385A55"/>
    <w:rPr>
      <w:lang w:val="hu-HU"/>
    </w:rPr>
  </w:style>
  <w:style w:type="paragraph" w:styleId="BalloonText">
    <w:name w:val="Balloon Text"/>
    <w:basedOn w:val="Normal"/>
    <w:link w:val="BalloonTextChar"/>
    <w:uiPriority w:val="99"/>
    <w:semiHidden/>
    <w:unhideWhenUsed/>
    <w:rsid w:val="00385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A55"/>
    <w:rPr>
      <w:rFonts w:ascii="Lucida Grande" w:hAnsi="Lucida Grande" w:cs="Lucida Grande"/>
      <w:sz w:val="18"/>
      <w:szCs w:val="18"/>
      <w:lang w:val="hu-HU"/>
    </w:rPr>
  </w:style>
  <w:style w:type="paragraph" w:styleId="CommentSubject">
    <w:name w:val="annotation subject"/>
    <w:basedOn w:val="CommentText"/>
    <w:next w:val="CommentText"/>
    <w:link w:val="CommentSubjectChar"/>
    <w:uiPriority w:val="99"/>
    <w:semiHidden/>
    <w:unhideWhenUsed/>
    <w:rsid w:val="006307FE"/>
    <w:rPr>
      <w:b/>
      <w:bCs/>
      <w:sz w:val="20"/>
      <w:szCs w:val="20"/>
    </w:rPr>
  </w:style>
  <w:style w:type="character" w:customStyle="1" w:styleId="CommentSubjectChar">
    <w:name w:val="Comment Subject Char"/>
    <w:basedOn w:val="CommentTextChar"/>
    <w:link w:val="CommentSubject"/>
    <w:uiPriority w:val="99"/>
    <w:semiHidden/>
    <w:rsid w:val="006307FE"/>
    <w:rPr>
      <w:b/>
      <w:bCs/>
      <w:sz w:val="20"/>
      <w:szCs w:val="20"/>
      <w:lang w:val="hu-HU"/>
    </w:rPr>
  </w:style>
  <w:style w:type="paragraph" w:styleId="Revision">
    <w:name w:val="Revision"/>
    <w:hidden/>
    <w:uiPriority w:val="99"/>
    <w:semiHidden/>
    <w:rsid w:val="005E0421"/>
    <w:rPr>
      <w:lang w:val="hu-HU"/>
    </w:rPr>
  </w:style>
  <w:style w:type="character" w:customStyle="1" w:styleId="apple-converted-space">
    <w:name w:val="apple-converted-space"/>
    <w:basedOn w:val="DefaultParagraphFont"/>
    <w:rsid w:val="000C29D3"/>
  </w:style>
  <w:style w:type="paragraph" w:styleId="ListParagraph">
    <w:name w:val="List Paragraph"/>
    <w:basedOn w:val="Normal"/>
    <w:uiPriority w:val="34"/>
    <w:qFormat/>
    <w:rsid w:val="00F02E29"/>
    <w:pPr>
      <w:ind w:left="720"/>
      <w:contextualSpacing/>
    </w:pPr>
  </w:style>
  <w:style w:type="paragraph" w:styleId="NormalWeb">
    <w:name w:val="Normal (Web)"/>
    <w:basedOn w:val="Normal"/>
    <w:uiPriority w:val="99"/>
    <w:unhideWhenUsed/>
    <w:rsid w:val="0088290D"/>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882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p.maria@med.unide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F63E-9F7F-469B-B75E-6C788D77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29074</Words>
  <Characters>165724</Characters>
  <Application>Microsoft Office Word</Application>
  <DocSecurity>0</DocSecurity>
  <Lines>1381</Lines>
  <Paragraphs>388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DEOEC</Company>
  <LinksUpToDate>false</LinksUpToDate>
  <CharactersWithSpaces>194410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Papp</dc:creator>
  <cp:keywords/>
  <dc:description/>
  <cp:lastModifiedBy>Na Ma</cp:lastModifiedBy>
  <cp:revision>2</cp:revision>
  <dcterms:created xsi:type="dcterms:W3CDTF">2017-06-17T17:31:00Z</dcterms:created>
  <dcterms:modified xsi:type="dcterms:W3CDTF">2017-06-17T17:31:00Z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7d5f0e66-952d-3046-8ef9-dd2e2221a139</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http://csl.mendeley.com/styles/28546801/harvard-cite-them-right</vt:lpwstr>
  </property>
  <property fmtid="{D5CDD505-2E9C-101B-9397-08002B2CF9AE}" pid="10" name="Mendeley Recent Style Name 2_1">
    <vt:lpwstr>Cite Them Right 9th edition - Harvard - Tamas Tornai</vt:lpwstr>
  </property>
  <property fmtid="{D5CDD505-2E9C-101B-9397-08002B2CF9AE}" pid="11" name="Mendeley Recent Style Id 3_1">
    <vt:lpwstr>http://csl.mendeley.com/styles/28546801/harvard-cite-them-right-2TT</vt:lpwstr>
  </property>
  <property fmtid="{D5CDD505-2E9C-101B-9397-08002B2CF9AE}" pid="12" name="Mendeley Recent Style Name 3_1">
    <vt:lpwstr>Cite Them Right 9th edition - Harvard - Tamas Tornai</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http://www.zotero.org/styles/liver-international</vt:lpwstr>
  </property>
  <property fmtid="{D5CDD505-2E9C-101B-9397-08002B2CF9AE}" pid="16" name="Mendeley Recent Style Name 5_1">
    <vt:lpwstr>Liver International</vt:lpwstr>
  </property>
  <property fmtid="{D5CDD505-2E9C-101B-9397-08002B2CF9AE}" pid="17" name="Mendeley Recent Style Id 6_1">
    <vt:lpwstr>http://csl.mendeley.com/styles/28546801/liver-international-2017tt</vt:lpwstr>
  </property>
  <property fmtid="{D5CDD505-2E9C-101B-9397-08002B2CF9AE}" pid="18" name="Mendeley Recent Style Name 6_1">
    <vt:lpwstr>Liver International - Tamas Tornai</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