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50819" w14:textId="3CDFF3DB" w:rsidR="00E30634" w:rsidRPr="00B727B0" w:rsidRDefault="00E30634" w:rsidP="007312CD">
      <w:pPr>
        <w:adjustRightInd w:val="0"/>
        <w:snapToGrid w:val="0"/>
        <w:spacing w:after="0" w:line="360" w:lineRule="auto"/>
        <w:jc w:val="both"/>
        <w:rPr>
          <w:rFonts w:ascii="Book Antiqua" w:hAnsi="Book Antiqua"/>
          <w:b/>
          <w:sz w:val="24"/>
          <w:szCs w:val="24"/>
        </w:rPr>
      </w:pPr>
      <w:bookmarkStart w:id="0" w:name="OLE_LINK903"/>
      <w:bookmarkStart w:id="1" w:name="OLE_LINK904"/>
      <w:bookmarkStart w:id="2" w:name="OLE_LINK458"/>
      <w:bookmarkStart w:id="3" w:name="OLE_LINK462"/>
      <w:bookmarkStart w:id="4" w:name="OLE_LINK478"/>
      <w:bookmarkStart w:id="5" w:name="OLE_LINK661"/>
      <w:bookmarkStart w:id="6" w:name="OLE_LINK663"/>
      <w:bookmarkStart w:id="7" w:name="OLE_LINK858"/>
      <w:bookmarkStart w:id="8" w:name="OLE_LINK852"/>
      <w:bookmarkStart w:id="9" w:name="OLE_LINK944"/>
      <w:bookmarkStart w:id="10" w:name="OLE_LINK1028"/>
      <w:bookmarkStart w:id="11" w:name="OLE_LINK1050"/>
      <w:bookmarkStart w:id="12" w:name="OLE_LINK1056"/>
      <w:bookmarkStart w:id="13" w:name="OLE_LINK1078"/>
      <w:bookmarkStart w:id="14" w:name="OLE_LINK1095"/>
      <w:bookmarkStart w:id="15" w:name="OLE_LINK163"/>
      <w:bookmarkStart w:id="16" w:name="OLE_LINK1105"/>
      <w:bookmarkStart w:id="17" w:name="OLE_LINK1133"/>
      <w:bookmarkStart w:id="18" w:name="OLE_LINK1150"/>
      <w:bookmarkStart w:id="19" w:name="OLE_LINK1195"/>
      <w:r w:rsidRPr="00B727B0">
        <w:rPr>
          <w:rFonts w:ascii="Book Antiqua" w:hAnsi="Book Antiqua"/>
          <w:b/>
          <w:sz w:val="24"/>
          <w:szCs w:val="24"/>
        </w:rPr>
        <w:t xml:space="preserve">Name of Journal: </w:t>
      </w:r>
      <w:r w:rsidRPr="00B727B0">
        <w:rPr>
          <w:rFonts w:ascii="Book Antiqua" w:hAnsi="Book Antiqua"/>
          <w:b/>
          <w:i/>
          <w:sz w:val="24"/>
          <w:szCs w:val="24"/>
        </w:rPr>
        <w:t>World Journal of Transplantation</w:t>
      </w:r>
    </w:p>
    <w:bookmarkEnd w:id="0"/>
    <w:bookmarkEnd w:id="1"/>
    <w:p w14:paraId="39A49F31" w14:textId="5E5F1DFF" w:rsidR="00E30634" w:rsidRPr="00B727B0" w:rsidRDefault="00E30634" w:rsidP="007312CD">
      <w:pPr>
        <w:adjustRightInd w:val="0"/>
        <w:snapToGrid w:val="0"/>
        <w:spacing w:after="0" w:line="360" w:lineRule="auto"/>
        <w:jc w:val="both"/>
        <w:rPr>
          <w:rFonts w:ascii="Book Antiqua" w:eastAsia="宋体" w:hAnsi="Book Antiqua"/>
          <w:b/>
          <w:sz w:val="24"/>
          <w:szCs w:val="24"/>
          <w:lang w:eastAsia="zh-CN"/>
        </w:rPr>
      </w:pPr>
      <w:r w:rsidRPr="00B727B0">
        <w:rPr>
          <w:rFonts w:ascii="Book Antiqua" w:hAnsi="Book Antiqua"/>
          <w:b/>
          <w:sz w:val="24"/>
          <w:szCs w:val="24"/>
        </w:rPr>
        <w:t xml:space="preserve">Manuscript NO: </w:t>
      </w:r>
      <w:r w:rsidRPr="00B727B0">
        <w:rPr>
          <w:rFonts w:ascii="Book Antiqua" w:eastAsia="宋体" w:hAnsi="Book Antiqua"/>
          <w:b/>
          <w:sz w:val="24"/>
          <w:szCs w:val="24"/>
          <w:lang w:eastAsia="zh-CN"/>
        </w:rPr>
        <w:t>34574</w:t>
      </w:r>
    </w:p>
    <w:p w14:paraId="7B7BFB28" w14:textId="3121BD53" w:rsidR="00E30634" w:rsidRPr="00B727B0" w:rsidRDefault="00E30634" w:rsidP="007312CD">
      <w:pPr>
        <w:adjustRightInd w:val="0"/>
        <w:snapToGrid w:val="0"/>
        <w:spacing w:after="0" w:line="360" w:lineRule="auto"/>
        <w:jc w:val="both"/>
        <w:rPr>
          <w:rFonts w:ascii="Book Antiqua" w:hAnsi="Book Antiqua"/>
          <w:b/>
          <w:sz w:val="24"/>
          <w:szCs w:val="24"/>
        </w:rPr>
      </w:pPr>
      <w:bookmarkStart w:id="20" w:name="OLE_LINK1617"/>
      <w:bookmarkStart w:id="21" w:name="OLE_LINK1618"/>
      <w:r w:rsidRPr="00B727B0">
        <w:rPr>
          <w:rFonts w:ascii="Book Antiqua" w:hAnsi="Book Antiqua"/>
          <w:b/>
          <w:sz w:val="24"/>
          <w:szCs w:val="24"/>
        </w:rPr>
        <w:t xml:space="preserve">Manuscript Type: </w:t>
      </w:r>
      <w:bookmarkEnd w:id="20"/>
      <w:bookmarkEnd w:id="21"/>
      <w:r w:rsidRPr="00B727B0">
        <w:rPr>
          <w:rFonts w:ascii="Book Antiqua" w:hAnsi="Book Antiqua"/>
          <w:b/>
          <w:sz w:val="24"/>
          <w:szCs w:val="24"/>
        </w:rPr>
        <w:t>Review</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7F2D8BE6" w14:textId="77777777" w:rsidR="00E30634" w:rsidRPr="00B727B0" w:rsidRDefault="00E30634" w:rsidP="007312CD">
      <w:pPr>
        <w:adjustRightInd w:val="0"/>
        <w:snapToGrid w:val="0"/>
        <w:spacing w:after="0" w:line="360" w:lineRule="auto"/>
        <w:ind w:firstLine="720"/>
        <w:jc w:val="both"/>
        <w:rPr>
          <w:rFonts w:ascii="Book Antiqua" w:eastAsia="宋体" w:hAnsi="Book Antiqua" w:cstheme="majorBidi"/>
          <w:color w:val="26282A"/>
          <w:sz w:val="24"/>
          <w:szCs w:val="24"/>
          <w:lang w:eastAsia="zh-CN"/>
        </w:rPr>
      </w:pPr>
    </w:p>
    <w:p w14:paraId="08FF59AA" w14:textId="13037B94" w:rsidR="00C6185A" w:rsidRPr="00B727B0" w:rsidRDefault="00C6185A" w:rsidP="007312CD">
      <w:pPr>
        <w:adjustRightInd w:val="0"/>
        <w:snapToGrid w:val="0"/>
        <w:spacing w:after="0" w:line="360" w:lineRule="auto"/>
        <w:jc w:val="both"/>
        <w:rPr>
          <w:rFonts w:ascii="Book Antiqua" w:eastAsia="宋体" w:hAnsi="Book Antiqua" w:cstheme="majorBidi"/>
          <w:b/>
          <w:color w:val="26282A"/>
          <w:sz w:val="24"/>
          <w:szCs w:val="24"/>
          <w:lang w:eastAsia="zh-CN"/>
        </w:rPr>
      </w:pPr>
      <w:bookmarkStart w:id="22" w:name="OLE_LINK1162"/>
      <w:bookmarkStart w:id="23" w:name="OLE_LINK1163"/>
      <w:r w:rsidRPr="00B727B0">
        <w:rPr>
          <w:rFonts w:ascii="Book Antiqua" w:hAnsi="Book Antiqua" w:cstheme="majorBidi"/>
          <w:b/>
          <w:color w:val="26282A"/>
          <w:sz w:val="24"/>
          <w:szCs w:val="24"/>
        </w:rPr>
        <w:t xml:space="preserve">Recurrence of </w:t>
      </w:r>
      <w:r w:rsidR="00E30634" w:rsidRPr="00B727B0">
        <w:rPr>
          <w:rFonts w:ascii="Book Antiqua" w:hAnsi="Book Antiqua" w:cstheme="majorBidi"/>
          <w:b/>
          <w:color w:val="26282A"/>
          <w:sz w:val="24"/>
          <w:szCs w:val="24"/>
        </w:rPr>
        <w:t>primary glomerulonephritis</w:t>
      </w:r>
      <w:r w:rsidR="00E30634" w:rsidRPr="00B727B0">
        <w:rPr>
          <w:rFonts w:ascii="Book Antiqua" w:eastAsia="宋体" w:hAnsi="Book Antiqua" w:cstheme="majorBidi"/>
          <w:b/>
          <w:color w:val="26282A"/>
          <w:sz w:val="24"/>
          <w:szCs w:val="24"/>
          <w:lang w:eastAsia="zh-CN"/>
        </w:rPr>
        <w:t xml:space="preserve">: </w:t>
      </w:r>
      <w:r w:rsidRPr="00B727B0">
        <w:rPr>
          <w:rFonts w:ascii="Book Antiqua" w:hAnsi="Book Antiqua" w:cstheme="majorBidi"/>
          <w:b/>
          <w:color w:val="26282A"/>
          <w:sz w:val="24"/>
          <w:szCs w:val="24"/>
        </w:rPr>
        <w:t xml:space="preserve">Review of </w:t>
      </w:r>
      <w:r w:rsidR="00E30634" w:rsidRPr="00B727B0">
        <w:rPr>
          <w:rFonts w:ascii="Book Antiqua" w:hAnsi="Book Antiqua" w:cstheme="majorBidi"/>
          <w:b/>
          <w:color w:val="26282A"/>
          <w:sz w:val="24"/>
          <w:szCs w:val="24"/>
        </w:rPr>
        <w:t>the current evidence</w:t>
      </w:r>
    </w:p>
    <w:bookmarkEnd w:id="22"/>
    <w:bookmarkEnd w:id="23"/>
    <w:p w14:paraId="67122634" w14:textId="77777777" w:rsidR="00E30634" w:rsidRPr="00B727B0" w:rsidRDefault="00E30634" w:rsidP="007312CD">
      <w:pPr>
        <w:adjustRightInd w:val="0"/>
        <w:snapToGrid w:val="0"/>
        <w:spacing w:after="0" w:line="360" w:lineRule="auto"/>
        <w:ind w:firstLine="720"/>
        <w:jc w:val="both"/>
        <w:rPr>
          <w:rFonts w:ascii="Book Antiqua" w:eastAsia="宋体" w:hAnsi="Book Antiqua" w:cstheme="majorBidi"/>
          <w:color w:val="26282A"/>
          <w:sz w:val="24"/>
          <w:szCs w:val="24"/>
          <w:lang w:eastAsia="zh-CN"/>
        </w:rPr>
      </w:pPr>
    </w:p>
    <w:p w14:paraId="0AE931E2" w14:textId="0237513C" w:rsidR="00770278" w:rsidRPr="00B727B0" w:rsidRDefault="00770278" w:rsidP="007312CD">
      <w:pPr>
        <w:adjustRightInd w:val="0"/>
        <w:snapToGrid w:val="0"/>
        <w:spacing w:after="0" w:line="360" w:lineRule="auto"/>
        <w:jc w:val="both"/>
        <w:rPr>
          <w:rFonts w:ascii="Book Antiqua" w:eastAsia="宋体" w:hAnsi="Book Antiqua" w:cs="Helvetica"/>
          <w:color w:val="26282A"/>
          <w:sz w:val="24"/>
          <w:szCs w:val="24"/>
          <w:lang w:eastAsia="zh-CN"/>
        </w:rPr>
      </w:pPr>
      <w:r w:rsidRPr="00B727B0">
        <w:rPr>
          <w:rFonts w:ascii="Book Antiqua" w:hAnsi="Book Antiqua" w:cs="Times New Roman"/>
          <w:sz w:val="24"/>
          <w:szCs w:val="24"/>
          <w:bdr w:val="none" w:sz="0" w:space="0" w:color="auto" w:frame="1"/>
        </w:rPr>
        <w:t>Abbas</w:t>
      </w:r>
      <w:r w:rsidRPr="00B727B0">
        <w:rPr>
          <w:rFonts w:ascii="Book Antiqua" w:eastAsia="宋体" w:hAnsi="Book Antiqua" w:cs="Times New Roman"/>
          <w:sz w:val="24"/>
          <w:szCs w:val="24"/>
          <w:bdr w:val="none" w:sz="0" w:space="0" w:color="auto" w:frame="1"/>
          <w:lang w:eastAsia="zh-CN"/>
        </w:rPr>
        <w:t xml:space="preserve"> F </w:t>
      </w:r>
      <w:r w:rsidR="00DF361A" w:rsidRPr="00B727B0">
        <w:rPr>
          <w:rFonts w:ascii="Book Antiqua" w:eastAsia="宋体" w:hAnsi="Book Antiqua" w:cs="Times New Roman"/>
          <w:i/>
          <w:sz w:val="24"/>
          <w:szCs w:val="24"/>
          <w:bdr w:val="none" w:sz="0" w:space="0" w:color="auto" w:frame="1"/>
          <w:lang w:eastAsia="zh-CN"/>
        </w:rPr>
        <w:t>et al</w:t>
      </w:r>
      <w:r w:rsidRPr="00B727B0">
        <w:rPr>
          <w:rFonts w:ascii="Book Antiqua" w:eastAsia="宋体" w:hAnsi="Book Antiqua" w:cs="Times New Roman"/>
          <w:sz w:val="24"/>
          <w:szCs w:val="24"/>
          <w:bdr w:val="none" w:sz="0" w:space="0" w:color="auto" w:frame="1"/>
          <w:lang w:eastAsia="zh-CN"/>
        </w:rPr>
        <w:t>.</w:t>
      </w:r>
      <w:r w:rsidRPr="00B727B0">
        <w:rPr>
          <w:rFonts w:ascii="Book Antiqua" w:hAnsi="Book Antiqua" w:cs="Helvetica"/>
          <w:color w:val="26282A"/>
          <w:sz w:val="24"/>
          <w:szCs w:val="24"/>
        </w:rPr>
        <w:t xml:space="preserve"> Recurrence of primary glomerulonephritis</w:t>
      </w:r>
    </w:p>
    <w:p w14:paraId="0C24288E" w14:textId="77777777" w:rsidR="00770278" w:rsidRPr="00B727B0" w:rsidRDefault="00770278" w:rsidP="007312CD">
      <w:pPr>
        <w:adjustRightInd w:val="0"/>
        <w:snapToGrid w:val="0"/>
        <w:spacing w:after="0" w:line="360" w:lineRule="auto"/>
        <w:ind w:firstLine="720"/>
        <w:jc w:val="both"/>
        <w:rPr>
          <w:rFonts w:ascii="Book Antiqua" w:eastAsia="宋体" w:hAnsi="Book Antiqua" w:cstheme="majorBidi"/>
          <w:color w:val="26282A"/>
          <w:sz w:val="24"/>
          <w:szCs w:val="24"/>
          <w:lang w:eastAsia="zh-CN"/>
        </w:rPr>
      </w:pPr>
    </w:p>
    <w:p w14:paraId="5D16703C" w14:textId="6B318026" w:rsidR="00C86435" w:rsidRPr="00B727B0" w:rsidRDefault="00C86435" w:rsidP="007312CD">
      <w:pPr>
        <w:adjustRightInd w:val="0"/>
        <w:snapToGrid w:val="0"/>
        <w:spacing w:after="0" w:line="360" w:lineRule="auto"/>
        <w:jc w:val="both"/>
        <w:rPr>
          <w:rFonts w:ascii="Book Antiqua" w:hAnsi="Book Antiqua" w:cstheme="majorBidi"/>
          <w:b/>
          <w:bCs/>
          <w:sz w:val="24"/>
          <w:szCs w:val="24"/>
        </w:rPr>
      </w:pPr>
      <w:bookmarkStart w:id="24" w:name="OLE_LINK1165"/>
      <w:bookmarkStart w:id="25" w:name="OLE_LINK1166"/>
      <w:r w:rsidRPr="00B727B0">
        <w:rPr>
          <w:rFonts w:ascii="Book Antiqua" w:hAnsi="Book Antiqua" w:cstheme="majorBidi"/>
          <w:b/>
          <w:sz w:val="24"/>
          <w:szCs w:val="24"/>
          <w:bdr w:val="none" w:sz="0" w:space="0" w:color="auto" w:frame="1"/>
        </w:rPr>
        <w:t>Fedaey Abbas</w:t>
      </w:r>
      <w:bookmarkEnd w:id="24"/>
      <w:bookmarkEnd w:id="25"/>
      <w:r w:rsidRPr="00B727B0">
        <w:rPr>
          <w:rFonts w:ascii="Book Antiqua" w:hAnsi="Book Antiqua" w:cstheme="majorBidi"/>
          <w:b/>
          <w:bCs/>
          <w:sz w:val="24"/>
          <w:szCs w:val="24"/>
        </w:rPr>
        <w:t xml:space="preserve">, </w:t>
      </w:r>
      <w:bookmarkStart w:id="26" w:name="OLE_LINK1169"/>
      <w:bookmarkStart w:id="27" w:name="OLE_LINK1170"/>
      <w:r w:rsidR="001A41F4" w:rsidRPr="00B727B0">
        <w:rPr>
          <w:rFonts w:ascii="Book Antiqua" w:hAnsi="Book Antiqua" w:cstheme="majorBidi"/>
          <w:b/>
          <w:bCs/>
          <w:sz w:val="24"/>
          <w:szCs w:val="24"/>
        </w:rPr>
        <w:t>Mohsen El Kos</w:t>
      </w:r>
      <w:r w:rsidR="00C24C74" w:rsidRPr="00B727B0">
        <w:rPr>
          <w:rFonts w:ascii="Book Antiqua" w:hAnsi="Book Antiqua" w:cstheme="majorBidi"/>
          <w:b/>
          <w:bCs/>
          <w:sz w:val="24"/>
          <w:szCs w:val="24"/>
        </w:rPr>
        <w:t>s</w:t>
      </w:r>
      <w:r w:rsidR="001A41F4" w:rsidRPr="00B727B0">
        <w:rPr>
          <w:rFonts w:ascii="Book Antiqua" w:hAnsi="Book Antiqua" w:cstheme="majorBidi"/>
          <w:b/>
          <w:bCs/>
          <w:sz w:val="24"/>
          <w:szCs w:val="24"/>
        </w:rPr>
        <w:t>i</w:t>
      </w:r>
      <w:bookmarkEnd w:id="26"/>
      <w:bookmarkEnd w:id="27"/>
      <w:r w:rsidRPr="00B727B0">
        <w:rPr>
          <w:rFonts w:ascii="Book Antiqua" w:hAnsi="Book Antiqua" w:cstheme="majorBidi"/>
          <w:b/>
          <w:bCs/>
          <w:sz w:val="24"/>
          <w:szCs w:val="24"/>
        </w:rPr>
        <w:t xml:space="preserve">, </w:t>
      </w:r>
      <w:r w:rsidR="001A41F4" w:rsidRPr="00B727B0">
        <w:rPr>
          <w:rFonts w:ascii="Book Antiqua" w:hAnsi="Book Antiqua" w:cstheme="majorBidi"/>
          <w:b/>
          <w:bCs/>
          <w:sz w:val="24"/>
          <w:szCs w:val="24"/>
        </w:rPr>
        <w:t xml:space="preserve">Jon Kim Jin, </w:t>
      </w:r>
      <w:r w:rsidRPr="00B727B0">
        <w:rPr>
          <w:rFonts w:ascii="Book Antiqua" w:hAnsi="Book Antiqua" w:cstheme="majorBidi"/>
          <w:b/>
          <w:bCs/>
          <w:sz w:val="24"/>
          <w:szCs w:val="24"/>
        </w:rPr>
        <w:t>Ajay Sharma</w:t>
      </w:r>
      <w:r w:rsidR="00CC5AB8" w:rsidRPr="00B727B0">
        <w:rPr>
          <w:rFonts w:ascii="Book Antiqua" w:hAnsi="Book Antiqua" w:cstheme="majorBidi"/>
          <w:b/>
          <w:bCs/>
          <w:sz w:val="24"/>
          <w:szCs w:val="24"/>
        </w:rPr>
        <w:t xml:space="preserve">, </w:t>
      </w:r>
      <w:bookmarkStart w:id="28" w:name="OLE_LINK1155"/>
      <w:bookmarkStart w:id="29" w:name="OLE_LINK1156"/>
      <w:r w:rsidRPr="00B727B0">
        <w:rPr>
          <w:rFonts w:ascii="Book Antiqua" w:hAnsi="Book Antiqua" w:cstheme="majorBidi"/>
          <w:b/>
          <w:bCs/>
          <w:sz w:val="24"/>
          <w:szCs w:val="24"/>
        </w:rPr>
        <w:t>Ahmed Halawa</w:t>
      </w:r>
      <w:bookmarkEnd w:id="28"/>
      <w:bookmarkEnd w:id="29"/>
    </w:p>
    <w:p w14:paraId="650E166E" w14:textId="77777777" w:rsidR="00D21F18" w:rsidRPr="00B727B0" w:rsidRDefault="00D21F18" w:rsidP="007312CD">
      <w:pPr>
        <w:adjustRightInd w:val="0"/>
        <w:snapToGrid w:val="0"/>
        <w:spacing w:after="0" w:line="360" w:lineRule="auto"/>
        <w:jc w:val="both"/>
        <w:rPr>
          <w:rFonts w:ascii="Book Antiqua" w:eastAsia="宋体" w:hAnsi="Book Antiqua" w:cstheme="majorBidi"/>
          <w:b/>
          <w:sz w:val="24"/>
          <w:szCs w:val="24"/>
          <w:bdr w:val="none" w:sz="0" w:space="0" w:color="auto" w:frame="1"/>
          <w:lang w:eastAsia="zh-CN"/>
        </w:rPr>
      </w:pPr>
    </w:p>
    <w:p w14:paraId="40DC93C6" w14:textId="64A45241" w:rsidR="00C86435" w:rsidRPr="00B727B0" w:rsidRDefault="00E30634" w:rsidP="007312CD">
      <w:pPr>
        <w:pStyle w:val="ListParagraph"/>
        <w:adjustRightInd w:val="0"/>
        <w:snapToGrid w:val="0"/>
        <w:spacing w:after="0" w:line="360" w:lineRule="auto"/>
        <w:ind w:left="0"/>
        <w:contextualSpacing w:val="0"/>
        <w:jc w:val="both"/>
        <w:rPr>
          <w:rFonts w:ascii="Book Antiqua" w:eastAsia="宋体" w:hAnsi="Book Antiqua" w:cstheme="majorBidi"/>
          <w:sz w:val="24"/>
          <w:szCs w:val="24"/>
          <w:lang w:eastAsia="zh-CN"/>
        </w:rPr>
      </w:pPr>
      <w:r w:rsidRPr="00B727B0">
        <w:rPr>
          <w:rFonts w:ascii="Book Antiqua" w:hAnsi="Book Antiqua" w:cstheme="majorBidi"/>
          <w:b/>
          <w:sz w:val="24"/>
          <w:szCs w:val="24"/>
          <w:bdr w:val="none" w:sz="0" w:space="0" w:color="auto" w:frame="1"/>
        </w:rPr>
        <w:t>Fedaey Abbas</w:t>
      </w:r>
      <w:r w:rsidRPr="00B727B0">
        <w:rPr>
          <w:rFonts w:ascii="Book Antiqua" w:eastAsia="宋体" w:hAnsi="Book Antiqua" w:cstheme="majorBidi"/>
          <w:b/>
          <w:sz w:val="24"/>
          <w:szCs w:val="24"/>
          <w:bdr w:val="none" w:sz="0" w:space="0" w:color="auto" w:frame="1"/>
          <w:lang w:eastAsia="zh-CN"/>
        </w:rPr>
        <w:t>,</w:t>
      </w:r>
      <w:r w:rsidRPr="00B727B0">
        <w:rPr>
          <w:rFonts w:ascii="Book Antiqua" w:hAnsi="Book Antiqua" w:cstheme="majorBidi"/>
          <w:b/>
          <w:bCs/>
          <w:sz w:val="24"/>
          <w:szCs w:val="24"/>
        </w:rPr>
        <w:t xml:space="preserve"> </w:t>
      </w:r>
      <w:bookmarkStart w:id="30" w:name="OLE_LINK1167"/>
      <w:bookmarkStart w:id="31" w:name="OLE_LINK1168"/>
      <w:r w:rsidR="00C86435" w:rsidRPr="00B727B0">
        <w:rPr>
          <w:rFonts w:ascii="Book Antiqua" w:hAnsi="Book Antiqua" w:cstheme="majorBidi"/>
          <w:sz w:val="24"/>
          <w:szCs w:val="24"/>
        </w:rPr>
        <w:t>Jaber El Ahmed Military Hospital, Nephrology</w:t>
      </w:r>
      <w:r w:rsidR="00987CF4" w:rsidRPr="00B727B0">
        <w:rPr>
          <w:rFonts w:ascii="Book Antiqua" w:hAnsi="Book Antiqua" w:cstheme="majorBidi"/>
          <w:sz w:val="24"/>
          <w:szCs w:val="24"/>
        </w:rPr>
        <w:t xml:space="preserve"> Department</w:t>
      </w:r>
      <w:r w:rsidR="00C86435" w:rsidRPr="00B727B0">
        <w:rPr>
          <w:rFonts w:ascii="Book Antiqua" w:hAnsi="Book Antiqua" w:cstheme="majorBidi"/>
          <w:sz w:val="24"/>
          <w:szCs w:val="24"/>
        </w:rPr>
        <w:t xml:space="preserve">, </w:t>
      </w:r>
      <w:r w:rsidR="00D21F18" w:rsidRPr="00B727B0">
        <w:rPr>
          <w:rFonts w:ascii="Book Antiqua" w:hAnsi="Book Antiqua" w:cstheme="majorBidi"/>
          <w:sz w:val="24"/>
          <w:szCs w:val="24"/>
        </w:rPr>
        <w:t>Safat 13005, Kuwait</w:t>
      </w:r>
      <w:bookmarkEnd w:id="30"/>
      <w:bookmarkEnd w:id="31"/>
    </w:p>
    <w:p w14:paraId="1F495273" w14:textId="77777777" w:rsidR="00967EE6" w:rsidRPr="00B727B0" w:rsidRDefault="00967EE6" w:rsidP="007312CD">
      <w:pPr>
        <w:adjustRightInd w:val="0"/>
        <w:snapToGrid w:val="0"/>
        <w:spacing w:after="0" w:line="360" w:lineRule="auto"/>
        <w:jc w:val="both"/>
        <w:rPr>
          <w:rFonts w:ascii="Book Antiqua" w:eastAsia="宋体" w:hAnsi="Book Antiqua" w:cstheme="majorBidi"/>
          <w:b/>
          <w:sz w:val="24"/>
          <w:szCs w:val="24"/>
          <w:bdr w:val="none" w:sz="0" w:space="0" w:color="auto" w:frame="1"/>
          <w:lang w:eastAsia="zh-CN"/>
        </w:rPr>
      </w:pPr>
    </w:p>
    <w:p w14:paraId="691DF4EF" w14:textId="35BFB21C" w:rsidR="00C86435" w:rsidRPr="00B727B0" w:rsidRDefault="00E30634"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b/>
          <w:sz w:val="24"/>
          <w:szCs w:val="24"/>
          <w:bdr w:val="none" w:sz="0" w:space="0" w:color="auto" w:frame="1"/>
        </w:rPr>
        <w:t>Fedaey Abbas</w:t>
      </w:r>
      <w:r w:rsidRPr="00B727B0">
        <w:rPr>
          <w:rFonts w:ascii="Book Antiqua" w:eastAsia="宋体" w:hAnsi="Book Antiqua" w:cstheme="majorBidi"/>
          <w:b/>
          <w:sz w:val="24"/>
          <w:szCs w:val="24"/>
          <w:bdr w:val="none" w:sz="0" w:space="0" w:color="auto" w:frame="1"/>
          <w:lang w:eastAsia="zh-CN"/>
        </w:rPr>
        <w:t>,</w:t>
      </w:r>
      <w:r w:rsidRPr="00B727B0">
        <w:rPr>
          <w:rFonts w:ascii="Book Antiqua" w:hAnsi="Book Antiqua" w:cstheme="majorBidi"/>
          <w:b/>
          <w:bCs/>
          <w:sz w:val="24"/>
          <w:szCs w:val="24"/>
          <w:vertAlign w:val="superscript"/>
        </w:rPr>
        <w:t xml:space="preserve"> </w:t>
      </w:r>
      <w:r w:rsidRPr="00B727B0">
        <w:rPr>
          <w:rFonts w:ascii="Book Antiqua" w:hAnsi="Book Antiqua" w:cstheme="majorBidi"/>
          <w:b/>
          <w:bCs/>
          <w:sz w:val="24"/>
          <w:szCs w:val="24"/>
        </w:rPr>
        <w:t>Mohsen El Kossi</w:t>
      </w:r>
      <w:r w:rsidRPr="00B727B0">
        <w:rPr>
          <w:rFonts w:ascii="Book Antiqua" w:eastAsia="宋体" w:hAnsi="Book Antiqua" w:cstheme="majorBidi"/>
          <w:b/>
          <w:bCs/>
          <w:sz w:val="24"/>
          <w:szCs w:val="24"/>
          <w:lang w:eastAsia="zh-CN"/>
        </w:rPr>
        <w:t>,</w:t>
      </w:r>
      <w:r w:rsidRPr="00B727B0">
        <w:rPr>
          <w:rFonts w:ascii="Book Antiqua" w:hAnsi="Book Antiqua" w:cstheme="majorBidi"/>
          <w:b/>
          <w:bCs/>
          <w:sz w:val="24"/>
          <w:szCs w:val="24"/>
        </w:rPr>
        <w:t xml:space="preserve"> Jon Kim Jin</w:t>
      </w:r>
      <w:r w:rsidRPr="00B727B0">
        <w:rPr>
          <w:rFonts w:ascii="Book Antiqua" w:eastAsia="宋体" w:hAnsi="Book Antiqua" w:cstheme="majorBidi"/>
          <w:b/>
          <w:bCs/>
          <w:sz w:val="24"/>
          <w:szCs w:val="24"/>
          <w:lang w:eastAsia="zh-CN"/>
        </w:rPr>
        <w:t>,</w:t>
      </w:r>
      <w:r w:rsidRPr="00B727B0">
        <w:rPr>
          <w:rFonts w:ascii="Book Antiqua" w:hAnsi="Book Antiqua" w:cstheme="majorBidi"/>
          <w:b/>
          <w:bCs/>
          <w:sz w:val="24"/>
          <w:szCs w:val="24"/>
          <w:vertAlign w:val="superscript"/>
        </w:rPr>
        <w:t xml:space="preserve"> </w:t>
      </w:r>
      <w:r w:rsidRPr="00B727B0">
        <w:rPr>
          <w:rFonts w:ascii="Book Antiqua" w:hAnsi="Book Antiqua" w:cstheme="majorBidi"/>
          <w:b/>
          <w:bCs/>
          <w:sz w:val="24"/>
          <w:szCs w:val="24"/>
        </w:rPr>
        <w:t>Ajay Sharma</w:t>
      </w:r>
      <w:r w:rsidRPr="00B727B0">
        <w:rPr>
          <w:rFonts w:ascii="Book Antiqua" w:eastAsia="宋体" w:hAnsi="Book Antiqua" w:cstheme="majorBidi"/>
          <w:b/>
          <w:bCs/>
          <w:sz w:val="24"/>
          <w:szCs w:val="24"/>
          <w:lang w:eastAsia="zh-CN"/>
        </w:rPr>
        <w:t>,</w:t>
      </w:r>
      <w:r w:rsidRPr="00B727B0">
        <w:rPr>
          <w:rFonts w:ascii="Book Antiqua" w:hAnsi="Book Antiqua" w:cstheme="majorBidi"/>
          <w:b/>
          <w:bCs/>
          <w:sz w:val="24"/>
          <w:szCs w:val="24"/>
        </w:rPr>
        <w:t xml:space="preserve"> Ahmed Halawa</w:t>
      </w:r>
      <w:r w:rsidRPr="00B727B0">
        <w:rPr>
          <w:rFonts w:ascii="Book Antiqua" w:eastAsia="宋体" w:hAnsi="Book Antiqua" w:cstheme="majorBidi"/>
          <w:b/>
          <w:bCs/>
          <w:sz w:val="24"/>
          <w:szCs w:val="24"/>
          <w:lang w:eastAsia="zh-CN"/>
        </w:rPr>
        <w:t>,</w:t>
      </w:r>
      <w:r w:rsidR="00EC6F14" w:rsidRPr="00B727B0">
        <w:rPr>
          <w:rFonts w:ascii="Book Antiqua" w:eastAsia="宋体" w:hAnsi="Book Antiqua" w:cstheme="majorBidi"/>
          <w:b/>
          <w:bCs/>
          <w:sz w:val="24"/>
          <w:szCs w:val="24"/>
          <w:lang w:eastAsia="zh-CN"/>
        </w:rPr>
        <w:t xml:space="preserve"> </w:t>
      </w:r>
      <w:r w:rsidR="00C86435" w:rsidRPr="00B727B0">
        <w:rPr>
          <w:rFonts w:ascii="Book Antiqua" w:hAnsi="Book Antiqua" w:cstheme="majorBidi"/>
          <w:sz w:val="24"/>
          <w:szCs w:val="24"/>
        </w:rPr>
        <w:t xml:space="preserve">Faculty of Health and Science, University of Liverpool, Institute of Learning and Teaching, School of Medicine, Liverpool </w:t>
      </w:r>
      <w:r w:rsidR="00EC6F14" w:rsidRPr="00B727B0">
        <w:rPr>
          <w:rFonts w:ascii="Book Antiqua" w:hAnsi="Book Antiqua" w:cstheme="majorBidi"/>
          <w:sz w:val="24"/>
          <w:szCs w:val="24"/>
        </w:rPr>
        <w:t>L69 3GB</w:t>
      </w:r>
      <w:r w:rsidR="00EC6F14" w:rsidRPr="00B727B0">
        <w:rPr>
          <w:rFonts w:ascii="Book Antiqua" w:eastAsia="宋体" w:hAnsi="Book Antiqua" w:cstheme="majorBidi"/>
          <w:sz w:val="24"/>
          <w:szCs w:val="24"/>
          <w:lang w:eastAsia="zh-CN"/>
        </w:rPr>
        <w:t>,</w:t>
      </w:r>
      <w:r w:rsidR="00C86435" w:rsidRPr="00B727B0">
        <w:rPr>
          <w:rFonts w:ascii="Book Antiqua" w:hAnsi="Book Antiqua" w:cstheme="majorBidi"/>
          <w:sz w:val="24"/>
          <w:szCs w:val="24"/>
        </w:rPr>
        <w:t xml:space="preserve"> </w:t>
      </w:r>
      <w:bookmarkStart w:id="32" w:name="OLE_LINK1"/>
      <w:bookmarkStart w:id="33" w:name="OLE_LINK2"/>
      <w:r w:rsidR="00C86435" w:rsidRPr="00B727B0">
        <w:rPr>
          <w:rFonts w:ascii="Book Antiqua" w:hAnsi="Book Antiqua" w:cstheme="majorBidi"/>
          <w:sz w:val="24"/>
          <w:szCs w:val="24"/>
        </w:rPr>
        <w:t>United Kingdom</w:t>
      </w:r>
      <w:bookmarkEnd w:id="32"/>
      <w:bookmarkEnd w:id="33"/>
    </w:p>
    <w:p w14:paraId="1620AD52" w14:textId="77777777" w:rsidR="00987CF4" w:rsidRPr="00B727B0" w:rsidRDefault="00987CF4" w:rsidP="007312CD">
      <w:pPr>
        <w:adjustRightInd w:val="0"/>
        <w:snapToGrid w:val="0"/>
        <w:spacing w:after="0" w:line="360" w:lineRule="auto"/>
        <w:ind w:firstLine="720"/>
        <w:jc w:val="both"/>
        <w:rPr>
          <w:rFonts w:ascii="Book Antiqua" w:eastAsia="宋体" w:hAnsi="Book Antiqua" w:cstheme="majorBidi"/>
          <w:sz w:val="24"/>
          <w:szCs w:val="24"/>
          <w:lang w:eastAsia="zh-CN"/>
        </w:rPr>
      </w:pPr>
    </w:p>
    <w:p w14:paraId="6E83F5AF" w14:textId="7B0841D0" w:rsidR="00020B0F" w:rsidRPr="00B727B0" w:rsidRDefault="00E30634" w:rsidP="007312CD">
      <w:pPr>
        <w:pStyle w:val="ListParagraph"/>
        <w:adjustRightInd w:val="0"/>
        <w:snapToGrid w:val="0"/>
        <w:spacing w:after="0" w:line="360" w:lineRule="auto"/>
        <w:ind w:left="0"/>
        <w:contextualSpacing w:val="0"/>
        <w:jc w:val="both"/>
        <w:rPr>
          <w:rFonts w:ascii="Book Antiqua" w:eastAsia="宋体" w:hAnsi="Book Antiqua" w:cstheme="majorBidi"/>
          <w:sz w:val="24"/>
          <w:szCs w:val="24"/>
          <w:lang w:eastAsia="zh-CN"/>
        </w:rPr>
      </w:pPr>
      <w:r w:rsidRPr="00B727B0">
        <w:rPr>
          <w:rFonts w:ascii="Book Antiqua" w:hAnsi="Book Antiqua" w:cstheme="majorBidi"/>
          <w:b/>
          <w:bCs/>
          <w:sz w:val="24"/>
          <w:szCs w:val="24"/>
        </w:rPr>
        <w:t>Mohsen El Kossi</w:t>
      </w:r>
      <w:r w:rsidRPr="00B727B0">
        <w:rPr>
          <w:rFonts w:ascii="Book Antiqua" w:eastAsia="宋体" w:hAnsi="Book Antiqua" w:cstheme="majorBidi"/>
          <w:b/>
          <w:bCs/>
          <w:sz w:val="24"/>
          <w:szCs w:val="24"/>
          <w:lang w:eastAsia="zh-CN"/>
        </w:rPr>
        <w:t>,</w:t>
      </w:r>
      <w:r w:rsidRPr="00B727B0">
        <w:rPr>
          <w:rFonts w:ascii="Book Antiqua" w:hAnsi="Book Antiqua" w:cstheme="majorBidi"/>
          <w:b/>
          <w:bCs/>
          <w:sz w:val="24"/>
          <w:szCs w:val="24"/>
          <w:vertAlign w:val="superscript"/>
        </w:rPr>
        <w:t xml:space="preserve"> </w:t>
      </w:r>
      <w:r w:rsidR="00A46DF5" w:rsidRPr="00B727B0">
        <w:rPr>
          <w:rFonts w:ascii="Book Antiqua" w:hAnsi="Book Antiqua" w:cstheme="majorBidi"/>
          <w:sz w:val="24"/>
          <w:szCs w:val="24"/>
        </w:rPr>
        <w:t>Doncaster Royal Infirmary, Doncaster</w:t>
      </w:r>
      <w:r w:rsidR="00987CF4" w:rsidRPr="00B727B0">
        <w:rPr>
          <w:rFonts w:ascii="Book Antiqua" w:hAnsi="Book Antiqua" w:cstheme="majorBidi"/>
          <w:color w:val="26282A"/>
          <w:sz w:val="24"/>
          <w:szCs w:val="24"/>
        </w:rPr>
        <w:t xml:space="preserve"> DN2 5LT</w:t>
      </w:r>
      <w:r w:rsidR="00A46DF5" w:rsidRPr="00B727B0">
        <w:rPr>
          <w:rFonts w:ascii="Book Antiqua" w:hAnsi="Book Antiqua" w:cstheme="majorBidi"/>
          <w:sz w:val="24"/>
          <w:szCs w:val="24"/>
        </w:rPr>
        <w:t xml:space="preserve">, </w:t>
      </w:r>
      <w:r w:rsidR="007204E1" w:rsidRPr="00B727B0">
        <w:rPr>
          <w:rFonts w:ascii="Book Antiqua" w:hAnsi="Book Antiqua" w:cstheme="majorBidi"/>
          <w:sz w:val="24"/>
          <w:szCs w:val="24"/>
        </w:rPr>
        <w:t>United Kingdom</w:t>
      </w:r>
    </w:p>
    <w:p w14:paraId="06D1C3C0" w14:textId="77777777" w:rsidR="00987CF4" w:rsidRPr="00B727B0" w:rsidRDefault="00987CF4" w:rsidP="007312CD">
      <w:pPr>
        <w:pStyle w:val="ListParagraph"/>
        <w:adjustRightInd w:val="0"/>
        <w:snapToGrid w:val="0"/>
        <w:spacing w:after="0" w:line="360" w:lineRule="auto"/>
        <w:ind w:left="0" w:firstLine="720"/>
        <w:contextualSpacing w:val="0"/>
        <w:jc w:val="both"/>
        <w:rPr>
          <w:rFonts w:ascii="Book Antiqua" w:eastAsia="宋体" w:hAnsi="Book Antiqua" w:cstheme="majorBidi"/>
          <w:color w:val="26282A"/>
          <w:sz w:val="24"/>
          <w:szCs w:val="24"/>
          <w:lang w:eastAsia="zh-CN"/>
        </w:rPr>
      </w:pPr>
    </w:p>
    <w:p w14:paraId="0ED2FC6C" w14:textId="77777777" w:rsidR="00987CF4" w:rsidRPr="00B727B0" w:rsidRDefault="00E30634" w:rsidP="007312CD">
      <w:pPr>
        <w:pStyle w:val="ListParagraph"/>
        <w:adjustRightInd w:val="0"/>
        <w:snapToGrid w:val="0"/>
        <w:spacing w:after="0" w:line="360" w:lineRule="auto"/>
        <w:ind w:left="0"/>
        <w:contextualSpacing w:val="0"/>
        <w:jc w:val="both"/>
        <w:rPr>
          <w:rFonts w:ascii="Book Antiqua" w:eastAsia="宋体" w:hAnsi="Book Antiqua" w:cstheme="majorBidi"/>
          <w:sz w:val="24"/>
          <w:szCs w:val="24"/>
          <w:lang w:eastAsia="zh-CN"/>
        </w:rPr>
      </w:pPr>
      <w:r w:rsidRPr="00B727B0">
        <w:rPr>
          <w:rFonts w:ascii="Book Antiqua" w:hAnsi="Book Antiqua" w:cstheme="majorBidi"/>
          <w:b/>
          <w:bCs/>
          <w:sz w:val="24"/>
          <w:szCs w:val="24"/>
        </w:rPr>
        <w:t>Jon Kim Jin</w:t>
      </w:r>
      <w:r w:rsidRPr="00B727B0">
        <w:rPr>
          <w:rFonts w:ascii="Book Antiqua" w:eastAsia="宋体" w:hAnsi="Book Antiqua" w:cstheme="majorBidi"/>
          <w:b/>
          <w:bCs/>
          <w:sz w:val="24"/>
          <w:szCs w:val="24"/>
          <w:lang w:eastAsia="zh-CN"/>
        </w:rPr>
        <w:t>,</w:t>
      </w:r>
      <w:r w:rsidRPr="00B727B0">
        <w:rPr>
          <w:rFonts w:ascii="Book Antiqua" w:hAnsi="Book Antiqua" w:cstheme="majorBidi"/>
          <w:bCs/>
          <w:sz w:val="24"/>
          <w:szCs w:val="24"/>
          <w:vertAlign w:val="superscript"/>
        </w:rPr>
        <w:t xml:space="preserve"> </w:t>
      </w:r>
      <w:r w:rsidR="00A46DF5" w:rsidRPr="00B727B0">
        <w:rPr>
          <w:rFonts w:ascii="Book Antiqua" w:hAnsi="Book Antiqua" w:cstheme="majorBidi"/>
          <w:bCs/>
          <w:sz w:val="24"/>
          <w:szCs w:val="24"/>
        </w:rPr>
        <w:t>Nottingham Children Hospital, Nottingham</w:t>
      </w:r>
      <w:r w:rsidR="00987CF4" w:rsidRPr="00B727B0">
        <w:rPr>
          <w:rFonts w:ascii="Book Antiqua" w:hAnsi="Book Antiqua" w:cstheme="majorBidi"/>
          <w:color w:val="26282A"/>
          <w:sz w:val="24"/>
          <w:szCs w:val="24"/>
        </w:rPr>
        <w:t xml:space="preserve"> NG7 2UH</w:t>
      </w:r>
      <w:r w:rsidR="00A46DF5" w:rsidRPr="00B727B0">
        <w:rPr>
          <w:rFonts w:ascii="Book Antiqua" w:hAnsi="Book Antiqua" w:cstheme="majorBidi"/>
          <w:bCs/>
          <w:sz w:val="24"/>
          <w:szCs w:val="24"/>
        </w:rPr>
        <w:t xml:space="preserve">, </w:t>
      </w:r>
      <w:r w:rsidR="007204E1" w:rsidRPr="00B727B0">
        <w:rPr>
          <w:rFonts w:ascii="Book Antiqua" w:hAnsi="Book Antiqua" w:cstheme="majorBidi"/>
          <w:sz w:val="24"/>
          <w:szCs w:val="24"/>
        </w:rPr>
        <w:t>United Kingdom</w:t>
      </w:r>
    </w:p>
    <w:p w14:paraId="2C197471" w14:textId="77777777" w:rsidR="00987CF4" w:rsidRPr="00B727B0" w:rsidRDefault="00987CF4" w:rsidP="007312CD">
      <w:pPr>
        <w:pStyle w:val="ListParagraph"/>
        <w:adjustRightInd w:val="0"/>
        <w:snapToGrid w:val="0"/>
        <w:spacing w:after="0" w:line="360" w:lineRule="auto"/>
        <w:ind w:left="0" w:firstLine="720"/>
        <w:contextualSpacing w:val="0"/>
        <w:jc w:val="both"/>
        <w:rPr>
          <w:rFonts w:ascii="Book Antiqua" w:eastAsia="宋体" w:hAnsi="Book Antiqua" w:cstheme="majorBidi"/>
          <w:sz w:val="24"/>
          <w:szCs w:val="24"/>
          <w:lang w:eastAsia="zh-CN"/>
        </w:rPr>
      </w:pPr>
    </w:p>
    <w:p w14:paraId="3D4A6524" w14:textId="74163EA0" w:rsidR="00C86435" w:rsidRPr="00B727B0" w:rsidRDefault="00E30634" w:rsidP="007312CD">
      <w:pPr>
        <w:pStyle w:val="ListParagraph"/>
        <w:adjustRightInd w:val="0"/>
        <w:snapToGrid w:val="0"/>
        <w:spacing w:after="0" w:line="360" w:lineRule="auto"/>
        <w:ind w:left="0"/>
        <w:contextualSpacing w:val="0"/>
        <w:jc w:val="both"/>
        <w:rPr>
          <w:rFonts w:ascii="Book Antiqua" w:eastAsia="宋体" w:hAnsi="Book Antiqua" w:cstheme="majorBidi"/>
          <w:sz w:val="24"/>
          <w:szCs w:val="24"/>
          <w:lang w:eastAsia="zh-CN"/>
        </w:rPr>
      </w:pPr>
      <w:r w:rsidRPr="00B727B0">
        <w:rPr>
          <w:rFonts w:ascii="Book Antiqua" w:hAnsi="Book Antiqua" w:cstheme="majorBidi"/>
          <w:b/>
          <w:bCs/>
          <w:sz w:val="24"/>
          <w:szCs w:val="24"/>
        </w:rPr>
        <w:t>Ajay Sharma</w:t>
      </w:r>
      <w:r w:rsidRPr="00B727B0">
        <w:rPr>
          <w:rFonts w:ascii="Book Antiqua" w:eastAsia="宋体" w:hAnsi="Book Antiqua" w:cstheme="majorBidi"/>
          <w:b/>
          <w:bCs/>
          <w:sz w:val="24"/>
          <w:szCs w:val="24"/>
          <w:lang w:eastAsia="zh-CN"/>
        </w:rPr>
        <w:t>,</w:t>
      </w:r>
      <w:r w:rsidRPr="00B727B0">
        <w:rPr>
          <w:rFonts w:ascii="Book Antiqua" w:hAnsi="Book Antiqua" w:cstheme="majorBidi"/>
          <w:sz w:val="24"/>
          <w:szCs w:val="24"/>
          <w:vertAlign w:val="superscript"/>
        </w:rPr>
        <w:t xml:space="preserve"> </w:t>
      </w:r>
      <w:r w:rsidR="00C86435" w:rsidRPr="00B727B0">
        <w:rPr>
          <w:rFonts w:ascii="Book Antiqua" w:hAnsi="Book Antiqua" w:cstheme="majorBidi"/>
          <w:sz w:val="24"/>
          <w:szCs w:val="24"/>
        </w:rPr>
        <w:t xml:space="preserve">Royal Liverpool University </w:t>
      </w:r>
      <w:r w:rsidR="00FA12B1" w:rsidRPr="00B727B0">
        <w:rPr>
          <w:rFonts w:ascii="Book Antiqua" w:hAnsi="Book Antiqua" w:cstheme="majorBidi"/>
          <w:sz w:val="24"/>
          <w:szCs w:val="24"/>
        </w:rPr>
        <w:t>Hospitals</w:t>
      </w:r>
      <w:r w:rsidR="00C86435" w:rsidRPr="00B727B0">
        <w:rPr>
          <w:rFonts w:ascii="Book Antiqua" w:hAnsi="Book Antiqua" w:cstheme="majorBidi"/>
          <w:sz w:val="24"/>
          <w:szCs w:val="24"/>
        </w:rPr>
        <w:t>, Liverpool</w:t>
      </w:r>
      <w:r w:rsidR="00987CF4" w:rsidRPr="00B727B0">
        <w:rPr>
          <w:rFonts w:ascii="Book Antiqua" w:hAnsi="Book Antiqua" w:cstheme="majorBidi"/>
          <w:color w:val="26282A"/>
          <w:sz w:val="24"/>
          <w:szCs w:val="24"/>
        </w:rPr>
        <w:t xml:space="preserve"> L7 8XP</w:t>
      </w:r>
      <w:r w:rsidR="00C86435" w:rsidRPr="00B727B0">
        <w:rPr>
          <w:rFonts w:ascii="Book Antiqua" w:hAnsi="Book Antiqua" w:cstheme="majorBidi"/>
          <w:sz w:val="24"/>
          <w:szCs w:val="24"/>
        </w:rPr>
        <w:t xml:space="preserve">, </w:t>
      </w:r>
      <w:r w:rsidR="007204E1" w:rsidRPr="00B727B0">
        <w:rPr>
          <w:rFonts w:ascii="Book Antiqua" w:hAnsi="Book Antiqua" w:cstheme="majorBidi"/>
          <w:sz w:val="24"/>
          <w:szCs w:val="24"/>
        </w:rPr>
        <w:t>United Kingdom</w:t>
      </w:r>
    </w:p>
    <w:p w14:paraId="146D7145" w14:textId="77777777" w:rsidR="00987CF4" w:rsidRPr="00B727B0" w:rsidRDefault="00987CF4" w:rsidP="007312CD">
      <w:pPr>
        <w:pStyle w:val="ListParagraph"/>
        <w:adjustRightInd w:val="0"/>
        <w:snapToGrid w:val="0"/>
        <w:spacing w:after="0" w:line="360" w:lineRule="auto"/>
        <w:ind w:left="0" w:firstLine="720"/>
        <w:contextualSpacing w:val="0"/>
        <w:jc w:val="both"/>
        <w:rPr>
          <w:rFonts w:ascii="Book Antiqua" w:eastAsia="宋体" w:hAnsi="Book Antiqua" w:cstheme="majorBidi"/>
          <w:sz w:val="24"/>
          <w:szCs w:val="24"/>
          <w:lang w:eastAsia="zh-CN"/>
        </w:rPr>
      </w:pPr>
    </w:p>
    <w:p w14:paraId="6A16FAA1" w14:textId="51D87811" w:rsidR="00C86435" w:rsidRPr="00B727B0" w:rsidRDefault="00E30634"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b/>
          <w:bCs/>
          <w:sz w:val="24"/>
          <w:szCs w:val="24"/>
        </w:rPr>
        <w:t>Ahmed Halawa</w:t>
      </w:r>
      <w:r w:rsidRPr="00B727B0">
        <w:rPr>
          <w:rFonts w:ascii="Book Antiqua" w:eastAsia="宋体" w:hAnsi="Book Antiqua" w:cstheme="majorBidi"/>
          <w:b/>
          <w:bCs/>
          <w:sz w:val="24"/>
          <w:szCs w:val="24"/>
          <w:lang w:eastAsia="zh-CN"/>
        </w:rPr>
        <w:t>,</w:t>
      </w:r>
      <w:r w:rsidRPr="00B727B0">
        <w:rPr>
          <w:rFonts w:ascii="Book Antiqua" w:hAnsi="Book Antiqua" w:cstheme="majorBidi"/>
          <w:sz w:val="24"/>
          <w:szCs w:val="24"/>
          <w:vertAlign w:val="superscript"/>
        </w:rPr>
        <w:t xml:space="preserve"> </w:t>
      </w:r>
      <w:r w:rsidR="002632A4" w:rsidRPr="002632A4">
        <w:rPr>
          <w:rFonts w:ascii="Book Antiqua" w:eastAsia="宋体" w:hAnsi="Book Antiqua" w:cstheme="majorBidi"/>
          <w:sz w:val="24"/>
          <w:szCs w:val="24"/>
          <w:lang w:eastAsia="zh-CN"/>
        </w:rPr>
        <w:t>Department of Transplantation Surgery</w:t>
      </w:r>
      <w:r w:rsidR="002632A4" w:rsidRPr="002632A4">
        <w:rPr>
          <w:rFonts w:ascii="Book Antiqua" w:eastAsia="宋体" w:hAnsi="Book Antiqua" w:cstheme="majorBidi" w:hint="eastAsia"/>
          <w:sz w:val="24"/>
          <w:szCs w:val="24"/>
          <w:lang w:eastAsia="zh-CN"/>
        </w:rPr>
        <w:t>,</w:t>
      </w:r>
      <w:r w:rsidR="002632A4" w:rsidRPr="002632A4">
        <w:rPr>
          <w:rFonts w:ascii="Book Antiqua" w:eastAsia="宋体" w:hAnsi="Book Antiqua" w:cstheme="majorBidi"/>
          <w:b/>
          <w:sz w:val="24"/>
          <w:szCs w:val="24"/>
          <w:lang w:eastAsia="zh-CN"/>
        </w:rPr>
        <w:t xml:space="preserve"> </w:t>
      </w:r>
      <w:r w:rsidR="00C86435" w:rsidRPr="00B727B0">
        <w:rPr>
          <w:rFonts w:ascii="Book Antiqua" w:hAnsi="Book Antiqua" w:cstheme="majorBidi"/>
          <w:sz w:val="24"/>
          <w:szCs w:val="24"/>
        </w:rPr>
        <w:t>Sheffield Teaching Hospitals, Sheffield</w:t>
      </w:r>
      <w:r w:rsidR="00987CF4" w:rsidRPr="00B727B0">
        <w:rPr>
          <w:rFonts w:ascii="Book Antiqua" w:eastAsia="宋体" w:hAnsi="Book Antiqua" w:cstheme="majorBidi"/>
          <w:sz w:val="24"/>
          <w:szCs w:val="24"/>
          <w:lang w:eastAsia="zh-CN"/>
        </w:rPr>
        <w:t xml:space="preserve"> </w:t>
      </w:r>
      <w:r w:rsidR="00987CF4" w:rsidRPr="00B727B0">
        <w:rPr>
          <w:rFonts w:ascii="Book Antiqua" w:hAnsi="Book Antiqua" w:cstheme="majorBidi"/>
          <w:sz w:val="24"/>
          <w:szCs w:val="24"/>
        </w:rPr>
        <w:t>S5</w:t>
      </w:r>
      <w:r w:rsidR="00946E6C" w:rsidRPr="00B727B0">
        <w:rPr>
          <w:rFonts w:ascii="Book Antiqua" w:eastAsia="宋体" w:hAnsi="Book Antiqua" w:cstheme="majorBidi"/>
          <w:sz w:val="24"/>
          <w:szCs w:val="24"/>
          <w:lang w:eastAsia="zh-CN"/>
        </w:rPr>
        <w:t xml:space="preserve"> </w:t>
      </w:r>
      <w:r w:rsidR="00987CF4" w:rsidRPr="00B727B0">
        <w:rPr>
          <w:rFonts w:ascii="Book Antiqua" w:hAnsi="Book Antiqua" w:cstheme="majorBidi"/>
          <w:sz w:val="24"/>
          <w:szCs w:val="24"/>
        </w:rPr>
        <w:t>7AU</w:t>
      </w:r>
      <w:r w:rsidR="00987CF4" w:rsidRPr="00B727B0">
        <w:rPr>
          <w:rFonts w:ascii="Book Antiqua" w:eastAsia="宋体" w:hAnsi="Book Antiqua" w:cstheme="majorBidi"/>
          <w:sz w:val="24"/>
          <w:szCs w:val="24"/>
          <w:lang w:eastAsia="zh-CN"/>
        </w:rPr>
        <w:t xml:space="preserve">, </w:t>
      </w:r>
      <w:r w:rsidR="00987CF4" w:rsidRPr="00B727B0">
        <w:rPr>
          <w:rFonts w:ascii="Book Antiqua" w:hAnsi="Book Antiqua" w:cstheme="majorBidi"/>
          <w:sz w:val="24"/>
          <w:szCs w:val="24"/>
        </w:rPr>
        <w:t>United Kingdom</w:t>
      </w:r>
    </w:p>
    <w:p w14:paraId="4A4315FD" w14:textId="77777777" w:rsidR="007204E1" w:rsidRPr="00B727B0" w:rsidRDefault="007204E1" w:rsidP="007312CD">
      <w:pPr>
        <w:adjustRightInd w:val="0"/>
        <w:snapToGrid w:val="0"/>
        <w:spacing w:after="0" w:line="360" w:lineRule="auto"/>
        <w:jc w:val="both"/>
        <w:rPr>
          <w:rFonts w:ascii="Book Antiqua" w:eastAsia="宋体" w:hAnsi="Book Antiqua" w:cstheme="majorBidi"/>
          <w:sz w:val="24"/>
          <w:szCs w:val="24"/>
          <w:lang w:eastAsia="zh-CN"/>
        </w:rPr>
      </w:pPr>
    </w:p>
    <w:p w14:paraId="149C768E" w14:textId="4EF86FC4" w:rsidR="00E95D30" w:rsidRPr="00E95D30" w:rsidRDefault="00E95D30" w:rsidP="00E95D30">
      <w:pPr>
        <w:pStyle w:val="ListParagraph"/>
        <w:adjustRightInd w:val="0"/>
        <w:snapToGrid w:val="0"/>
        <w:spacing w:after="0" w:line="360" w:lineRule="auto"/>
        <w:ind w:left="0"/>
        <w:contextualSpacing w:val="0"/>
        <w:jc w:val="both"/>
        <w:rPr>
          <w:rFonts w:ascii="Book Antiqua" w:eastAsia="宋体" w:hAnsi="Book Antiqua" w:cstheme="majorBidi"/>
          <w:bCs/>
          <w:sz w:val="24"/>
          <w:szCs w:val="24"/>
          <w:lang w:eastAsia="zh-CN"/>
        </w:rPr>
      </w:pPr>
      <w:r>
        <w:rPr>
          <w:rFonts w:ascii="Book Antiqua" w:eastAsia="宋体" w:hAnsi="Book Antiqua" w:cstheme="majorBidi" w:hint="eastAsia"/>
          <w:b/>
          <w:sz w:val="24"/>
          <w:szCs w:val="24"/>
          <w:lang w:eastAsia="zh-CN"/>
        </w:rPr>
        <w:lastRenderedPageBreak/>
        <w:t xml:space="preserve">ORCID number: </w:t>
      </w:r>
      <w:r w:rsidRPr="00E95D30">
        <w:rPr>
          <w:rFonts w:ascii="Book Antiqua" w:hAnsi="Book Antiqua" w:cstheme="majorBidi"/>
          <w:sz w:val="24"/>
          <w:szCs w:val="24"/>
          <w:bdr w:val="none" w:sz="0" w:space="0" w:color="auto" w:frame="1"/>
        </w:rPr>
        <w:t>Fedaey Abbas</w:t>
      </w:r>
      <w:r w:rsidRPr="00E95D30">
        <w:rPr>
          <w:rFonts w:ascii="Book Antiqua" w:eastAsia="宋体" w:hAnsi="Book Antiqua" w:cstheme="majorBidi" w:hint="eastAsia"/>
          <w:sz w:val="24"/>
          <w:szCs w:val="24"/>
          <w:lang w:eastAsia="zh-CN"/>
        </w:rPr>
        <w:t xml:space="preserve"> (</w:t>
      </w:r>
      <w:r w:rsidRPr="00E95D30">
        <w:rPr>
          <w:rFonts w:ascii="Book Antiqua" w:eastAsia="宋体" w:hAnsi="Book Antiqua" w:cstheme="majorBidi"/>
          <w:sz w:val="24"/>
          <w:szCs w:val="24"/>
          <w:lang w:eastAsia="zh-CN"/>
        </w:rPr>
        <w:t>0000-0001-8673-4344</w:t>
      </w:r>
      <w:r w:rsidRPr="00E95D30">
        <w:rPr>
          <w:rFonts w:ascii="Book Antiqua" w:eastAsia="宋体" w:hAnsi="Book Antiqua" w:cstheme="majorBidi" w:hint="eastAsia"/>
          <w:sz w:val="24"/>
          <w:szCs w:val="24"/>
          <w:lang w:eastAsia="zh-CN"/>
        </w:rPr>
        <w:t xml:space="preserve">); </w:t>
      </w:r>
      <w:r w:rsidRPr="00E95D30">
        <w:rPr>
          <w:rFonts w:ascii="Book Antiqua" w:hAnsi="Book Antiqua" w:cstheme="majorBidi"/>
          <w:bCs/>
          <w:sz w:val="24"/>
          <w:szCs w:val="24"/>
        </w:rPr>
        <w:t>Mohsen El Kossi</w:t>
      </w:r>
      <w:r w:rsidRPr="00E95D30">
        <w:rPr>
          <w:rFonts w:ascii="Book Antiqua" w:eastAsia="宋体" w:hAnsi="Book Antiqua" w:cstheme="majorBidi" w:hint="eastAsia"/>
          <w:bCs/>
          <w:sz w:val="24"/>
          <w:szCs w:val="24"/>
          <w:lang w:eastAsia="zh-CN"/>
        </w:rPr>
        <w:t xml:space="preserve"> (</w:t>
      </w:r>
      <w:r w:rsidRPr="00E95D30">
        <w:rPr>
          <w:rFonts w:ascii="Book Antiqua" w:eastAsia="宋体" w:hAnsi="Book Antiqua" w:cstheme="majorBidi"/>
          <w:bCs/>
          <w:sz w:val="24"/>
          <w:szCs w:val="24"/>
          <w:lang w:eastAsia="zh-CN"/>
        </w:rPr>
        <w:t>0000-0002-2490-2784</w:t>
      </w:r>
      <w:r w:rsidRPr="00E95D30">
        <w:rPr>
          <w:rFonts w:ascii="Book Antiqua" w:eastAsia="宋体" w:hAnsi="Book Antiqua" w:cstheme="majorBidi" w:hint="eastAsia"/>
          <w:bCs/>
          <w:sz w:val="24"/>
          <w:szCs w:val="24"/>
          <w:lang w:eastAsia="zh-CN"/>
        </w:rPr>
        <w:t>);</w:t>
      </w:r>
      <w:r w:rsidRPr="00E95D30">
        <w:rPr>
          <w:rFonts w:ascii="Book Antiqua" w:hAnsi="Book Antiqua" w:cstheme="majorBidi"/>
          <w:bCs/>
          <w:sz w:val="24"/>
          <w:szCs w:val="24"/>
        </w:rPr>
        <w:t xml:space="preserve"> </w:t>
      </w:r>
      <w:bookmarkStart w:id="34" w:name="OLE_LINK1171"/>
      <w:bookmarkStart w:id="35" w:name="OLE_LINK1172"/>
      <w:r w:rsidRPr="00E95D30">
        <w:rPr>
          <w:rFonts w:ascii="Book Antiqua" w:hAnsi="Book Antiqua" w:cstheme="majorBidi"/>
          <w:bCs/>
          <w:sz w:val="24"/>
          <w:szCs w:val="24"/>
        </w:rPr>
        <w:t>Jon Kim Jin</w:t>
      </w:r>
      <w:r w:rsidRPr="00E95D30">
        <w:rPr>
          <w:rFonts w:ascii="Book Antiqua" w:eastAsia="宋体" w:hAnsi="Book Antiqua" w:cstheme="majorBidi" w:hint="eastAsia"/>
          <w:bCs/>
          <w:sz w:val="24"/>
          <w:szCs w:val="24"/>
          <w:lang w:eastAsia="zh-CN"/>
        </w:rPr>
        <w:t xml:space="preserve"> </w:t>
      </w:r>
      <w:bookmarkEnd w:id="34"/>
      <w:bookmarkEnd w:id="35"/>
      <w:r w:rsidRPr="00E95D30">
        <w:rPr>
          <w:rFonts w:ascii="Book Antiqua" w:eastAsia="宋体" w:hAnsi="Book Antiqua" w:cstheme="majorBidi" w:hint="eastAsia"/>
          <w:bCs/>
          <w:sz w:val="24"/>
          <w:szCs w:val="24"/>
          <w:lang w:eastAsia="zh-CN"/>
        </w:rPr>
        <w:t>(</w:t>
      </w:r>
      <w:r w:rsidRPr="00E95D30">
        <w:rPr>
          <w:rFonts w:ascii="Book Antiqua" w:eastAsia="宋体" w:hAnsi="Book Antiqua" w:cstheme="majorBidi"/>
          <w:bCs/>
          <w:sz w:val="24"/>
          <w:szCs w:val="24"/>
          <w:lang w:eastAsia="zh-CN"/>
        </w:rPr>
        <w:t>0000-0003-4307-8513</w:t>
      </w:r>
      <w:r w:rsidRPr="00E95D30">
        <w:rPr>
          <w:rFonts w:ascii="Book Antiqua" w:eastAsia="宋体" w:hAnsi="Book Antiqua" w:cstheme="majorBidi" w:hint="eastAsia"/>
          <w:bCs/>
          <w:sz w:val="24"/>
          <w:szCs w:val="24"/>
          <w:lang w:eastAsia="zh-CN"/>
        </w:rPr>
        <w:t xml:space="preserve">); </w:t>
      </w:r>
      <w:bookmarkStart w:id="36" w:name="OLE_LINK1173"/>
      <w:bookmarkStart w:id="37" w:name="OLE_LINK1174"/>
      <w:r w:rsidRPr="00E95D30">
        <w:rPr>
          <w:rFonts w:ascii="Book Antiqua" w:hAnsi="Book Antiqua" w:cstheme="majorBidi"/>
          <w:bCs/>
          <w:sz w:val="24"/>
          <w:szCs w:val="24"/>
        </w:rPr>
        <w:t>Ajay Sharma</w:t>
      </w:r>
      <w:r w:rsidRPr="00E95D30">
        <w:rPr>
          <w:rFonts w:ascii="Book Antiqua" w:eastAsia="宋体" w:hAnsi="Book Antiqua" w:cstheme="majorBidi" w:hint="eastAsia"/>
          <w:bCs/>
          <w:sz w:val="24"/>
          <w:szCs w:val="24"/>
          <w:lang w:eastAsia="zh-CN"/>
        </w:rPr>
        <w:t xml:space="preserve"> </w:t>
      </w:r>
      <w:bookmarkEnd w:id="36"/>
      <w:bookmarkEnd w:id="37"/>
      <w:r w:rsidRPr="00E95D30">
        <w:rPr>
          <w:rFonts w:ascii="Book Antiqua" w:eastAsia="宋体" w:hAnsi="Book Antiqua" w:cstheme="majorBidi" w:hint="eastAsia"/>
          <w:bCs/>
          <w:sz w:val="24"/>
          <w:szCs w:val="24"/>
          <w:lang w:eastAsia="zh-CN"/>
        </w:rPr>
        <w:t>(</w:t>
      </w:r>
      <w:r w:rsidR="00253F61" w:rsidRPr="00253F61">
        <w:rPr>
          <w:rFonts w:ascii="Book Antiqua" w:eastAsia="宋体" w:hAnsi="Book Antiqua" w:cstheme="majorBidi"/>
          <w:bCs/>
          <w:sz w:val="24"/>
          <w:szCs w:val="24"/>
          <w:lang w:eastAsia="zh-CN"/>
        </w:rPr>
        <w:t>0000-0003-4050-6586</w:t>
      </w:r>
      <w:r w:rsidRPr="00E95D30">
        <w:rPr>
          <w:rFonts w:ascii="Book Antiqua" w:eastAsia="宋体" w:hAnsi="Book Antiqua" w:cstheme="majorBidi" w:hint="eastAsia"/>
          <w:bCs/>
          <w:sz w:val="24"/>
          <w:szCs w:val="24"/>
          <w:lang w:eastAsia="zh-CN"/>
        </w:rPr>
        <w:t xml:space="preserve">); </w:t>
      </w:r>
      <w:bookmarkStart w:id="38" w:name="OLE_LINK1175"/>
      <w:bookmarkStart w:id="39" w:name="OLE_LINK1176"/>
      <w:r w:rsidRPr="00E95D30">
        <w:rPr>
          <w:rFonts w:ascii="Book Antiqua" w:hAnsi="Book Antiqua" w:cstheme="majorBidi"/>
          <w:bCs/>
          <w:sz w:val="24"/>
          <w:szCs w:val="24"/>
        </w:rPr>
        <w:t>Ahmed Halawa</w:t>
      </w:r>
      <w:r w:rsidR="00FC4DEC">
        <w:rPr>
          <w:rFonts w:ascii="Book Antiqua" w:eastAsia="宋体" w:hAnsi="Book Antiqua" w:cstheme="majorBidi" w:hint="eastAsia"/>
          <w:bCs/>
          <w:sz w:val="24"/>
          <w:szCs w:val="24"/>
          <w:lang w:eastAsia="zh-CN"/>
        </w:rPr>
        <w:t xml:space="preserve"> </w:t>
      </w:r>
      <w:bookmarkEnd w:id="38"/>
      <w:bookmarkEnd w:id="39"/>
      <w:r w:rsidRPr="00E95D30">
        <w:rPr>
          <w:rFonts w:ascii="Book Antiqua" w:eastAsia="宋体" w:hAnsi="Book Antiqua" w:cstheme="majorBidi" w:hint="eastAsia"/>
          <w:bCs/>
          <w:sz w:val="24"/>
          <w:szCs w:val="24"/>
          <w:lang w:eastAsia="zh-CN"/>
        </w:rPr>
        <w:t>(</w:t>
      </w:r>
      <w:r w:rsidR="00253F61" w:rsidRPr="00253F61">
        <w:rPr>
          <w:rFonts w:ascii="Book Antiqua" w:eastAsia="宋体" w:hAnsi="Book Antiqua" w:cstheme="majorBidi"/>
          <w:bCs/>
          <w:sz w:val="24"/>
          <w:szCs w:val="24"/>
          <w:lang w:eastAsia="zh-CN"/>
        </w:rPr>
        <w:t>0000-0002-7305-446X</w:t>
      </w:r>
      <w:r w:rsidRPr="00E95D30">
        <w:rPr>
          <w:rFonts w:ascii="Book Antiqua" w:eastAsia="宋体" w:hAnsi="Book Antiqua" w:cstheme="majorBidi" w:hint="eastAsia"/>
          <w:bCs/>
          <w:sz w:val="24"/>
          <w:szCs w:val="24"/>
          <w:lang w:eastAsia="zh-CN"/>
        </w:rPr>
        <w:t>).</w:t>
      </w:r>
    </w:p>
    <w:p w14:paraId="1D1DDAA1" w14:textId="77777777" w:rsidR="00E95D30" w:rsidRPr="00E95D30" w:rsidRDefault="00E95D30" w:rsidP="00E95D30">
      <w:pPr>
        <w:pStyle w:val="ListParagraph"/>
        <w:adjustRightInd w:val="0"/>
        <w:snapToGrid w:val="0"/>
        <w:spacing w:after="0" w:line="360" w:lineRule="auto"/>
        <w:ind w:left="0"/>
        <w:contextualSpacing w:val="0"/>
        <w:jc w:val="both"/>
        <w:rPr>
          <w:rFonts w:ascii="Book Antiqua" w:eastAsia="宋体" w:hAnsi="Book Antiqua" w:cstheme="majorBidi"/>
          <w:b/>
          <w:bCs/>
          <w:sz w:val="24"/>
          <w:szCs w:val="24"/>
          <w:lang w:eastAsia="zh-CN"/>
        </w:rPr>
      </w:pPr>
    </w:p>
    <w:p w14:paraId="264E0852" w14:textId="0BF318F1" w:rsidR="00C86435" w:rsidRPr="00B727B0" w:rsidRDefault="00C86435" w:rsidP="007312CD">
      <w:pPr>
        <w:pStyle w:val="ListParagraph"/>
        <w:adjustRightInd w:val="0"/>
        <w:snapToGrid w:val="0"/>
        <w:spacing w:after="0" w:line="360" w:lineRule="auto"/>
        <w:ind w:left="0"/>
        <w:contextualSpacing w:val="0"/>
        <w:jc w:val="both"/>
        <w:rPr>
          <w:rFonts w:ascii="Book Antiqua" w:eastAsia="宋体" w:hAnsi="Book Antiqua" w:cstheme="majorBidi"/>
          <w:sz w:val="24"/>
          <w:szCs w:val="24"/>
          <w:lang w:eastAsia="zh-CN"/>
        </w:rPr>
      </w:pPr>
      <w:r w:rsidRPr="00B727B0">
        <w:rPr>
          <w:rFonts w:ascii="Book Antiqua" w:hAnsi="Book Antiqua" w:cstheme="majorBidi"/>
          <w:b/>
          <w:sz w:val="24"/>
          <w:szCs w:val="24"/>
        </w:rPr>
        <w:t>Author contributions:</w:t>
      </w:r>
      <w:r w:rsidR="00F305E4">
        <w:rPr>
          <w:rFonts w:ascii="Book Antiqua" w:eastAsia="宋体" w:hAnsi="Book Antiqua" w:cstheme="majorBidi"/>
          <w:b/>
          <w:sz w:val="24"/>
          <w:szCs w:val="24"/>
          <w:lang w:eastAsia="zh-CN"/>
        </w:rPr>
        <w:t xml:space="preserve"> </w:t>
      </w:r>
      <w:r w:rsidRPr="00B727B0">
        <w:rPr>
          <w:rFonts w:ascii="Book Antiqua" w:hAnsi="Book Antiqua" w:cstheme="majorBidi"/>
          <w:sz w:val="24"/>
          <w:szCs w:val="24"/>
        </w:rPr>
        <w:t>Abbas</w:t>
      </w:r>
      <w:r w:rsidR="00987CF4" w:rsidRPr="00B727B0">
        <w:rPr>
          <w:rFonts w:ascii="Book Antiqua" w:eastAsia="宋体" w:hAnsi="Book Antiqua" w:cstheme="majorBidi"/>
          <w:sz w:val="24"/>
          <w:szCs w:val="24"/>
          <w:lang w:eastAsia="zh-CN"/>
        </w:rPr>
        <w:t xml:space="preserve"> F </w:t>
      </w:r>
      <w:r w:rsidRPr="00B727B0">
        <w:rPr>
          <w:rFonts w:ascii="Book Antiqua" w:hAnsi="Book Antiqua" w:cstheme="majorBidi"/>
          <w:sz w:val="24"/>
          <w:szCs w:val="24"/>
        </w:rPr>
        <w:t xml:space="preserve">designed the study, </w:t>
      </w:r>
      <w:r w:rsidR="00987CF4" w:rsidRPr="00B727B0">
        <w:rPr>
          <w:rFonts w:ascii="Book Antiqua" w:eastAsia="宋体" w:hAnsi="Book Antiqua" w:cstheme="majorBidi"/>
          <w:sz w:val="24"/>
          <w:szCs w:val="24"/>
          <w:lang w:eastAsia="zh-CN"/>
        </w:rPr>
        <w:t xml:space="preserve">executed </w:t>
      </w:r>
      <w:r w:rsidRPr="00B727B0">
        <w:rPr>
          <w:rFonts w:ascii="Book Antiqua" w:hAnsi="Book Antiqua" w:cstheme="majorBidi"/>
          <w:sz w:val="24"/>
          <w:szCs w:val="24"/>
        </w:rPr>
        <w:t xml:space="preserve">data collection, </w:t>
      </w:r>
      <w:r w:rsidR="00987CF4" w:rsidRPr="00B727B0">
        <w:rPr>
          <w:rFonts w:ascii="Book Antiqua" w:eastAsia="宋体" w:hAnsi="Book Antiqua" w:cstheme="majorBidi"/>
          <w:sz w:val="24"/>
          <w:szCs w:val="24"/>
          <w:lang w:eastAsia="zh-CN"/>
        </w:rPr>
        <w:t xml:space="preserve">and </w:t>
      </w:r>
      <w:r w:rsidR="00987CF4" w:rsidRPr="00B727B0">
        <w:rPr>
          <w:rFonts w:ascii="Book Antiqua" w:hAnsi="Book Antiqua" w:cstheme="majorBidi"/>
          <w:sz w:val="24"/>
          <w:szCs w:val="24"/>
        </w:rPr>
        <w:t>writing the manuscript</w:t>
      </w:r>
      <w:r w:rsidR="00987CF4" w:rsidRPr="00B727B0">
        <w:rPr>
          <w:rFonts w:ascii="Book Antiqua" w:eastAsia="宋体" w:hAnsi="Book Antiqua" w:cstheme="majorBidi"/>
          <w:sz w:val="24"/>
          <w:szCs w:val="24"/>
          <w:lang w:eastAsia="zh-CN"/>
        </w:rPr>
        <w:t xml:space="preserve">; </w:t>
      </w:r>
      <w:r w:rsidR="00A954FE" w:rsidRPr="00B727B0">
        <w:rPr>
          <w:rFonts w:ascii="Book Antiqua" w:eastAsia="宋体" w:hAnsi="Book Antiqua" w:cstheme="majorBidi"/>
          <w:sz w:val="24"/>
          <w:szCs w:val="24"/>
          <w:lang w:eastAsia="zh-CN"/>
        </w:rPr>
        <w:t xml:space="preserve">El </w:t>
      </w:r>
      <w:r w:rsidR="001A41F4" w:rsidRPr="00B727B0">
        <w:rPr>
          <w:rFonts w:ascii="Book Antiqua" w:hAnsi="Book Antiqua" w:cstheme="majorBidi"/>
          <w:sz w:val="24"/>
          <w:szCs w:val="24"/>
        </w:rPr>
        <w:t>Kos</w:t>
      </w:r>
      <w:r w:rsidR="00C24C74" w:rsidRPr="00B727B0">
        <w:rPr>
          <w:rFonts w:ascii="Book Antiqua" w:hAnsi="Book Antiqua" w:cstheme="majorBidi"/>
          <w:sz w:val="24"/>
          <w:szCs w:val="24"/>
        </w:rPr>
        <w:t>s</w:t>
      </w:r>
      <w:r w:rsidR="001A41F4" w:rsidRPr="00B727B0">
        <w:rPr>
          <w:rFonts w:ascii="Book Antiqua" w:hAnsi="Book Antiqua" w:cstheme="majorBidi"/>
          <w:sz w:val="24"/>
          <w:szCs w:val="24"/>
        </w:rPr>
        <w:t>i</w:t>
      </w:r>
      <w:r w:rsidR="00987CF4" w:rsidRPr="00B727B0">
        <w:rPr>
          <w:rFonts w:ascii="Book Antiqua" w:eastAsia="宋体" w:hAnsi="Book Antiqua" w:cstheme="majorBidi"/>
          <w:sz w:val="24"/>
          <w:szCs w:val="24"/>
          <w:lang w:eastAsia="zh-CN"/>
        </w:rPr>
        <w:t xml:space="preserve"> M</w:t>
      </w:r>
      <w:r w:rsidR="001A41F4" w:rsidRPr="00B727B0">
        <w:rPr>
          <w:rFonts w:ascii="Book Antiqua" w:hAnsi="Book Antiqua" w:cstheme="majorBidi"/>
          <w:sz w:val="24"/>
          <w:szCs w:val="24"/>
        </w:rPr>
        <w:t>, Jin</w:t>
      </w:r>
      <w:r w:rsidRPr="00B727B0">
        <w:rPr>
          <w:rFonts w:ascii="Book Antiqua" w:hAnsi="Book Antiqua" w:cstheme="majorBidi"/>
          <w:sz w:val="24"/>
          <w:szCs w:val="24"/>
        </w:rPr>
        <w:t xml:space="preserve"> </w:t>
      </w:r>
      <w:r w:rsidR="00987CF4" w:rsidRPr="00B727B0">
        <w:rPr>
          <w:rFonts w:ascii="Book Antiqua" w:eastAsia="宋体" w:hAnsi="Book Antiqua" w:cstheme="majorBidi"/>
          <w:sz w:val="24"/>
          <w:szCs w:val="24"/>
          <w:lang w:eastAsia="zh-CN"/>
        </w:rPr>
        <w:t xml:space="preserve">JK </w:t>
      </w:r>
      <w:r w:rsidRPr="00B727B0">
        <w:rPr>
          <w:rFonts w:ascii="Book Antiqua" w:hAnsi="Book Antiqua" w:cstheme="majorBidi"/>
          <w:sz w:val="24"/>
          <w:szCs w:val="24"/>
        </w:rPr>
        <w:t>and Sharma</w:t>
      </w:r>
      <w:r w:rsidR="00987CF4" w:rsidRPr="00B727B0">
        <w:rPr>
          <w:rFonts w:ascii="Book Antiqua" w:eastAsia="宋体" w:hAnsi="Book Antiqua" w:cstheme="majorBidi"/>
          <w:sz w:val="24"/>
          <w:szCs w:val="24"/>
          <w:lang w:eastAsia="zh-CN"/>
        </w:rPr>
        <w:t xml:space="preserve"> A </w:t>
      </w:r>
      <w:r w:rsidRPr="00B727B0">
        <w:rPr>
          <w:rFonts w:ascii="Book Antiqua" w:hAnsi="Book Antiqua" w:cstheme="majorBidi"/>
          <w:sz w:val="24"/>
          <w:szCs w:val="24"/>
        </w:rPr>
        <w:t>review</w:t>
      </w:r>
      <w:r w:rsidR="00987CF4" w:rsidRPr="00B727B0">
        <w:rPr>
          <w:rFonts w:ascii="Book Antiqua" w:eastAsia="宋体" w:hAnsi="Book Antiqua" w:cstheme="majorBidi"/>
          <w:sz w:val="24"/>
          <w:szCs w:val="24"/>
          <w:lang w:eastAsia="zh-CN"/>
        </w:rPr>
        <w:t>ed</w:t>
      </w:r>
      <w:r w:rsidR="00987CF4" w:rsidRPr="00B727B0">
        <w:rPr>
          <w:rFonts w:ascii="Book Antiqua" w:hAnsi="Book Antiqua" w:cstheme="majorBidi"/>
          <w:sz w:val="24"/>
          <w:szCs w:val="24"/>
        </w:rPr>
        <w:t xml:space="preserve"> and edi</w:t>
      </w:r>
      <w:r w:rsidR="00987CF4" w:rsidRPr="00B727B0">
        <w:rPr>
          <w:rFonts w:ascii="Book Antiqua" w:eastAsia="宋体" w:hAnsi="Book Antiqua" w:cstheme="majorBidi"/>
          <w:sz w:val="24"/>
          <w:szCs w:val="24"/>
          <w:lang w:eastAsia="zh-CN"/>
        </w:rPr>
        <w:t>ted</w:t>
      </w:r>
      <w:r w:rsidR="00987CF4" w:rsidRPr="00B727B0">
        <w:rPr>
          <w:rFonts w:ascii="Book Antiqua" w:hAnsi="Book Antiqua" w:cstheme="majorBidi"/>
          <w:sz w:val="24"/>
          <w:szCs w:val="24"/>
        </w:rPr>
        <w:t xml:space="preserve"> the manuscript</w:t>
      </w:r>
      <w:r w:rsidR="00987CF4" w:rsidRPr="00B727B0">
        <w:rPr>
          <w:rFonts w:ascii="Book Antiqua" w:eastAsia="宋体" w:hAnsi="Book Antiqua" w:cstheme="majorBidi"/>
          <w:sz w:val="24"/>
          <w:szCs w:val="24"/>
          <w:lang w:eastAsia="zh-CN"/>
        </w:rPr>
        <w:t xml:space="preserve">; </w:t>
      </w:r>
      <w:r w:rsidRPr="00B727B0">
        <w:rPr>
          <w:rFonts w:ascii="Book Antiqua" w:hAnsi="Book Antiqua" w:cstheme="majorBidi"/>
          <w:sz w:val="24"/>
          <w:szCs w:val="24"/>
        </w:rPr>
        <w:t>Halawa</w:t>
      </w:r>
      <w:r w:rsidR="00987CF4" w:rsidRPr="00B727B0">
        <w:rPr>
          <w:rFonts w:ascii="Book Antiqua" w:eastAsia="宋体" w:hAnsi="Book Antiqua" w:cstheme="majorBidi"/>
          <w:sz w:val="24"/>
          <w:szCs w:val="24"/>
          <w:lang w:eastAsia="zh-CN"/>
        </w:rPr>
        <w:t xml:space="preserve"> A contributed to</w:t>
      </w:r>
      <w:r w:rsidR="00886979" w:rsidRPr="00B727B0">
        <w:rPr>
          <w:rFonts w:ascii="Book Antiqua" w:hAnsi="Book Antiqua" w:cstheme="majorBidi"/>
          <w:sz w:val="24"/>
          <w:szCs w:val="24"/>
        </w:rPr>
        <w:t xml:space="preserve"> </w:t>
      </w:r>
      <w:r w:rsidR="00987CF4" w:rsidRPr="00B727B0">
        <w:rPr>
          <w:rFonts w:ascii="Book Antiqua" w:hAnsi="Book Antiqua" w:cstheme="majorBidi"/>
          <w:sz w:val="24"/>
          <w:szCs w:val="24"/>
        </w:rPr>
        <w:t>c</w:t>
      </w:r>
      <w:r w:rsidR="00886979" w:rsidRPr="00B727B0">
        <w:rPr>
          <w:rFonts w:ascii="Book Antiqua" w:hAnsi="Book Antiqua" w:cstheme="majorBidi"/>
          <w:sz w:val="24"/>
          <w:szCs w:val="24"/>
        </w:rPr>
        <w:t>onceptualiz</w:t>
      </w:r>
      <w:r w:rsidR="00CC5AB8" w:rsidRPr="00B727B0">
        <w:rPr>
          <w:rFonts w:ascii="Book Antiqua" w:hAnsi="Book Antiqua" w:cstheme="majorBidi"/>
          <w:sz w:val="24"/>
          <w:szCs w:val="24"/>
        </w:rPr>
        <w:t>ation</w:t>
      </w:r>
      <w:r w:rsidRPr="00B727B0">
        <w:rPr>
          <w:rFonts w:ascii="Book Antiqua" w:hAnsi="Book Antiqua" w:cstheme="majorBidi"/>
          <w:sz w:val="24"/>
          <w:szCs w:val="24"/>
        </w:rPr>
        <w:t xml:space="preserve">, designing </w:t>
      </w:r>
      <w:r w:rsidR="00987CF4" w:rsidRPr="00B727B0">
        <w:rPr>
          <w:rFonts w:ascii="Book Antiqua" w:eastAsia="宋体" w:hAnsi="Book Antiqua" w:cstheme="majorBidi"/>
          <w:sz w:val="24"/>
          <w:szCs w:val="24"/>
          <w:lang w:eastAsia="zh-CN"/>
        </w:rPr>
        <w:t xml:space="preserve">of </w:t>
      </w:r>
      <w:r w:rsidRPr="00B727B0">
        <w:rPr>
          <w:rFonts w:ascii="Book Antiqua" w:hAnsi="Book Antiqua" w:cstheme="majorBidi"/>
          <w:sz w:val="24"/>
          <w:szCs w:val="24"/>
        </w:rPr>
        <w:t xml:space="preserve">the study, supervising </w:t>
      </w:r>
      <w:r w:rsidR="00616026" w:rsidRPr="00B727B0">
        <w:rPr>
          <w:rFonts w:ascii="Book Antiqua" w:eastAsia="宋体" w:hAnsi="Book Antiqua" w:cstheme="majorBidi"/>
          <w:sz w:val="24"/>
          <w:szCs w:val="24"/>
          <w:lang w:eastAsia="zh-CN"/>
        </w:rPr>
        <w:t xml:space="preserve">of </w:t>
      </w:r>
      <w:r w:rsidRPr="00B727B0">
        <w:rPr>
          <w:rFonts w:ascii="Book Antiqua" w:hAnsi="Book Antiqua" w:cstheme="majorBidi"/>
          <w:sz w:val="24"/>
          <w:szCs w:val="24"/>
        </w:rPr>
        <w:t xml:space="preserve">the data collection and reviewing and editing </w:t>
      </w:r>
      <w:r w:rsidR="00616026" w:rsidRPr="00B727B0">
        <w:rPr>
          <w:rFonts w:ascii="Book Antiqua" w:eastAsia="宋体" w:hAnsi="Book Antiqua" w:cstheme="majorBidi"/>
          <w:sz w:val="24"/>
          <w:szCs w:val="24"/>
          <w:lang w:eastAsia="zh-CN"/>
        </w:rPr>
        <w:t xml:space="preserve">of </w:t>
      </w:r>
      <w:r w:rsidRPr="00B727B0">
        <w:rPr>
          <w:rFonts w:ascii="Book Antiqua" w:hAnsi="Book Antiqua" w:cstheme="majorBidi"/>
          <w:sz w:val="24"/>
          <w:szCs w:val="24"/>
        </w:rPr>
        <w:t>the manuscript.</w:t>
      </w:r>
    </w:p>
    <w:p w14:paraId="5231619C" w14:textId="77777777" w:rsidR="00616026" w:rsidRPr="00B727B0" w:rsidRDefault="00616026" w:rsidP="007312CD">
      <w:pPr>
        <w:adjustRightInd w:val="0"/>
        <w:snapToGrid w:val="0"/>
        <w:spacing w:after="0" w:line="360" w:lineRule="auto"/>
        <w:jc w:val="both"/>
        <w:rPr>
          <w:rFonts w:ascii="Book Antiqua" w:eastAsia="宋体" w:hAnsi="Book Antiqua" w:cstheme="majorBidi"/>
          <w:sz w:val="24"/>
          <w:szCs w:val="24"/>
          <w:lang w:eastAsia="zh-CN"/>
        </w:rPr>
      </w:pPr>
    </w:p>
    <w:p w14:paraId="1C7C24EF" w14:textId="6CBE5395" w:rsidR="00C64B49" w:rsidRPr="00B727B0" w:rsidRDefault="00A92E02" w:rsidP="007312CD">
      <w:pPr>
        <w:suppressAutoHyphens/>
        <w:autoSpaceDE w:val="0"/>
        <w:autoSpaceDN w:val="0"/>
        <w:adjustRightInd w:val="0"/>
        <w:snapToGrid w:val="0"/>
        <w:spacing w:after="0" w:line="360" w:lineRule="auto"/>
        <w:jc w:val="both"/>
        <w:rPr>
          <w:rFonts w:ascii="Book Antiqua" w:eastAsia="宋体" w:hAnsi="Book Antiqua" w:cstheme="majorBidi"/>
          <w:color w:val="000000"/>
          <w:sz w:val="24"/>
          <w:szCs w:val="24"/>
          <w:lang w:eastAsia="zh-CN"/>
        </w:rPr>
      </w:pPr>
      <w:bookmarkStart w:id="40" w:name="OLE_LINK222"/>
      <w:bookmarkStart w:id="41" w:name="OLE_LINK223"/>
      <w:bookmarkStart w:id="42" w:name="OLE_LINK1044"/>
      <w:r w:rsidRPr="00B727B0">
        <w:rPr>
          <w:rFonts w:ascii="Book Antiqua" w:hAnsi="Book Antiqua" w:cstheme="majorBidi"/>
          <w:b/>
          <w:color w:val="000000"/>
          <w:sz w:val="24"/>
          <w:szCs w:val="24"/>
        </w:rPr>
        <w:t>Conflict-of-interest statement:</w:t>
      </w:r>
      <w:bookmarkEnd w:id="40"/>
      <w:bookmarkEnd w:id="41"/>
      <w:bookmarkEnd w:id="42"/>
      <w:r w:rsidRPr="00B727B0">
        <w:rPr>
          <w:rFonts w:ascii="Book Antiqua" w:eastAsia="宋体" w:hAnsi="Book Antiqua" w:cstheme="majorBidi"/>
          <w:b/>
          <w:color w:val="000000"/>
          <w:sz w:val="24"/>
          <w:szCs w:val="24"/>
          <w:lang w:eastAsia="zh-CN"/>
        </w:rPr>
        <w:t xml:space="preserve"> </w:t>
      </w:r>
      <w:r w:rsidRPr="00B727B0">
        <w:rPr>
          <w:rFonts w:ascii="Book Antiqua" w:eastAsia="宋体" w:hAnsi="Book Antiqua" w:cstheme="majorBidi"/>
          <w:color w:val="000000"/>
          <w:sz w:val="24"/>
          <w:szCs w:val="24"/>
          <w:lang w:eastAsia="zh-CN"/>
        </w:rPr>
        <w:t xml:space="preserve">None. </w:t>
      </w:r>
    </w:p>
    <w:p w14:paraId="13956305" w14:textId="77777777" w:rsidR="00C64B49" w:rsidRPr="00B727B0" w:rsidRDefault="00C64B49" w:rsidP="007312CD">
      <w:pPr>
        <w:suppressAutoHyphens/>
        <w:autoSpaceDE w:val="0"/>
        <w:autoSpaceDN w:val="0"/>
        <w:adjustRightInd w:val="0"/>
        <w:snapToGrid w:val="0"/>
        <w:spacing w:after="0" w:line="360" w:lineRule="auto"/>
        <w:jc w:val="both"/>
        <w:rPr>
          <w:rFonts w:ascii="Book Antiqua" w:eastAsia="宋体" w:hAnsi="Book Antiqua" w:cstheme="majorBidi"/>
          <w:color w:val="000000"/>
          <w:sz w:val="24"/>
          <w:szCs w:val="24"/>
          <w:lang w:eastAsia="zh-CN"/>
        </w:rPr>
      </w:pPr>
      <w:bookmarkStart w:id="43" w:name="OLE_LINK170"/>
      <w:bookmarkStart w:id="44" w:name="OLE_LINK171"/>
      <w:bookmarkStart w:id="45" w:name="OLE_LINK216"/>
      <w:bookmarkStart w:id="46" w:name="OLE_LINK492"/>
      <w:bookmarkStart w:id="47" w:name="OLE_LINK773"/>
    </w:p>
    <w:p w14:paraId="65048138" w14:textId="77777777" w:rsidR="00C64B49" w:rsidRPr="00B727B0" w:rsidRDefault="00C64B49" w:rsidP="007312CD">
      <w:pPr>
        <w:widowControl w:val="0"/>
        <w:adjustRightInd w:val="0"/>
        <w:snapToGrid w:val="0"/>
        <w:spacing w:after="0" w:line="360" w:lineRule="auto"/>
        <w:jc w:val="both"/>
        <w:rPr>
          <w:rFonts w:ascii="Book Antiqua" w:hAnsi="Book Antiqua" w:cstheme="majorBidi"/>
          <w:sz w:val="24"/>
          <w:szCs w:val="24"/>
        </w:rPr>
      </w:pPr>
      <w:bookmarkStart w:id="48" w:name="OLE_LINK111"/>
      <w:bookmarkStart w:id="49" w:name="OLE_LINK112"/>
      <w:bookmarkStart w:id="50" w:name="OLE_LINK54"/>
      <w:bookmarkStart w:id="51" w:name="OLE_LINK70"/>
      <w:bookmarkStart w:id="52" w:name="OLE_LINK123"/>
      <w:bookmarkStart w:id="53" w:name="OLE_LINK183"/>
      <w:bookmarkStart w:id="54" w:name="OLE_LINK329"/>
      <w:bookmarkStart w:id="55" w:name="OLE_LINK424"/>
      <w:bookmarkStart w:id="56" w:name="OLE_LINK662"/>
      <w:r w:rsidRPr="00B727B0">
        <w:rPr>
          <w:rFonts w:ascii="Book Antiqua" w:hAnsi="Book Antiqua" w:cstheme="majorBidi"/>
          <w:b/>
          <w:color w:val="000000"/>
          <w:sz w:val="24"/>
          <w:szCs w:val="24"/>
        </w:rPr>
        <w:t xml:space="preserve">Open-Access: </w:t>
      </w:r>
      <w:r w:rsidRPr="00B727B0">
        <w:rPr>
          <w:rFonts w:ascii="Book Antiqua" w:hAnsi="Book Antiqua" w:cstheme="majorBidi"/>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B727B0">
        <w:rPr>
          <w:rFonts w:ascii="Book Antiqua" w:hAnsi="Book Antiqua" w:cstheme="majorBidi"/>
          <w:sz w:val="24"/>
          <w:szCs w:val="24"/>
        </w:rPr>
        <w:t>http://creativecommons.org/licenses/by-nc/4.0/</w:t>
      </w:r>
      <w:bookmarkEnd w:id="48"/>
      <w:bookmarkEnd w:id="49"/>
    </w:p>
    <w:bookmarkEnd w:id="43"/>
    <w:bookmarkEnd w:id="44"/>
    <w:bookmarkEnd w:id="45"/>
    <w:bookmarkEnd w:id="46"/>
    <w:bookmarkEnd w:id="47"/>
    <w:bookmarkEnd w:id="50"/>
    <w:bookmarkEnd w:id="51"/>
    <w:bookmarkEnd w:id="52"/>
    <w:bookmarkEnd w:id="53"/>
    <w:bookmarkEnd w:id="54"/>
    <w:bookmarkEnd w:id="55"/>
    <w:bookmarkEnd w:id="56"/>
    <w:p w14:paraId="78DE2957" w14:textId="77777777" w:rsidR="00C64B49" w:rsidRPr="00B727B0" w:rsidRDefault="00C64B49" w:rsidP="007312CD">
      <w:pPr>
        <w:adjustRightInd w:val="0"/>
        <w:snapToGrid w:val="0"/>
        <w:spacing w:after="0" w:line="360" w:lineRule="auto"/>
        <w:jc w:val="both"/>
        <w:rPr>
          <w:rFonts w:ascii="Book Antiqua" w:eastAsia="宋体" w:hAnsi="Book Antiqua" w:cstheme="majorBidi"/>
          <w:sz w:val="24"/>
          <w:szCs w:val="24"/>
          <w:lang w:eastAsia="zh-CN"/>
        </w:rPr>
      </w:pPr>
    </w:p>
    <w:p w14:paraId="7DE4F34D" w14:textId="77777777" w:rsidR="00C64B49" w:rsidRPr="00B727B0" w:rsidRDefault="00C64B49" w:rsidP="007312CD">
      <w:pPr>
        <w:adjustRightInd w:val="0"/>
        <w:snapToGrid w:val="0"/>
        <w:spacing w:after="0" w:line="360" w:lineRule="auto"/>
        <w:ind w:right="120"/>
        <w:jc w:val="both"/>
        <w:rPr>
          <w:rFonts w:ascii="Book Antiqua" w:hAnsi="Book Antiqua" w:cstheme="majorBidi"/>
          <w:color w:val="000000"/>
          <w:sz w:val="24"/>
          <w:szCs w:val="24"/>
        </w:rPr>
      </w:pPr>
      <w:bookmarkStart w:id="57" w:name="OLE_LINK219"/>
      <w:bookmarkStart w:id="58" w:name="OLE_LINK368"/>
      <w:bookmarkStart w:id="59" w:name="OLE_LINK551"/>
      <w:r w:rsidRPr="00B727B0">
        <w:rPr>
          <w:rFonts w:ascii="Book Antiqua" w:hAnsi="Book Antiqua" w:cstheme="majorBidi"/>
          <w:b/>
          <w:color w:val="000000"/>
          <w:sz w:val="24"/>
          <w:szCs w:val="24"/>
        </w:rPr>
        <w:t>Manuscript source:</w:t>
      </w:r>
      <w:r w:rsidRPr="00B727B0">
        <w:rPr>
          <w:rFonts w:ascii="Book Antiqua" w:hAnsi="Book Antiqua" w:cstheme="majorBidi"/>
          <w:color w:val="000000"/>
          <w:sz w:val="24"/>
          <w:szCs w:val="24"/>
        </w:rPr>
        <w:t xml:space="preserve"> Invited manuscript</w:t>
      </w:r>
    </w:p>
    <w:bookmarkEnd w:id="57"/>
    <w:bookmarkEnd w:id="58"/>
    <w:bookmarkEnd w:id="59"/>
    <w:p w14:paraId="5356C530" w14:textId="77777777" w:rsidR="00C64B49" w:rsidRPr="00B727B0" w:rsidRDefault="00C64B49" w:rsidP="007312CD">
      <w:pPr>
        <w:adjustRightInd w:val="0"/>
        <w:snapToGrid w:val="0"/>
        <w:spacing w:after="0" w:line="360" w:lineRule="auto"/>
        <w:jc w:val="both"/>
        <w:rPr>
          <w:rFonts w:ascii="Book Antiqua" w:eastAsia="宋体" w:hAnsi="Book Antiqua" w:cstheme="majorBidi"/>
          <w:sz w:val="24"/>
          <w:szCs w:val="24"/>
          <w:lang w:eastAsia="zh-CN"/>
        </w:rPr>
      </w:pPr>
    </w:p>
    <w:p w14:paraId="42D791C9" w14:textId="1BBDA9DF" w:rsidR="00C64B49" w:rsidRPr="00B727B0" w:rsidRDefault="00C64B49"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b/>
          <w:sz w:val="24"/>
          <w:szCs w:val="24"/>
        </w:rPr>
        <w:t>Correspond</w:t>
      </w:r>
      <w:r w:rsidRPr="00B727B0">
        <w:rPr>
          <w:rFonts w:ascii="Book Antiqua" w:eastAsia="宋体" w:hAnsi="Book Antiqua" w:cstheme="majorBidi"/>
          <w:b/>
          <w:sz w:val="24"/>
          <w:szCs w:val="24"/>
          <w:lang w:eastAsia="zh-CN"/>
        </w:rPr>
        <w:t xml:space="preserve">ence to: Dr. </w:t>
      </w:r>
      <w:r w:rsidRPr="00B727B0">
        <w:rPr>
          <w:rFonts w:ascii="Book Antiqua" w:hAnsi="Book Antiqua" w:cstheme="majorBidi"/>
          <w:b/>
          <w:sz w:val="24"/>
          <w:szCs w:val="24"/>
        </w:rPr>
        <w:t>Ahmed Halawa</w:t>
      </w:r>
      <w:r w:rsidRPr="00B727B0">
        <w:rPr>
          <w:rFonts w:ascii="Book Antiqua" w:eastAsia="宋体" w:hAnsi="Book Antiqua" w:cstheme="majorBidi"/>
          <w:b/>
          <w:sz w:val="24"/>
          <w:szCs w:val="24"/>
          <w:lang w:eastAsia="zh-CN"/>
        </w:rPr>
        <w:t xml:space="preserve">, </w:t>
      </w:r>
      <w:r w:rsidRPr="00B727B0">
        <w:rPr>
          <w:rFonts w:ascii="Book Antiqua" w:hAnsi="Book Antiqua" w:cstheme="majorBidi"/>
          <w:b/>
          <w:sz w:val="24"/>
          <w:szCs w:val="24"/>
        </w:rPr>
        <w:t>Consultant Transplant Surgeon</w:t>
      </w:r>
      <w:r w:rsidRPr="00B727B0">
        <w:rPr>
          <w:rFonts w:ascii="Book Antiqua" w:eastAsia="宋体" w:hAnsi="Book Antiqua" w:cstheme="majorBidi"/>
          <w:b/>
          <w:sz w:val="24"/>
          <w:szCs w:val="24"/>
          <w:lang w:eastAsia="zh-CN"/>
        </w:rPr>
        <w:t xml:space="preserve">, </w:t>
      </w:r>
      <w:bookmarkStart w:id="60" w:name="OLE_LINK1179"/>
      <w:bookmarkStart w:id="61" w:name="OLE_LINK1180"/>
      <w:bookmarkStart w:id="62" w:name="OLE_LINK1177"/>
      <w:bookmarkStart w:id="63" w:name="OLE_LINK1178"/>
      <w:r w:rsidR="002632A4" w:rsidRPr="002632A4">
        <w:rPr>
          <w:rFonts w:ascii="Book Antiqua" w:eastAsia="宋体" w:hAnsi="Book Antiqua" w:cstheme="majorBidi"/>
          <w:b/>
          <w:sz w:val="24"/>
          <w:szCs w:val="24"/>
          <w:lang w:eastAsia="zh-CN"/>
        </w:rPr>
        <w:t>DNB,</w:t>
      </w:r>
      <w:r w:rsidR="002632A4">
        <w:rPr>
          <w:rFonts w:ascii="Book Antiqua" w:eastAsia="宋体" w:hAnsi="Book Antiqua" w:cstheme="majorBidi" w:hint="eastAsia"/>
          <w:b/>
          <w:sz w:val="24"/>
          <w:szCs w:val="24"/>
          <w:lang w:eastAsia="zh-CN"/>
        </w:rPr>
        <w:t xml:space="preserve"> </w:t>
      </w:r>
      <w:r w:rsidR="002632A4" w:rsidRPr="002632A4">
        <w:rPr>
          <w:rFonts w:ascii="Book Antiqua" w:eastAsia="宋体" w:hAnsi="Book Antiqua" w:cstheme="majorBidi"/>
          <w:b/>
          <w:sz w:val="24"/>
          <w:szCs w:val="24"/>
          <w:lang w:eastAsia="zh-CN"/>
        </w:rPr>
        <w:t>FRCS (Ed),</w:t>
      </w:r>
      <w:r w:rsidR="002632A4">
        <w:rPr>
          <w:rFonts w:ascii="Book Antiqua" w:eastAsia="宋体" w:hAnsi="Book Antiqua" w:cstheme="majorBidi" w:hint="eastAsia"/>
          <w:b/>
          <w:sz w:val="24"/>
          <w:szCs w:val="24"/>
          <w:lang w:eastAsia="zh-CN"/>
        </w:rPr>
        <w:t xml:space="preserve"> </w:t>
      </w:r>
      <w:r w:rsidR="002632A4" w:rsidRPr="002632A4">
        <w:rPr>
          <w:rFonts w:ascii="Book Antiqua" w:eastAsia="宋体" w:hAnsi="Book Antiqua" w:cstheme="majorBidi"/>
          <w:b/>
          <w:sz w:val="24"/>
          <w:szCs w:val="24"/>
          <w:lang w:eastAsia="zh-CN"/>
        </w:rPr>
        <w:t>FRCS (Gen Surg),</w:t>
      </w:r>
      <w:r w:rsidR="002632A4">
        <w:rPr>
          <w:rFonts w:ascii="Book Antiqua" w:eastAsia="宋体" w:hAnsi="Book Antiqua" w:cstheme="majorBidi" w:hint="eastAsia"/>
          <w:b/>
          <w:sz w:val="24"/>
          <w:szCs w:val="24"/>
          <w:lang w:eastAsia="zh-CN"/>
        </w:rPr>
        <w:t xml:space="preserve"> </w:t>
      </w:r>
      <w:r w:rsidR="002632A4" w:rsidRPr="002632A4">
        <w:rPr>
          <w:rFonts w:ascii="Book Antiqua" w:eastAsia="宋体" w:hAnsi="Book Antiqua" w:cstheme="majorBidi"/>
          <w:b/>
          <w:sz w:val="24"/>
          <w:szCs w:val="24"/>
          <w:lang w:eastAsia="zh-CN"/>
        </w:rPr>
        <w:t>MD,</w:t>
      </w:r>
      <w:r w:rsidR="002632A4">
        <w:rPr>
          <w:rFonts w:ascii="Book Antiqua" w:eastAsia="宋体" w:hAnsi="Book Antiqua" w:cstheme="majorBidi" w:hint="eastAsia"/>
          <w:b/>
          <w:sz w:val="24"/>
          <w:szCs w:val="24"/>
          <w:lang w:eastAsia="zh-CN"/>
        </w:rPr>
        <w:t xml:space="preserve"> </w:t>
      </w:r>
      <w:r w:rsidR="002632A4" w:rsidRPr="002632A4">
        <w:rPr>
          <w:rFonts w:ascii="Book Antiqua" w:eastAsia="宋体" w:hAnsi="Book Antiqua" w:cstheme="majorBidi"/>
          <w:b/>
          <w:sz w:val="24"/>
          <w:szCs w:val="24"/>
          <w:lang w:eastAsia="zh-CN"/>
        </w:rPr>
        <w:t>MSc</w:t>
      </w:r>
      <w:r w:rsidR="002632A4">
        <w:rPr>
          <w:rFonts w:ascii="Book Antiqua" w:eastAsia="宋体" w:hAnsi="Book Antiqua" w:cstheme="majorBidi" w:hint="eastAsia"/>
          <w:b/>
          <w:sz w:val="24"/>
          <w:szCs w:val="24"/>
          <w:lang w:eastAsia="zh-CN"/>
        </w:rPr>
        <w:t xml:space="preserve">, </w:t>
      </w:r>
      <w:r w:rsidR="002632A4" w:rsidRPr="002632A4">
        <w:rPr>
          <w:rFonts w:ascii="Book Antiqua" w:eastAsia="宋体" w:hAnsi="Book Antiqua" w:cstheme="majorBidi"/>
          <w:sz w:val="24"/>
          <w:szCs w:val="24"/>
          <w:lang w:eastAsia="zh-CN"/>
        </w:rPr>
        <w:t>Department of Transplantation Surgery</w:t>
      </w:r>
      <w:r w:rsidR="002632A4" w:rsidRPr="002632A4">
        <w:rPr>
          <w:rFonts w:ascii="Book Antiqua" w:eastAsia="宋体" w:hAnsi="Book Antiqua" w:cstheme="majorBidi" w:hint="eastAsia"/>
          <w:sz w:val="24"/>
          <w:szCs w:val="24"/>
          <w:lang w:eastAsia="zh-CN"/>
        </w:rPr>
        <w:t>,</w:t>
      </w:r>
      <w:r w:rsidR="002632A4" w:rsidRPr="002632A4">
        <w:rPr>
          <w:rFonts w:ascii="Book Antiqua" w:eastAsia="宋体" w:hAnsi="Book Antiqua" w:cstheme="majorBidi"/>
          <w:b/>
          <w:sz w:val="24"/>
          <w:szCs w:val="24"/>
          <w:lang w:eastAsia="zh-CN"/>
        </w:rPr>
        <w:t xml:space="preserve"> </w:t>
      </w:r>
      <w:bookmarkEnd w:id="60"/>
      <w:bookmarkEnd w:id="61"/>
      <w:r w:rsidRPr="00B727B0">
        <w:rPr>
          <w:rFonts w:ascii="Book Antiqua" w:hAnsi="Book Antiqua" w:cstheme="majorBidi"/>
          <w:sz w:val="24"/>
          <w:szCs w:val="24"/>
        </w:rPr>
        <w:t>Sheffield Teaching Hospital</w:t>
      </w:r>
      <w:bookmarkEnd w:id="62"/>
      <w:bookmarkEnd w:id="63"/>
      <w:r w:rsidRPr="00B727B0">
        <w:rPr>
          <w:rFonts w:ascii="Book Antiqua" w:eastAsia="宋体" w:hAnsi="Book Antiqua" w:cstheme="majorBidi"/>
          <w:sz w:val="24"/>
          <w:szCs w:val="24"/>
          <w:lang w:eastAsia="zh-CN"/>
        </w:rPr>
        <w:t xml:space="preserve">, </w:t>
      </w:r>
      <w:r w:rsidRPr="00B727B0">
        <w:rPr>
          <w:rFonts w:ascii="Book Antiqua" w:hAnsi="Book Antiqua" w:cstheme="majorBidi"/>
          <w:sz w:val="24"/>
          <w:szCs w:val="24"/>
        </w:rPr>
        <w:t>Herries Road, Sheffield S5 7AU, United Kingdom</w:t>
      </w:r>
      <w:r w:rsidRPr="00B727B0">
        <w:rPr>
          <w:rFonts w:ascii="Book Antiqua" w:eastAsia="宋体" w:hAnsi="Book Antiqua" w:cstheme="majorBidi"/>
          <w:sz w:val="24"/>
          <w:szCs w:val="24"/>
          <w:lang w:eastAsia="zh-CN"/>
        </w:rPr>
        <w:t xml:space="preserve">. </w:t>
      </w:r>
      <w:r w:rsidR="00191854">
        <w:rPr>
          <w:rFonts w:ascii="Book Antiqua" w:eastAsia="宋体" w:hAnsi="Book Antiqua" w:cstheme="majorBidi" w:hint="eastAsia"/>
          <w:sz w:val="24"/>
          <w:szCs w:val="24"/>
          <w:lang w:eastAsia="zh-CN"/>
        </w:rPr>
        <w:t>a</w:t>
      </w:r>
      <w:r w:rsidRPr="00B727B0">
        <w:rPr>
          <w:rFonts w:ascii="Book Antiqua" w:hAnsi="Book Antiqua" w:cstheme="majorBidi"/>
          <w:sz w:val="24"/>
          <w:szCs w:val="24"/>
        </w:rPr>
        <w:t>hmed.</w:t>
      </w:r>
      <w:r w:rsidR="00191854">
        <w:rPr>
          <w:rFonts w:ascii="Book Antiqua" w:eastAsia="宋体" w:hAnsi="Book Antiqua" w:cstheme="majorBidi" w:hint="eastAsia"/>
          <w:sz w:val="24"/>
          <w:szCs w:val="24"/>
          <w:lang w:eastAsia="zh-CN"/>
        </w:rPr>
        <w:t>h</w:t>
      </w:r>
      <w:r w:rsidRPr="00B727B0">
        <w:rPr>
          <w:rFonts w:ascii="Book Antiqua" w:hAnsi="Book Antiqua" w:cstheme="majorBidi"/>
          <w:sz w:val="24"/>
          <w:szCs w:val="24"/>
        </w:rPr>
        <w:t>alawa@sth.nhs.uk</w:t>
      </w:r>
    </w:p>
    <w:p w14:paraId="6300B392" w14:textId="77777777" w:rsidR="00C64B49" w:rsidRPr="00B727B0" w:rsidRDefault="00C64B49" w:rsidP="007312CD">
      <w:pPr>
        <w:pStyle w:val="yiv7679730166msonormal"/>
        <w:adjustRightInd w:val="0"/>
        <w:snapToGrid w:val="0"/>
        <w:spacing w:before="0" w:beforeAutospacing="0" w:after="0" w:afterAutospacing="0" w:line="360" w:lineRule="auto"/>
        <w:jc w:val="both"/>
        <w:rPr>
          <w:rFonts w:ascii="Book Antiqua" w:hAnsi="Book Antiqua" w:cstheme="majorBidi"/>
        </w:rPr>
      </w:pPr>
      <w:r w:rsidRPr="00B727B0">
        <w:rPr>
          <w:rFonts w:ascii="Book Antiqua" w:hAnsi="Book Antiqua" w:cstheme="majorBidi"/>
          <w:b/>
        </w:rPr>
        <w:t>Tel</w:t>
      </w:r>
      <w:r w:rsidRPr="00B727B0">
        <w:rPr>
          <w:rFonts w:ascii="Book Antiqua" w:eastAsia="宋体" w:hAnsi="Book Antiqua" w:cstheme="majorBidi"/>
          <w:b/>
          <w:lang w:eastAsia="zh-CN"/>
        </w:rPr>
        <w:t>ephone</w:t>
      </w:r>
      <w:r w:rsidRPr="00B727B0">
        <w:rPr>
          <w:rFonts w:ascii="Book Antiqua" w:hAnsi="Book Antiqua" w:cstheme="majorBidi"/>
          <w:b/>
        </w:rPr>
        <w:t>:</w:t>
      </w:r>
      <w:r w:rsidRPr="00B727B0">
        <w:rPr>
          <w:rFonts w:ascii="Book Antiqua" w:hAnsi="Book Antiqua" w:cstheme="majorBidi"/>
        </w:rPr>
        <w:t xml:space="preserve"> </w:t>
      </w:r>
      <w:bookmarkStart w:id="64" w:name="OLE_LINK1181"/>
      <w:bookmarkStart w:id="65" w:name="OLE_LINK1182"/>
      <w:r w:rsidRPr="00B727B0">
        <w:rPr>
          <w:rFonts w:ascii="Book Antiqua" w:hAnsi="Book Antiqua" w:cstheme="majorBidi"/>
        </w:rPr>
        <w:t>+44</w:t>
      </w:r>
      <w:r w:rsidRPr="00B727B0">
        <w:rPr>
          <w:rFonts w:ascii="Book Antiqua" w:eastAsia="宋体" w:hAnsi="Book Antiqua" w:cstheme="majorBidi"/>
          <w:lang w:eastAsia="zh-CN"/>
        </w:rPr>
        <w:t>-</w:t>
      </w:r>
      <w:r w:rsidRPr="00B727B0">
        <w:rPr>
          <w:rFonts w:ascii="Book Antiqua" w:hAnsi="Book Antiqua" w:cstheme="majorBidi"/>
        </w:rPr>
        <w:t>778</w:t>
      </w:r>
      <w:r w:rsidRPr="00B727B0">
        <w:rPr>
          <w:rFonts w:ascii="Book Antiqua" w:eastAsia="宋体" w:hAnsi="Book Antiqua" w:cstheme="majorBidi"/>
          <w:lang w:eastAsia="zh-CN"/>
        </w:rPr>
        <w:t>-</w:t>
      </w:r>
      <w:r w:rsidRPr="00B727B0">
        <w:rPr>
          <w:rFonts w:ascii="Book Antiqua" w:hAnsi="Book Antiqua" w:cstheme="majorBidi"/>
        </w:rPr>
        <w:t>7542128</w:t>
      </w:r>
      <w:bookmarkEnd w:id="64"/>
      <w:bookmarkEnd w:id="65"/>
    </w:p>
    <w:p w14:paraId="2CF5C2EE" w14:textId="77777777" w:rsidR="00C64B49" w:rsidRPr="00B727B0" w:rsidRDefault="00C64B49" w:rsidP="007312CD">
      <w:pPr>
        <w:pStyle w:val="yiv7679730166msonormal"/>
        <w:adjustRightInd w:val="0"/>
        <w:snapToGrid w:val="0"/>
        <w:spacing w:before="0" w:beforeAutospacing="0" w:after="0" w:afterAutospacing="0" w:line="360" w:lineRule="auto"/>
        <w:jc w:val="both"/>
        <w:rPr>
          <w:rFonts w:ascii="Book Antiqua" w:hAnsi="Book Antiqua" w:cstheme="majorBidi"/>
        </w:rPr>
      </w:pPr>
      <w:r w:rsidRPr="00B727B0">
        <w:rPr>
          <w:rFonts w:ascii="Book Antiqua" w:hAnsi="Book Antiqua" w:cstheme="majorBidi"/>
          <w:b/>
        </w:rPr>
        <w:t>Fax:</w:t>
      </w:r>
      <w:r w:rsidRPr="00B727B0">
        <w:rPr>
          <w:rFonts w:ascii="Book Antiqua" w:hAnsi="Book Antiqua" w:cstheme="majorBidi"/>
        </w:rPr>
        <w:t xml:space="preserve"> +44</w:t>
      </w:r>
      <w:r w:rsidRPr="00B727B0">
        <w:rPr>
          <w:rFonts w:ascii="Book Antiqua" w:eastAsia="宋体" w:hAnsi="Book Antiqua" w:cstheme="majorBidi"/>
          <w:lang w:eastAsia="zh-CN"/>
        </w:rPr>
        <w:t>-</w:t>
      </w:r>
      <w:r w:rsidRPr="00B727B0">
        <w:rPr>
          <w:rFonts w:ascii="Book Antiqua" w:hAnsi="Book Antiqua" w:cstheme="majorBidi"/>
        </w:rPr>
        <w:t>114</w:t>
      </w:r>
      <w:r w:rsidRPr="00B727B0">
        <w:rPr>
          <w:rFonts w:ascii="Book Antiqua" w:eastAsia="宋体" w:hAnsi="Book Antiqua" w:cstheme="majorBidi"/>
          <w:lang w:eastAsia="zh-CN"/>
        </w:rPr>
        <w:t>-</w:t>
      </w:r>
      <w:r w:rsidRPr="00B727B0">
        <w:rPr>
          <w:rFonts w:ascii="Book Antiqua" w:hAnsi="Book Antiqua" w:cstheme="majorBidi"/>
        </w:rPr>
        <w:t>2714604</w:t>
      </w:r>
    </w:p>
    <w:p w14:paraId="6B43E499" w14:textId="77777777" w:rsidR="00C64B49" w:rsidRPr="00B727B0" w:rsidRDefault="00C64B49" w:rsidP="007312CD">
      <w:pPr>
        <w:adjustRightInd w:val="0"/>
        <w:snapToGrid w:val="0"/>
        <w:spacing w:after="0" w:line="360" w:lineRule="auto"/>
        <w:jc w:val="both"/>
        <w:rPr>
          <w:rFonts w:ascii="Book Antiqua" w:eastAsia="宋体" w:hAnsi="Book Antiqua" w:cstheme="majorBidi"/>
          <w:sz w:val="24"/>
          <w:szCs w:val="24"/>
          <w:lang w:eastAsia="zh-CN"/>
        </w:rPr>
      </w:pPr>
    </w:p>
    <w:p w14:paraId="26A5AE01" w14:textId="77777777" w:rsidR="00C64B49" w:rsidRPr="00B727B0" w:rsidRDefault="00C64B49" w:rsidP="007312CD">
      <w:pPr>
        <w:widowControl w:val="0"/>
        <w:adjustRightInd w:val="0"/>
        <w:snapToGrid w:val="0"/>
        <w:spacing w:after="0" w:line="360" w:lineRule="auto"/>
        <w:jc w:val="both"/>
        <w:rPr>
          <w:rFonts w:ascii="Book Antiqua" w:eastAsia="宋体" w:hAnsi="Book Antiqua" w:cstheme="majorBidi"/>
          <w:sz w:val="24"/>
          <w:szCs w:val="24"/>
          <w:lang w:eastAsia="zh-CN"/>
        </w:rPr>
      </w:pPr>
      <w:bookmarkStart w:id="66" w:name="OLE_LINK140"/>
      <w:bookmarkStart w:id="67" w:name="OLE_LINK7"/>
      <w:bookmarkStart w:id="68" w:name="OLE_LINK8"/>
      <w:bookmarkStart w:id="69" w:name="OLE_LINK16"/>
      <w:bookmarkStart w:id="70" w:name="OLE_LINK36"/>
      <w:bookmarkStart w:id="71" w:name="OLE_LINK38"/>
      <w:bookmarkStart w:id="72" w:name="OLE_LINK47"/>
      <w:bookmarkStart w:id="73" w:name="OLE_LINK55"/>
      <w:bookmarkStart w:id="74" w:name="OLE_LINK77"/>
      <w:bookmarkStart w:id="75" w:name="OLE_LINK80"/>
      <w:bookmarkStart w:id="76" w:name="OLE_LINK83"/>
      <w:bookmarkStart w:id="77" w:name="OLE_LINK85"/>
      <w:bookmarkStart w:id="78" w:name="OLE_LINK153"/>
      <w:bookmarkStart w:id="79" w:name="OLE_LINK156"/>
      <w:bookmarkStart w:id="80" w:name="OLE_LINK224"/>
      <w:bookmarkStart w:id="81" w:name="OLE_LINK271"/>
      <w:bookmarkStart w:id="82" w:name="OLE_LINK321"/>
      <w:bookmarkStart w:id="83" w:name="OLE_LINK322"/>
      <w:bookmarkStart w:id="84" w:name="OLE_LINK330"/>
      <w:bookmarkStart w:id="85" w:name="OLE_LINK229"/>
      <w:bookmarkStart w:id="86" w:name="OLE_LINK230"/>
      <w:bookmarkStart w:id="87" w:name="OLE_LINK422"/>
      <w:bookmarkStart w:id="88" w:name="OLE_LINK464"/>
      <w:bookmarkStart w:id="89" w:name="OLE_LINK493"/>
      <w:bookmarkStart w:id="90" w:name="OLE_LINK535"/>
      <w:bookmarkStart w:id="91" w:name="OLE_LINK552"/>
      <w:bookmarkStart w:id="92" w:name="OLE_LINK578"/>
      <w:bookmarkStart w:id="93" w:name="OLE_LINK608"/>
      <w:bookmarkStart w:id="94" w:name="OLE_LINK632"/>
      <w:bookmarkStart w:id="95" w:name="OLE_LINK643"/>
      <w:bookmarkStart w:id="96" w:name="OLE_LINK678"/>
      <w:bookmarkStart w:id="97" w:name="OLE_LINK683"/>
      <w:bookmarkStart w:id="98" w:name="OLE_LINK694"/>
      <w:bookmarkStart w:id="99" w:name="OLE_LINK724"/>
      <w:bookmarkStart w:id="100" w:name="OLE_LINK730"/>
      <w:bookmarkStart w:id="101" w:name="OLE_LINK749"/>
      <w:bookmarkStart w:id="102" w:name="OLE_LINK787"/>
      <w:bookmarkStart w:id="103" w:name="OLE_LINK793"/>
      <w:bookmarkStart w:id="104" w:name="OLE_LINK815"/>
      <w:bookmarkStart w:id="105" w:name="OLE_LINK832"/>
      <w:bookmarkStart w:id="106" w:name="OLE_LINK859"/>
      <w:bookmarkStart w:id="107" w:name="OLE_LINK862"/>
      <w:bookmarkStart w:id="108" w:name="OLE_LINK874"/>
      <w:bookmarkStart w:id="109" w:name="OLE_LINK920"/>
      <w:bookmarkStart w:id="110" w:name="OLE_LINK917"/>
      <w:bookmarkStart w:id="111" w:name="OLE_LINK919"/>
      <w:bookmarkStart w:id="112" w:name="OLE_LINK942"/>
      <w:bookmarkStart w:id="113" w:name="OLE_LINK948"/>
      <w:bookmarkStart w:id="114" w:name="OLE_LINK985"/>
      <w:bookmarkStart w:id="115" w:name="OLE_LINK1019"/>
      <w:bookmarkStart w:id="116" w:name="OLE_LINK1034"/>
      <w:bookmarkStart w:id="117" w:name="OLE_LINK1047"/>
      <w:r w:rsidRPr="00B727B0">
        <w:rPr>
          <w:rFonts w:ascii="Book Antiqua" w:hAnsi="Book Antiqua" w:cstheme="majorBidi"/>
          <w:b/>
          <w:sz w:val="24"/>
          <w:szCs w:val="24"/>
        </w:rPr>
        <w:t xml:space="preserve">Received: </w:t>
      </w:r>
      <w:r w:rsidRPr="00B727B0">
        <w:rPr>
          <w:rFonts w:ascii="Book Antiqua" w:eastAsia="宋体" w:hAnsi="Book Antiqua" w:cstheme="majorBidi"/>
          <w:sz w:val="24"/>
          <w:szCs w:val="24"/>
          <w:lang w:eastAsia="zh-CN"/>
        </w:rPr>
        <w:t>May 6, 2017</w:t>
      </w:r>
    </w:p>
    <w:p w14:paraId="3D112FE9" w14:textId="77777777" w:rsidR="00C64B49" w:rsidRPr="00B727B0" w:rsidRDefault="00C64B49" w:rsidP="007312CD">
      <w:pPr>
        <w:widowControl w:val="0"/>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b/>
          <w:sz w:val="24"/>
          <w:szCs w:val="24"/>
        </w:rPr>
        <w:lastRenderedPageBreak/>
        <w:t xml:space="preserve">Peer-review started: </w:t>
      </w:r>
      <w:r w:rsidRPr="00B727B0">
        <w:rPr>
          <w:rFonts w:ascii="Book Antiqua" w:eastAsia="宋体" w:hAnsi="Book Antiqua" w:cstheme="majorBidi"/>
          <w:sz w:val="24"/>
          <w:szCs w:val="24"/>
          <w:lang w:eastAsia="zh-CN"/>
        </w:rPr>
        <w:t>May 10, 2017</w:t>
      </w:r>
    </w:p>
    <w:p w14:paraId="5767C56D" w14:textId="77777777" w:rsidR="00C64B49" w:rsidRPr="00B727B0" w:rsidRDefault="00C64B49" w:rsidP="007312CD">
      <w:pPr>
        <w:widowControl w:val="0"/>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sz w:val="24"/>
          <w:szCs w:val="24"/>
        </w:rPr>
        <w:t>First decision:</w:t>
      </w:r>
      <w:r w:rsidRPr="00B727B0">
        <w:rPr>
          <w:rFonts w:ascii="Book Antiqua" w:hAnsi="Book Antiqua" w:cstheme="majorBidi"/>
          <w:sz w:val="24"/>
          <w:szCs w:val="24"/>
        </w:rPr>
        <w:t xml:space="preserve"> </w:t>
      </w:r>
      <w:r w:rsidRPr="00B727B0">
        <w:rPr>
          <w:rFonts w:ascii="Book Antiqua" w:eastAsia="宋体" w:hAnsi="Book Antiqua" w:cstheme="majorBidi"/>
          <w:sz w:val="24"/>
          <w:szCs w:val="24"/>
          <w:lang w:eastAsia="zh-CN"/>
        </w:rPr>
        <w:t>July 20, 2017</w:t>
      </w:r>
      <w:r w:rsidRPr="00B727B0">
        <w:rPr>
          <w:rFonts w:ascii="Book Antiqua" w:hAnsi="Book Antiqua" w:cstheme="majorBidi"/>
          <w:sz w:val="24"/>
          <w:szCs w:val="24"/>
        </w:rPr>
        <w:t xml:space="preserve"> </w:t>
      </w:r>
    </w:p>
    <w:p w14:paraId="430DC0E3" w14:textId="517ED286" w:rsidR="00C64B49" w:rsidRPr="00B727B0" w:rsidRDefault="00C64B49" w:rsidP="007312CD">
      <w:pPr>
        <w:widowControl w:val="0"/>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sz w:val="24"/>
          <w:szCs w:val="24"/>
        </w:rPr>
        <w:t>Revised:</w:t>
      </w:r>
      <w:r w:rsidRPr="00B727B0">
        <w:rPr>
          <w:rFonts w:ascii="Book Antiqua" w:hAnsi="Book Antiqua" w:cstheme="majorBidi"/>
          <w:sz w:val="24"/>
          <w:szCs w:val="24"/>
        </w:rPr>
        <w:t xml:space="preserve"> </w:t>
      </w:r>
      <w:r w:rsidR="003D7551" w:rsidRPr="00B727B0">
        <w:rPr>
          <w:rFonts w:ascii="Book Antiqua" w:eastAsia="宋体" w:hAnsi="Book Antiqua" w:cstheme="majorBidi"/>
          <w:sz w:val="24"/>
          <w:szCs w:val="24"/>
          <w:lang w:eastAsia="zh-CN"/>
        </w:rPr>
        <w:t>November</w:t>
      </w:r>
      <w:r w:rsidR="00A92E02" w:rsidRPr="00B727B0">
        <w:rPr>
          <w:rFonts w:ascii="Book Antiqua" w:eastAsia="宋体" w:hAnsi="Book Antiqua" w:cstheme="majorBidi"/>
          <w:sz w:val="24"/>
          <w:szCs w:val="24"/>
          <w:lang w:eastAsia="zh-CN"/>
        </w:rPr>
        <w:t xml:space="preserve"> </w:t>
      </w:r>
      <w:r w:rsidR="003D7551" w:rsidRPr="00B727B0">
        <w:rPr>
          <w:rFonts w:ascii="Book Antiqua" w:eastAsia="宋体" w:hAnsi="Book Antiqua" w:cstheme="majorBidi"/>
          <w:sz w:val="24"/>
          <w:szCs w:val="24"/>
          <w:lang w:eastAsia="zh-CN"/>
        </w:rPr>
        <w:t>8</w:t>
      </w:r>
      <w:r w:rsidRPr="00B727B0">
        <w:rPr>
          <w:rFonts w:ascii="Book Antiqua" w:eastAsia="宋体" w:hAnsi="Book Antiqua" w:cstheme="majorBidi"/>
          <w:sz w:val="24"/>
          <w:szCs w:val="24"/>
          <w:lang w:eastAsia="zh-CN"/>
        </w:rPr>
        <w:t>, 2017</w:t>
      </w:r>
      <w:r w:rsidR="00F305E4">
        <w:rPr>
          <w:rFonts w:ascii="Book Antiqua" w:hAnsi="Book Antiqua" w:cstheme="majorBidi"/>
          <w:sz w:val="24"/>
          <w:szCs w:val="24"/>
        </w:rPr>
        <w:t xml:space="preserve"> </w:t>
      </w:r>
    </w:p>
    <w:p w14:paraId="01AD9996" w14:textId="7F43FBE6" w:rsidR="00C64B49" w:rsidRPr="00B727B0" w:rsidRDefault="00C64B49" w:rsidP="007312CD">
      <w:pPr>
        <w:widowControl w:val="0"/>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sz w:val="24"/>
          <w:szCs w:val="24"/>
        </w:rPr>
        <w:t xml:space="preserve">Accepted: </w:t>
      </w:r>
      <w:r w:rsidR="00E524CE" w:rsidRPr="00E524CE">
        <w:rPr>
          <w:rFonts w:ascii="Book Antiqua" w:hAnsi="Book Antiqua" w:cstheme="majorBidi"/>
          <w:sz w:val="24"/>
          <w:szCs w:val="24"/>
        </w:rPr>
        <w:t>November 22, 2017</w:t>
      </w:r>
    </w:p>
    <w:p w14:paraId="7BE9D027" w14:textId="77777777" w:rsidR="00C64B49" w:rsidRPr="00B727B0" w:rsidRDefault="00C64B49" w:rsidP="007312CD">
      <w:pPr>
        <w:widowControl w:val="0"/>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sz w:val="24"/>
          <w:szCs w:val="24"/>
        </w:rPr>
        <w:t>Article in press:</w:t>
      </w:r>
      <w:r w:rsidRPr="00B727B0">
        <w:rPr>
          <w:rFonts w:ascii="Book Antiqua" w:hAnsi="Book Antiqua" w:cstheme="majorBidi"/>
          <w:sz w:val="24"/>
          <w:szCs w:val="24"/>
        </w:rPr>
        <w:t xml:space="preserve"> </w:t>
      </w:r>
    </w:p>
    <w:p w14:paraId="53E35F01" w14:textId="77777777" w:rsidR="00C64B49" w:rsidRPr="00B727B0" w:rsidRDefault="00C64B49"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sz w:val="24"/>
          <w:szCs w:val="24"/>
        </w:rPr>
        <w:t>Published online:</w:t>
      </w:r>
      <w:bookmarkEnd w:id="66"/>
      <w:r w:rsidRPr="00B727B0">
        <w:rPr>
          <w:rFonts w:ascii="Book Antiqua" w:hAnsi="Book Antiqua" w:cstheme="majorBidi"/>
          <w:sz w:val="24"/>
          <w:szCs w:val="24"/>
        </w:rPr>
        <w:t xml:space="preserve"> </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14:paraId="0E1C2367" w14:textId="77777777" w:rsidR="009218D1" w:rsidRPr="00B727B0" w:rsidRDefault="009218D1" w:rsidP="007312CD">
      <w:pPr>
        <w:adjustRightInd w:val="0"/>
        <w:snapToGrid w:val="0"/>
        <w:spacing w:after="0" w:line="360" w:lineRule="auto"/>
        <w:jc w:val="both"/>
        <w:rPr>
          <w:rFonts w:ascii="Book Antiqua" w:eastAsia="宋体" w:hAnsi="Book Antiqua" w:cstheme="majorBidi"/>
          <w:b/>
          <w:bCs/>
          <w:sz w:val="24"/>
          <w:szCs w:val="24"/>
          <w:bdr w:val="none" w:sz="0" w:space="0" w:color="auto" w:frame="1"/>
          <w:lang w:eastAsia="zh-CN"/>
        </w:rPr>
      </w:pPr>
      <w:r w:rsidRPr="00B727B0">
        <w:rPr>
          <w:rFonts w:ascii="Book Antiqua" w:hAnsi="Book Antiqua" w:cstheme="majorBidi"/>
          <w:b/>
          <w:bCs/>
          <w:sz w:val="24"/>
          <w:szCs w:val="24"/>
          <w:bdr w:val="none" w:sz="0" w:space="0" w:color="auto" w:frame="1"/>
        </w:rPr>
        <w:br w:type="page"/>
      </w:r>
    </w:p>
    <w:p w14:paraId="320365D0" w14:textId="49F66F64" w:rsidR="00C86435" w:rsidRPr="00B727B0" w:rsidRDefault="00C86435" w:rsidP="007312CD">
      <w:pPr>
        <w:shd w:val="clear" w:color="auto" w:fill="FFFFFF" w:themeFill="background1"/>
        <w:adjustRightInd w:val="0"/>
        <w:snapToGrid w:val="0"/>
        <w:spacing w:after="0" w:line="360" w:lineRule="auto"/>
        <w:jc w:val="both"/>
        <w:rPr>
          <w:rFonts w:ascii="Book Antiqua" w:hAnsi="Book Antiqua" w:cstheme="majorBidi"/>
          <w:b/>
          <w:bCs/>
          <w:sz w:val="24"/>
          <w:szCs w:val="24"/>
          <w:bdr w:val="none" w:sz="0" w:space="0" w:color="auto" w:frame="1"/>
        </w:rPr>
      </w:pPr>
      <w:r w:rsidRPr="00B727B0">
        <w:rPr>
          <w:rFonts w:ascii="Book Antiqua" w:hAnsi="Book Antiqua" w:cstheme="majorBidi"/>
          <w:b/>
          <w:bCs/>
          <w:sz w:val="24"/>
          <w:szCs w:val="24"/>
          <w:bdr w:val="none" w:sz="0" w:space="0" w:color="auto" w:frame="1"/>
        </w:rPr>
        <w:lastRenderedPageBreak/>
        <w:t>Abstract</w:t>
      </w:r>
    </w:p>
    <w:p w14:paraId="2787619C" w14:textId="1BD2E4A8" w:rsidR="00C6185A" w:rsidRPr="00B727B0" w:rsidRDefault="00B41FCC" w:rsidP="007312CD">
      <w:pPr>
        <w:pStyle w:val="yiv6943483279msonormal"/>
        <w:pBdr>
          <w:bottom w:val="single" w:sz="6" w:space="0" w:color="F1F1F5"/>
        </w:pBdr>
        <w:adjustRightInd w:val="0"/>
        <w:snapToGrid w:val="0"/>
        <w:spacing w:before="0" w:beforeAutospacing="0" w:after="0" w:afterAutospacing="0" w:line="360" w:lineRule="auto"/>
        <w:jc w:val="both"/>
        <w:rPr>
          <w:rFonts w:ascii="Book Antiqua" w:eastAsiaTheme="minorEastAsia" w:hAnsi="Book Antiqua" w:cstheme="majorBidi"/>
        </w:rPr>
      </w:pPr>
      <w:r w:rsidRPr="00B727B0">
        <w:rPr>
          <w:rFonts w:ascii="Book Antiqua" w:eastAsiaTheme="minorEastAsia" w:hAnsi="Book Antiqua" w:cstheme="majorBidi"/>
        </w:rPr>
        <w:t>In view of the availability of new immunosup</w:t>
      </w:r>
      <w:r w:rsidR="00C65BE4" w:rsidRPr="00B727B0">
        <w:rPr>
          <w:rFonts w:ascii="Book Antiqua" w:eastAsiaTheme="minorEastAsia" w:hAnsi="Book Antiqua" w:cstheme="majorBidi"/>
        </w:rPr>
        <w:t>pres</w:t>
      </w:r>
      <w:r w:rsidR="00C31B12" w:rsidRPr="00B727B0">
        <w:rPr>
          <w:rFonts w:ascii="Book Antiqua" w:eastAsiaTheme="minorEastAsia" w:hAnsi="Book Antiqua" w:cstheme="majorBidi"/>
        </w:rPr>
        <w:t>sion strategies, the recurrence</w:t>
      </w:r>
      <w:r w:rsidR="00C31B12" w:rsidRPr="00B727B0">
        <w:rPr>
          <w:rFonts w:ascii="Book Antiqua" w:eastAsia="宋体" w:hAnsi="Book Antiqua" w:cstheme="majorBidi"/>
          <w:lang w:eastAsia="zh-CN"/>
        </w:rPr>
        <w:t xml:space="preserve"> </w:t>
      </w:r>
      <w:r w:rsidR="00A3680B" w:rsidRPr="00B727B0">
        <w:rPr>
          <w:rFonts w:ascii="Book Antiqua" w:eastAsiaTheme="minorEastAsia" w:hAnsi="Book Antiqua" w:cstheme="majorBidi"/>
        </w:rPr>
        <w:t>of allograft</w:t>
      </w:r>
      <w:r w:rsidRPr="00B727B0">
        <w:rPr>
          <w:rFonts w:ascii="Book Antiqua" w:eastAsiaTheme="minorEastAsia" w:hAnsi="Book Antiqua" w:cstheme="majorBidi"/>
        </w:rPr>
        <w:t xml:space="preserve"> </w:t>
      </w:r>
      <w:r w:rsidR="00C65BE4" w:rsidRPr="00B727B0">
        <w:rPr>
          <w:rFonts w:ascii="Book Antiqua" w:eastAsiaTheme="minorEastAsia" w:hAnsi="Book Antiqua" w:cstheme="majorBidi"/>
        </w:rPr>
        <w:t>glomerulonephritis (</w:t>
      </w:r>
      <w:r w:rsidRPr="00B727B0">
        <w:rPr>
          <w:rFonts w:ascii="Book Antiqua" w:eastAsiaTheme="minorEastAsia" w:hAnsi="Book Antiqua" w:cstheme="majorBidi"/>
        </w:rPr>
        <w:t>GN</w:t>
      </w:r>
      <w:r w:rsidR="00C65BE4" w:rsidRPr="00B727B0">
        <w:rPr>
          <w:rFonts w:ascii="Book Antiqua" w:eastAsiaTheme="minorEastAsia" w:hAnsi="Book Antiqua" w:cstheme="majorBidi"/>
        </w:rPr>
        <w:t xml:space="preserve">) </w:t>
      </w:r>
      <w:r w:rsidRPr="00B727B0">
        <w:rPr>
          <w:rFonts w:ascii="Book Antiqua" w:eastAsiaTheme="minorEastAsia" w:hAnsi="Book Antiqua" w:cstheme="majorBidi"/>
        </w:rPr>
        <w:t>are reported to be increasing</w:t>
      </w:r>
      <w:r w:rsidR="00C65BE4" w:rsidRPr="00B727B0">
        <w:rPr>
          <w:rFonts w:ascii="Book Antiqua" w:eastAsiaTheme="minorEastAsia" w:hAnsi="Book Antiqua" w:cstheme="majorBidi"/>
        </w:rPr>
        <w:t xml:space="preserve"> with time post transplantation.</w:t>
      </w:r>
      <w:r w:rsidR="00F305E4">
        <w:rPr>
          <w:rFonts w:ascii="Book Antiqua" w:eastAsiaTheme="minorEastAsia" w:hAnsi="Book Antiqua" w:cstheme="majorBidi"/>
        </w:rPr>
        <w:t xml:space="preserve"> </w:t>
      </w:r>
      <w:r w:rsidR="00C65BE4" w:rsidRPr="00B727B0">
        <w:rPr>
          <w:rFonts w:ascii="Book Antiqua" w:eastAsiaTheme="minorEastAsia" w:hAnsi="Book Antiqua" w:cstheme="majorBidi"/>
        </w:rPr>
        <w:t>R</w:t>
      </w:r>
      <w:r w:rsidRPr="00B727B0">
        <w:rPr>
          <w:rFonts w:ascii="Book Antiqua" w:eastAsiaTheme="minorEastAsia" w:hAnsi="Book Antiqua" w:cstheme="majorBidi"/>
        </w:rPr>
        <w:t xml:space="preserve">ecent advances in understanding the pathogenesis of the GN recurrent disease provided a better chance to develop </w:t>
      </w:r>
      <w:r w:rsidR="000B5AA4" w:rsidRPr="00B727B0">
        <w:rPr>
          <w:rFonts w:ascii="Book Antiqua" w:eastAsiaTheme="minorEastAsia" w:hAnsi="Book Antiqua" w:cstheme="majorBidi"/>
        </w:rPr>
        <w:t>new</w:t>
      </w:r>
      <w:r w:rsidRPr="00B727B0">
        <w:rPr>
          <w:rFonts w:ascii="Book Antiqua" w:eastAsiaTheme="minorEastAsia" w:hAnsi="Book Antiqua" w:cstheme="majorBidi"/>
        </w:rPr>
        <w:t xml:space="preserve"> strategies to deal with the GN recurrence.</w:t>
      </w:r>
      <w:r w:rsidR="00C65BE4" w:rsidRPr="00B727B0">
        <w:rPr>
          <w:rFonts w:ascii="Book Antiqua" w:eastAsiaTheme="minorEastAsia" w:hAnsi="Book Antiqua" w:cstheme="majorBidi"/>
        </w:rPr>
        <w:t xml:space="preserve"> Recurrent GN diseases manifest with a variable </w:t>
      </w:r>
      <w:r w:rsidRPr="00B727B0">
        <w:rPr>
          <w:rFonts w:ascii="Book Antiqua" w:eastAsiaTheme="minorEastAsia" w:hAnsi="Book Antiqua" w:cstheme="majorBidi"/>
        </w:rPr>
        <w:t xml:space="preserve">course, </w:t>
      </w:r>
      <w:r w:rsidR="00C65BE4" w:rsidRPr="00B727B0">
        <w:rPr>
          <w:rFonts w:ascii="Book Antiqua" w:eastAsiaTheme="minorEastAsia" w:hAnsi="Book Antiqua" w:cstheme="majorBidi"/>
        </w:rPr>
        <w:t>stubborn</w:t>
      </w:r>
      <w:r w:rsidRPr="00B727B0">
        <w:rPr>
          <w:rFonts w:ascii="Book Antiqua" w:eastAsiaTheme="minorEastAsia" w:hAnsi="Book Antiqua" w:cstheme="majorBidi"/>
        </w:rPr>
        <w:t xml:space="preserve"> behavio</w:t>
      </w:r>
      <w:r w:rsidR="00C65BE4" w:rsidRPr="00B727B0">
        <w:rPr>
          <w:rFonts w:ascii="Book Antiqua" w:eastAsiaTheme="minorEastAsia" w:hAnsi="Book Antiqua" w:cstheme="majorBidi"/>
        </w:rPr>
        <w:t xml:space="preserve">r, and poor response to therapy. Some types of GN lead to </w:t>
      </w:r>
      <w:r w:rsidRPr="00B727B0">
        <w:rPr>
          <w:rFonts w:ascii="Book Antiqua" w:eastAsiaTheme="minorEastAsia" w:hAnsi="Book Antiqua" w:cstheme="majorBidi"/>
        </w:rPr>
        <w:t xml:space="preserve">rapid decline of kidney function </w:t>
      </w:r>
      <w:r w:rsidR="00C65BE4" w:rsidRPr="00B727B0">
        <w:rPr>
          <w:rFonts w:ascii="Book Antiqua" w:eastAsiaTheme="minorEastAsia" w:hAnsi="Book Antiqua" w:cstheme="majorBidi"/>
        </w:rPr>
        <w:t xml:space="preserve">resulting in a </w:t>
      </w:r>
      <w:r w:rsidRPr="00B727B0">
        <w:rPr>
          <w:rFonts w:ascii="Book Antiqua" w:eastAsiaTheme="minorEastAsia" w:hAnsi="Book Antiqua" w:cstheme="majorBidi"/>
        </w:rPr>
        <w:t xml:space="preserve">frustrating return to maintenance dialysis. </w:t>
      </w:r>
      <w:r w:rsidR="00FA12B1" w:rsidRPr="00B727B0">
        <w:rPr>
          <w:rFonts w:ascii="Book Antiqua" w:eastAsiaTheme="minorEastAsia" w:hAnsi="Book Antiqua" w:cstheme="majorBidi"/>
        </w:rPr>
        <w:t>This subgroup of aggressive diseases actually requires</w:t>
      </w:r>
      <w:r w:rsidRPr="00B727B0">
        <w:rPr>
          <w:rFonts w:ascii="Book Antiqua" w:eastAsiaTheme="minorEastAsia" w:hAnsi="Book Antiqua" w:cstheme="majorBidi"/>
        </w:rPr>
        <w:t xml:space="preserve"> </w:t>
      </w:r>
      <w:r w:rsidR="00F669D3" w:rsidRPr="00B727B0">
        <w:rPr>
          <w:rFonts w:ascii="Book Antiqua" w:eastAsiaTheme="minorEastAsia" w:hAnsi="Book Antiqua" w:cstheme="majorBidi"/>
        </w:rPr>
        <w:t>intensive</w:t>
      </w:r>
      <w:r w:rsidR="00C65BE4" w:rsidRPr="00B727B0">
        <w:rPr>
          <w:rFonts w:ascii="Book Antiqua" w:eastAsiaTheme="minorEastAsia" w:hAnsi="Book Antiqua" w:cstheme="majorBidi"/>
        </w:rPr>
        <w:t xml:space="preserve"> efforts to ascertain their pathogenesis so that</w:t>
      </w:r>
      <w:r w:rsidRPr="00B727B0">
        <w:rPr>
          <w:rFonts w:ascii="Book Antiqua" w:eastAsiaTheme="minorEastAsia" w:hAnsi="Book Antiqua" w:cstheme="majorBidi"/>
        </w:rPr>
        <w:t xml:space="preserve"> strategy </w:t>
      </w:r>
      <w:r w:rsidR="00C65BE4" w:rsidRPr="00B727B0">
        <w:rPr>
          <w:rFonts w:ascii="Book Antiqua" w:eastAsiaTheme="minorEastAsia" w:hAnsi="Book Antiqua" w:cstheme="majorBidi"/>
        </w:rPr>
        <w:t xml:space="preserve">could be implemented </w:t>
      </w:r>
      <w:r w:rsidRPr="00B727B0">
        <w:rPr>
          <w:rFonts w:ascii="Book Antiqua" w:eastAsiaTheme="minorEastAsia" w:hAnsi="Book Antiqua" w:cstheme="majorBidi"/>
        </w:rPr>
        <w:t>for better allograft survival.</w:t>
      </w:r>
      <w:r w:rsidR="000B5AA4" w:rsidRPr="00B727B0">
        <w:rPr>
          <w:rFonts w:ascii="Book Antiqua" w:eastAsiaTheme="minorEastAsia" w:hAnsi="Book Antiqua" w:cstheme="majorBidi"/>
        </w:rPr>
        <w:t xml:space="preserve"> </w:t>
      </w:r>
      <w:r w:rsidR="00C6185A" w:rsidRPr="00B727B0">
        <w:rPr>
          <w:rFonts w:ascii="Book Antiqua" w:eastAsiaTheme="minorEastAsia" w:hAnsi="Book Antiqua" w:cstheme="majorBidi"/>
        </w:rPr>
        <w:t>Epidemiology of native glomerulonephritis as the cause of end-stage renal failure and subsequent recurrence of individual glomerulonephritis after renal transplantation was evaluated using data from various registries, and pathogenesis of individual glomerulonephritis is discussed.</w:t>
      </w:r>
      <w:r w:rsidR="00950B48" w:rsidRPr="00B727B0">
        <w:rPr>
          <w:rFonts w:ascii="Book Antiqua" w:eastAsiaTheme="minorEastAsia" w:hAnsi="Book Antiqua" w:cstheme="majorBidi"/>
        </w:rPr>
        <w:t xml:space="preserve"> The following review is aimed to define current protocols of the recurrent primary glomerulonephritis therapy.</w:t>
      </w:r>
    </w:p>
    <w:p w14:paraId="001CAC73" w14:textId="479FD787" w:rsidR="008032A8" w:rsidRPr="00B727B0" w:rsidRDefault="008032A8" w:rsidP="007312CD">
      <w:pPr>
        <w:adjustRightInd w:val="0"/>
        <w:snapToGrid w:val="0"/>
        <w:spacing w:after="0" w:line="360" w:lineRule="auto"/>
        <w:jc w:val="both"/>
        <w:rPr>
          <w:rFonts w:ascii="Book Antiqua" w:eastAsia="宋体" w:hAnsi="Book Antiqua" w:cstheme="majorBidi"/>
          <w:b/>
          <w:sz w:val="24"/>
          <w:szCs w:val="24"/>
          <w:bdr w:val="none" w:sz="0" w:space="0" w:color="auto" w:frame="1"/>
          <w:lang w:eastAsia="zh-CN"/>
        </w:rPr>
      </w:pPr>
    </w:p>
    <w:p w14:paraId="37A79979" w14:textId="25D9B1B9" w:rsidR="00C86435" w:rsidRPr="00B727B0" w:rsidRDefault="00C86435" w:rsidP="007312CD">
      <w:pPr>
        <w:shd w:val="clear" w:color="auto" w:fill="FFFFFF" w:themeFill="background1"/>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b/>
          <w:sz w:val="24"/>
          <w:szCs w:val="24"/>
          <w:bdr w:val="none" w:sz="0" w:space="0" w:color="auto" w:frame="1"/>
        </w:rPr>
        <w:t>Key</w:t>
      </w:r>
      <w:r w:rsidR="00EB7EF6" w:rsidRPr="00B727B0">
        <w:rPr>
          <w:rFonts w:ascii="Book Antiqua" w:eastAsia="宋体" w:hAnsi="Book Antiqua" w:cstheme="majorBidi"/>
          <w:b/>
          <w:sz w:val="24"/>
          <w:szCs w:val="24"/>
          <w:bdr w:val="none" w:sz="0" w:space="0" w:color="auto" w:frame="1"/>
          <w:lang w:eastAsia="zh-CN"/>
        </w:rPr>
        <w:t xml:space="preserve"> </w:t>
      </w:r>
      <w:r w:rsidRPr="00B727B0">
        <w:rPr>
          <w:rFonts w:ascii="Book Antiqua" w:hAnsi="Book Antiqua" w:cstheme="majorBidi"/>
          <w:b/>
          <w:sz w:val="24"/>
          <w:szCs w:val="24"/>
          <w:bdr w:val="none" w:sz="0" w:space="0" w:color="auto" w:frame="1"/>
        </w:rPr>
        <w:t>words:</w:t>
      </w:r>
      <w:r w:rsidRPr="00B727B0">
        <w:rPr>
          <w:rFonts w:ascii="Book Antiqua" w:hAnsi="Book Antiqua" w:cstheme="majorBidi"/>
          <w:sz w:val="24"/>
          <w:szCs w:val="24"/>
          <w:bdr w:val="none" w:sz="0" w:space="0" w:color="auto" w:frame="1"/>
        </w:rPr>
        <w:t xml:space="preserve"> </w:t>
      </w:r>
      <w:bookmarkStart w:id="118" w:name="OLE_LINK1183"/>
      <w:bookmarkStart w:id="119" w:name="OLE_LINK1184"/>
      <w:r w:rsidR="00886081" w:rsidRPr="00B727B0">
        <w:rPr>
          <w:rFonts w:ascii="Book Antiqua" w:hAnsi="Book Antiqua" w:cstheme="majorBidi"/>
          <w:sz w:val="24"/>
          <w:szCs w:val="24"/>
          <w:bdr w:val="none" w:sz="0" w:space="0" w:color="auto" w:frame="1"/>
        </w:rPr>
        <w:t>Recurr</w:t>
      </w:r>
      <w:r w:rsidR="00AF038F" w:rsidRPr="00B727B0">
        <w:rPr>
          <w:rFonts w:ascii="Book Antiqua" w:hAnsi="Book Antiqua" w:cstheme="majorBidi"/>
          <w:sz w:val="24"/>
          <w:szCs w:val="24"/>
          <w:bdr w:val="none" w:sz="0" w:space="0" w:color="auto" w:frame="1"/>
        </w:rPr>
        <w:t>ent</w:t>
      </w:r>
      <w:r w:rsidR="007F71AB" w:rsidRPr="00B727B0">
        <w:rPr>
          <w:rFonts w:ascii="Book Antiqua" w:hAnsi="Book Antiqua" w:cstheme="majorBidi"/>
          <w:sz w:val="24"/>
          <w:szCs w:val="24"/>
          <w:bdr w:val="none" w:sz="0" w:space="0" w:color="auto" w:frame="1"/>
        </w:rPr>
        <w:t xml:space="preserve"> </w:t>
      </w:r>
      <w:r w:rsidR="00EB7EF6" w:rsidRPr="00B727B0">
        <w:rPr>
          <w:rFonts w:ascii="Book Antiqua" w:hAnsi="Book Antiqua" w:cstheme="majorBidi"/>
          <w:sz w:val="24"/>
          <w:szCs w:val="24"/>
        </w:rPr>
        <w:t>glomerulonephritis</w:t>
      </w:r>
      <w:r w:rsidR="00EB7EF6" w:rsidRPr="00B727B0">
        <w:rPr>
          <w:rFonts w:ascii="Book Antiqua" w:eastAsia="宋体" w:hAnsi="Book Antiqua" w:cstheme="majorBidi"/>
          <w:sz w:val="24"/>
          <w:szCs w:val="24"/>
          <w:bdr w:val="none" w:sz="0" w:space="0" w:color="auto" w:frame="1"/>
          <w:lang w:eastAsia="zh-CN"/>
        </w:rPr>
        <w:t xml:space="preserve">; </w:t>
      </w:r>
      <w:r w:rsidR="00886081" w:rsidRPr="00B727B0">
        <w:rPr>
          <w:rFonts w:ascii="Book Antiqua" w:hAnsi="Book Antiqua" w:cstheme="majorBidi"/>
          <w:sz w:val="24"/>
          <w:szCs w:val="24"/>
          <w:bdr w:val="none" w:sz="0" w:space="0" w:color="auto" w:frame="1"/>
        </w:rPr>
        <w:t>Renal transplantation</w:t>
      </w:r>
      <w:r w:rsidR="00EB7EF6" w:rsidRPr="00B727B0">
        <w:rPr>
          <w:rFonts w:ascii="Book Antiqua" w:eastAsia="宋体" w:hAnsi="Book Antiqua" w:cstheme="majorBidi"/>
          <w:sz w:val="24"/>
          <w:szCs w:val="24"/>
          <w:bdr w:val="none" w:sz="0" w:space="0" w:color="auto" w:frame="1"/>
          <w:lang w:eastAsia="zh-CN"/>
        </w:rPr>
        <w:t xml:space="preserve">; </w:t>
      </w:r>
      <w:r w:rsidR="00AF038F" w:rsidRPr="00B727B0">
        <w:rPr>
          <w:rFonts w:ascii="Book Antiqua" w:hAnsi="Book Antiqua" w:cstheme="majorBidi"/>
          <w:sz w:val="24"/>
          <w:szCs w:val="24"/>
          <w:bdr w:val="none" w:sz="0" w:space="0" w:color="auto" w:frame="1"/>
        </w:rPr>
        <w:t xml:space="preserve">Primary </w:t>
      </w:r>
      <w:r w:rsidR="00EB7EF6" w:rsidRPr="00B727B0">
        <w:rPr>
          <w:rFonts w:ascii="Book Antiqua" w:hAnsi="Book Antiqua" w:cstheme="majorBidi"/>
          <w:sz w:val="24"/>
          <w:szCs w:val="24"/>
        </w:rPr>
        <w:t>glomerulonephritis</w:t>
      </w:r>
      <w:bookmarkEnd w:id="118"/>
      <w:bookmarkEnd w:id="119"/>
    </w:p>
    <w:p w14:paraId="588A56CB" w14:textId="77777777" w:rsidR="000917B6" w:rsidRPr="00B727B0" w:rsidRDefault="000917B6" w:rsidP="007312CD">
      <w:pPr>
        <w:shd w:val="clear" w:color="auto" w:fill="FFFFFF" w:themeFill="background1"/>
        <w:adjustRightInd w:val="0"/>
        <w:snapToGrid w:val="0"/>
        <w:spacing w:after="0" w:line="360" w:lineRule="auto"/>
        <w:jc w:val="both"/>
        <w:rPr>
          <w:rFonts w:ascii="Book Antiqua" w:eastAsia="宋体" w:hAnsi="Book Antiqua" w:cstheme="majorBidi"/>
          <w:sz w:val="24"/>
          <w:szCs w:val="24"/>
          <w:lang w:eastAsia="zh-CN"/>
        </w:rPr>
      </w:pPr>
    </w:p>
    <w:p w14:paraId="2FDCB1D6" w14:textId="77777777" w:rsidR="000917B6" w:rsidRPr="00B727B0" w:rsidRDefault="000917B6" w:rsidP="007312CD">
      <w:pPr>
        <w:widowControl w:val="0"/>
        <w:adjustRightInd w:val="0"/>
        <w:snapToGrid w:val="0"/>
        <w:spacing w:after="0" w:line="360" w:lineRule="auto"/>
        <w:jc w:val="both"/>
        <w:rPr>
          <w:rFonts w:ascii="Book Antiqua" w:hAnsi="Book Antiqua" w:cs="Tahoma"/>
          <w:color w:val="000000"/>
          <w:kern w:val="2"/>
          <w:sz w:val="24"/>
          <w:szCs w:val="24"/>
        </w:rPr>
      </w:pPr>
      <w:bookmarkStart w:id="120" w:name="OLE_LINK148"/>
      <w:bookmarkStart w:id="121" w:name="OLE_LINK149"/>
      <w:bookmarkStart w:id="122" w:name="OLE_LINK200"/>
      <w:bookmarkStart w:id="123" w:name="OLE_LINK288"/>
      <w:bookmarkStart w:id="124" w:name="OLE_LINK1864"/>
      <w:bookmarkStart w:id="125" w:name="OLE_LINK382"/>
      <w:bookmarkStart w:id="126" w:name="OLE_LINK306"/>
      <w:bookmarkStart w:id="127" w:name="OLE_LINK569"/>
      <w:bookmarkStart w:id="128" w:name="OLE_LINK682"/>
      <w:bookmarkStart w:id="129" w:name="OLE_LINK78"/>
      <w:bookmarkStart w:id="130" w:name="OLE_LINK79"/>
      <w:bookmarkStart w:id="131" w:name="OLE_LINK86"/>
      <w:bookmarkStart w:id="132" w:name="OLE_LINK99"/>
      <w:bookmarkStart w:id="133" w:name="OLE_LINK217"/>
      <w:bookmarkStart w:id="134" w:name="OLE_LINK245"/>
      <w:bookmarkStart w:id="135" w:name="OLE_LINK246"/>
      <w:bookmarkStart w:id="136" w:name="OLE_LINK274"/>
      <w:bookmarkStart w:id="137" w:name="OLE_LINK320"/>
      <w:bookmarkStart w:id="138" w:name="OLE_LINK333"/>
      <w:bookmarkStart w:id="139" w:name="OLE_LINK456"/>
      <w:bookmarkStart w:id="140" w:name="OLE_LINK494"/>
      <w:bookmarkStart w:id="141" w:name="OLE_LINK596"/>
      <w:bookmarkStart w:id="142" w:name="OLE_LINK686"/>
      <w:bookmarkStart w:id="143" w:name="OLE_LINK827"/>
      <w:bookmarkStart w:id="144" w:name="OLE_LINK915"/>
      <w:bookmarkStart w:id="145" w:name="OLE_LINK1067"/>
      <w:bookmarkStart w:id="146" w:name="OLE_LINK1151"/>
      <w:r w:rsidRPr="00B727B0">
        <w:rPr>
          <w:rFonts w:ascii="Book Antiqua" w:hAnsi="Book Antiqua" w:cs="Tahoma"/>
          <w:b/>
          <w:color w:val="000000"/>
          <w:kern w:val="2"/>
          <w:sz w:val="24"/>
          <w:szCs w:val="24"/>
          <w:lang w:eastAsia="ja-JP"/>
        </w:rPr>
        <w:t>© The Author(s) 201</w:t>
      </w:r>
      <w:r w:rsidRPr="00B727B0">
        <w:rPr>
          <w:rFonts w:ascii="Book Antiqua" w:hAnsi="Book Antiqua" w:cs="Tahoma"/>
          <w:b/>
          <w:color w:val="000000"/>
          <w:kern w:val="2"/>
          <w:sz w:val="24"/>
          <w:szCs w:val="24"/>
        </w:rPr>
        <w:t>7</w:t>
      </w:r>
      <w:r w:rsidRPr="00B727B0">
        <w:rPr>
          <w:rFonts w:ascii="Book Antiqua" w:hAnsi="Book Antiqua" w:cs="Tahoma"/>
          <w:b/>
          <w:color w:val="000000"/>
          <w:kern w:val="2"/>
          <w:sz w:val="24"/>
          <w:szCs w:val="24"/>
          <w:lang w:eastAsia="ja-JP"/>
        </w:rPr>
        <w:t>.</w:t>
      </w:r>
      <w:r w:rsidRPr="00B727B0">
        <w:rPr>
          <w:rFonts w:ascii="Book Antiqua" w:hAnsi="Book Antiqua" w:cs="Tahoma"/>
          <w:color w:val="000000"/>
          <w:kern w:val="2"/>
          <w:sz w:val="24"/>
          <w:szCs w:val="24"/>
          <w:lang w:eastAsia="ja-JP"/>
        </w:rPr>
        <w:t xml:space="preserve"> Published by Baishideng Publishing Group Inc. All rights reserved.</w:t>
      </w:r>
      <w:bookmarkEnd w:id="120"/>
      <w:bookmarkEnd w:id="121"/>
      <w:bookmarkEnd w:id="122"/>
      <w:bookmarkEnd w:id="123"/>
      <w:bookmarkEnd w:id="124"/>
      <w:bookmarkEnd w:id="125"/>
      <w:bookmarkEnd w:id="126"/>
      <w:bookmarkEnd w:id="127"/>
      <w:bookmarkEnd w:id="128"/>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14:paraId="46F14F0B" w14:textId="77777777" w:rsidR="00EB7EF6" w:rsidRPr="00B727B0" w:rsidRDefault="00EB7EF6" w:rsidP="007312CD">
      <w:pPr>
        <w:adjustRightInd w:val="0"/>
        <w:snapToGrid w:val="0"/>
        <w:spacing w:after="0" w:line="360" w:lineRule="auto"/>
        <w:jc w:val="both"/>
        <w:rPr>
          <w:rStyle w:val="Hyperlink"/>
          <w:rFonts w:ascii="Book Antiqua" w:eastAsia="宋体" w:hAnsi="Book Antiqua" w:cstheme="majorBidi"/>
          <w:color w:val="auto"/>
          <w:sz w:val="24"/>
          <w:szCs w:val="24"/>
          <w:lang w:eastAsia="zh-CN"/>
        </w:rPr>
      </w:pPr>
    </w:p>
    <w:p w14:paraId="32723CCD" w14:textId="53DE1E5F" w:rsidR="00EB7EF6" w:rsidRPr="00B727B0" w:rsidRDefault="00EB7EF6" w:rsidP="007312CD">
      <w:pPr>
        <w:shd w:val="clear" w:color="auto" w:fill="FFFFFF" w:themeFill="background1"/>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bCs/>
          <w:sz w:val="24"/>
          <w:szCs w:val="24"/>
          <w:bdr w:val="none" w:sz="0" w:space="0" w:color="auto" w:frame="1"/>
        </w:rPr>
        <w:t>Core tip</w:t>
      </w:r>
      <w:r w:rsidRPr="00B727B0">
        <w:rPr>
          <w:rFonts w:ascii="Book Antiqua" w:eastAsia="宋体" w:hAnsi="Book Antiqua" w:cstheme="majorBidi"/>
          <w:b/>
          <w:bCs/>
          <w:sz w:val="24"/>
          <w:szCs w:val="24"/>
          <w:bdr w:val="none" w:sz="0" w:space="0" w:color="auto" w:frame="1"/>
          <w:lang w:eastAsia="zh-CN"/>
        </w:rPr>
        <w:t xml:space="preserve">: </w:t>
      </w:r>
      <w:r w:rsidRPr="00B727B0">
        <w:rPr>
          <w:rFonts w:ascii="Book Antiqua" w:hAnsi="Book Antiqua" w:cstheme="majorBidi"/>
          <w:sz w:val="24"/>
          <w:szCs w:val="24"/>
        </w:rPr>
        <w:t>Renal transplantation is the best</w:t>
      </w:r>
      <w:r w:rsidR="00F27B60"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 xml:space="preserve">known therapy for </w:t>
      </w:r>
      <w:r w:rsidRPr="00B727B0">
        <w:rPr>
          <w:rFonts w:ascii="Book Antiqua" w:eastAsia="Times New Roman" w:hAnsi="Book Antiqua" w:cstheme="majorBidi"/>
          <w:sz w:val="24"/>
          <w:szCs w:val="24"/>
        </w:rPr>
        <w:t>end stage renal disease</w:t>
      </w:r>
      <w:r w:rsidRPr="00B727B0">
        <w:rPr>
          <w:rFonts w:ascii="Book Antiqua" w:hAnsi="Book Antiqua" w:cstheme="majorBidi"/>
          <w:sz w:val="24"/>
          <w:szCs w:val="24"/>
        </w:rPr>
        <w:t>, with the glomerulonephritis represents a major aetiology for its prevalence. Unfortunately, recurrence of the glomerulonephritis (GN) disease after renal transplantation represents a real devastating impact on allograft survival. A clear understanding of their pathogenesis, will help not only in ameliorating GN recurrence, but also improves allograft survival.</w:t>
      </w:r>
    </w:p>
    <w:p w14:paraId="6E5909E3" w14:textId="77777777" w:rsidR="00C31B12" w:rsidRPr="00B727B0" w:rsidRDefault="00C31B12" w:rsidP="007312CD">
      <w:pPr>
        <w:adjustRightInd w:val="0"/>
        <w:snapToGrid w:val="0"/>
        <w:spacing w:after="0" w:line="360" w:lineRule="auto"/>
        <w:ind w:firstLine="720"/>
        <w:jc w:val="both"/>
        <w:rPr>
          <w:rFonts w:ascii="Book Antiqua" w:eastAsia="宋体" w:hAnsi="Book Antiqua" w:cstheme="majorBidi"/>
          <w:b/>
          <w:bCs/>
          <w:sz w:val="24"/>
          <w:szCs w:val="24"/>
          <w:bdr w:val="none" w:sz="0" w:space="0" w:color="auto" w:frame="1"/>
          <w:lang w:eastAsia="zh-CN"/>
        </w:rPr>
      </w:pPr>
    </w:p>
    <w:p w14:paraId="68DD4D69" w14:textId="77777777" w:rsidR="00C31B12" w:rsidRPr="00B727B0" w:rsidRDefault="00C31B12" w:rsidP="007312CD">
      <w:pPr>
        <w:shd w:val="clear" w:color="auto" w:fill="FFFFFF" w:themeFill="background1"/>
        <w:adjustRightInd w:val="0"/>
        <w:snapToGrid w:val="0"/>
        <w:spacing w:after="0" w:line="360" w:lineRule="auto"/>
        <w:jc w:val="both"/>
        <w:rPr>
          <w:rFonts w:ascii="Book Antiqua" w:eastAsia="宋体" w:hAnsi="Book Antiqua"/>
          <w:sz w:val="24"/>
          <w:szCs w:val="24"/>
          <w:lang w:eastAsia="zh-CN"/>
        </w:rPr>
      </w:pPr>
      <w:r w:rsidRPr="00B727B0">
        <w:rPr>
          <w:rFonts w:ascii="Book Antiqua" w:hAnsi="Book Antiqua" w:cs="Times New Roman"/>
          <w:sz w:val="24"/>
          <w:szCs w:val="24"/>
          <w:bdr w:val="none" w:sz="0" w:space="0" w:color="auto" w:frame="1"/>
        </w:rPr>
        <w:lastRenderedPageBreak/>
        <w:t>Abbas</w:t>
      </w:r>
      <w:r w:rsidRPr="00B727B0">
        <w:rPr>
          <w:rFonts w:ascii="Book Antiqua" w:eastAsia="宋体" w:hAnsi="Book Antiqua" w:cs="Times New Roman"/>
          <w:sz w:val="24"/>
          <w:szCs w:val="24"/>
          <w:bdr w:val="none" w:sz="0" w:space="0" w:color="auto" w:frame="1"/>
          <w:lang w:eastAsia="zh-CN"/>
        </w:rPr>
        <w:t xml:space="preserve"> F</w:t>
      </w:r>
      <w:r w:rsidRPr="00B727B0">
        <w:rPr>
          <w:rFonts w:ascii="Book Antiqua" w:hAnsi="Book Antiqua"/>
          <w:bCs/>
          <w:sz w:val="24"/>
          <w:szCs w:val="24"/>
        </w:rPr>
        <w:t>, El Kossi</w:t>
      </w:r>
      <w:r w:rsidRPr="00B727B0">
        <w:rPr>
          <w:rFonts w:ascii="Book Antiqua" w:eastAsia="宋体" w:hAnsi="Book Antiqua"/>
          <w:bCs/>
          <w:sz w:val="24"/>
          <w:szCs w:val="24"/>
          <w:lang w:eastAsia="zh-CN"/>
        </w:rPr>
        <w:t xml:space="preserve"> M</w:t>
      </w:r>
      <w:r w:rsidRPr="00B727B0">
        <w:rPr>
          <w:rFonts w:ascii="Book Antiqua" w:hAnsi="Book Antiqua"/>
          <w:bCs/>
          <w:sz w:val="24"/>
          <w:szCs w:val="24"/>
        </w:rPr>
        <w:t>, Jin</w:t>
      </w:r>
      <w:r w:rsidRPr="00B727B0">
        <w:rPr>
          <w:rFonts w:ascii="Book Antiqua" w:eastAsia="宋体" w:hAnsi="Book Antiqua"/>
          <w:bCs/>
          <w:sz w:val="24"/>
          <w:szCs w:val="24"/>
          <w:lang w:eastAsia="zh-CN"/>
        </w:rPr>
        <w:t xml:space="preserve"> JK</w:t>
      </w:r>
      <w:r w:rsidRPr="00B727B0">
        <w:rPr>
          <w:rFonts w:ascii="Book Antiqua" w:hAnsi="Book Antiqua"/>
          <w:bCs/>
          <w:sz w:val="24"/>
          <w:szCs w:val="24"/>
        </w:rPr>
        <w:t>, Sharma</w:t>
      </w:r>
      <w:r w:rsidRPr="00B727B0">
        <w:rPr>
          <w:rFonts w:ascii="Book Antiqua" w:eastAsia="宋体" w:hAnsi="Book Antiqua"/>
          <w:bCs/>
          <w:sz w:val="24"/>
          <w:szCs w:val="24"/>
          <w:lang w:eastAsia="zh-CN"/>
        </w:rPr>
        <w:t xml:space="preserve"> A</w:t>
      </w:r>
      <w:r w:rsidRPr="00B727B0">
        <w:rPr>
          <w:rFonts w:ascii="Book Antiqua" w:hAnsi="Book Antiqua"/>
          <w:bCs/>
          <w:sz w:val="24"/>
          <w:szCs w:val="24"/>
        </w:rPr>
        <w:t>, Halawa</w:t>
      </w:r>
      <w:r w:rsidRPr="00B727B0">
        <w:rPr>
          <w:rFonts w:ascii="Book Antiqua" w:eastAsia="宋体" w:hAnsi="Book Antiqua"/>
          <w:bCs/>
          <w:sz w:val="24"/>
          <w:szCs w:val="24"/>
          <w:lang w:eastAsia="zh-CN"/>
        </w:rPr>
        <w:t xml:space="preserve"> A. </w:t>
      </w:r>
      <w:r w:rsidRPr="00B727B0">
        <w:rPr>
          <w:rFonts w:ascii="Book Antiqua" w:hAnsi="Book Antiqua" w:cs="Helvetica"/>
          <w:color w:val="26282A"/>
          <w:sz w:val="24"/>
          <w:szCs w:val="24"/>
        </w:rPr>
        <w:t>Recurrence of primary glomerulonephritis</w:t>
      </w:r>
      <w:r w:rsidRPr="00B727B0">
        <w:rPr>
          <w:rFonts w:ascii="Book Antiqua" w:eastAsia="宋体" w:hAnsi="Book Antiqua" w:cs="Helvetica"/>
          <w:color w:val="26282A"/>
          <w:sz w:val="24"/>
          <w:szCs w:val="24"/>
          <w:lang w:eastAsia="zh-CN"/>
        </w:rPr>
        <w:t>:</w:t>
      </w:r>
      <w:r w:rsidRPr="00B727B0">
        <w:rPr>
          <w:rFonts w:ascii="Book Antiqua" w:hAnsi="Book Antiqua" w:cs="Helvetica"/>
          <w:color w:val="26282A"/>
          <w:sz w:val="24"/>
          <w:szCs w:val="24"/>
        </w:rPr>
        <w:t xml:space="preserve"> Review of the current evidence</w:t>
      </w:r>
      <w:r w:rsidRPr="00B727B0">
        <w:rPr>
          <w:rFonts w:ascii="Book Antiqua" w:eastAsia="宋体" w:hAnsi="Book Antiqua" w:cs="Helvetica"/>
          <w:color w:val="26282A"/>
          <w:sz w:val="24"/>
          <w:szCs w:val="24"/>
          <w:lang w:eastAsia="zh-CN"/>
        </w:rPr>
        <w:t xml:space="preserve">. </w:t>
      </w:r>
      <w:r w:rsidRPr="00B727B0">
        <w:rPr>
          <w:rFonts w:ascii="Book Antiqua" w:hAnsi="Book Antiqua" w:cs="Arial"/>
          <w:i/>
          <w:color w:val="000000"/>
          <w:sz w:val="24"/>
          <w:szCs w:val="24"/>
        </w:rPr>
        <w:t>World J</w:t>
      </w:r>
      <w:r w:rsidRPr="00B727B0">
        <w:rPr>
          <w:rFonts w:ascii="Book Antiqua" w:hAnsi="Book Antiqua" w:cs="Arial"/>
          <w:i/>
          <w:sz w:val="24"/>
          <w:szCs w:val="24"/>
        </w:rPr>
        <w:t> </w:t>
      </w:r>
      <w:r w:rsidRPr="00B727B0">
        <w:rPr>
          <w:rFonts w:ascii="Book Antiqua" w:hAnsi="Book Antiqua" w:cs="Arial"/>
          <w:i/>
          <w:color w:val="000000"/>
          <w:sz w:val="24"/>
          <w:szCs w:val="24"/>
        </w:rPr>
        <w:t>Transplant</w:t>
      </w:r>
      <w:r w:rsidRPr="00B727B0">
        <w:rPr>
          <w:rFonts w:ascii="Book Antiqua" w:hAnsi="Book Antiqua" w:cs="Arial"/>
          <w:i/>
          <w:iCs/>
          <w:color w:val="000000"/>
          <w:sz w:val="24"/>
          <w:szCs w:val="24"/>
        </w:rPr>
        <w:t xml:space="preserve"> </w:t>
      </w:r>
      <w:r w:rsidRPr="00B727B0">
        <w:rPr>
          <w:rFonts w:ascii="Book Antiqua" w:hAnsi="Book Antiqua"/>
          <w:sz w:val="24"/>
          <w:szCs w:val="24"/>
        </w:rPr>
        <w:t>2017; In press</w:t>
      </w:r>
    </w:p>
    <w:p w14:paraId="0FFF0E93" w14:textId="77777777" w:rsidR="00C31B12" w:rsidRPr="00B727B0" w:rsidRDefault="00C31B12" w:rsidP="007312CD">
      <w:pPr>
        <w:adjustRightInd w:val="0"/>
        <w:snapToGrid w:val="0"/>
        <w:spacing w:after="0" w:line="360" w:lineRule="auto"/>
        <w:ind w:firstLine="720"/>
        <w:jc w:val="both"/>
        <w:rPr>
          <w:rFonts w:ascii="Book Antiqua" w:hAnsi="Book Antiqua" w:cstheme="majorBidi"/>
          <w:b/>
          <w:bCs/>
          <w:sz w:val="24"/>
          <w:szCs w:val="24"/>
          <w:bdr w:val="none" w:sz="0" w:space="0" w:color="auto" w:frame="1"/>
        </w:rPr>
      </w:pPr>
      <w:r w:rsidRPr="00B727B0">
        <w:rPr>
          <w:rFonts w:ascii="Book Antiqua" w:hAnsi="Book Antiqua" w:cstheme="majorBidi"/>
          <w:b/>
          <w:bCs/>
          <w:sz w:val="24"/>
          <w:szCs w:val="24"/>
          <w:bdr w:val="none" w:sz="0" w:space="0" w:color="auto" w:frame="1"/>
        </w:rPr>
        <w:br w:type="page"/>
      </w:r>
    </w:p>
    <w:p w14:paraId="658CADE8" w14:textId="71316BBC" w:rsidR="00C86435" w:rsidRPr="00B727B0" w:rsidRDefault="00FD7168" w:rsidP="007312CD">
      <w:pPr>
        <w:shd w:val="clear" w:color="auto" w:fill="FFFFFF" w:themeFill="background1"/>
        <w:adjustRightInd w:val="0"/>
        <w:snapToGrid w:val="0"/>
        <w:spacing w:after="0" w:line="360" w:lineRule="auto"/>
        <w:jc w:val="both"/>
        <w:rPr>
          <w:rFonts w:ascii="Book Antiqua" w:hAnsi="Book Antiqua" w:cstheme="majorBidi"/>
          <w:b/>
          <w:bCs/>
          <w:sz w:val="24"/>
          <w:szCs w:val="24"/>
          <w:bdr w:val="none" w:sz="0" w:space="0" w:color="auto" w:frame="1"/>
        </w:rPr>
      </w:pPr>
      <w:r w:rsidRPr="00B727B0">
        <w:rPr>
          <w:rFonts w:ascii="Book Antiqua" w:hAnsi="Book Antiqua" w:cstheme="majorBidi"/>
          <w:b/>
          <w:bCs/>
          <w:sz w:val="24"/>
          <w:szCs w:val="24"/>
          <w:bdr w:val="none" w:sz="0" w:space="0" w:color="auto" w:frame="1"/>
        </w:rPr>
        <w:lastRenderedPageBreak/>
        <w:t>INTRODUCTION</w:t>
      </w:r>
    </w:p>
    <w:p w14:paraId="60F88CFF" w14:textId="082CF985" w:rsidR="00602E2A" w:rsidRPr="00B727B0" w:rsidRDefault="00602E2A"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The impact of </w:t>
      </w:r>
      <w:r w:rsidR="00FD7168" w:rsidRPr="00B727B0">
        <w:rPr>
          <w:rFonts w:ascii="Book Antiqua" w:eastAsia="Times New Roman" w:hAnsi="Book Antiqua" w:cstheme="majorBidi"/>
          <w:sz w:val="24"/>
          <w:szCs w:val="24"/>
        </w:rPr>
        <w:t>glomerulonephritis</w:t>
      </w:r>
      <w:r w:rsidR="00FD7168" w:rsidRPr="00B727B0">
        <w:rPr>
          <w:rFonts w:ascii="Book Antiqua" w:hAnsi="Book Antiqua" w:cstheme="majorBidi"/>
          <w:sz w:val="24"/>
          <w:szCs w:val="24"/>
        </w:rPr>
        <w:t xml:space="preserve"> </w:t>
      </w:r>
      <w:r w:rsidR="00FD7168"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GN</w:t>
      </w:r>
      <w:r w:rsidR="00FD7168"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 xml:space="preserve"> recurrence varies widely from mil</w:t>
      </w:r>
      <w:r w:rsidR="00EF0B2E" w:rsidRPr="00B727B0">
        <w:rPr>
          <w:rFonts w:ascii="Book Antiqua" w:hAnsi="Book Antiqua" w:cstheme="majorBidi"/>
          <w:sz w:val="24"/>
          <w:szCs w:val="24"/>
        </w:rPr>
        <w:t>d or negligible effect</w:t>
      </w:r>
      <w:r w:rsidR="00FD7168" w:rsidRPr="00B727B0">
        <w:rPr>
          <w:rFonts w:ascii="Book Antiqua" w:eastAsia="宋体" w:hAnsi="Book Antiqua" w:cstheme="majorBidi"/>
          <w:sz w:val="24"/>
          <w:szCs w:val="24"/>
          <w:lang w:eastAsia="zh-CN"/>
        </w:rPr>
        <w:t>,</w:t>
      </w:r>
      <w:r w:rsidR="00EF0B2E" w:rsidRPr="00B727B0">
        <w:rPr>
          <w:rFonts w:ascii="Book Antiqua" w:hAnsi="Book Antiqua" w:cstheme="majorBidi"/>
          <w:sz w:val="24"/>
          <w:szCs w:val="24"/>
        </w:rPr>
        <w:t xml:space="preserve"> </w:t>
      </w:r>
      <w:r w:rsidR="00EF0B2E" w:rsidRPr="00B727B0">
        <w:rPr>
          <w:rFonts w:ascii="Book Antiqua" w:hAnsi="Book Antiqua" w:cstheme="majorBidi"/>
          <w:i/>
          <w:sz w:val="24"/>
          <w:szCs w:val="24"/>
        </w:rPr>
        <w:t>e.g.</w:t>
      </w:r>
      <w:r w:rsidR="00FD7168" w:rsidRPr="00B727B0">
        <w:rPr>
          <w:rFonts w:ascii="Book Antiqua" w:eastAsia="宋体" w:hAnsi="Book Antiqua" w:cstheme="majorBidi"/>
          <w:sz w:val="24"/>
          <w:szCs w:val="24"/>
          <w:lang w:eastAsia="zh-CN"/>
        </w:rPr>
        <w:t>,</w:t>
      </w:r>
      <w:r w:rsidR="00EF0B2E" w:rsidRPr="00B727B0">
        <w:rPr>
          <w:rFonts w:ascii="Book Antiqua" w:hAnsi="Book Antiqua" w:cstheme="majorBidi"/>
          <w:sz w:val="24"/>
          <w:szCs w:val="24"/>
        </w:rPr>
        <w:t xml:space="preserve"> </w:t>
      </w:r>
      <w:r w:rsidR="00FD7168" w:rsidRPr="00B727B0">
        <w:rPr>
          <w:rFonts w:ascii="Book Antiqua" w:eastAsia="Times New Roman" w:hAnsi="Book Antiqua" w:cstheme="majorBidi"/>
          <w:iCs/>
          <w:sz w:val="24"/>
          <w:szCs w:val="24"/>
        </w:rPr>
        <w:t>IgA nephropathy</w:t>
      </w:r>
      <w:r w:rsidR="00FD7168" w:rsidRPr="00B727B0">
        <w:rPr>
          <w:rFonts w:ascii="Book Antiqua" w:hAnsi="Book Antiqua" w:cstheme="majorBidi"/>
          <w:sz w:val="24"/>
          <w:szCs w:val="24"/>
        </w:rPr>
        <w:t xml:space="preserve"> </w:t>
      </w:r>
      <w:r w:rsidR="00FD7168" w:rsidRPr="00B727B0">
        <w:rPr>
          <w:rFonts w:ascii="Book Antiqua" w:eastAsia="宋体" w:hAnsi="Book Antiqua" w:cstheme="majorBidi"/>
          <w:sz w:val="24"/>
          <w:szCs w:val="24"/>
          <w:lang w:eastAsia="zh-CN"/>
        </w:rPr>
        <w:t>(</w:t>
      </w:r>
      <w:r w:rsidR="00EF0B2E" w:rsidRPr="00B727B0">
        <w:rPr>
          <w:rFonts w:ascii="Book Antiqua" w:hAnsi="Book Antiqua" w:cstheme="majorBidi"/>
          <w:sz w:val="24"/>
          <w:szCs w:val="24"/>
        </w:rPr>
        <w:t>IgAN</w:t>
      </w:r>
      <w:r w:rsidR="00FD7168"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 xml:space="preserve">, to a real </w:t>
      </w:r>
      <w:r w:rsidR="00F669D3" w:rsidRPr="00B727B0">
        <w:rPr>
          <w:rFonts w:ascii="Book Antiqua" w:hAnsi="Book Antiqua" w:cstheme="majorBidi"/>
          <w:sz w:val="24"/>
          <w:szCs w:val="24"/>
        </w:rPr>
        <w:t>detrimental</w:t>
      </w:r>
      <w:r w:rsidRPr="00B727B0">
        <w:rPr>
          <w:rFonts w:ascii="Book Antiqua" w:hAnsi="Book Antiqua" w:cstheme="majorBidi"/>
          <w:sz w:val="24"/>
          <w:szCs w:val="24"/>
        </w:rPr>
        <w:t xml:space="preserve"> </w:t>
      </w:r>
      <w:r w:rsidR="00F669D3" w:rsidRPr="00B727B0">
        <w:rPr>
          <w:rFonts w:ascii="Book Antiqua" w:hAnsi="Book Antiqua" w:cstheme="majorBidi"/>
          <w:sz w:val="24"/>
          <w:szCs w:val="24"/>
        </w:rPr>
        <w:t>impact</w:t>
      </w:r>
      <w:r w:rsidRPr="00B727B0">
        <w:rPr>
          <w:rFonts w:ascii="Book Antiqua" w:hAnsi="Book Antiqua" w:cstheme="majorBidi"/>
          <w:sz w:val="24"/>
          <w:szCs w:val="24"/>
        </w:rPr>
        <w:t xml:space="preserve"> on graft survival</w:t>
      </w:r>
      <w:r w:rsidR="00FD7168" w:rsidRPr="00B727B0">
        <w:rPr>
          <w:rFonts w:ascii="Book Antiqua" w:eastAsia="宋体" w:hAnsi="Book Antiqua" w:cstheme="majorBidi"/>
          <w:sz w:val="24"/>
          <w:szCs w:val="24"/>
          <w:lang w:eastAsia="zh-CN"/>
        </w:rPr>
        <w:t>,</w:t>
      </w:r>
      <w:r w:rsidR="00FD7168" w:rsidRPr="00B727B0">
        <w:rPr>
          <w:rFonts w:ascii="Book Antiqua" w:hAnsi="Book Antiqua" w:cstheme="majorBidi"/>
          <w:sz w:val="24"/>
          <w:szCs w:val="24"/>
        </w:rPr>
        <w:t xml:space="preserve"> </w:t>
      </w:r>
      <w:r w:rsidR="00FD7168" w:rsidRPr="00B727B0">
        <w:rPr>
          <w:rFonts w:ascii="Book Antiqua" w:hAnsi="Book Antiqua" w:cstheme="majorBidi"/>
          <w:i/>
          <w:sz w:val="24"/>
          <w:szCs w:val="24"/>
        </w:rPr>
        <w:t>e.g.</w:t>
      </w:r>
      <w:r w:rsidR="00FD7168" w:rsidRPr="00B727B0">
        <w:rPr>
          <w:rFonts w:ascii="Book Antiqua" w:eastAsia="宋体" w:hAnsi="Book Antiqua" w:cstheme="majorBidi"/>
          <w:sz w:val="24"/>
          <w:szCs w:val="24"/>
          <w:lang w:eastAsia="zh-CN"/>
        </w:rPr>
        <w:t>,</w:t>
      </w:r>
      <w:r w:rsidR="00FD7168" w:rsidRPr="00B727B0">
        <w:rPr>
          <w:rFonts w:ascii="Book Antiqua" w:hAnsi="Book Antiqua" w:cstheme="majorBidi"/>
          <w:sz w:val="24"/>
          <w:szCs w:val="24"/>
        </w:rPr>
        <w:t xml:space="preserve"> </w:t>
      </w:r>
      <w:r w:rsidR="00ED0BC7" w:rsidRPr="00B727B0">
        <w:rPr>
          <w:rFonts w:ascii="Book Antiqua" w:eastAsia="Times New Roman" w:hAnsi="Book Antiqua" w:cstheme="majorBidi"/>
          <w:iCs/>
          <w:sz w:val="24"/>
          <w:szCs w:val="24"/>
        </w:rPr>
        <w:t>Focal Sclerosing Glomerulosclerosis</w:t>
      </w:r>
      <w:r w:rsidR="00ED0BC7" w:rsidRPr="00B727B0">
        <w:rPr>
          <w:rFonts w:ascii="Book Antiqua" w:eastAsia="宋体" w:hAnsi="Book Antiqua" w:cstheme="majorBidi"/>
          <w:iCs/>
          <w:sz w:val="24"/>
          <w:szCs w:val="24"/>
          <w:lang w:eastAsia="zh-CN"/>
        </w:rPr>
        <w:t xml:space="preserve"> (</w:t>
      </w:r>
      <w:r w:rsidRPr="00B727B0">
        <w:rPr>
          <w:rFonts w:ascii="Book Antiqua" w:hAnsi="Book Antiqua" w:cstheme="majorBidi"/>
          <w:sz w:val="24"/>
          <w:szCs w:val="24"/>
        </w:rPr>
        <w:t>FSGS</w:t>
      </w:r>
      <w:r w:rsidR="00ED0BC7"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 xml:space="preserve"> and </w:t>
      </w:r>
      <w:r w:rsidR="00ED0BC7" w:rsidRPr="00B727B0">
        <w:rPr>
          <w:rFonts w:ascii="Book Antiqua" w:eastAsia="Times New Roman" w:hAnsi="Book Antiqua" w:cstheme="majorBidi"/>
          <w:sz w:val="24"/>
          <w:szCs w:val="24"/>
        </w:rPr>
        <w:t>membranoproliferative GN</w:t>
      </w:r>
      <w:r w:rsidR="00ED0BC7" w:rsidRPr="00B727B0">
        <w:rPr>
          <w:rFonts w:ascii="Book Antiqua" w:hAnsi="Book Antiqua" w:cstheme="majorBidi"/>
          <w:sz w:val="24"/>
          <w:szCs w:val="24"/>
        </w:rPr>
        <w:t xml:space="preserve"> </w:t>
      </w:r>
      <w:r w:rsidR="00ED0BC7"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MPGN</w:t>
      </w:r>
      <w:proofErr w:type="gramStart"/>
      <w:r w:rsidR="00ED0BC7" w:rsidRPr="00B727B0">
        <w:rPr>
          <w:rFonts w:ascii="Book Antiqua" w:eastAsia="宋体" w:hAnsi="Book Antiqua" w:cstheme="majorBidi"/>
          <w:sz w:val="24"/>
          <w:szCs w:val="24"/>
          <w:lang w:eastAsia="zh-CN"/>
        </w:rPr>
        <w:t>)</w:t>
      </w:r>
      <w:r w:rsidR="00901027" w:rsidRPr="00B727B0">
        <w:rPr>
          <w:rFonts w:ascii="Book Antiqua" w:hAnsi="Book Antiqua" w:cstheme="majorBidi"/>
          <w:sz w:val="24"/>
          <w:szCs w:val="24"/>
          <w:vertAlign w:val="superscript"/>
        </w:rPr>
        <w:t>[</w:t>
      </w:r>
      <w:proofErr w:type="gramEnd"/>
      <w:r w:rsidR="00901027" w:rsidRPr="00B727B0">
        <w:rPr>
          <w:rFonts w:ascii="Book Antiqua" w:hAnsi="Book Antiqua" w:cstheme="majorBidi"/>
          <w:sz w:val="24"/>
          <w:szCs w:val="24"/>
          <w:vertAlign w:val="superscript"/>
        </w:rPr>
        <w:t>1]</w:t>
      </w:r>
      <w:r w:rsidRPr="00B727B0">
        <w:rPr>
          <w:rFonts w:ascii="Book Antiqua" w:hAnsi="Book Antiqua" w:cstheme="majorBidi"/>
          <w:sz w:val="24"/>
          <w:szCs w:val="24"/>
        </w:rPr>
        <w:t>. Since it has been early recognized, the deleterious impact of th</w:t>
      </w:r>
      <w:r w:rsidR="00EF0B2E" w:rsidRPr="00B727B0">
        <w:rPr>
          <w:rFonts w:ascii="Book Antiqua" w:hAnsi="Book Antiqua" w:cstheme="majorBidi"/>
          <w:sz w:val="24"/>
          <w:szCs w:val="24"/>
        </w:rPr>
        <w:t>e recurrent GN</w:t>
      </w:r>
      <w:r w:rsidRPr="00B727B0">
        <w:rPr>
          <w:rFonts w:ascii="Book Antiqua" w:hAnsi="Book Antiqua" w:cstheme="majorBidi"/>
          <w:sz w:val="24"/>
          <w:szCs w:val="24"/>
        </w:rPr>
        <w:t xml:space="preserve"> on allograft longevity, continuous efforts have been exerted to determine its real prevalence, clear pathogenesis and to tailor the best strategies for treatment and </w:t>
      </w:r>
      <w:proofErr w:type="gramStart"/>
      <w:r w:rsidRPr="00B727B0">
        <w:rPr>
          <w:rFonts w:ascii="Book Antiqua" w:hAnsi="Book Antiqua" w:cstheme="majorBidi"/>
          <w:sz w:val="24"/>
          <w:szCs w:val="24"/>
        </w:rPr>
        <w:t>prevention</w:t>
      </w:r>
      <w:r w:rsidR="00901027" w:rsidRPr="00B727B0">
        <w:rPr>
          <w:rFonts w:ascii="Book Antiqua" w:hAnsi="Book Antiqua" w:cstheme="majorBidi"/>
          <w:sz w:val="24"/>
          <w:szCs w:val="24"/>
          <w:vertAlign w:val="superscript"/>
        </w:rPr>
        <w:t>[</w:t>
      </w:r>
      <w:proofErr w:type="gramEnd"/>
      <w:r w:rsidR="00901027" w:rsidRPr="00B727B0">
        <w:rPr>
          <w:rFonts w:ascii="Book Antiqua" w:hAnsi="Book Antiqua" w:cstheme="majorBidi"/>
          <w:sz w:val="24"/>
          <w:szCs w:val="24"/>
          <w:vertAlign w:val="superscript"/>
        </w:rPr>
        <w:t>2]</w:t>
      </w:r>
      <w:r w:rsidRPr="00B727B0">
        <w:rPr>
          <w:rFonts w:ascii="Book Antiqua" w:hAnsi="Book Antiqua" w:cstheme="majorBidi"/>
          <w:sz w:val="24"/>
          <w:szCs w:val="24"/>
        </w:rPr>
        <w:t xml:space="preserve">. Recently, several mechanisms have been postulated to address a clear pathogenesis of GN </w:t>
      </w:r>
      <w:proofErr w:type="gramStart"/>
      <w:r w:rsidRPr="00B727B0">
        <w:rPr>
          <w:rFonts w:ascii="Book Antiqua" w:hAnsi="Book Antiqua" w:cstheme="majorBidi"/>
          <w:sz w:val="24"/>
          <w:szCs w:val="24"/>
        </w:rPr>
        <w:t>recurrence</w:t>
      </w:r>
      <w:r w:rsidR="00A65CA4" w:rsidRPr="00B727B0">
        <w:rPr>
          <w:rFonts w:ascii="Book Antiqua" w:hAnsi="Book Antiqua" w:cstheme="majorBidi"/>
          <w:sz w:val="24"/>
          <w:szCs w:val="24"/>
          <w:vertAlign w:val="superscript"/>
        </w:rPr>
        <w:t>[</w:t>
      </w:r>
      <w:proofErr w:type="gramEnd"/>
      <w:r w:rsidR="0023009D" w:rsidRPr="00B727B0">
        <w:rPr>
          <w:rFonts w:ascii="Book Antiqua" w:hAnsi="Book Antiqua" w:cstheme="majorBidi"/>
          <w:sz w:val="24"/>
          <w:szCs w:val="24"/>
          <w:vertAlign w:val="superscript"/>
        </w:rPr>
        <w:t>1</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The prevalence of GN as an etiology of ESRD was reported to be exceeding 48% in China</w:t>
      </w:r>
      <w:r w:rsidR="00A65CA4" w:rsidRPr="00B727B0">
        <w:rPr>
          <w:rFonts w:ascii="Book Antiqua" w:hAnsi="Book Antiqua" w:cstheme="majorBidi"/>
          <w:sz w:val="24"/>
          <w:szCs w:val="24"/>
          <w:vertAlign w:val="superscript"/>
        </w:rPr>
        <w:t>[</w:t>
      </w:r>
      <w:r w:rsidR="0023009D" w:rsidRPr="00B727B0">
        <w:rPr>
          <w:rFonts w:ascii="Book Antiqua" w:hAnsi="Book Antiqua" w:cstheme="majorBidi"/>
          <w:sz w:val="24"/>
          <w:szCs w:val="24"/>
          <w:vertAlign w:val="superscript"/>
        </w:rPr>
        <w:t>3</w:t>
      </w:r>
      <w:r w:rsidR="00895E3F" w:rsidRPr="00B727B0">
        <w:rPr>
          <w:rFonts w:ascii="Book Antiqua" w:eastAsia="宋体" w:hAnsi="Book Antiqua" w:cstheme="majorBidi"/>
          <w:sz w:val="24"/>
          <w:szCs w:val="24"/>
          <w:vertAlign w:val="superscript"/>
          <w:lang w:eastAsia="zh-CN"/>
        </w:rPr>
        <w:t>,</w:t>
      </w:r>
      <w:r w:rsidR="0023009D" w:rsidRPr="00B727B0">
        <w:rPr>
          <w:rFonts w:ascii="Book Antiqua" w:hAnsi="Book Antiqua" w:cstheme="majorBidi"/>
          <w:sz w:val="24"/>
          <w:szCs w:val="24"/>
          <w:vertAlign w:val="superscript"/>
        </w:rPr>
        <w:t>4</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50% in Australian-New Zealand</w:t>
      </w:r>
      <w:r w:rsidR="00A65CA4" w:rsidRPr="00B727B0">
        <w:rPr>
          <w:rFonts w:ascii="Book Antiqua" w:hAnsi="Book Antiqua" w:cstheme="majorBidi"/>
          <w:sz w:val="24"/>
          <w:szCs w:val="24"/>
          <w:vertAlign w:val="superscript"/>
        </w:rPr>
        <w:t>[</w:t>
      </w:r>
      <w:r w:rsidR="0023009D" w:rsidRPr="00B727B0">
        <w:rPr>
          <w:rFonts w:ascii="Book Antiqua" w:hAnsi="Book Antiqua" w:cstheme="majorBidi"/>
          <w:sz w:val="24"/>
          <w:szCs w:val="24"/>
          <w:vertAlign w:val="superscript"/>
        </w:rPr>
        <w:t>2</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xml:space="preserve"> and 30% according to USRDS 2015 report</w:t>
      </w:r>
      <w:r w:rsidR="00A65CA4" w:rsidRPr="00B727B0">
        <w:rPr>
          <w:rFonts w:ascii="Book Antiqua" w:hAnsi="Book Antiqua" w:cstheme="majorBidi"/>
          <w:sz w:val="24"/>
          <w:szCs w:val="24"/>
          <w:vertAlign w:val="superscript"/>
        </w:rPr>
        <w:t>[</w:t>
      </w:r>
      <w:r w:rsidR="0023009D" w:rsidRPr="00B727B0">
        <w:rPr>
          <w:rFonts w:ascii="Book Antiqua" w:hAnsi="Book Antiqua" w:cstheme="majorBidi"/>
          <w:sz w:val="24"/>
          <w:szCs w:val="24"/>
          <w:vertAlign w:val="superscript"/>
        </w:rPr>
        <w:t>5</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xml:space="preserve">. The frequent lack of kidney biopsy resulted in underestimation of the real prevalence of the GN </w:t>
      </w:r>
      <w:proofErr w:type="gramStart"/>
      <w:r w:rsidRPr="00B727B0">
        <w:rPr>
          <w:rFonts w:ascii="Book Antiqua" w:hAnsi="Book Antiqua" w:cstheme="majorBidi"/>
          <w:sz w:val="24"/>
          <w:szCs w:val="24"/>
        </w:rPr>
        <w:t>recurrence</w:t>
      </w:r>
      <w:r w:rsidR="00901027" w:rsidRPr="00B727B0">
        <w:rPr>
          <w:rFonts w:ascii="Book Antiqua" w:hAnsi="Book Antiqua" w:cstheme="majorBidi"/>
          <w:sz w:val="24"/>
          <w:szCs w:val="24"/>
          <w:vertAlign w:val="superscript"/>
        </w:rPr>
        <w:t>[</w:t>
      </w:r>
      <w:proofErr w:type="gramEnd"/>
      <w:r w:rsidR="00901027" w:rsidRPr="00B727B0">
        <w:rPr>
          <w:rFonts w:ascii="Book Antiqua" w:hAnsi="Book Antiqua" w:cstheme="majorBidi"/>
          <w:sz w:val="24"/>
          <w:szCs w:val="24"/>
          <w:vertAlign w:val="superscript"/>
        </w:rPr>
        <w:t>2]</w:t>
      </w:r>
      <w:r w:rsidRPr="00B727B0">
        <w:rPr>
          <w:rFonts w:ascii="Book Antiqua" w:hAnsi="Book Antiqua" w:cstheme="majorBidi"/>
          <w:sz w:val="24"/>
          <w:szCs w:val="24"/>
        </w:rPr>
        <w:t xml:space="preserve">. Moreover, the distinction between recurrent GN and the </w:t>
      </w:r>
      <w:r w:rsidR="004C111A" w:rsidRPr="00B727B0">
        <w:rPr>
          <w:rFonts w:ascii="Book Antiqua" w:hAnsi="Book Antiqua" w:cstheme="majorBidi"/>
          <w:i/>
          <w:sz w:val="24"/>
          <w:szCs w:val="24"/>
        </w:rPr>
        <w:t>de novo</w:t>
      </w:r>
      <w:r w:rsidRPr="00B727B0">
        <w:rPr>
          <w:rFonts w:ascii="Book Antiqua" w:hAnsi="Book Antiqua" w:cstheme="majorBidi"/>
          <w:sz w:val="24"/>
          <w:szCs w:val="24"/>
        </w:rPr>
        <w:t xml:space="preserve"> disease is not widely applied. Compared to an early (within the first year) post transplantation assessment of prevalence of about 4%, a value of 13% after 7.5 </w:t>
      </w:r>
      <w:proofErr w:type="gramStart"/>
      <w:r w:rsidRPr="00B727B0">
        <w:rPr>
          <w:rFonts w:ascii="Book Antiqua" w:hAnsi="Book Antiqua" w:cstheme="majorBidi"/>
          <w:sz w:val="24"/>
          <w:szCs w:val="24"/>
        </w:rPr>
        <w:t>years</w:t>
      </w:r>
      <w:r w:rsidR="00A65CA4" w:rsidRPr="00B727B0">
        <w:rPr>
          <w:rFonts w:ascii="Book Antiqua" w:hAnsi="Book Antiqua" w:cstheme="majorBidi"/>
          <w:sz w:val="24"/>
          <w:szCs w:val="24"/>
          <w:vertAlign w:val="superscript"/>
        </w:rPr>
        <w:t>[</w:t>
      </w:r>
      <w:proofErr w:type="gramEnd"/>
      <w:r w:rsidR="0023009D" w:rsidRPr="00B727B0">
        <w:rPr>
          <w:rFonts w:ascii="Book Antiqua" w:hAnsi="Book Antiqua" w:cstheme="majorBidi"/>
          <w:sz w:val="24"/>
          <w:szCs w:val="24"/>
          <w:vertAlign w:val="superscript"/>
        </w:rPr>
        <w:t>6</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and 18% in other</w:t>
      </w:r>
      <w:r w:rsidR="00D77890" w:rsidRPr="00B727B0">
        <w:rPr>
          <w:rFonts w:ascii="Book Antiqua" w:hAnsi="Book Antiqua" w:cstheme="majorBidi"/>
          <w:sz w:val="24"/>
          <w:szCs w:val="24"/>
        </w:rPr>
        <w:t xml:space="preserve"> </w:t>
      </w:r>
      <w:r w:rsidRPr="00B727B0">
        <w:rPr>
          <w:rFonts w:ascii="Book Antiqua" w:hAnsi="Book Antiqua" w:cstheme="majorBidi"/>
          <w:sz w:val="24"/>
          <w:szCs w:val="24"/>
        </w:rPr>
        <w:t>studies</w:t>
      </w:r>
      <w:r w:rsidR="00A65CA4" w:rsidRPr="00B727B0">
        <w:rPr>
          <w:rFonts w:ascii="Book Antiqua" w:hAnsi="Book Antiqua" w:cstheme="majorBidi"/>
          <w:sz w:val="24"/>
          <w:szCs w:val="24"/>
          <w:vertAlign w:val="superscript"/>
        </w:rPr>
        <w:t>[</w:t>
      </w:r>
      <w:r w:rsidR="0023009D" w:rsidRPr="00B727B0">
        <w:rPr>
          <w:rFonts w:ascii="Book Antiqua" w:hAnsi="Book Antiqua" w:cstheme="majorBidi"/>
          <w:sz w:val="24"/>
          <w:szCs w:val="24"/>
          <w:vertAlign w:val="superscript"/>
        </w:rPr>
        <w:t>7</w:t>
      </w:r>
      <w:r w:rsidR="00E64BE4" w:rsidRPr="00B727B0">
        <w:rPr>
          <w:rFonts w:ascii="Book Antiqua" w:eastAsia="宋体" w:hAnsi="Book Antiqua" w:cstheme="majorBidi"/>
          <w:sz w:val="24"/>
          <w:szCs w:val="24"/>
          <w:vertAlign w:val="superscript"/>
          <w:lang w:eastAsia="zh-CN"/>
        </w:rPr>
        <w:t>,</w:t>
      </w:r>
      <w:r w:rsidR="0023009D" w:rsidRPr="00B727B0">
        <w:rPr>
          <w:rFonts w:ascii="Book Antiqua" w:hAnsi="Book Antiqua" w:cstheme="majorBidi"/>
          <w:sz w:val="24"/>
          <w:szCs w:val="24"/>
          <w:vertAlign w:val="superscript"/>
        </w:rPr>
        <w:t>8</w:t>
      </w:r>
      <w:r w:rsidR="009D4D4D" w:rsidRPr="00B727B0">
        <w:rPr>
          <w:rFonts w:ascii="Book Antiqua" w:hAnsi="Book Antiqua" w:cstheme="majorBidi"/>
          <w:sz w:val="24"/>
          <w:szCs w:val="24"/>
          <w:vertAlign w:val="superscript"/>
        </w:rPr>
        <w:t xml:space="preserve">] </w:t>
      </w:r>
      <w:r w:rsidR="009D4D4D" w:rsidRPr="00B727B0">
        <w:rPr>
          <w:rFonts w:ascii="Book Antiqua" w:hAnsi="Book Antiqua" w:cstheme="majorBidi"/>
          <w:sz w:val="24"/>
          <w:szCs w:val="24"/>
        </w:rPr>
        <w:t>have</w:t>
      </w:r>
      <w:r w:rsidRPr="00B727B0">
        <w:rPr>
          <w:rFonts w:ascii="Book Antiqua" w:hAnsi="Book Antiqua" w:cstheme="majorBidi"/>
          <w:sz w:val="24"/>
          <w:szCs w:val="24"/>
        </w:rPr>
        <w:t xml:space="preserve"> been recorded</w:t>
      </w:r>
      <w:r w:rsidR="00901027" w:rsidRPr="00B727B0">
        <w:rPr>
          <w:rFonts w:ascii="Book Antiqua" w:hAnsi="Book Antiqua" w:cstheme="majorBidi"/>
          <w:sz w:val="24"/>
          <w:szCs w:val="24"/>
          <w:vertAlign w:val="superscript"/>
        </w:rPr>
        <w:t>[2]</w:t>
      </w:r>
      <w:r w:rsidRPr="00B727B0">
        <w:rPr>
          <w:rFonts w:ascii="Book Antiqua" w:hAnsi="Book Antiqua" w:cstheme="majorBidi"/>
          <w:sz w:val="24"/>
          <w:szCs w:val="24"/>
        </w:rPr>
        <w:t xml:space="preserve">. The reported wide variations in prevalence may be attributed to the variability in follow up periods of various </w:t>
      </w:r>
      <w:proofErr w:type="gramStart"/>
      <w:r w:rsidRPr="00B727B0">
        <w:rPr>
          <w:rFonts w:ascii="Book Antiqua" w:hAnsi="Book Antiqua" w:cstheme="majorBidi"/>
          <w:sz w:val="24"/>
          <w:szCs w:val="24"/>
        </w:rPr>
        <w:t>studies</w:t>
      </w:r>
      <w:r w:rsidR="00D77890" w:rsidRPr="00B727B0">
        <w:rPr>
          <w:rFonts w:ascii="Book Antiqua" w:hAnsi="Book Antiqua" w:cstheme="majorBidi"/>
          <w:sz w:val="24"/>
          <w:szCs w:val="24"/>
          <w:vertAlign w:val="superscript"/>
        </w:rPr>
        <w:t>[</w:t>
      </w:r>
      <w:proofErr w:type="gramEnd"/>
      <w:r w:rsidR="0023009D" w:rsidRPr="00B727B0">
        <w:rPr>
          <w:rFonts w:ascii="Book Antiqua" w:hAnsi="Book Antiqua" w:cstheme="majorBidi"/>
          <w:sz w:val="24"/>
          <w:szCs w:val="24"/>
          <w:vertAlign w:val="superscript"/>
        </w:rPr>
        <w:t>9</w:t>
      </w:r>
      <w:r w:rsidR="00D77890" w:rsidRPr="00B727B0">
        <w:rPr>
          <w:rFonts w:ascii="Book Antiqua" w:hAnsi="Book Antiqua" w:cstheme="majorBidi"/>
          <w:sz w:val="24"/>
          <w:szCs w:val="24"/>
          <w:vertAlign w:val="superscript"/>
        </w:rPr>
        <w:t>]</w:t>
      </w:r>
      <w:r w:rsidRPr="00B727B0">
        <w:rPr>
          <w:rFonts w:ascii="Book Antiqua" w:hAnsi="Book Antiqua" w:cstheme="majorBidi"/>
          <w:sz w:val="24"/>
          <w:szCs w:val="24"/>
        </w:rPr>
        <w:t xml:space="preserve">. </w:t>
      </w:r>
    </w:p>
    <w:p w14:paraId="3A460C2C" w14:textId="420DE2BB" w:rsidR="00602E2A" w:rsidRPr="00B727B0" w:rsidRDefault="00602E2A" w:rsidP="007312CD">
      <w:pPr>
        <w:adjustRightInd w:val="0"/>
        <w:snapToGrid w:val="0"/>
        <w:spacing w:after="0" w:line="360" w:lineRule="auto"/>
        <w:ind w:firstLine="720"/>
        <w:jc w:val="both"/>
        <w:rPr>
          <w:rFonts w:ascii="Book Antiqua" w:hAnsi="Book Antiqua" w:cstheme="majorBidi"/>
          <w:sz w:val="24"/>
          <w:szCs w:val="24"/>
        </w:rPr>
      </w:pPr>
      <w:r w:rsidRPr="00B727B0">
        <w:rPr>
          <w:rFonts w:ascii="Book Antiqua" w:hAnsi="Book Antiqua" w:cstheme="majorBidi"/>
          <w:sz w:val="24"/>
          <w:szCs w:val="24"/>
        </w:rPr>
        <w:t>The advent of the new immunosuppressive strategies in kidney transplantation have been reflected on the rates of acute and chronic rejectio</w:t>
      </w:r>
      <w:r w:rsidR="00363690" w:rsidRPr="00B727B0">
        <w:rPr>
          <w:rFonts w:ascii="Book Antiqua" w:hAnsi="Book Antiqua" w:cstheme="majorBidi"/>
          <w:sz w:val="24"/>
          <w:szCs w:val="24"/>
        </w:rPr>
        <w:t>n, but unfortunately has little</w:t>
      </w:r>
      <w:r w:rsidR="005118E6" w:rsidRPr="00B727B0">
        <w:rPr>
          <w:rFonts w:ascii="Book Antiqua" w:hAnsi="Book Antiqua" w:cstheme="majorBidi"/>
          <w:sz w:val="24"/>
          <w:szCs w:val="24"/>
        </w:rPr>
        <w:t xml:space="preserve"> </w:t>
      </w:r>
      <w:r w:rsidR="0054247A" w:rsidRPr="00B727B0">
        <w:rPr>
          <w:rFonts w:ascii="Book Antiqua" w:eastAsia="宋体" w:hAnsi="Book Antiqua" w:cstheme="majorBidi"/>
          <w:sz w:val="24"/>
          <w:szCs w:val="24"/>
          <w:lang w:eastAsia="zh-CN"/>
        </w:rPr>
        <w:t>(i</w:t>
      </w:r>
      <w:r w:rsidRPr="00B727B0">
        <w:rPr>
          <w:rFonts w:ascii="Book Antiqua" w:hAnsi="Book Antiqua" w:cstheme="majorBidi"/>
          <w:sz w:val="24"/>
          <w:szCs w:val="24"/>
        </w:rPr>
        <w:t xml:space="preserve">mpact on the prevalence rates of GN recurrence as well as </w:t>
      </w:r>
      <w:r w:rsidR="00545A10" w:rsidRPr="00B727B0">
        <w:rPr>
          <w:rFonts w:ascii="Book Antiqua" w:hAnsi="Book Antiqua" w:cstheme="majorBidi"/>
          <w:sz w:val="24"/>
          <w:szCs w:val="24"/>
        </w:rPr>
        <w:t xml:space="preserve">the </w:t>
      </w:r>
      <w:r w:rsidR="004C111A" w:rsidRPr="00B727B0">
        <w:rPr>
          <w:rFonts w:ascii="Book Antiqua" w:hAnsi="Book Antiqua" w:cstheme="majorBidi"/>
          <w:i/>
          <w:sz w:val="24"/>
          <w:szCs w:val="24"/>
        </w:rPr>
        <w:t>de novo</w:t>
      </w:r>
      <w:r w:rsidRPr="00B727B0">
        <w:rPr>
          <w:rFonts w:ascii="Book Antiqua" w:hAnsi="Book Antiqua" w:cstheme="majorBidi"/>
          <w:sz w:val="24"/>
          <w:szCs w:val="24"/>
        </w:rPr>
        <w:t xml:space="preserve"> GN </w:t>
      </w:r>
      <w:proofErr w:type="gramStart"/>
      <w:r w:rsidRPr="00B727B0">
        <w:rPr>
          <w:rFonts w:ascii="Book Antiqua" w:hAnsi="Book Antiqua" w:cstheme="majorBidi"/>
          <w:sz w:val="24"/>
          <w:szCs w:val="24"/>
        </w:rPr>
        <w:t>disease</w:t>
      </w:r>
      <w:r w:rsidR="00A65CA4" w:rsidRPr="00B727B0">
        <w:rPr>
          <w:rFonts w:ascii="Book Antiqua" w:hAnsi="Book Antiqua" w:cstheme="majorBidi"/>
          <w:sz w:val="24"/>
          <w:szCs w:val="24"/>
          <w:vertAlign w:val="superscript"/>
        </w:rPr>
        <w:t>[</w:t>
      </w:r>
      <w:proofErr w:type="gramEnd"/>
      <w:r w:rsidR="00A65CA4" w:rsidRPr="00B727B0">
        <w:rPr>
          <w:rFonts w:ascii="Book Antiqua" w:hAnsi="Book Antiqua" w:cstheme="majorBidi"/>
          <w:sz w:val="24"/>
          <w:szCs w:val="24"/>
          <w:vertAlign w:val="superscript"/>
        </w:rPr>
        <w:t>1</w:t>
      </w:r>
      <w:r w:rsidR="0023009D" w:rsidRPr="00B727B0">
        <w:rPr>
          <w:rFonts w:ascii="Book Antiqua" w:hAnsi="Book Antiqua" w:cstheme="majorBidi"/>
          <w:sz w:val="24"/>
          <w:szCs w:val="24"/>
          <w:vertAlign w:val="superscript"/>
        </w:rPr>
        <w:t>0</w:t>
      </w:r>
      <w:r w:rsidR="00901027" w:rsidRPr="00B727B0">
        <w:rPr>
          <w:rFonts w:ascii="Book Antiqua" w:hAnsi="Book Antiqua" w:cstheme="majorBidi"/>
          <w:sz w:val="24"/>
          <w:szCs w:val="24"/>
          <w:vertAlign w:val="superscript"/>
        </w:rPr>
        <w:t>]</w:t>
      </w:r>
      <w:r w:rsidR="0054247A"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 The expected improved allograft survival rate will be ultimately reflected in the future on the prevalence of the recurrent GN after kidney transplantation. It is noteworthy to mention that GN disease with a seemingly benign course</w:t>
      </w:r>
      <w:r w:rsidR="009218D1" w:rsidRPr="00B727B0">
        <w:rPr>
          <w:rFonts w:ascii="Book Antiqua" w:hAnsi="Book Antiqua" w:cstheme="majorBidi"/>
          <w:sz w:val="24"/>
          <w:szCs w:val="24"/>
        </w:rPr>
        <w:t>,</w:t>
      </w:r>
      <w:r w:rsidR="009218D1" w:rsidRPr="00B727B0">
        <w:rPr>
          <w:rFonts w:ascii="Book Antiqua" w:hAnsi="Book Antiqua" w:cstheme="majorBidi"/>
          <w:i/>
          <w:sz w:val="24"/>
          <w:szCs w:val="24"/>
        </w:rPr>
        <w:t xml:space="preserve"> e.g., </w:t>
      </w:r>
      <w:r w:rsidRPr="00B727B0">
        <w:rPr>
          <w:rFonts w:ascii="Book Antiqua" w:hAnsi="Book Antiqua" w:cstheme="majorBidi"/>
          <w:sz w:val="24"/>
          <w:szCs w:val="24"/>
        </w:rPr>
        <w:t>IgAN</w:t>
      </w:r>
      <w:r w:rsidR="00167CB9" w:rsidRPr="00B727B0">
        <w:rPr>
          <w:rFonts w:ascii="Book Antiqua" w:hAnsi="Book Antiqua" w:cstheme="majorBidi"/>
          <w:sz w:val="24"/>
          <w:szCs w:val="24"/>
        </w:rPr>
        <w:t xml:space="preserve"> is known to recur in 40% of patients but leads to graft loss only in 10</w:t>
      </w:r>
      <w:proofErr w:type="gramStart"/>
      <w:r w:rsidR="00167CB9" w:rsidRPr="00B727B0">
        <w:rPr>
          <w:rFonts w:ascii="Book Antiqua" w:hAnsi="Book Antiqua" w:cstheme="majorBidi"/>
          <w:sz w:val="24"/>
          <w:szCs w:val="24"/>
        </w:rPr>
        <w:t>%</w:t>
      </w:r>
      <w:r w:rsidR="00A65CA4" w:rsidRPr="00B727B0">
        <w:rPr>
          <w:rFonts w:ascii="Book Antiqua" w:hAnsi="Book Antiqua" w:cstheme="majorBidi"/>
          <w:sz w:val="24"/>
          <w:szCs w:val="24"/>
          <w:vertAlign w:val="superscript"/>
        </w:rPr>
        <w:t>[</w:t>
      </w:r>
      <w:proofErr w:type="gramEnd"/>
      <w:r w:rsidR="00A65CA4" w:rsidRPr="00B727B0">
        <w:rPr>
          <w:rFonts w:ascii="Book Antiqua" w:hAnsi="Book Antiqua" w:cstheme="majorBidi"/>
          <w:sz w:val="24"/>
          <w:szCs w:val="24"/>
          <w:vertAlign w:val="superscript"/>
        </w:rPr>
        <w:t>1</w:t>
      </w:r>
      <w:r w:rsidR="0023009D" w:rsidRPr="00B727B0">
        <w:rPr>
          <w:rFonts w:ascii="Book Antiqua" w:hAnsi="Book Antiqua" w:cstheme="majorBidi"/>
          <w:sz w:val="24"/>
          <w:szCs w:val="24"/>
          <w:vertAlign w:val="superscript"/>
        </w:rPr>
        <w:t>1</w:t>
      </w:r>
      <w:r w:rsidR="00167CB9" w:rsidRPr="00B727B0">
        <w:rPr>
          <w:rFonts w:ascii="Book Antiqua" w:hAnsi="Book Antiqua" w:cstheme="majorBidi"/>
          <w:sz w:val="24"/>
          <w:szCs w:val="24"/>
          <w:vertAlign w:val="superscript"/>
        </w:rPr>
        <w:t>,12</w:t>
      </w:r>
      <w:r w:rsidR="00A65CA4" w:rsidRPr="00B727B0">
        <w:rPr>
          <w:rFonts w:ascii="Book Antiqua" w:hAnsi="Book Antiqua" w:cstheme="majorBidi"/>
          <w:sz w:val="24"/>
          <w:szCs w:val="24"/>
          <w:vertAlign w:val="superscript"/>
        </w:rPr>
        <w:t>]</w:t>
      </w:r>
      <w:r w:rsidR="00566CE0" w:rsidRPr="00B727B0">
        <w:rPr>
          <w:rFonts w:ascii="Book Antiqua" w:hAnsi="Book Antiqua" w:cstheme="majorBidi"/>
          <w:sz w:val="24"/>
          <w:szCs w:val="24"/>
        </w:rPr>
        <w:t>. The</w:t>
      </w:r>
      <w:r w:rsidRPr="00B727B0">
        <w:rPr>
          <w:rFonts w:ascii="Book Antiqua" w:hAnsi="Book Antiqua" w:cstheme="majorBidi"/>
          <w:sz w:val="24"/>
          <w:szCs w:val="24"/>
        </w:rPr>
        <w:t xml:space="preserve"> m</w:t>
      </w:r>
      <w:r w:rsidR="00566CE0" w:rsidRPr="00B727B0">
        <w:rPr>
          <w:rFonts w:ascii="Book Antiqua" w:hAnsi="Book Antiqua" w:cstheme="majorBidi"/>
          <w:sz w:val="24"/>
          <w:szCs w:val="24"/>
        </w:rPr>
        <w:t>agnitude of challenge, at times, seems insurmountable</w:t>
      </w:r>
      <w:r w:rsidRPr="00B727B0">
        <w:rPr>
          <w:rFonts w:ascii="Book Antiqua" w:hAnsi="Book Antiqua" w:cstheme="majorBidi"/>
          <w:sz w:val="24"/>
          <w:szCs w:val="24"/>
        </w:rPr>
        <w:t xml:space="preserve"> despite the progress in understanding the pathogenesis of certain recurrent GN</w:t>
      </w:r>
      <w:r w:rsidR="009218D1" w:rsidRPr="00B727B0">
        <w:rPr>
          <w:rFonts w:ascii="Book Antiqua" w:hAnsi="Book Antiqua" w:cstheme="majorBidi"/>
          <w:sz w:val="24"/>
          <w:szCs w:val="24"/>
        </w:rPr>
        <w:t>,</w:t>
      </w:r>
      <w:r w:rsidR="009218D1" w:rsidRPr="00B727B0">
        <w:rPr>
          <w:rFonts w:ascii="Book Antiqua" w:hAnsi="Book Antiqua" w:cstheme="majorBidi"/>
          <w:i/>
          <w:sz w:val="24"/>
          <w:szCs w:val="24"/>
        </w:rPr>
        <w:t xml:space="preserve"> e.g., </w:t>
      </w:r>
      <w:r w:rsidRPr="00B727B0">
        <w:rPr>
          <w:rFonts w:ascii="Book Antiqua" w:hAnsi="Book Antiqua" w:cstheme="majorBidi"/>
          <w:sz w:val="24"/>
          <w:szCs w:val="24"/>
        </w:rPr>
        <w:t>permeability factors (suPAR in FSGS and ant-PLA2R AB in MN).</w:t>
      </w:r>
      <w:r w:rsidR="00F305E4">
        <w:rPr>
          <w:rFonts w:ascii="Book Antiqua" w:hAnsi="Book Antiqua" w:cstheme="majorBidi"/>
          <w:sz w:val="24"/>
          <w:szCs w:val="24"/>
        </w:rPr>
        <w:t xml:space="preserve"> </w:t>
      </w:r>
    </w:p>
    <w:p w14:paraId="2C4DBF4A" w14:textId="025E313C" w:rsidR="00602E2A" w:rsidRPr="00B727B0" w:rsidRDefault="00566CE0" w:rsidP="007312CD">
      <w:pPr>
        <w:adjustRightInd w:val="0"/>
        <w:snapToGrid w:val="0"/>
        <w:spacing w:after="0" w:line="360" w:lineRule="auto"/>
        <w:ind w:firstLine="720"/>
        <w:jc w:val="both"/>
        <w:rPr>
          <w:rFonts w:ascii="Book Antiqua" w:eastAsia="宋体" w:hAnsi="Book Antiqua" w:cstheme="majorBidi"/>
          <w:sz w:val="24"/>
          <w:szCs w:val="24"/>
          <w:lang w:eastAsia="zh-CN"/>
        </w:rPr>
      </w:pPr>
      <w:r w:rsidRPr="00B727B0">
        <w:rPr>
          <w:rFonts w:ascii="Book Antiqua" w:hAnsi="Book Antiqua" w:cstheme="majorBidi"/>
          <w:sz w:val="24"/>
          <w:szCs w:val="24"/>
        </w:rPr>
        <w:lastRenderedPageBreak/>
        <w:t>In this review</w:t>
      </w:r>
      <w:r w:rsidR="00B426A2"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 xml:space="preserve"> the authors have </w:t>
      </w:r>
      <w:r w:rsidR="006F3F8D" w:rsidRPr="00B727B0">
        <w:rPr>
          <w:rFonts w:ascii="Book Antiqua" w:hAnsi="Book Antiqua" w:cstheme="majorBidi"/>
          <w:sz w:val="24"/>
          <w:szCs w:val="24"/>
        </w:rPr>
        <w:t xml:space="preserve">identified the </w:t>
      </w:r>
      <w:r w:rsidR="00602E2A" w:rsidRPr="00B727B0">
        <w:rPr>
          <w:rFonts w:ascii="Book Antiqua" w:hAnsi="Book Antiqua" w:cstheme="majorBidi"/>
          <w:sz w:val="24"/>
          <w:szCs w:val="24"/>
        </w:rPr>
        <w:t xml:space="preserve">most recent progress in understanding the pathogenesis of GN recurrence and its impact on the renal allograft survival. Further insights on the available strategies for treatment and prevention of GN recurrence, </w:t>
      </w:r>
      <w:r w:rsidR="00545A10" w:rsidRPr="00B727B0">
        <w:rPr>
          <w:rFonts w:ascii="Book Antiqua" w:hAnsi="Book Antiqua" w:cstheme="majorBidi"/>
          <w:sz w:val="24"/>
          <w:szCs w:val="24"/>
        </w:rPr>
        <w:t>particularly</w:t>
      </w:r>
      <w:r w:rsidR="00602E2A" w:rsidRPr="00B727B0">
        <w:rPr>
          <w:rFonts w:ascii="Book Antiqua" w:hAnsi="Book Antiqua" w:cstheme="majorBidi"/>
          <w:sz w:val="24"/>
          <w:szCs w:val="24"/>
        </w:rPr>
        <w:t xml:space="preserve"> so in the</w:t>
      </w:r>
      <w:r w:rsidR="007F71AB" w:rsidRPr="00B727B0">
        <w:rPr>
          <w:rFonts w:ascii="Book Antiqua" w:hAnsi="Book Antiqua" w:cstheme="majorBidi"/>
          <w:sz w:val="24"/>
          <w:szCs w:val="24"/>
        </w:rPr>
        <w:t xml:space="preserve"> main primary </w:t>
      </w:r>
      <w:r w:rsidR="00B426A2" w:rsidRPr="00B727B0">
        <w:rPr>
          <w:rFonts w:ascii="Book Antiqua" w:hAnsi="Book Antiqua" w:cstheme="majorBidi"/>
          <w:sz w:val="24"/>
          <w:szCs w:val="24"/>
        </w:rPr>
        <w:t>GN</w:t>
      </w:r>
      <w:r w:rsidR="007F71AB" w:rsidRPr="00B727B0">
        <w:rPr>
          <w:rFonts w:ascii="Book Antiqua" w:hAnsi="Book Antiqua" w:cstheme="majorBidi"/>
          <w:sz w:val="24"/>
          <w:szCs w:val="24"/>
        </w:rPr>
        <w:t xml:space="preserve"> </w:t>
      </w:r>
      <w:r w:rsidR="00602E2A" w:rsidRPr="00B727B0">
        <w:rPr>
          <w:rFonts w:ascii="Book Antiqua" w:hAnsi="Book Antiqua" w:cstheme="majorBidi"/>
          <w:sz w:val="24"/>
          <w:szCs w:val="24"/>
        </w:rPr>
        <w:t>is will be addressed.</w:t>
      </w:r>
    </w:p>
    <w:p w14:paraId="62187316" w14:textId="77777777" w:rsidR="00E64BE4" w:rsidRPr="00B727B0" w:rsidRDefault="00E64BE4" w:rsidP="007312CD">
      <w:pPr>
        <w:adjustRightInd w:val="0"/>
        <w:snapToGrid w:val="0"/>
        <w:spacing w:after="0" w:line="360" w:lineRule="auto"/>
        <w:jc w:val="both"/>
        <w:rPr>
          <w:rFonts w:ascii="Book Antiqua" w:eastAsia="宋体" w:hAnsi="Book Antiqua" w:cstheme="majorBidi"/>
          <w:sz w:val="24"/>
          <w:szCs w:val="24"/>
          <w:lang w:eastAsia="zh-CN"/>
        </w:rPr>
      </w:pPr>
    </w:p>
    <w:p w14:paraId="2DF0AFC1" w14:textId="5C29C9C3" w:rsidR="00244DA1" w:rsidRPr="00B727B0" w:rsidRDefault="004C111A" w:rsidP="007312CD">
      <w:pPr>
        <w:autoSpaceDE w:val="0"/>
        <w:autoSpaceDN w:val="0"/>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hAnsi="Book Antiqua" w:cstheme="majorBidi"/>
          <w:b/>
          <w:sz w:val="24"/>
          <w:szCs w:val="24"/>
        </w:rPr>
        <w:t>GRAFT SURVIVAL IN RECURRENT GN DISEASE AFTER RENAL TRANSPLANTATION, GENERAL CONCEPTS</w:t>
      </w:r>
    </w:p>
    <w:p w14:paraId="4920454B" w14:textId="38651EB5" w:rsidR="00242807" w:rsidRPr="00B727B0" w:rsidRDefault="00242807"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An </w:t>
      </w:r>
      <w:r w:rsidR="00C852AB" w:rsidRPr="00B727B0">
        <w:rPr>
          <w:rFonts w:ascii="Book Antiqua" w:hAnsi="Book Antiqua" w:cstheme="majorBidi"/>
          <w:sz w:val="24"/>
          <w:szCs w:val="24"/>
        </w:rPr>
        <w:t>assumed</w:t>
      </w:r>
      <w:r w:rsidRPr="00B727B0">
        <w:rPr>
          <w:rFonts w:ascii="Book Antiqua" w:hAnsi="Book Antiqua" w:cstheme="majorBidi"/>
          <w:sz w:val="24"/>
          <w:szCs w:val="24"/>
        </w:rPr>
        <w:t xml:space="preserve"> underestimation of the real prevalence of the GN recurrence has been proved by application of the “Pro</w:t>
      </w:r>
      <w:r w:rsidR="00B426A2" w:rsidRPr="00B727B0">
        <w:rPr>
          <w:rFonts w:ascii="Book Antiqua" w:hAnsi="Book Antiqua" w:cstheme="majorBidi"/>
          <w:sz w:val="24"/>
          <w:szCs w:val="24"/>
        </w:rPr>
        <w:t xml:space="preserve">tocol Biopsy” that defined as: </w:t>
      </w:r>
      <w:r w:rsidRPr="00B727B0">
        <w:rPr>
          <w:rFonts w:ascii="Book Antiqua" w:hAnsi="Book Antiqua" w:cstheme="majorBidi"/>
          <w:sz w:val="24"/>
          <w:szCs w:val="24"/>
        </w:rPr>
        <w:t>biopsy at fixed time, with no relation to a clinical guide. Protocol biopsy delineates a higher incidence</w:t>
      </w:r>
      <w:r w:rsidR="00D91BB3" w:rsidRPr="00B727B0">
        <w:rPr>
          <w:rFonts w:ascii="Book Antiqua" w:hAnsi="Book Antiqua" w:cstheme="majorBidi"/>
          <w:sz w:val="24"/>
          <w:szCs w:val="24"/>
        </w:rPr>
        <w:t xml:space="preserve"> of GN recurrence</w:t>
      </w:r>
      <w:r w:rsidRPr="00B727B0">
        <w:rPr>
          <w:rFonts w:ascii="Book Antiqua" w:hAnsi="Book Antiqua" w:cstheme="majorBidi"/>
          <w:sz w:val="24"/>
          <w:szCs w:val="24"/>
        </w:rPr>
        <w:t xml:space="preserve"> (5%, 18%, 21%, 35%, 42% at 1,</w:t>
      </w:r>
      <w:r w:rsidR="00B426A2" w:rsidRPr="00B727B0">
        <w:rPr>
          <w:rFonts w:ascii="Book Antiqua" w:eastAsia="宋体" w:hAnsi="Book Antiqua" w:cstheme="majorBidi"/>
          <w:sz w:val="24"/>
          <w:szCs w:val="24"/>
          <w:lang w:eastAsia="zh-CN"/>
        </w:rPr>
        <w:t xml:space="preserve"> </w:t>
      </w:r>
      <w:r w:rsidRPr="00B727B0">
        <w:rPr>
          <w:rFonts w:ascii="Book Antiqua" w:hAnsi="Book Antiqua" w:cstheme="majorBidi"/>
          <w:sz w:val="24"/>
          <w:szCs w:val="24"/>
        </w:rPr>
        <w:t>3,</w:t>
      </w:r>
      <w:r w:rsidR="00B426A2" w:rsidRPr="00B727B0">
        <w:rPr>
          <w:rFonts w:ascii="Book Antiqua" w:eastAsia="宋体" w:hAnsi="Book Antiqua" w:cstheme="majorBidi"/>
          <w:sz w:val="24"/>
          <w:szCs w:val="24"/>
          <w:lang w:eastAsia="zh-CN"/>
        </w:rPr>
        <w:t xml:space="preserve"> </w:t>
      </w:r>
      <w:r w:rsidRPr="00B727B0">
        <w:rPr>
          <w:rFonts w:ascii="Book Antiqua" w:hAnsi="Book Antiqua" w:cstheme="majorBidi"/>
          <w:sz w:val="24"/>
          <w:szCs w:val="24"/>
        </w:rPr>
        <w:t>5,</w:t>
      </w:r>
      <w:r w:rsidR="00B426A2" w:rsidRPr="00B727B0">
        <w:rPr>
          <w:rFonts w:ascii="Book Antiqua" w:eastAsia="宋体" w:hAnsi="Book Antiqua" w:cstheme="majorBidi"/>
          <w:sz w:val="24"/>
          <w:szCs w:val="24"/>
          <w:lang w:eastAsia="zh-CN"/>
        </w:rPr>
        <w:t xml:space="preserve"> </w:t>
      </w:r>
      <w:r w:rsidRPr="00B727B0">
        <w:rPr>
          <w:rFonts w:ascii="Book Antiqua" w:hAnsi="Book Antiqua" w:cstheme="majorBidi"/>
          <w:sz w:val="24"/>
          <w:szCs w:val="24"/>
        </w:rPr>
        <w:t xml:space="preserve">8 and 10 years </w:t>
      </w:r>
      <w:proofErr w:type="gramStart"/>
      <w:r w:rsidRPr="00B727B0">
        <w:rPr>
          <w:rFonts w:ascii="Book Antiqua" w:hAnsi="Book Antiqua" w:cstheme="majorBidi"/>
          <w:sz w:val="24"/>
          <w:szCs w:val="24"/>
        </w:rPr>
        <w:t>respectively</w:t>
      </w:r>
      <w:r w:rsidR="00B426A2" w:rsidRPr="00B727B0">
        <w:rPr>
          <w:rFonts w:ascii="Book Antiqua" w:eastAsia="宋体" w:hAnsi="Book Antiqua" w:cstheme="majorBidi"/>
          <w:sz w:val="24"/>
          <w:szCs w:val="24"/>
          <w:lang w:eastAsia="zh-CN"/>
        </w:rPr>
        <w:t>)</w:t>
      </w:r>
      <w:r w:rsidR="0038510D" w:rsidRPr="00B727B0">
        <w:rPr>
          <w:rFonts w:ascii="Book Antiqua" w:hAnsi="Book Antiqua" w:cstheme="majorBidi"/>
          <w:sz w:val="24"/>
          <w:szCs w:val="24"/>
          <w:vertAlign w:val="superscript"/>
        </w:rPr>
        <w:t>[</w:t>
      </w:r>
      <w:proofErr w:type="gramEnd"/>
      <w:r w:rsidR="0023009D" w:rsidRPr="00B727B0">
        <w:rPr>
          <w:rFonts w:ascii="Book Antiqua" w:hAnsi="Book Antiqua" w:cstheme="majorBidi"/>
          <w:sz w:val="24"/>
          <w:szCs w:val="24"/>
          <w:vertAlign w:val="superscript"/>
        </w:rPr>
        <w:t>5</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Many explanations have been postulated in this c</w:t>
      </w:r>
      <w:r w:rsidR="008E26F7" w:rsidRPr="00B727B0">
        <w:rPr>
          <w:rFonts w:ascii="Book Antiqua" w:hAnsi="Book Antiqua" w:cstheme="majorBidi"/>
          <w:sz w:val="24"/>
          <w:szCs w:val="24"/>
        </w:rPr>
        <w:t>oncept to shed the light on the reported</w:t>
      </w:r>
      <w:r w:rsidRPr="00B727B0">
        <w:rPr>
          <w:rFonts w:ascii="Book Antiqua" w:hAnsi="Book Antiqua" w:cstheme="majorBidi"/>
          <w:sz w:val="24"/>
          <w:szCs w:val="24"/>
        </w:rPr>
        <w:t xml:space="preserve"> discrepancy</w:t>
      </w:r>
      <w:r w:rsidR="008E26F7" w:rsidRPr="00B727B0">
        <w:rPr>
          <w:rFonts w:ascii="Book Antiqua" w:hAnsi="Book Antiqua" w:cstheme="majorBidi"/>
          <w:sz w:val="24"/>
          <w:szCs w:val="24"/>
        </w:rPr>
        <w:t xml:space="preserve"> in prevalence of the GN recurrence</w:t>
      </w:r>
      <w:r w:rsidRPr="00B727B0">
        <w:rPr>
          <w:rFonts w:ascii="Book Antiqua" w:hAnsi="Book Antiqua" w:cstheme="majorBidi"/>
          <w:sz w:val="24"/>
          <w:szCs w:val="24"/>
        </w:rPr>
        <w:t>:</w:t>
      </w:r>
      <w:r w:rsidR="00B426A2" w:rsidRPr="00B727B0">
        <w:rPr>
          <w:rFonts w:ascii="Book Antiqua" w:eastAsia="宋体" w:hAnsi="Book Antiqua" w:cstheme="majorBidi"/>
          <w:sz w:val="24"/>
          <w:szCs w:val="24"/>
          <w:lang w:eastAsia="zh-CN"/>
        </w:rPr>
        <w:t xml:space="preserve"> (1) a</w:t>
      </w:r>
      <w:r w:rsidRPr="00B727B0">
        <w:rPr>
          <w:rFonts w:ascii="Book Antiqua" w:hAnsi="Book Antiqua" w:cstheme="majorBidi"/>
          <w:sz w:val="24"/>
          <w:szCs w:val="24"/>
        </w:rPr>
        <w:t xml:space="preserve">bsence of clear </w:t>
      </w:r>
      <w:r w:rsidR="00B426A2" w:rsidRPr="00B727B0">
        <w:rPr>
          <w:rFonts w:ascii="Book Antiqua" w:hAnsi="Book Antiqua" w:cstheme="majorBidi"/>
          <w:sz w:val="24"/>
          <w:szCs w:val="24"/>
        </w:rPr>
        <w:t>native kidney disease diagnosis</w:t>
      </w:r>
      <w:r w:rsidR="00B426A2" w:rsidRPr="00B727B0">
        <w:rPr>
          <w:rFonts w:ascii="Book Antiqua" w:eastAsia="宋体" w:hAnsi="Book Antiqua" w:cstheme="majorBidi"/>
          <w:sz w:val="24"/>
          <w:szCs w:val="24"/>
          <w:lang w:eastAsia="zh-CN"/>
        </w:rPr>
        <w:t xml:space="preserve">; (2) </w:t>
      </w:r>
      <w:r w:rsidR="00B426A2" w:rsidRPr="00B727B0">
        <w:rPr>
          <w:rFonts w:ascii="Book Antiqua" w:hAnsi="Book Antiqua" w:cstheme="majorBidi"/>
          <w:sz w:val="24"/>
          <w:szCs w:val="24"/>
        </w:rPr>
        <w:t>a</w:t>
      </w:r>
      <w:r w:rsidRPr="00B727B0">
        <w:rPr>
          <w:rFonts w:ascii="Book Antiqua" w:hAnsi="Book Antiqua" w:cstheme="majorBidi"/>
          <w:sz w:val="24"/>
          <w:szCs w:val="24"/>
        </w:rPr>
        <w:t>bsence of va</w:t>
      </w:r>
      <w:r w:rsidR="00B426A2" w:rsidRPr="00B727B0">
        <w:rPr>
          <w:rFonts w:ascii="Book Antiqua" w:hAnsi="Book Antiqua" w:cstheme="majorBidi"/>
          <w:sz w:val="24"/>
          <w:szCs w:val="24"/>
        </w:rPr>
        <w:t>lid biomarker for GN recurrence</w:t>
      </w:r>
      <w:r w:rsidR="00B426A2" w:rsidRPr="00B727B0">
        <w:rPr>
          <w:rFonts w:ascii="Book Antiqua" w:eastAsia="宋体" w:hAnsi="Book Antiqua" w:cstheme="majorBidi"/>
          <w:sz w:val="24"/>
          <w:szCs w:val="24"/>
          <w:lang w:eastAsia="zh-CN"/>
        </w:rPr>
        <w:t xml:space="preserve">; (3) </w:t>
      </w:r>
      <w:r w:rsidR="00B426A2" w:rsidRPr="00B727B0">
        <w:rPr>
          <w:rFonts w:ascii="Book Antiqua" w:hAnsi="Book Antiqua" w:cstheme="majorBidi"/>
          <w:sz w:val="24"/>
          <w:szCs w:val="24"/>
        </w:rPr>
        <w:t>d</w:t>
      </w:r>
      <w:r w:rsidRPr="00B727B0">
        <w:rPr>
          <w:rFonts w:ascii="Book Antiqua" w:hAnsi="Book Antiqua" w:cstheme="majorBidi"/>
          <w:sz w:val="24"/>
          <w:szCs w:val="24"/>
        </w:rPr>
        <w:t>ifficulty in differential diagnosis from other pathological entities</w:t>
      </w:r>
      <w:r w:rsidR="009218D1" w:rsidRPr="00B727B0">
        <w:rPr>
          <w:rFonts w:ascii="Book Antiqua" w:hAnsi="Book Antiqua" w:cstheme="majorBidi"/>
          <w:i/>
          <w:sz w:val="24"/>
          <w:szCs w:val="24"/>
        </w:rPr>
        <w:t xml:space="preserve">, e.g., </w:t>
      </w:r>
      <w:r w:rsidR="00B426A2" w:rsidRPr="00B727B0">
        <w:rPr>
          <w:rFonts w:ascii="Book Antiqua" w:hAnsi="Book Antiqua" w:cstheme="majorBidi"/>
          <w:sz w:val="24"/>
          <w:szCs w:val="24"/>
        </w:rPr>
        <w:t>CAN and drug intoxication</w:t>
      </w:r>
      <w:r w:rsidR="00B426A2" w:rsidRPr="00B727B0">
        <w:rPr>
          <w:rFonts w:ascii="Book Antiqua" w:eastAsia="宋体" w:hAnsi="Book Antiqua" w:cstheme="majorBidi"/>
          <w:sz w:val="24"/>
          <w:szCs w:val="24"/>
          <w:lang w:eastAsia="zh-CN"/>
        </w:rPr>
        <w:t xml:space="preserve">; (4) </w:t>
      </w:r>
      <w:r w:rsidR="00B426A2" w:rsidRPr="00B727B0">
        <w:rPr>
          <w:rFonts w:ascii="Book Antiqua" w:hAnsi="Book Antiqua" w:cstheme="majorBidi"/>
          <w:sz w:val="24"/>
          <w:szCs w:val="24"/>
        </w:rPr>
        <w:t>a</w:t>
      </w:r>
      <w:r w:rsidRPr="00B727B0">
        <w:rPr>
          <w:rFonts w:ascii="Book Antiqua" w:hAnsi="Book Antiqua" w:cstheme="majorBidi"/>
          <w:sz w:val="24"/>
          <w:szCs w:val="24"/>
        </w:rPr>
        <w:t>bsence of clear stratification and characterization of GN recurrence nature in view of the advent of the new therapeutic approaches</w:t>
      </w:r>
      <w:r w:rsidR="0038510D" w:rsidRPr="00B727B0">
        <w:rPr>
          <w:rFonts w:ascii="Book Antiqua" w:hAnsi="Book Antiqua" w:cstheme="majorBidi"/>
          <w:sz w:val="24"/>
          <w:szCs w:val="24"/>
          <w:vertAlign w:val="superscript"/>
        </w:rPr>
        <w:t>[1</w:t>
      </w:r>
      <w:r w:rsidR="0023009D" w:rsidRPr="00B727B0">
        <w:rPr>
          <w:rFonts w:ascii="Book Antiqua" w:hAnsi="Book Antiqua" w:cstheme="majorBidi"/>
          <w:sz w:val="24"/>
          <w:szCs w:val="24"/>
          <w:vertAlign w:val="superscript"/>
        </w:rPr>
        <w:t>3</w:t>
      </w:r>
      <w:r w:rsidR="00B426A2" w:rsidRPr="00B727B0">
        <w:rPr>
          <w:rFonts w:ascii="Book Antiqua" w:eastAsia="宋体" w:hAnsi="Book Antiqua" w:cstheme="majorBidi"/>
          <w:sz w:val="24"/>
          <w:szCs w:val="24"/>
          <w:vertAlign w:val="superscript"/>
          <w:lang w:eastAsia="zh-CN"/>
        </w:rPr>
        <w:t>-</w:t>
      </w:r>
      <w:r w:rsidR="0038510D" w:rsidRPr="00B727B0">
        <w:rPr>
          <w:rFonts w:ascii="Book Antiqua" w:hAnsi="Book Antiqua" w:cstheme="majorBidi"/>
          <w:sz w:val="24"/>
          <w:szCs w:val="24"/>
          <w:vertAlign w:val="superscript"/>
        </w:rPr>
        <w:t>1</w:t>
      </w:r>
      <w:r w:rsidR="0023009D" w:rsidRPr="00B727B0">
        <w:rPr>
          <w:rFonts w:ascii="Book Antiqua" w:hAnsi="Book Antiqua" w:cstheme="majorBidi"/>
          <w:sz w:val="24"/>
          <w:szCs w:val="24"/>
          <w:vertAlign w:val="superscript"/>
        </w:rPr>
        <w:t>5</w:t>
      </w:r>
      <w:r w:rsidR="00901027" w:rsidRPr="00B727B0">
        <w:rPr>
          <w:rFonts w:ascii="Book Antiqua" w:hAnsi="Book Antiqua" w:cstheme="majorBidi"/>
          <w:sz w:val="24"/>
          <w:szCs w:val="24"/>
          <w:vertAlign w:val="superscript"/>
        </w:rPr>
        <w:t>]</w:t>
      </w:r>
      <w:r w:rsidR="00B426A2" w:rsidRPr="00B727B0">
        <w:rPr>
          <w:rFonts w:ascii="Book Antiqua" w:eastAsia="宋体" w:hAnsi="Book Antiqua" w:cstheme="majorBidi"/>
          <w:sz w:val="24"/>
          <w:szCs w:val="24"/>
          <w:lang w:eastAsia="zh-CN"/>
        </w:rPr>
        <w:t xml:space="preserve">; (5) </w:t>
      </w:r>
      <w:r w:rsidR="00B426A2" w:rsidRPr="00B727B0">
        <w:rPr>
          <w:rFonts w:ascii="Book Antiqua" w:hAnsi="Book Antiqua" w:cstheme="majorBidi"/>
          <w:sz w:val="24"/>
          <w:szCs w:val="24"/>
        </w:rPr>
        <w:t>t</w:t>
      </w:r>
      <w:r w:rsidRPr="00B727B0">
        <w:rPr>
          <w:rFonts w:ascii="Book Antiqua" w:hAnsi="Book Antiqua" w:cstheme="majorBidi"/>
          <w:sz w:val="24"/>
          <w:szCs w:val="24"/>
        </w:rPr>
        <w:t>he decision of biopsy is not always performed routinely whenever indicated (</w:t>
      </w:r>
      <w:r w:rsidRPr="00B727B0">
        <w:rPr>
          <w:rFonts w:ascii="Book Antiqua" w:hAnsi="Book Antiqua" w:cstheme="majorBidi"/>
          <w:i/>
          <w:sz w:val="24"/>
          <w:szCs w:val="24"/>
        </w:rPr>
        <w:t>e.g.</w:t>
      </w:r>
      <w:r w:rsidR="00B426A2" w:rsidRPr="00B727B0">
        <w:rPr>
          <w:rFonts w:ascii="Book Antiqua" w:eastAsia="宋体" w:hAnsi="Book Antiqua" w:cstheme="majorBidi"/>
          <w:i/>
          <w:sz w:val="24"/>
          <w:szCs w:val="24"/>
          <w:lang w:eastAsia="zh-CN"/>
        </w:rPr>
        <w:t>,</w:t>
      </w:r>
      <w:r w:rsidRPr="00B727B0">
        <w:rPr>
          <w:rFonts w:ascii="Book Antiqua" w:hAnsi="Book Antiqua" w:cstheme="majorBidi"/>
          <w:sz w:val="24"/>
          <w:szCs w:val="24"/>
        </w:rPr>
        <w:t xml:space="preserve"> proteinur</w:t>
      </w:r>
      <w:r w:rsidR="00B426A2" w:rsidRPr="00B727B0">
        <w:rPr>
          <w:rFonts w:ascii="Book Antiqua" w:hAnsi="Book Antiqua" w:cstheme="majorBidi"/>
          <w:sz w:val="24"/>
          <w:szCs w:val="24"/>
        </w:rPr>
        <w:t>ia/hematuria, renal impairment)</w:t>
      </w:r>
      <w:r w:rsidR="00B426A2" w:rsidRPr="00B727B0">
        <w:rPr>
          <w:rFonts w:ascii="Book Antiqua" w:eastAsia="宋体" w:hAnsi="Book Antiqua" w:cstheme="majorBidi"/>
          <w:sz w:val="24"/>
          <w:szCs w:val="24"/>
          <w:lang w:eastAsia="zh-CN"/>
        </w:rPr>
        <w:t xml:space="preserve">; (6) </w:t>
      </w:r>
      <w:r w:rsidRPr="00B727B0">
        <w:rPr>
          <w:rFonts w:ascii="Book Antiqua" w:hAnsi="Book Antiqua" w:cstheme="majorBidi"/>
          <w:sz w:val="24"/>
          <w:szCs w:val="24"/>
        </w:rPr>
        <w:t>IF/EM techniques are not routin</w:t>
      </w:r>
      <w:r w:rsidR="00B426A2" w:rsidRPr="00B727B0">
        <w:rPr>
          <w:rFonts w:ascii="Book Antiqua" w:hAnsi="Book Antiqua" w:cstheme="majorBidi"/>
          <w:sz w:val="24"/>
          <w:szCs w:val="24"/>
        </w:rPr>
        <w:t>ely performed after each biopsy</w:t>
      </w:r>
      <w:r w:rsidR="00B426A2" w:rsidRPr="00B727B0">
        <w:rPr>
          <w:rFonts w:ascii="Book Antiqua" w:eastAsia="宋体" w:hAnsi="Book Antiqua" w:cstheme="majorBidi"/>
          <w:sz w:val="24"/>
          <w:szCs w:val="24"/>
          <w:lang w:eastAsia="zh-CN"/>
        </w:rPr>
        <w:t xml:space="preserve">; (7) </w:t>
      </w:r>
      <w:r w:rsidR="00B426A2" w:rsidRPr="00B727B0">
        <w:rPr>
          <w:rFonts w:ascii="Book Antiqua" w:hAnsi="Book Antiqua" w:cstheme="majorBidi"/>
          <w:sz w:val="24"/>
          <w:szCs w:val="24"/>
        </w:rPr>
        <w:t>a</w:t>
      </w:r>
      <w:r w:rsidRPr="00B727B0">
        <w:rPr>
          <w:rFonts w:ascii="Book Antiqua" w:hAnsi="Book Antiqua" w:cstheme="majorBidi"/>
          <w:sz w:val="24"/>
          <w:szCs w:val="24"/>
        </w:rPr>
        <w:t xml:space="preserve"> wide discrepancy is found in certain diseases</w:t>
      </w:r>
      <w:r w:rsidR="009218D1" w:rsidRPr="00B727B0">
        <w:rPr>
          <w:rFonts w:ascii="Book Antiqua" w:hAnsi="Book Antiqua" w:cstheme="majorBidi"/>
          <w:i/>
          <w:sz w:val="24"/>
          <w:szCs w:val="24"/>
        </w:rPr>
        <w:t xml:space="preserve">, e.g., </w:t>
      </w:r>
      <w:r w:rsidRPr="00B727B0">
        <w:rPr>
          <w:rFonts w:ascii="Book Antiqua" w:hAnsi="Book Antiqua" w:cstheme="majorBidi"/>
          <w:sz w:val="24"/>
          <w:szCs w:val="24"/>
        </w:rPr>
        <w:t>IgAN, between histopathologic characteristic changes and the appear</w:t>
      </w:r>
      <w:r w:rsidR="00B426A2" w:rsidRPr="00B727B0">
        <w:rPr>
          <w:rFonts w:ascii="Book Antiqua" w:hAnsi="Book Antiqua" w:cstheme="majorBidi"/>
          <w:sz w:val="24"/>
          <w:szCs w:val="24"/>
        </w:rPr>
        <w:t>ance of clinical manifestations</w:t>
      </w:r>
      <w:r w:rsidR="00B426A2" w:rsidRPr="00B727B0">
        <w:rPr>
          <w:rFonts w:ascii="Book Antiqua" w:eastAsia="宋体" w:hAnsi="Book Antiqua" w:cstheme="majorBidi"/>
          <w:sz w:val="24"/>
          <w:szCs w:val="24"/>
          <w:lang w:eastAsia="zh-CN"/>
        </w:rPr>
        <w:t xml:space="preserve">; (8) </w:t>
      </w:r>
      <w:r w:rsidR="00B426A2" w:rsidRPr="00B727B0">
        <w:rPr>
          <w:rFonts w:ascii="Book Antiqua" w:hAnsi="Book Antiqua" w:cstheme="majorBidi"/>
          <w:sz w:val="24"/>
          <w:szCs w:val="24"/>
        </w:rPr>
        <w:t>a</w:t>
      </w:r>
      <w:r w:rsidRPr="00B727B0">
        <w:rPr>
          <w:rFonts w:ascii="Book Antiqua" w:hAnsi="Book Antiqua" w:cstheme="majorBidi"/>
          <w:sz w:val="24"/>
          <w:szCs w:val="24"/>
        </w:rPr>
        <w:t xml:space="preserve"> trend to differentiate and isolate </w:t>
      </w:r>
      <w:r w:rsidR="004C111A" w:rsidRPr="00B727B0">
        <w:rPr>
          <w:rFonts w:ascii="Book Antiqua" w:hAnsi="Book Antiqua" w:cstheme="majorBidi"/>
          <w:i/>
          <w:sz w:val="24"/>
          <w:szCs w:val="24"/>
        </w:rPr>
        <w:t>de novo</w:t>
      </w:r>
      <w:r w:rsidRPr="00B727B0">
        <w:rPr>
          <w:rFonts w:ascii="Book Antiqua" w:hAnsi="Book Antiqua" w:cstheme="majorBidi"/>
          <w:sz w:val="24"/>
          <w:szCs w:val="24"/>
        </w:rPr>
        <w:t xml:space="preserve"> disease from a true recurrent disease is u</w:t>
      </w:r>
      <w:r w:rsidR="004C111A" w:rsidRPr="00B727B0">
        <w:rPr>
          <w:rFonts w:ascii="Book Antiqua" w:hAnsi="Book Antiqua" w:cstheme="majorBidi"/>
          <w:sz w:val="24"/>
          <w:szCs w:val="24"/>
        </w:rPr>
        <w:t>sually not eventually attempted</w:t>
      </w:r>
      <w:r w:rsidR="004C111A" w:rsidRPr="00B727B0">
        <w:rPr>
          <w:rFonts w:ascii="Book Antiqua" w:eastAsia="宋体" w:hAnsi="Book Antiqua" w:cstheme="majorBidi"/>
          <w:sz w:val="24"/>
          <w:szCs w:val="24"/>
          <w:lang w:eastAsia="zh-CN"/>
        </w:rPr>
        <w:t xml:space="preserve">; (9) </w:t>
      </w:r>
      <w:r w:rsidR="004C111A" w:rsidRPr="00B727B0">
        <w:rPr>
          <w:rFonts w:ascii="Book Antiqua" w:hAnsi="Book Antiqua" w:cstheme="majorBidi"/>
          <w:sz w:val="24"/>
          <w:szCs w:val="24"/>
        </w:rPr>
        <w:t>a</w:t>
      </w:r>
      <w:r w:rsidRPr="00B727B0">
        <w:rPr>
          <w:rFonts w:ascii="Book Antiqua" w:hAnsi="Book Antiqua" w:cstheme="majorBidi"/>
          <w:sz w:val="24"/>
          <w:szCs w:val="24"/>
        </w:rPr>
        <w:t>bsence of basal data as regard etiology of ESRF and the na</w:t>
      </w:r>
      <w:r w:rsidR="004C111A" w:rsidRPr="00B727B0">
        <w:rPr>
          <w:rFonts w:ascii="Book Antiqua" w:hAnsi="Book Antiqua" w:cstheme="majorBidi"/>
          <w:sz w:val="24"/>
          <w:szCs w:val="24"/>
        </w:rPr>
        <w:t>tive renal biopsy in many cases</w:t>
      </w:r>
      <w:r w:rsidR="004C111A" w:rsidRPr="00B727B0">
        <w:rPr>
          <w:rFonts w:ascii="Book Antiqua" w:eastAsia="宋体" w:hAnsi="Book Antiqua" w:cstheme="majorBidi"/>
          <w:sz w:val="24"/>
          <w:szCs w:val="24"/>
          <w:lang w:eastAsia="zh-CN"/>
        </w:rPr>
        <w:t xml:space="preserve">; and (10) </w:t>
      </w:r>
      <w:r w:rsidR="004C111A" w:rsidRPr="00B727B0">
        <w:rPr>
          <w:rFonts w:ascii="Book Antiqua" w:hAnsi="Book Antiqua" w:cstheme="majorBidi"/>
          <w:sz w:val="24"/>
          <w:szCs w:val="24"/>
        </w:rPr>
        <w:t>d</w:t>
      </w:r>
      <w:r w:rsidRPr="00B727B0">
        <w:rPr>
          <w:rFonts w:ascii="Book Antiqua" w:hAnsi="Book Antiqua" w:cstheme="majorBidi"/>
          <w:sz w:val="24"/>
          <w:szCs w:val="24"/>
        </w:rPr>
        <w:t xml:space="preserve">ata inconvenience may result in misdiagnosis of a recurrent disease as a </w:t>
      </w:r>
      <w:r w:rsidR="004C111A" w:rsidRPr="00B727B0">
        <w:rPr>
          <w:rFonts w:ascii="Book Antiqua" w:hAnsi="Book Antiqua" w:cstheme="majorBidi"/>
          <w:i/>
          <w:sz w:val="24"/>
          <w:szCs w:val="24"/>
        </w:rPr>
        <w:t>de novo</w:t>
      </w:r>
      <w:r w:rsidRPr="00B727B0">
        <w:rPr>
          <w:rFonts w:ascii="Book Antiqua" w:hAnsi="Book Antiqua" w:cstheme="majorBidi"/>
          <w:sz w:val="24"/>
          <w:szCs w:val="24"/>
        </w:rPr>
        <w:t xml:space="preserve"> disease, which is in fact a true recurrence</w:t>
      </w:r>
      <w:r w:rsidR="00901027" w:rsidRPr="00B727B0">
        <w:rPr>
          <w:rFonts w:ascii="Book Antiqua" w:hAnsi="Book Antiqua" w:cstheme="majorBidi"/>
          <w:sz w:val="24"/>
          <w:szCs w:val="24"/>
          <w:vertAlign w:val="superscript"/>
        </w:rPr>
        <w:t>[2]</w:t>
      </w:r>
      <w:r w:rsidRPr="00B727B0">
        <w:rPr>
          <w:rFonts w:ascii="Book Antiqua" w:hAnsi="Book Antiqua" w:cstheme="majorBidi"/>
          <w:sz w:val="24"/>
          <w:szCs w:val="24"/>
        </w:rPr>
        <w:t>.</w:t>
      </w:r>
    </w:p>
    <w:p w14:paraId="760F3592" w14:textId="3D789F4E" w:rsidR="00244DA1" w:rsidRPr="00B727B0" w:rsidRDefault="00244DA1" w:rsidP="007312CD">
      <w:pPr>
        <w:autoSpaceDE w:val="0"/>
        <w:autoSpaceDN w:val="0"/>
        <w:adjustRightInd w:val="0"/>
        <w:snapToGrid w:val="0"/>
        <w:spacing w:after="0" w:line="360" w:lineRule="auto"/>
        <w:ind w:firstLine="720"/>
        <w:jc w:val="both"/>
        <w:rPr>
          <w:rFonts w:ascii="Book Antiqua" w:hAnsi="Book Antiqua" w:cstheme="majorBidi"/>
          <w:sz w:val="24"/>
          <w:szCs w:val="24"/>
        </w:rPr>
      </w:pPr>
      <w:r w:rsidRPr="00B727B0">
        <w:rPr>
          <w:rFonts w:ascii="Book Antiqua" w:hAnsi="Book Antiqua" w:cstheme="majorBidi"/>
          <w:sz w:val="24"/>
          <w:szCs w:val="24"/>
        </w:rPr>
        <w:t xml:space="preserve">The </w:t>
      </w:r>
      <w:r w:rsidR="008F0A30" w:rsidRPr="00B727B0">
        <w:rPr>
          <w:rFonts w:ascii="Book Antiqua" w:hAnsi="Book Antiqua" w:cstheme="majorBidi"/>
          <w:sz w:val="24"/>
          <w:szCs w:val="24"/>
        </w:rPr>
        <w:t>detrimental</w:t>
      </w:r>
      <w:r w:rsidRPr="00B727B0">
        <w:rPr>
          <w:rFonts w:ascii="Book Antiqua" w:hAnsi="Book Antiqua" w:cstheme="majorBidi"/>
          <w:sz w:val="24"/>
          <w:szCs w:val="24"/>
        </w:rPr>
        <w:t xml:space="preserve"> impact of GN </w:t>
      </w:r>
      <w:r w:rsidR="008F0A30" w:rsidRPr="00B727B0">
        <w:rPr>
          <w:rFonts w:ascii="Book Antiqua" w:hAnsi="Book Antiqua" w:cstheme="majorBidi"/>
          <w:sz w:val="24"/>
          <w:szCs w:val="24"/>
        </w:rPr>
        <w:t xml:space="preserve">recurrence </w:t>
      </w:r>
      <w:r w:rsidRPr="00B727B0">
        <w:rPr>
          <w:rFonts w:ascii="Book Antiqua" w:hAnsi="Book Antiqua" w:cstheme="majorBidi"/>
          <w:sz w:val="24"/>
          <w:szCs w:val="24"/>
        </w:rPr>
        <w:t>on allograft survival is irrefutable. The consideration of t</w:t>
      </w:r>
      <w:r w:rsidR="00007590" w:rsidRPr="00B727B0">
        <w:rPr>
          <w:rFonts w:ascii="Book Antiqua" w:hAnsi="Book Antiqua" w:cstheme="majorBidi"/>
          <w:sz w:val="24"/>
          <w:szCs w:val="24"/>
        </w:rPr>
        <w:t>his impact relies on three points</w:t>
      </w:r>
      <w:r w:rsidRPr="00B727B0">
        <w:rPr>
          <w:rFonts w:ascii="Book Antiqua" w:hAnsi="Book Antiqua" w:cstheme="majorBidi"/>
          <w:sz w:val="24"/>
          <w:szCs w:val="24"/>
        </w:rPr>
        <w:t xml:space="preserve">: </w:t>
      </w:r>
      <w:r w:rsidR="004C111A" w:rsidRPr="00B727B0">
        <w:rPr>
          <w:rFonts w:ascii="Book Antiqua" w:eastAsia="宋体" w:hAnsi="Book Antiqua" w:cstheme="majorBidi"/>
          <w:sz w:val="24"/>
          <w:szCs w:val="24"/>
          <w:lang w:eastAsia="zh-CN"/>
        </w:rPr>
        <w:t>(1)</w:t>
      </w:r>
      <w:r w:rsidRPr="00B727B0">
        <w:rPr>
          <w:rFonts w:ascii="Book Antiqua" w:hAnsi="Book Antiqua" w:cstheme="majorBidi"/>
          <w:sz w:val="24"/>
          <w:szCs w:val="24"/>
        </w:rPr>
        <w:t xml:space="preserve"> </w:t>
      </w:r>
      <w:r w:rsidR="004C111A" w:rsidRPr="00B727B0">
        <w:rPr>
          <w:rFonts w:ascii="Book Antiqua" w:hAnsi="Book Antiqua" w:cstheme="majorBidi"/>
          <w:sz w:val="24"/>
          <w:szCs w:val="24"/>
        </w:rPr>
        <w:t>i</w:t>
      </w:r>
      <w:r w:rsidRPr="00B727B0">
        <w:rPr>
          <w:rFonts w:ascii="Book Antiqua" w:hAnsi="Book Antiqua" w:cstheme="majorBidi"/>
          <w:sz w:val="24"/>
          <w:szCs w:val="24"/>
        </w:rPr>
        <w:t xml:space="preserve">mpact of </w:t>
      </w:r>
      <w:r w:rsidRPr="00B727B0">
        <w:rPr>
          <w:rFonts w:ascii="Book Antiqua" w:hAnsi="Book Antiqua" w:cstheme="majorBidi"/>
          <w:sz w:val="24"/>
          <w:szCs w:val="24"/>
        </w:rPr>
        <w:lastRenderedPageBreak/>
        <w:t>recurrence of particular types of GN before transplantation on graft survival</w:t>
      </w:r>
      <w:r w:rsidR="004C111A" w:rsidRPr="00B727B0">
        <w:rPr>
          <w:rFonts w:ascii="Book Antiqua" w:eastAsia="宋体" w:hAnsi="Book Antiqua" w:cstheme="majorBidi"/>
          <w:sz w:val="24"/>
          <w:szCs w:val="24"/>
          <w:lang w:eastAsia="zh-CN"/>
        </w:rPr>
        <w:t>,</w:t>
      </w:r>
      <w:r w:rsidR="009218D1" w:rsidRPr="00B727B0">
        <w:rPr>
          <w:rFonts w:ascii="Book Antiqua" w:hAnsi="Book Antiqua" w:cstheme="majorBidi"/>
          <w:i/>
          <w:sz w:val="24"/>
          <w:szCs w:val="24"/>
        </w:rPr>
        <w:t xml:space="preserve"> e.g., </w:t>
      </w:r>
      <w:r w:rsidRPr="00B727B0">
        <w:rPr>
          <w:rFonts w:ascii="Book Antiqua" w:hAnsi="Book Antiqua" w:cstheme="majorBidi"/>
          <w:sz w:val="24"/>
          <w:szCs w:val="24"/>
        </w:rPr>
        <w:t xml:space="preserve">FSGS and MPGN type I </w:t>
      </w:r>
      <w:r w:rsidR="00DF361A" w:rsidRPr="00B727B0">
        <w:rPr>
          <w:rFonts w:ascii="Book Antiqua" w:hAnsi="Book Antiqua" w:cstheme="majorBidi"/>
          <w:i/>
          <w:sz w:val="24"/>
          <w:szCs w:val="24"/>
        </w:rPr>
        <w:t>vs</w:t>
      </w:r>
      <w:r w:rsidR="004C111A" w:rsidRPr="00B727B0">
        <w:rPr>
          <w:rFonts w:ascii="Book Antiqua" w:hAnsi="Book Antiqua" w:cstheme="majorBidi"/>
          <w:i/>
          <w:sz w:val="24"/>
          <w:szCs w:val="24"/>
        </w:rPr>
        <w:t xml:space="preserve"> </w:t>
      </w:r>
      <w:r w:rsidRPr="00B727B0">
        <w:rPr>
          <w:rFonts w:ascii="Book Antiqua" w:hAnsi="Book Antiqua" w:cstheme="majorBidi"/>
          <w:sz w:val="24"/>
          <w:szCs w:val="24"/>
        </w:rPr>
        <w:t xml:space="preserve">other types of GN. A significantly higher risk of graft failure in these </w:t>
      </w:r>
      <w:proofErr w:type="gramStart"/>
      <w:r w:rsidRPr="00B727B0">
        <w:rPr>
          <w:rFonts w:ascii="Book Antiqua" w:hAnsi="Book Antiqua" w:cstheme="majorBidi"/>
          <w:sz w:val="24"/>
          <w:szCs w:val="24"/>
        </w:rPr>
        <w:t>types</w:t>
      </w:r>
      <w:r w:rsidR="0038510D" w:rsidRPr="00B727B0">
        <w:rPr>
          <w:rFonts w:ascii="Book Antiqua" w:hAnsi="Book Antiqua" w:cstheme="majorBidi"/>
          <w:sz w:val="24"/>
          <w:szCs w:val="24"/>
          <w:vertAlign w:val="superscript"/>
        </w:rPr>
        <w:t>[</w:t>
      </w:r>
      <w:proofErr w:type="gramEnd"/>
      <w:r w:rsidR="001F0ADD" w:rsidRPr="00B727B0">
        <w:rPr>
          <w:rFonts w:ascii="Book Antiqua" w:hAnsi="Book Antiqua" w:cstheme="majorBidi"/>
          <w:sz w:val="24"/>
          <w:szCs w:val="24"/>
          <w:vertAlign w:val="superscript"/>
        </w:rPr>
        <w:t>9</w:t>
      </w:r>
      <w:r w:rsidR="004C111A" w:rsidRPr="00B727B0">
        <w:rPr>
          <w:rFonts w:ascii="Book Antiqua" w:hAnsi="Book Antiqua" w:cstheme="majorBidi"/>
          <w:sz w:val="24"/>
          <w:szCs w:val="24"/>
          <w:vertAlign w:val="superscript"/>
        </w:rPr>
        <w:t>,</w:t>
      </w:r>
      <w:r w:rsidR="0038510D" w:rsidRPr="00B727B0">
        <w:rPr>
          <w:rFonts w:ascii="Book Antiqua" w:hAnsi="Book Antiqua" w:cstheme="majorBidi"/>
          <w:sz w:val="24"/>
          <w:szCs w:val="24"/>
          <w:vertAlign w:val="superscript"/>
        </w:rPr>
        <w:t>1</w:t>
      </w:r>
      <w:r w:rsidR="001F0ADD" w:rsidRPr="00B727B0">
        <w:rPr>
          <w:rFonts w:ascii="Book Antiqua" w:hAnsi="Book Antiqua" w:cstheme="majorBidi"/>
          <w:sz w:val="24"/>
          <w:szCs w:val="24"/>
          <w:vertAlign w:val="superscript"/>
        </w:rPr>
        <w:t>6</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The proper evaluation should involve a fairly large number of patients studied and followed for an enough period of time</w:t>
      </w:r>
      <w:r w:rsidR="00211F00" w:rsidRPr="00B727B0">
        <w:rPr>
          <w:rFonts w:ascii="Book Antiqua" w:hAnsi="Book Antiqua" w:cstheme="majorBidi"/>
          <w:sz w:val="24"/>
          <w:szCs w:val="24"/>
          <w:vertAlign w:val="superscript"/>
        </w:rPr>
        <w:t>[2]</w:t>
      </w:r>
      <w:r w:rsidR="004C111A" w:rsidRPr="00B727B0">
        <w:rPr>
          <w:rFonts w:ascii="Book Antiqua" w:eastAsia="宋体" w:hAnsi="Book Antiqua" w:cstheme="majorBidi"/>
          <w:sz w:val="24"/>
          <w:szCs w:val="24"/>
          <w:lang w:eastAsia="zh-CN"/>
        </w:rPr>
        <w:t xml:space="preserve">; (2) </w:t>
      </w:r>
      <w:r w:rsidRPr="00B727B0">
        <w:rPr>
          <w:rFonts w:ascii="Book Antiqua" w:hAnsi="Book Antiqua" w:cstheme="majorBidi"/>
          <w:sz w:val="24"/>
          <w:szCs w:val="24"/>
        </w:rPr>
        <w:t xml:space="preserve">evaluation of the risk of graft failure in case of GN recurrence: </w:t>
      </w:r>
      <w:r w:rsidR="004C111A" w:rsidRPr="00B727B0">
        <w:rPr>
          <w:rFonts w:ascii="Book Antiqua" w:hAnsi="Book Antiqua" w:cstheme="majorBidi"/>
          <w:sz w:val="24"/>
          <w:szCs w:val="24"/>
        </w:rPr>
        <w:t>T</w:t>
      </w:r>
      <w:r w:rsidRPr="00B727B0">
        <w:rPr>
          <w:rFonts w:ascii="Book Antiqua" w:hAnsi="Book Antiqua" w:cstheme="majorBidi"/>
          <w:sz w:val="24"/>
          <w:szCs w:val="24"/>
        </w:rPr>
        <w:t xml:space="preserve">he etiology of graft failure should be considered, </w:t>
      </w:r>
      <w:r w:rsidR="000012C4" w:rsidRPr="00B727B0">
        <w:rPr>
          <w:rFonts w:ascii="Book Antiqua" w:hAnsi="Book Antiqua" w:cstheme="majorBidi"/>
          <w:sz w:val="24"/>
          <w:szCs w:val="24"/>
        </w:rPr>
        <w:t>membranous nephropathy (</w:t>
      </w:r>
      <w:r w:rsidRPr="00B727B0">
        <w:rPr>
          <w:rFonts w:ascii="Book Antiqua" w:hAnsi="Book Antiqua" w:cstheme="majorBidi"/>
          <w:sz w:val="24"/>
          <w:szCs w:val="24"/>
        </w:rPr>
        <w:t>MN</w:t>
      </w:r>
      <w:r w:rsidR="000012C4" w:rsidRPr="00B727B0">
        <w:rPr>
          <w:rFonts w:ascii="Book Antiqua" w:hAnsi="Book Antiqua" w:cstheme="majorBidi"/>
          <w:sz w:val="24"/>
          <w:szCs w:val="24"/>
        </w:rPr>
        <w:t>)</w:t>
      </w:r>
      <w:r w:rsidRPr="00B727B0">
        <w:rPr>
          <w:rFonts w:ascii="Book Antiqua" w:hAnsi="Book Antiqua" w:cstheme="majorBidi"/>
          <w:sz w:val="24"/>
          <w:szCs w:val="24"/>
        </w:rPr>
        <w:t>, for example, has high recurrence rate leading to hazardous effect on graft s</w:t>
      </w:r>
      <w:r w:rsidR="004C111A" w:rsidRPr="00B727B0">
        <w:rPr>
          <w:rFonts w:ascii="Book Antiqua" w:hAnsi="Book Antiqua" w:cstheme="majorBidi"/>
          <w:sz w:val="24"/>
          <w:szCs w:val="24"/>
        </w:rPr>
        <w:t>urvival</w:t>
      </w:r>
      <w:r w:rsidR="0038510D" w:rsidRPr="00B727B0">
        <w:rPr>
          <w:rFonts w:ascii="Book Antiqua" w:hAnsi="Book Antiqua" w:cstheme="majorBidi"/>
          <w:sz w:val="24"/>
          <w:szCs w:val="24"/>
          <w:vertAlign w:val="superscript"/>
        </w:rPr>
        <w:t>[1</w:t>
      </w:r>
      <w:r w:rsidR="001F0ADD" w:rsidRPr="00B727B0">
        <w:rPr>
          <w:rFonts w:ascii="Book Antiqua" w:hAnsi="Book Antiqua" w:cstheme="majorBidi"/>
          <w:sz w:val="24"/>
          <w:szCs w:val="24"/>
          <w:vertAlign w:val="superscript"/>
        </w:rPr>
        <w:t>7</w:t>
      </w:r>
      <w:r w:rsidR="00901027" w:rsidRPr="00B727B0">
        <w:rPr>
          <w:rFonts w:ascii="Book Antiqua" w:hAnsi="Book Antiqua" w:cstheme="majorBidi"/>
          <w:sz w:val="24"/>
          <w:szCs w:val="24"/>
          <w:vertAlign w:val="superscript"/>
        </w:rPr>
        <w:t>]</w:t>
      </w:r>
      <w:r w:rsidR="004C111A" w:rsidRPr="00B727B0">
        <w:rPr>
          <w:rFonts w:ascii="Book Antiqua" w:eastAsia="宋体" w:hAnsi="Book Antiqua" w:cstheme="majorBidi"/>
          <w:sz w:val="24"/>
          <w:szCs w:val="24"/>
          <w:lang w:eastAsia="zh-CN"/>
        </w:rPr>
        <w:t>; and (3)</w:t>
      </w:r>
      <w:r w:rsidRPr="00B727B0">
        <w:rPr>
          <w:rFonts w:ascii="Book Antiqua" w:hAnsi="Book Antiqua" w:cstheme="majorBidi"/>
          <w:sz w:val="24"/>
          <w:szCs w:val="24"/>
        </w:rPr>
        <w:t xml:space="preserve"> </w:t>
      </w:r>
      <w:r w:rsidR="004C111A" w:rsidRPr="00B727B0">
        <w:rPr>
          <w:rFonts w:ascii="Book Antiqua" w:hAnsi="Book Antiqua" w:cstheme="majorBidi"/>
          <w:sz w:val="24"/>
          <w:szCs w:val="24"/>
        </w:rPr>
        <w:t>g</w:t>
      </w:r>
      <w:r w:rsidRPr="00B727B0">
        <w:rPr>
          <w:rFonts w:ascii="Book Antiqua" w:hAnsi="Book Antiqua" w:cstheme="majorBidi"/>
          <w:sz w:val="24"/>
          <w:szCs w:val="24"/>
        </w:rPr>
        <w:t>lobal allograft GN particularly recurrent disease and its relation to the death censored allograft survival: As the time of recurrence is not constant, it should be considered a time-dependent variable for a better and proper evaluation</w:t>
      </w:r>
      <w:r w:rsidR="00901027" w:rsidRPr="00B727B0">
        <w:rPr>
          <w:rFonts w:ascii="Book Antiqua" w:hAnsi="Book Antiqua" w:cstheme="majorBidi"/>
          <w:sz w:val="24"/>
          <w:szCs w:val="24"/>
          <w:vertAlign w:val="superscript"/>
        </w:rPr>
        <w:t>[2]</w:t>
      </w:r>
      <w:r w:rsidRPr="00B727B0">
        <w:rPr>
          <w:rFonts w:ascii="Book Antiqua" w:hAnsi="Book Antiqua" w:cstheme="majorBidi"/>
          <w:sz w:val="24"/>
          <w:szCs w:val="24"/>
        </w:rPr>
        <w:t>.</w:t>
      </w:r>
    </w:p>
    <w:p w14:paraId="4EC8DC72" w14:textId="28A88E38" w:rsidR="003D7551" w:rsidRPr="00B727B0" w:rsidRDefault="00244DA1" w:rsidP="007312CD">
      <w:pPr>
        <w:autoSpaceDE w:val="0"/>
        <w:autoSpaceDN w:val="0"/>
        <w:adjustRightInd w:val="0"/>
        <w:snapToGrid w:val="0"/>
        <w:spacing w:after="0" w:line="360" w:lineRule="auto"/>
        <w:ind w:firstLine="720"/>
        <w:jc w:val="both"/>
        <w:rPr>
          <w:rFonts w:ascii="Book Antiqua" w:eastAsia="宋体" w:hAnsi="Book Antiqua" w:cstheme="majorBidi"/>
          <w:sz w:val="24"/>
          <w:szCs w:val="24"/>
          <w:lang w:eastAsia="zh-CN"/>
        </w:rPr>
      </w:pPr>
      <w:r w:rsidRPr="00B727B0">
        <w:rPr>
          <w:rFonts w:ascii="Book Antiqua" w:hAnsi="Book Antiqua" w:cstheme="majorBidi"/>
          <w:sz w:val="24"/>
          <w:szCs w:val="24"/>
        </w:rPr>
        <w:t xml:space="preserve">As reported by Cosio </w:t>
      </w:r>
      <w:r w:rsidR="00DF361A" w:rsidRPr="00B727B0">
        <w:rPr>
          <w:rFonts w:ascii="Book Antiqua" w:eastAsia="宋体" w:hAnsi="Book Antiqua" w:cstheme="majorBidi"/>
          <w:i/>
          <w:sz w:val="24"/>
          <w:szCs w:val="24"/>
          <w:lang w:eastAsia="zh-CN"/>
        </w:rPr>
        <w:t xml:space="preserve">et </w:t>
      </w:r>
      <w:proofErr w:type="gramStart"/>
      <w:r w:rsidR="00DF361A" w:rsidRPr="00B727B0">
        <w:rPr>
          <w:rFonts w:ascii="Book Antiqua" w:eastAsia="宋体" w:hAnsi="Book Antiqua" w:cstheme="majorBidi"/>
          <w:i/>
          <w:sz w:val="24"/>
          <w:szCs w:val="24"/>
          <w:lang w:eastAsia="zh-CN"/>
        </w:rPr>
        <w:t>al</w:t>
      </w:r>
      <w:r w:rsidR="00901027" w:rsidRPr="00B727B0">
        <w:rPr>
          <w:rFonts w:ascii="Book Antiqua" w:hAnsi="Book Antiqua" w:cstheme="majorBidi"/>
          <w:sz w:val="24"/>
          <w:szCs w:val="24"/>
          <w:vertAlign w:val="superscript"/>
        </w:rPr>
        <w:t>[</w:t>
      </w:r>
      <w:proofErr w:type="gramEnd"/>
      <w:r w:rsidR="00901027" w:rsidRPr="00B727B0">
        <w:rPr>
          <w:rFonts w:ascii="Book Antiqua" w:hAnsi="Book Antiqua" w:cstheme="majorBidi"/>
          <w:sz w:val="24"/>
          <w:szCs w:val="24"/>
          <w:vertAlign w:val="superscript"/>
        </w:rPr>
        <w:t>2]</w:t>
      </w:r>
      <w:r w:rsidRPr="00B727B0">
        <w:rPr>
          <w:rFonts w:ascii="Book Antiqua" w:hAnsi="Book Antiqua" w:cstheme="majorBidi"/>
          <w:sz w:val="24"/>
          <w:szCs w:val="24"/>
        </w:rPr>
        <w:t xml:space="preserve"> in the American Transplant Congress, 2015, Type I MPGN and FSGS showed the highest rate of GN recurrence with subsequent increased </w:t>
      </w:r>
      <w:r w:rsidR="00D91BB3" w:rsidRPr="00B727B0">
        <w:rPr>
          <w:rFonts w:ascii="Book Antiqua" w:hAnsi="Book Antiqua" w:cstheme="majorBidi"/>
          <w:sz w:val="24"/>
          <w:szCs w:val="24"/>
        </w:rPr>
        <w:t>risk</w:t>
      </w:r>
      <w:r w:rsidRPr="00B727B0">
        <w:rPr>
          <w:rFonts w:ascii="Book Antiqua" w:hAnsi="Book Antiqua" w:cstheme="majorBidi"/>
          <w:sz w:val="24"/>
          <w:szCs w:val="24"/>
        </w:rPr>
        <w:t xml:space="preserve"> of allograft loss, followed by IgAN</w:t>
      </w:r>
      <w:r w:rsidR="008E26F7" w:rsidRPr="00B727B0">
        <w:rPr>
          <w:rFonts w:ascii="Book Antiqua" w:hAnsi="Book Antiqua" w:cstheme="majorBidi"/>
          <w:sz w:val="24"/>
          <w:szCs w:val="24"/>
        </w:rPr>
        <w:t>.</w:t>
      </w:r>
      <w:r w:rsidRPr="00B727B0">
        <w:rPr>
          <w:rFonts w:ascii="Book Antiqua" w:eastAsia="Times New Roman" w:hAnsi="Book Antiqua" w:cstheme="majorBidi"/>
          <w:sz w:val="24"/>
          <w:szCs w:val="24"/>
        </w:rPr>
        <w:t xml:space="preserve"> </w:t>
      </w:r>
      <w:r w:rsidRPr="00B727B0">
        <w:rPr>
          <w:rFonts w:ascii="Book Antiqua" w:hAnsi="Book Antiqua" w:cstheme="majorBidi"/>
          <w:sz w:val="24"/>
          <w:szCs w:val="24"/>
        </w:rPr>
        <w:t xml:space="preserve">These data </w:t>
      </w:r>
      <w:r w:rsidR="00D91BB3" w:rsidRPr="00B727B0">
        <w:rPr>
          <w:rFonts w:ascii="Book Antiqua" w:hAnsi="Book Antiqua" w:cstheme="majorBidi"/>
          <w:sz w:val="24"/>
          <w:szCs w:val="24"/>
        </w:rPr>
        <w:t xml:space="preserve">are </w:t>
      </w:r>
      <w:r w:rsidRPr="00B727B0">
        <w:rPr>
          <w:rFonts w:ascii="Book Antiqua" w:hAnsi="Book Antiqua" w:cstheme="majorBidi"/>
          <w:sz w:val="24"/>
          <w:szCs w:val="24"/>
        </w:rPr>
        <w:t>support</w:t>
      </w:r>
      <w:r w:rsidR="00D91BB3" w:rsidRPr="00B727B0">
        <w:rPr>
          <w:rFonts w:ascii="Book Antiqua" w:hAnsi="Book Antiqua" w:cstheme="majorBidi"/>
          <w:sz w:val="24"/>
          <w:szCs w:val="24"/>
        </w:rPr>
        <w:t>ed by</w:t>
      </w:r>
      <w:r w:rsidRPr="00B727B0">
        <w:rPr>
          <w:rFonts w:ascii="Book Antiqua" w:hAnsi="Book Antiqua" w:cstheme="majorBidi"/>
          <w:sz w:val="24"/>
          <w:szCs w:val="24"/>
        </w:rPr>
        <w:t xml:space="preserve"> some </w:t>
      </w:r>
      <w:proofErr w:type="gramStart"/>
      <w:r w:rsidRPr="00B727B0">
        <w:rPr>
          <w:rFonts w:ascii="Book Antiqua" w:hAnsi="Book Antiqua" w:cstheme="majorBidi"/>
          <w:sz w:val="24"/>
          <w:szCs w:val="24"/>
        </w:rPr>
        <w:t>studies</w:t>
      </w:r>
      <w:r w:rsidR="0038510D" w:rsidRPr="00B727B0">
        <w:rPr>
          <w:rFonts w:ascii="Book Antiqua" w:hAnsi="Book Antiqua" w:cstheme="majorBidi"/>
          <w:sz w:val="24"/>
          <w:szCs w:val="24"/>
          <w:vertAlign w:val="superscript"/>
        </w:rPr>
        <w:t>[</w:t>
      </w:r>
      <w:proofErr w:type="gramEnd"/>
      <w:r w:rsidR="008B6F5C" w:rsidRPr="00B727B0">
        <w:rPr>
          <w:rFonts w:ascii="Book Antiqua" w:hAnsi="Book Antiqua" w:cstheme="majorBidi"/>
          <w:sz w:val="24"/>
          <w:szCs w:val="24"/>
          <w:vertAlign w:val="superscript"/>
        </w:rPr>
        <w:t>12</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but not agreed by others</w:t>
      </w:r>
      <w:r w:rsidR="0038510D" w:rsidRPr="00B727B0">
        <w:rPr>
          <w:rFonts w:ascii="Book Antiqua" w:hAnsi="Book Antiqua" w:cstheme="majorBidi"/>
          <w:sz w:val="24"/>
          <w:szCs w:val="24"/>
          <w:vertAlign w:val="superscript"/>
        </w:rPr>
        <w:t>[</w:t>
      </w:r>
      <w:r w:rsidR="00211F00" w:rsidRPr="00B727B0">
        <w:rPr>
          <w:rFonts w:ascii="Book Antiqua" w:hAnsi="Book Antiqua" w:cstheme="majorBidi"/>
          <w:sz w:val="24"/>
          <w:szCs w:val="24"/>
          <w:vertAlign w:val="superscript"/>
        </w:rPr>
        <w:t>6</w:t>
      </w:r>
      <w:r w:rsidR="004C111A" w:rsidRPr="00B727B0">
        <w:rPr>
          <w:rFonts w:ascii="Book Antiqua" w:hAnsi="Book Antiqua" w:cstheme="majorBidi"/>
          <w:sz w:val="24"/>
          <w:szCs w:val="24"/>
          <w:vertAlign w:val="superscript"/>
        </w:rPr>
        <w:t>,</w:t>
      </w:r>
      <w:r w:rsidR="001F0ADD" w:rsidRPr="00B727B0">
        <w:rPr>
          <w:rFonts w:ascii="Book Antiqua" w:hAnsi="Book Antiqua" w:cstheme="majorBidi"/>
          <w:sz w:val="24"/>
          <w:szCs w:val="24"/>
          <w:vertAlign w:val="superscript"/>
        </w:rPr>
        <w:t>9</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It was assumed that 18</w:t>
      </w:r>
      <w:r w:rsidR="009E6804"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-22% of the death-censored kidney allograft losses w</w:t>
      </w:r>
      <w:r w:rsidR="00E33374" w:rsidRPr="00B727B0">
        <w:rPr>
          <w:rFonts w:ascii="Book Antiqua" w:hAnsi="Book Antiqua" w:cstheme="majorBidi"/>
          <w:sz w:val="24"/>
          <w:szCs w:val="24"/>
        </w:rPr>
        <w:t>as attributed to allograft GN (</w:t>
      </w:r>
      <w:r w:rsidR="004C111A" w:rsidRPr="00B727B0">
        <w:rPr>
          <w:rFonts w:ascii="Book Antiqua" w:hAnsi="Book Antiqua" w:cstheme="majorBidi"/>
          <w:i/>
          <w:sz w:val="24"/>
          <w:szCs w:val="24"/>
        </w:rPr>
        <w:t>de novo</w:t>
      </w:r>
      <w:r w:rsidRPr="00B727B0">
        <w:rPr>
          <w:rFonts w:ascii="Book Antiqua" w:hAnsi="Book Antiqua" w:cstheme="majorBidi"/>
          <w:sz w:val="24"/>
          <w:szCs w:val="24"/>
        </w:rPr>
        <w:t xml:space="preserve"> and recurrent)</w:t>
      </w:r>
      <w:r w:rsidR="00211F00" w:rsidRPr="00B727B0">
        <w:rPr>
          <w:rFonts w:ascii="Book Antiqua" w:hAnsi="Book Antiqua" w:cstheme="majorBidi"/>
          <w:sz w:val="24"/>
          <w:szCs w:val="24"/>
          <w:vertAlign w:val="superscript"/>
        </w:rPr>
        <w:t>[</w:t>
      </w:r>
      <w:r w:rsidR="008B6F5C" w:rsidRPr="00B727B0">
        <w:rPr>
          <w:rFonts w:ascii="Book Antiqua" w:hAnsi="Book Antiqua" w:cstheme="majorBidi"/>
          <w:sz w:val="24"/>
          <w:szCs w:val="24"/>
          <w:vertAlign w:val="superscript"/>
        </w:rPr>
        <w:t>7</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the second most common cause of death-censored graft losses</w:t>
      </w:r>
      <w:r w:rsidR="00A3680B" w:rsidRPr="00B727B0">
        <w:rPr>
          <w:rFonts w:ascii="Book Antiqua" w:hAnsi="Book Antiqua" w:cstheme="majorBidi"/>
          <w:sz w:val="24"/>
          <w:szCs w:val="24"/>
          <w:vertAlign w:val="superscript"/>
        </w:rPr>
        <w:t>[18]</w:t>
      </w:r>
      <w:r w:rsidR="00211F00" w:rsidRPr="00B727B0">
        <w:rPr>
          <w:rFonts w:ascii="Book Antiqua" w:hAnsi="Book Antiqua" w:cstheme="majorBidi"/>
          <w:sz w:val="24"/>
          <w:szCs w:val="24"/>
        </w:rPr>
        <w:t xml:space="preserve"> </w:t>
      </w:r>
      <w:r w:rsidR="00B95E0B" w:rsidRPr="00B727B0">
        <w:rPr>
          <w:rFonts w:ascii="Book Antiqua" w:hAnsi="Book Antiqua" w:cstheme="majorBidi"/>
          <w:sz w:val="24"/>
          <w:szCs w:val="24"/>
        </w:rPr>
        <w:t>and</w:t>
      </w:r>
      <w:r w:rsidR="00F305E4">
        <w:rPr>
          <w:rFonts w:ascii="Book Antiqua" w:hAnsi="Book Antiqua" w:cstheme="majorBidi"/>
          <w:sz w:val="24"/>
          <w:szCs w:val="24"/>
        </w:rPr>
        <w:t xml:space="preserve"> </w:t>
      </w:r>
      <w:r w:rsidRPr="00B727B0">
        <w:rPr>
          <w:rFonts w:ascii="Book Antiqua" w:hAnsi="Book Antiqua" w:cstheme="majorBidi"/>
          <w:sz w:val="24"/>
          <w:szCs w:val="24"/>
        </w:rPr>
        <w:t>third most prevalent cause of uncensored graft losses</w:t>
      </w:r>
      <w:r w:rsidR="00211F00" w:rsidRPr="00B727B0">
        <w:rPr>
          <w:rFonts w:ascii="Book Antiqua" w:hAnsi="Book Antiqua" w:cstheme="majorBidi"/>
          <w:sz w:val="24"/>
          <w:szCs w:val="24"/>
          <w:vertAlign w:val="superscript"/>
        </w:rPr>
        <w:t>[</w:t>
      </w:r>
      <w:r w:rsidR="001F0ADD" w:rsidRPr="00B727B0">
        <w:rPr>
          <w:rFonts w:ascii="Book Antiqua" w:hAnsi="Book Antiqua" w:cstheme="majorBidi"/>
          <w:sz w:val="24"/>
          <w:szCs w:val="24"/>
          <w:vertAlign w:val="superscript"/>
        </w:rPr>
        <w:t>9</w:t>
      </w:r>
      <w:r w:rsidR="004C111A" w:rsidRPr="00B727B0">
        <w:rPr>
          <w:rFonts w:ascii="Book Antiqua" w:eastAsia="宋体" w:hAnsi="Book Antiqua" w:cstheme="majorBidi"/>
          <w:sz w:val="24"/>
          <w:szCs w:val="24"/>
          <w:vertAlign w:val="superscript"/>
          <w:lang w:eastAsia="zh-CN"/>
        </w:rPr>
        <w:t>,</w:t>
      </w:r>
      <w:r w:rsidR="00211F00" w:rsidRPr="00B727B0">
        <w:rPr>
          <w:rFonts w:ascii="Book Antiqua" w:hAnsi="Book Antiqua" w:cstheme="majorBidi"/>
          <w:sz w:val="24"/>
          <w:szCs w:val="24"/>
          <w:vertAlign w:val="superscript"/>
        </w:rPr>
        <w:t>1</w:t>
      </w:r>
      <w:r w:rsidR="001F0ADD" w:rsidRPr="00B727B0">
        <w:rPr>
          <w:rFonts w:ascii="Book Antiqua" w:hAnsi="Book Antiqua" w:cstheme="majorBidi"/>
          <w:sz w:val="24"/>
          <w:szCs w:val="24"/>
          <w:vertAlign w:val="superscript"/>
        </w:rPr>
        <w:t>6</w:t>
      </w:r>
      <w:r w:rsidR="00901027" w:rsidRPr="00B727B0">
        <w:rPr>
          <w:rFonts w:ascii="Book Antiqua" w:hAnsi="Book Antiqua" w:cstheme="majorBidi"/>
          <w:sz w:val="24"/>
          <w:szCs w:val="24"/>
          <w:vertAlign w:val="superscript"/>
        </w:rPr>
        <w:t>]</w:t>
      </w:r>
      <w:r w:rsidRPr="00B727B0">
        <w:rPr>
          <w:rFonts w:ascii="Book Antiqua" w:hAnsi="Book Antiqua" w:cstheme="majorBidi"/>
          <w:sz w:val="24"/>
          <w:szCs w:val="24"/>
        </w:rPr>
        <w:t xml:space="preserve">. However, Mashaly </w:t>
      </w:r>
      <w:r w:rsidR="00DF361A" w:rsidRPr="00B727B0">
        <w:rPr>
          <w:rFonts w:ascii="Book Antiqua" w:eastAsia="宋体" w:hAnsi="Book Antiqua" w:cstheme="majorBidi"/>
          <w:i/>
          <w:sz w:val="24"/>
          <w:szCs w:val="24"/>
          <w:lang w:eastAsia="zh-CN"/>
        </w:rPr>
        <w:t>et al</w:t>
      </w:r>
      <w:r w:rsidR="00056F51" w:rsidRPr="00B727B0">
        <w:rPr>
          <w:rFonts w:ascii="Book Antiqua" w:hAnsi="Book Antiqua" w:cstheme="majorBidi"/>
          <w:sz w:val="24"/>
          <w:szCs w:val="24"/>
          <w:vertAlign w:val="superscript"/>
        </w:rPr>
        <w:t>[19]</w:t>
      </w:r>
      <w:r w:rsidR="00E23C06" w:rsidRPr="00B727B0">
        <w:rPr>
          <w:rFonts w:ascii="Book Antiqua" w:hAnsi="Book Antiqua" w:cstheme="majorBidi"/>
          <w:sz w:val="24"/>
          <w:szCs w:val="24"/>
        </w:rPr>
        <w:t xml:space="preserve"> observed</w:t>
      </w:r>
      <w:r w:rsidRPr="00B727B0">
        <w:rPr>
          <w:rFonts w:ascii="Book Antiqua" w:hAnsi="Book Antiqua" w:cstheme="majorBidi"/>
          <w:sz w:val="24"/>
          <w:szCs w:val="24"/>
        </w:rPr>
        <w:t xml:space="preserve"> that</w:t>
      </w:r>
      <w:r w:rsidR="00AF6178" w:rsidRPr="00B727B0">
        <w:rPr>
          <w:rFonts w:ascii="Book Antiqua" w:hAnsi="Book Antiqua" w:cstheme="majorBidi"/>
          <w:sz w:val="24"/>
          <w:szCs w:val="24"/>
        </w:rPr>
        <w:t xml:space="preserve"> the best allograft survival of </w:t>
      </w:r>
      <w:r w:rsidRPr="00B727B0">
        <w:rPr>
          <w:rFonts w:ascii="Book Antiqua" w:hAnsi="Book Antiqua" w:cstheme="majorBidi"/>
          <w:sz w:val="24"/>
          <w:szCs w:val="24"/>
        </w:rPr>
        <w:t xml:space="preserve">kidney transplantation was </w:t>
      </w:r>
      <w:r w:rsidR="00AF6178" w:rsidRPr="00B727B0">
        <w:rPr>
          <w:rFonts w:ascii="Book Antiqua" w:hAnsi="Book Antiqua" w:cstheme="majorBidi"/>
          <w:sz w:val="24"/>
          <w:szCs w:val="24"/>
        </w:rPr>
        <w:t xml:space="preserve">noted in recipients whose end stage renal failure was due to </w:t>
      </w:r>
      <w:r w:rsidRPr="00B727B0">
        <w:rPr>
          <w:rFonts w:ascii="Book Antiqua" w:hAnsi="Book Antiqua" w:cstheme="majorBidi"/>
          <w:sz w:val="24"/>
          <w:szCs w:val="24"/>
        </w:rPr>
        <w:t xml:space="preserve">polycystic kidney disease followed by </w:t>
      </w:r>
      <w:r w:rsidR="00AF6178" w:rsidRPr="00B727B0">
        <w:rPr>
          <w:rFonts w:ascii="Book Antiqua" w:hAnsi="Book Antiqua" w:cstheme="majorBidi"/>
          <w:sz w:val="24"/>
          <w:szCs w:val="24"/>
        </w:rPr>
        <w:t xml:space="preserve">those who had </w:t>
      </w:r>
      <w:r w:rsidRPr="00B727B0">
        <w:rPr>
          <w:rFonts w:ascii="Book Antiqua" w:hAnsi="Book Antiqua" w:cstheme="majorBidi"/>
          <w:sz w:val="24"/>
          <w:szCs w:val="24"/>
        </w:rPr>
        <w:t xml:space="preserve">urologic disease </w:t>
      </w:r>
      <w:r w:rsidR="00AF6178" w:rsidRPr="00B727B0">
        <w:rPr>
          <w:rFonts w:ascii="Book Antiqua" w:hAnsi="Book Antiqua" w:cstheme="majorBidi"/>
          <w:sz w:val="24"/>
          <w:szCs w:val="24"/>
        </w:rPr>
        <w:t xml:space="preserve">and </w:t>
      </w:r>
      <w:r w:rsidRPr="00B727B0">
        <w:rPr>
          <w:rFonts w:ascii="Book Antiqua" w:hAnsi="Book Antiqua" w:cstheme="majorBidi"/>
          <w:sz w:val="24"/>
          <w:szCs w:val="24"/>
        </w:rPr>
        <w:t>t</w:t>
      </w:r>
      <w:r w:rsidR="00AF6178" w:rsidRPr="00B727B0">
        <w:rPr>
          <w:rFonts w:ascii="Book Antiqua" w:hAnsi="Book Antiqua" w:cstheme="majorBidi"/>
          <w:sz w:val="24"/>
          <w:szCs w:val="24"/>
        </w:rPr>
        <w:t>hen those who had GN as the cause of renal failure</w:t>
      </w:r>
      <w:r w:rsidRPr="00B727B0">
        <w:rPr>
          <w:rFonts w:ascii="Book Antiqua" w:hAnsi="Book Antiqua" w:cstheme="majorBidi"/>
          <w:sz w:val="24"/>
          <w:szCs w:val="24"/>
        </w:rPr>
        <w:t xml:space="preserve"> (Fig</w:t>
      </w:r>
      <w:r w:rsidR="00CE449F" w:rsidRPr="00B727B0">
        <w:rPr>
          <w:rFonts w:ascii="Book Antiqua" w:hAnsi="Book Antiqua" w:cstheme="majorBidi"/>
          <w:sz w:val="24"/>
          <w:szCs w:val="24"/>
        </w:rPr>
        <w:t>ure</w:t>
      </w:r>
      <w:r w:rsidR="001B7A50" w:rsidRPr="00B727B0">
        <w:rPr>
          <w:rFonts w:ascii="Book Antiqua" w:eastAsia="宋体" w:hAnsi="Book Antiqua" w:cstheme="majorBidi"/>
          <w:sz w:val="24"/>
          <w:szCs w:val="24"/>
          <w:lang w:eastAsia="zh-CN"/>
        </w:rPr>
        <w:t>s</w:t>
      </w:r>
      <w:r w:rsidRPr="00B727B0">
        <w:rPr>
          <w:rFonts w:ascii="Book Antiqua" w:hAnsi="Book Antiqua" w:cstheme="majorBidi"/>
          <w:sz w:val="24"/>
          <w:szCs w:val="24"/>
        </w:rPr>
        <w:t xml:space="preserve"> </w:t>
      </w:r>
      <w:hyperlink r:id="rId8" w:history="1">
        <w:r w:rsidRPr="00B727B0">
          <w:rPr>
            <w:rStyle w:val="Hyperlink"/>
            <w:rFonts w:ascii="Book Antiqua" w:hAnsi="Book Antiqua" w:cstheme="majorBidi"/>
            <w:color w:val="auto"/>
            <w:sz w:val="24"/>
            <w:szCs w:val="24"/>
            <w:u w:val="none"/>
          </w:rPr>
          <w:t>1</w:t>
        </w:r>
      </w:hyperlink>
      <w:r w:rsidRPr="00B727B0">
        <w:rPr>
          <w:rFonts w:ascii="Book Antiqua" w:hAnsi="Book Antiqua" w:cstheme="majorBidi"/>
          <w:sz w:val="24"/>
          <w:szCs w:val="24"/>
        </w:rPr>
        <w:t xml:space="preserve"> </w:t>
      </w:r>
      <w:r w:rsidR="000B3DE8" w:rsidRPr="00B727B0">
        <w:rPr>
          <w:rFonts w:ascii="Book Antiqua" w:hAnsi="Book Antiqua" w:cstheme="majorBidi"/>
          <w:sz w:val="24"/>
          <w:szCs w:val="24"/>
        </w:rPr>
        <w:t>and</w:t>
      </w:r>
      <w:r w:rsidRPr="00B727B0">
        <w:rPr>
          <w:rFonts w:ascii="Book Antiqua" w:hAnsi="Book Antiqua" w:cstheme="majorBidi"/>
          <w:sz w:val="24"/>
          <w:szCs w:val="24"/>
        </w:rPr>
        <w:t xml:space="preserve"> </w:t>
      </w:r>
      <w:hyperlink r:id="rId9" w:history="1">
        <w:r w:rsidRPr="00B727B0">
          <w:rPr>
            <w:rStyle w:val="Hyperlink"/>
            <w:rFonts w:ascii="Book Antiqua" w:hAnsi="Book Antiqua" w:cstheme="majorBidi"/>
            <w:color w:val="auto"/>
            <w:sz w:val="24"/>
            <w:szCs w:val="24"/>
            <w:u w:val="none"/>
          </w:rPr>
          <w:t>2</w:t>
        </w:r>
      </w:hyperlink>
      <w:r w:rsidRPr="00B727B0">
        <w:rPr>
          <w:rFonts w:ascii="Book Antiqua" w:hAnsi="Book Antiqua" w:cstheme="majorBidi"/>
          <w:sz w:val="24"/>
          <w:szCs w:val="24"/>
        </w:rPr>
        <w:t>)</w:t>
      </w:r>
      <w:r w:rsidR="00056F51" w:rsidRPr="00B727B0">
        <w:rPr>
          <w:rFonts w:ascii="Book Antiqua" w:hAnsi="Book Antiqua" w:cstheme="majorBidi"/>
          <w:sz w:val="24"/>
          <w:szCs w:val="24"/>
          <w:vertAlign w:val="superscript"/>
        </w:rPr>
        <w:t>[19]</w:t>
      </w:r>
      <w:r w:rsidRPr="00B727B0">
        <w:rPr>
          <w:rFonts w:ascii="Book Antiqua" w:hAnsi="Book Antiqua" w:cstheme="majorBidi"/>
          <w:sz w:val="24"/>
          <w:szCs w:val="24"/>
        </w:rPr>
        <w:t>.</w:t>
      </w:r>
      <w:r w:rsidR="00B95E0B" w:rsidRPr="00B727B0">
        <w:rPr>
          <w:rFonts w:ascii="Book Antiqua" w:hAnsi="Book Antiqua" w:cstheme="majorBidi"/>
          <w:sz w:val="24"/>
          <w:szCs w:val="24"/>
        </w:rPr>
        <w:t xml:space="preserve"> </w:t>
      </w:r>
      <w:r w:rsidRPr="00B727B0">
        <w:rPr>
          <w:rFonts w:ascii="Book Antiqua" w:hAnsi="Book Antiqua" w:cstheme="majorBidi"/>
          <w:sz w:val="24"/>
          <w:szCs w:val="24"/>
        </w:rPr>
        <w:t xml:space="preserve">The recurrent GN disease has a wide variety of drawbacks deranging allograft function, which made it occupy the third most common etiology of allograft loss after death with a functioning graft and chronic allograft glomerulopathy, an assumption that was agreed by Fairhead and </w:t>
      </w:r>
      <w:proofErr w:type="gramStart"/>
      <w:r w:rsidRPr="00B727B0">
        <w:rPr>
          <w:rFonts w:ascii="Book Antiqua" w:hAnsi="Book Antiqua" w:cstheme="majorBidi"/>
          <w:sz w:val="24"/>
          <w:szCs w:val="24"/>
        </w:rPr>
        <w:t>Knoll</w:t>
      </w:r>
      <w:r w:rsidR="009E6804" w:rsidRPr="00B727B0">
        <w:rPr>
          <w:rFonts w:ascii="Book Antiqua" w:hAnsi="Book Antiqua" w:cstheme="majorBidi"/>
          <w:sz w:val="24"/>
          <w:szCs w:val="24"/>
          <w:vertAlign w:val="superscript"/>
        </w:rPr>
        <w:t>[</w:t>
      </w:r>
      <w:proofErr w:type="gramEnd"/>
      <w:r w:rsidR="009E6804" w:rsidRPr="00B727B0">
        <w:rPr>
          <w:rFonts w:ascii="Book Antiqua" w:hAnsi="Book Antiqua" w:cstheme="majorBidi"/>
          <w:sz w:val="24"/>
          <w:szCs w:val="24"/>
          <w:vertAlign w:val="superscript"/>
        </w:rPr>
        <w:t>20]</w:t>
      </w:r>
      <w:r w:rsidRPr="00B727B0">
        <w:rPr>
          <w:rFonts w:ascii="Book Antiqua" w:hAnsi="Book Antiqua" w:cstheme="majorBidi"/>
          <w:sz w:val="24"/>
          <w:szCs w:val="24"/>
        </w:rPr>
        <w:t xml:space="preserve"> </w:t>
      </w:r>
      <w:r w:rsidR="005C00DB" w:rsidRPr="00B727B0">
        <w:rPr>
          <w:rFonts w:ascii="Book Antiqua" w:hAnsi="Book Antiqua" w:cstheme="majorBidi"/>
          <w:sz w:val="24"/>
          <w:szCs w:val="24"/>
        </w:rPr>
        <w:t>(2010)</w:t>
      </w:r>
      <w:r w:rsidR="007F71AB" w:rsidRPr="00B727B0">
        <w:rPr>
          <w:rFonts w:ascii="Book Antiqua" w:hAnsi="Book Antiqua" w:cstheme="majorBidi"/>
          <w:sz w:val="24"/>
          <w:szCs w:val="24"/>
        </w:rPr>
        <w:t xml:space="preserve"> </w:t>
      </w:r>
      <w:r w:rsidRPr="00B727B0">
        <w:rPr>
          <w:rFonts w:ascii="Book Antiqua" w:hAnsi="Book Antiqua" w:cstheme="majorBidi"/>
          <w:sz w:val="24"/>
          <w:szCs w:val="24"/>
        </w:rPr>
        <w:t>who declared that the recurrent GN disease is a major determinant of the long term graft survival. On the other</w:t>
      </w:r>
      <w:r w:rsidR="00DF2924" w:rsidRPr="00B727B0">
        <w:rPr>
          <w:rFonts w:ascii="Book Antiqua" w:hAnsi="Book Antiqua" w:cstheme="majorBidi"/>
          <w:sz w:val="24"/>
          <w:szCs w:val="24"/>
        </w:rPr>
        <w:t xml:space="preserve"> </w:t>
      </w:r>
      <w:r w:rsidRPr="00B727B0">
        <w:rPr>
          <w:rFonts w:ascii="Book Antiqua" w:hAnsi="Book Antiqua" w:cstheme="majorBidi"/>
          <w:sz w:val="24"/>
          <w:szCs w:val="24"/>
        </w:rPr>
        <w:t xml:space="preserve">hand, Toledo </w:t>
      </w:r>
      <w:r w:rsidR="00DF361A" w:rsidRPr="00B727B0">
        <w:rPr>
          <w:rFonts w:ascii="Book Antiqua" w:eastAsia="宋体" w:hAnsi="Book Antiqua" w:cstheme="majorBidi"/>
          <w:i/>
          <w:sz w:val="24"/>
          <w:szCs w:val="24"/>
          <w:lang w:eastAsia="zh-CN"/>
        </w:rPr>
        <w:t>et al</w:t>
      </w:r>
      <w:r w:rsidR="009E6804" w:rsidRPr="00B727B0">
        <w:rPr>
          <w:rFonts w:ascii="Book Antiqua" w:hAnsi="Book Antiqua" w:cstheme="majorBidi"/>
          <w:sz w:val="24"/>
          <w:szCs w:val="24"/>
          <w:vertAlign w:val="superscript"/>
        </w:rPr>
        <w:t>[</w:t>
      </w:r>
      <w:r w:rsidR="009E6804" w:rsidRPr="00B727B0">
        <w:rPr>
          <w:rFonts w:ascii="Book Antiqua" w:eastAsia="宋体" w:hAnsi="Book Antiqua" w:cstheme="majorBidi"/>
          <w:sz w:val="24"/>
          <w:szCs w:val="24"/>
          <w:vertAlign w:val="superscript"/>
          <w:lang w:eastAsia="zh-CN"/>
        </w:rPr>
        <w:t>21</w:t>
      </w:r>
      <w:r w:rsidR="009E6804" w:rsidRPr="00B727B0">
        <w:rPr>
          <w:rFonts w:ascii="Book Antiqua" w:hAnsi="Book Antiqua" w:cstheme="majorBidi"/>
          <w:sz w:val="24"/>
          <w:szCs w:val="24"/>
          <w:vertAlign w:val="superscript"/>
        </w:rPr>
        <w:t>]</w:t>
      </w:r>
      <w:r w:rsidR="009E6804" w:rsidRPr="00B727B0">
        <w:rPr>
          <w:rFonts w:ascii="Book Antiqua" w:hAnsi="Book Antiqua" w:cstheme="majorBidi"/>
          <w:sz w:val="24"/>
          <w:szCs w:val="24"/>
        </w:rPr>
        <w:t xml:space="preserve"> </w:t>
      </w:r>
      <w:r w:rsidR="007F71AB" w:rsidRPr="00B727B0">
        <w:rPr>
          <w:rFonts w:ascii="Book Antiqua" w:hAnsi="Book Antiqua" w:cstheme="majorBidi"/>
          <w:sz w:val="24"/>
          <w:szCs w:val="24"/>
        </w:rPr>
        <w:t>(</w:t>
      </w:r>
      <w:r w:rsidR="005C00DB" w:rsidRPr="00B727B0">
        <w:rPr>
          <w:rFonts w:ascii="Book Antiqua" w:hAnsi="Book Antiqua" w:cstheme="majorBidi"/>
          <w:sz w:val="24"/>
          <w:szCs w:val="24"/>
        </w:rPr>
        <w:t>2011</w:t>
      </w:r>
      <w:r w:rsidR="007F71AB" w:rsidRPr="00B727B0">
        <w:rPr>
          <w:rFonts w:ascii="Book Antiqua" w:hAnsi="Book Antiqua" w:cstheme="majorBidi"/>
          <w:sz w:val="24"/>
          <w:szCs w:val="24"/>
        </w:rPr>
        <w:t xml:space="preserve">) </w:t>
      </w:r>
      <w:r w:rsidRPr="00B727B0">
        <w:rPr>
          <w:rFonts w:ascii="Book Antiqua" w:hAnsi="Book Antiqua" w:cstheme="majorBidi"/>
          <w:sz w:val="24"/>
          <w:szCs w:val="24"/>
        </w:rPr>
        <w:t xml:space="preserve">denied the presence of any difference between GN recurrence and other causes of allograft </w:t>
      </w:r>
      <w:bookmarkStart w:id="147" w:name="OLE_LINK18"/>
      <w:bookmarkStart w:id="148" w:name="OLE_LINK19"/>
      <w:r w:rsidRPr="00B727B0">
        <w:rPr>
          <w:rFonts w:ascii="Book Antiqua" w:hAnsi="Book Antiqua" w:cstheme="majorBidi"/>
          <w:sz w:val="24"/>
          <w:szCs w:val="24"/>
        </w:rPr>
        <w:t xml:space="preserve">dysfunction as regard their influence on long term allograft </w:t>
      </w:r>
      <w:bookmarkEnd w:id="147"/>
      <w:bookmarkEnd w:id="148"/>
      <w:r w:rsidRPr="00B727B0">
        <w:rPr>
          <w:rFonts w:ascii="Book Antiqua" w:hAnsi="Book Antiqua" w:cstheme="majorBidi"/>
          <w:sz w:val="24"/>
          <w:szCs w:val="24"/>
        </w:rPr>
        <w:t xml:space="preserve">survival. This </w:t>
      </w:r>
      <w:r w:rsidRPr="00B727B0">
        <w:rPr>
          <w:rFonts w:ascii="Book Antiqua" w:hAnsi="Book Antiqua" w:cstheme="majorBidi"/>
          <w:sz w:val="24"/>
          <w:szCs w:val="24"/>
        </w:rPr>
        <w:lastRenderedPageBreak/>
        <w:t>discrepancy</w:t>
      </w:r>
      <w:r w:rsidR="00F305E4">
        <w:rPr>
          <w:rFonts w:ascii="Book Antiqua" w:hAnsi="Book Antiqua" w:cstheme="majorBidi"/>
          <w:sz w:val="24"/>
          <w:szCs w:val="24"/>
        </w:rPr>
        <w:t xml:space="preserve"> </w:t>
      </w:r>
      <w:r w:rsidRPr="00B727B0">
        <w:rPr>
          <w:rFonts w:ascii="Book Antiqua" w:hAnsi="Book Antiqua" w:cstheme="majorBidi"/>
          <w:sz w:val="24"/>
          <w:szCs w:val="24"/>
        </w:rPr>
        <w:t>could be</w:t>
      </w:r>
      <w:r w:rsidR="00AF6178" w:rsidRPr="00B727B0">
        <w:rPr>
          <w:rFonts w:ascii="Book Antiqua" w:hAnsi="Book Antiqua" w:cstheme="majorBidi"/>
          <w:sz w:val="24"/>
          <w:szCs w:val="24"/>
        </w:rPr>
        <w:t xml:space="preserve"> a statistical artefact</w:t>
      </w:r>
      <w:r w:rsidRPr="00B727B0">
        <w:rPr>
          <w:rFonts w:ascii="Book Antiqua" w:hAnsi="Book Antiqua" w:cstheme="majorBidi"/>
          <w:sz w:val="24"/>
          <w:szCs w:val="24"/>
        </w:rPr>
        <w:t xml:space="preserve"> attributed to the small number of patients in their study, racial impacts and the different immunosuppression strategies.</w:t>
      </w:r>
    </w:p>
    <w:p w14:paraId="342EB4A5" w14:textId="77777777" w:rsidR="003D7551" w:rsidRPr="00B727B0" w:rsidRDefault="003D7551" w:rsidP="007312CD">
      <w:pPr>
        <w:autoSpaceDE w:val="0"/>
        <w:autoSpaceDN w:val="0"/>
        <w:adjustRightInd w:val="0"/>
        <w:snapToGrid w:val="0"/>
        <w:spacing w:after="0" w:line="360" w:lineRule="auto"/>
        <w:ind w:firstLine="720"/>
        <w:jc w:val="both"/>
        <w:rPr>
          <w:rFonts w:ascii="Book Antiqua" w:eastAsia="宋体" w:hAnsi="Book Antiqua" w:cstheme="majorBidi"/>
          <w:sz w:val="24"/>
          <w:szCs w:val="24"/>
          <w:lang w:eastAsia="zh-CN"/>
        </w:rPr>
      </w:pPr>
    </w:p>
    <w:p w14:paraId="772FCE17" w14:textId="1FC0C7F2" w:rsidR="003505CF" w:rsidRPr="00B727B0" w:rsidRDefault="004A3165" w:rsidP="007312CD">
      <w:pPr>
        <w:autoSpaceDE w:val="0"/>
        <w:autoSpaceDN w:val="0"/>
        <w:adjustRightInd w:val="0"/>
        <w:snapToGrid w:val="0"/>
        <w:spacing w:after="0" w:line="360" w:lineRule="auto"/>
        <w:jc w:val="both"/>
        <w:rPr>
          <w:rFonts w:ascii="Book Antiqua" w:eastAsia="宋体" w:hAnsi="Book Antiqua"/>
          <w:b/>
          <w:sz w:val="24"/>
          <w:szCs w:val="24"/>
          <w:lang w:eastAsia="zh-CN"/>
        </w:rPr>
      </w:pPr>
      <w:r w:rsidRPr="00B727B0">
        <w:rPr>
          <w:rFonts w:ascii="Book Antiqua" w:hAnsi="Book Antiqua"/>
          <w:b/>
          <w:sz w:val="24"/>
          <w:szCs w:val="24"/>
        </w:rPr>
        <w:t>SIGNIFICANCE OF “PROTOCOL BIOPSY” FOR EARLY DIAGNOSIS OF RECURRENT GN</w:t>
      </w:r>
    </w:p>
    <w:p w14:paraId="734B0471" w14:textId="06689566" w:rsidR="003505CF" w:rsidRPr="00B727B0" w:rsidRDefault="003505CF" w:rsidP="007312CD">
      <w:pPr>
        <w:autoSpaceDE w:val="0"/>
        <w:autoSpaceDN w:val="0"/>
        <w:adjustRightInd w:val="0"/>
        <w:snapToGrid w:val="0"/>
        <w:spacing w:after="0" w:line="360" w:lineRule="auto"/>
        <w:jc w:val="both"/>
        <w:rPr>
          <w:rFonts w:ascii="Book Antiqua" w:eastAsia="宋体" w:hAnsi="Book Antiqua"/>
          <w:sz w:val="24"/>
          <w:szCs w:val="24"/>
          <w:lang w:eastAsia="zh-CN"/>
        </w:rPr>
      </w:pPr>
      <w:r w:rsidRPr="00B727B0">
        <w:rPr>
          <w:rFonts w:ascii="Book Antiqua" w:hAnsi="Book Antiqua"/>
          <w:sz w:val="24"/>
          <w:szCs w:val="24"/>
        </w:rPr>
        <w:t>A</w:t>
      </w:r>
      <w:r w:rsidR="00244DA1" w:rsidRPr="00B727B0">
        <w:rPr>
          <w:rFonts w:ascii="Book Antiqua" w:hAnsi="Book Antiqua"/>
          <w:sz w:val="24"/>
          <w:szCs w:val="24"/>
        </w:rPr>
        <w:t xml:space="preserve"> full detailed map of allograft deterioration due to GN recurrence, can be obtained through a standard protocol biopsy, a widely applied strategy in many centers, so that the earliest changes in allograft histology can be </w:t>
      </w:r>
      <w:r w:rsidR="008A2EBF" w:rsidRPr="00B727B0">
        <w:rPr>
          <w:rFonts w:ascii="Book Antiqua" w:hAnsi="Book Antiqua"/>
          <w:sz w:val="24"/>
          <w:szCs w:val="24"/>
        </w:rPr>
        <w:t>discovered</w:t>
      </w:r>
      <w:r w:rsidR="00244DA1" w:rsidRPr="00B727B0">
        <w:rPr>
          <w:rFonts w:ascii="Book Antiqua" w:hAnsi="Book Antiqua"/>
          <w:sz w:val="24"/>
          <w:szCs w:val="24"/>
        </w:rPr>
        <w:t xml:space="preserve"> and the </w:t>
      </w:r>
      <w:r w:rsidR="008A2EBF" w:rsidRPr="00B727B0">
        <w:rPr>
          <w:rFonts w:ascii="Book Antiqua" w:hAnsi="Book Antiqua"/>
          <w:sz w:val="24"/>
          <w:szCs w:val="24"/>
        </w:rPr>
        <w:t>native</w:t>
      </w:r>
      <w:r w:rsidR="00244DA1" w:rsidRPr="00B727B0">
        <w:rPr>
          <w:rFonts w:ascii="Book Antiqua" w:hAnsi="Book Antiqua"/>
          <w:sz w:val="24"/>
          <w:szCs w:val="24"/>
        </w:rPr>
        <w:t xml:space="preserve"> </w:t>
      </w:r>
      <w:r w:rsidR="008A2EBF" w:rsidRPr="00B727B0">
        <w:rPr>
          <w:rFonts w:ascii="Book Antiqua" w:hAnsi="Book Antiqua"/>
          <w:sz w:val="24"/>
          <w:szCs w:val="24"/>
        </w:rPr>
        <w:t xml:space="preserve">GN </w:t>
      </w:r>
      <w:r w:rsidR="00244DA1" w:rsidRPr="00B727B0">
        <w:rPr>
          <w:rFonts w:ascii="Book Antiqua" w:hAnsi="Book Antiqua"/>
          <w:sz w:val="24"/>
          <w:szCs w:val="24"/>
        </w:rPr>
        <w:t xml:space="preserve">disease recurrence can be early anticipated. An intraoperative basal kidney biopsy, at discharge, then after 3 wk, 3-6 mo, 12 mo and after 3 years biopsy is performed </w:t>
      </w:r>
      <w:proofErr w:type="gramStart"/>
      <w:r w:rsidR="00244DA1" w:rsidRPr="00B727B0">
        <w:rPr>
          <w:rFonts w:ascii="Book Antiqua" w:hAnsi="Book Antiqua"/>
          <w:sz w:val="24"/>
          <w:szCs w:val="24"/>
        </w:rPr>
        <w:t>serially</w:t>
      </w:r>
      <w:r w:rsidR="00AE1D7C" w:rsidRPr="00B727B0">
        <w:rPr>
          <w:rFonts w:ascii="Book Antiqua" w:hAnsi="Book Antiqua"/>
          <w:sz w:val="24"/>
          <w:szCs w:val="24"/>
          <w:vertAlign w:val="superscript"/>
        </w:rPr>
        <w:t>[</w:t>
      </w:r>
      <w:proofErr w:type="gramEnd"/>
      <w:r w:rsidR="00AE1D7C" w:rsidRPr="00B727B0">
        <w:rPr>
          <w:rFonts w:ascii="Book Antiqua" w:hAnsi="Book Antiqua"/>
          <w:sz w:val="24"/>
          <w:szCs w:val="24"/>
          <w:vertAlign w:val="superscript"/>
        </w:rPr>
        <w:t>22]</w:t>
      </w:r>
      <w:r w:rsidR="00244DA1" w:rsidRPr="00B727B0">
        <w:rPr>
          <w:rFonts w:ascii="Book Antiqua" w:hAnsi="Book Antiqua"/>
          <w:sz w:val="24"/>
          <w:szCs w:val="24"/>
        </w:rPr>
        <w:t>. The importance of the protocol biopsy could be observed in identification of the early course changes in some transmitted GN diseases</w:t>
      </w:r>
      <w:r w:rsidR="009218D1" w:rsidRPr="00B727B0">
        <w:rPr>
          <w:rFonts w:ascii="Book Antiqua" w:hAnsi="Book Antiqua"/>
          <w:i/>
          <w:sz w:val="24"/>
          <w:szCs w:val="24"/>
        </w:rPr>
        <w:t xml:space="preserve">, e.g., </w:t>
      </w:r>
      <w:r w:rsidR="00244DA1" w:rsidRPr="00B727B0">
        <w:rPr>
          <w:rFonts w:ascii="Book Antiqua" w:hAnsi="Book Antiqua"/>
          <w:sz w:val="24"/>
          <w:szCs w:val="24"/>
        </w:rPr>
        <w:t>IgAN, which accounts for more than 90</w:t>
      </w:r>
      <w:r w:rsidRPr="00B727B0">
        <w:rPr>
          <w:rFonts w:ascii="Book Antiqua" w:hAnsi="Book Antiqua"/>
          <w:sz w:val="24"/>
          <w:szCs w:val="24"/>
        </w:rPr>
        <w:t>%</w:t>
      </w:r>
      <w:r w:rsidR="00244DA1" w:rsidRPr="00B727B0">
        <w:rPr>
          <w:rFonts w:ascii="Book Antiqua" w:hAnsi="Book Antiqua"/>
          <w:sz w:val="24"/>
          <w:szCs w:val="24"/>
        </w:rPr>
        <w:t xml:space="preserve"> of transmitted </w:t>
      </w:r>
      <w:proofErr w:type="gramStart"/>
      <w:r w:rsidR="00244DA1" w:rsidRPr="00B727B0">
        <w:rPr>
          <w:rFonts w:ascii="Book Antiqua" w:hAnsi="Book Antiqua"/>
          <w:sz w:val="24"/>
          <w:szCs w:val="24"/>
        </w:rPr>
        <w:t>GN</w:t>
      </w:r>
      <w:r w:rsidR="00AE1D7C" w:rsidRPr="00B727B0">
        <w:rPr>
          <w:rFonts w:ascii="Book Antiqua" w:hAnsi="Book Antiqua"/>
          <w:sz w:val="24"/>
          <w:szCs w:val="24"/>
          <w:vertAlign w:val="superscript"/>
        </w:rPr>
        <w:t>[</w:t>
      </w:r>
      <w:proofErr w:type="gramEnd"/>
      <w:r w:rsidR="00AE1D7C" w:rsidRPr="00B727B0">
        <w:rPr>
          <w:rFonts w:ascii="Book Antiqua" w:hAnsi="Book Antiqua"/>
          <w:sz w:val="24"/>
          <w:szCs w:val="24"/>
          <w:vertAlign w:val="superscript"/>
        </w:rPr>
        <w:t>23]</w:t>
      </w:r>
      <w:r w:rsidR="00244DA1" w:rsidRPr="00B727B0">
        <w:rPr>
          <w:rFonts w:ascii="Book Antiqua" w:hAnsi="Book Antiqua"/>
          <w:sz w:val="24"/>
          <w:szCs w:val="24"/>
        </w:rPr>
        <w:t xml:space="preserve">. Early recurrence can be detected within 1-2 </w:t>
      </w:r>
      <w:r w:rsidR="00B8002F">
        <w:rPr>
          <w:rFonts w:ascii="Book Antiqua" w:hAnsi="Book Antiqua"/>
          <w:sz w:val="24"/>
          <w:szCs w:val="24"/>
        </w:rPr>
        <w:t>mo</w:t>
      </w:r>
      <w:r w:rsidR="00244DA1" w:rsidRPr="00B727B0">
        <w:rPr>
          <w:rFonts w:ascii="Book Antiqua" w:hAnsi="Book Antiqua"/>
          <w:sz w:val="24"/>
          <w:szCs w:val="24"/>
        </w:rPr>
        <w:t xml:space="preserve"> after transplantation. At that time and after the confirmation of recurrence in the third month, no hematuria/proteinuria could be </w:t>
      </w:r>
      <w:r w:rsidR="007F71AB" w:rsidRPr="00B727B0">
        <w:rPr>
          <w:rFonts w:ascii="Book Antiqua" w:hAnsi="Book Antiqua"/>
          <w:sz w:val="24"/>
          <w:szCs w:val="24"/>
        </w:rPr>
        <w:t>observed;</w:t>
      </w:r>
      <w:r w:rsidR="00244DA1" w:rsidRPr="00B727B0">
        <w:rPr>
          <w:rFonts w:ascii="Book Antiqua" w:hAnsi="Book Antiqua"/>
          <w:sz w:val="24"/>
          <w:szCs w:val="24"/>
        </w:rPr>
        <w:t xml:space="preserve"> only histological recurrence can be titrated with the frequent </w:t>
      </w:r>
      <w:proofErr w:type="gramStart"/>
      <w:r w:rsidR="00244DA1" w:rsidRPr="00B727B0">
        <w:rPr>
          <w:rFonts w:ascii="Book Antiqua" w:hAnsi="Book Antiqua"/>
          <w:sz w:val="24"/>
          <w:szCs w:val="24"/>
        </w:rPr>
        <w:t>specimens</w:t>
      </w:r>
      <w:r w:rsidR="00A3680B" w:rsidRPr="00B727B0">
        <w:rPr>
          <w:rFonts w:ascii="Book Antiqua" w:hAnsi="Book Antiqua"/>
          <w:sz w:val="24"/>
          <w:szCs w:val="24"/>
          <w:vertAlign w:val="superscript"/>
        </w:rPr>
        <w:t>[</w:t>
      </w:r>
      <w:proofErr w:type="gramEnd"/>
      <w:r w:rsidR="00A3680B" w:rsidRPr="00B727B0">
        <w:rPr>
          <w:rFonts w:ascii="Book Antiqua" w:hAnsi="Book Antiqua"/>
          <w:sz w:val="24"/>
          <w:szCs w:val="24"/>
          <w:vertAlign w:val="superscript"/>
        </w:rPr>
        <w:t>22]</w:t>
      </w:r>
      <w:r w:rsidR="00244DA1" w:rsidRPr="00B727B0">
        <w:rPr>
          <w:rFonts w:ascii="Book Antiqua" w:hAnsi="Book Antiqua"/>
          <w:sz w:val="24"/>
          <w:szCs w:val="24"/>
        </w:rPr>
        <w:t>.</w:t>
      </w:r>
    </w:p>
    <w:p w14:paraId="490E5496" w14:textId="5C46658A" w:rsidR="003505CF" w:rsidRPr="00B727B0" w:rsidRDefault="00244DA1" w:rsidP="007312CD">
      <w:pPr>
        <w:pStyle w:val="NormalWeb"/>
        <w:shd w:val="clear" w:color="auto" w:fill="FFFFFF" w:themeFill="background1"/>
        <w:adjustRightInd w:val="0"/>
        <w:snapToGrid w:val="0"/>
        <w:spacing w:before="0" w:beforeAutospacing="0" w:after="0" w:afterAutospacing="0" w:line="360" w:lineRule="auto"/>
        <w:ind w:firstLine="720"/>
        <w:jc w:val="both"/>
        <w:rPr>
          <w:rFonts w:ascii="Book Antiqua" w:eastAsia="宋体" w:hAnsi="Book Antiqua" w:cstheme="majorBidi"/>
          <w:lang w:eastAsia="zh-CN"/>
        </w:rPr>
      </w:pPr>
      <w:r w:rsidRPr="00B727B0">
        <w:rPr>
          <w:rFonts w:ascii="Book Antiqua" w:hAnsi="Book Antiqua" w:cstheme="majorBidi"/>
        </w:rPr>
        <w:t>Japanese</w:t>
      </w:r>
      <w:r w:rsidR="007F71AB" w:rsidRPr="00B727B0">
        <w:rPr>
          <w:rFonts w:ascii="Book Antiqua" w:hAnsi="Book Antiqua" w:cstheme="majorBidi"/>
        </w:rPr>
        <w:t xml:space="preserve"> </w:t>
      </w:r>
      <w:r w:rsidR="00E94119" w:rsidRPr="00B727B0">
        <w:rPr>
          <w:rFonts w:ascii="Book Antiqua" w:hAnsi="Book Antiqua" w:cstheme="majorBidi"/>
        </w:rPr>
        <w:t>pathologists pioneered</w:t>
      </w:r>
      <w:r w:rsidRPr="00B727B0">
        <w:rPr>
          <w:rFonts w:ascii="Book Antiqua" w:hAnsi="Book Antiqua" w:cstheme="majorBidi"/>
        </w:rPr>
        <w:t xml:space="preserve"> protocol biopsy</w:t>
      </w:r>
      <w:r w:rsidR="00E94119" w:rsidRPr="00B727B0">
        <w:rPr>
          <w:rFonts w:ascii="Book Antiqua" w:hAnsi="Book Antiqua" w:cstheme="majorBidi"/>
        </w:rPr>
        <w:t xml:space="preserve"> to understand</w:t>
      </w:r>
      <w:r w:rsidRPr="00B727B0">
        <w:rPr>
          <w:rFonts w:ascii="Book Antiqua" w:hAnsi="Book Antiqua" w:cstheme="majorBidi"/>
        </w:rPr>
        <w:t xml:space="preserve"> primary and secondary GN recurrence</w:t>
      </w:r>
      <w:r w:rsidR="009218D1" w:rsidRPr="00B727B0">
        <w:rPr>
          <w:rFonts w:ascii="Book Antiqua" w:hAnsi="Book Antiqua" w:cstheme="majorBidi"/>
        </w:rPr>
        <w:t>,</w:t>
      </w:r>
      <w:r w:rsidR="009218D1" w:rsidRPr="00B727B0">
        <w:rPr>
          <w:rFonts w:ascii="Book Antiqua" w:hAnsi="Book Antiqua" w:cstheme="majorBidi"/>
          <w:i/>
        </w:rPr>
        <w:t xml:space="preserve"> e.g., </w:t>
      </w:r>
      <w:proofErr w:type="gramStart"/>
      <w:r w:rsidRPr="00B727B0">
        <w:rPr>
          <w:rFonts w:ascii="Book Antiqua" w:hAnsi="Book Antiqua" w:cstheme="majorBidi"/>
        </w:rPr>
        <w:t>FSGS</w:t>
      </w:r>
      <w:r w:rsidR="00AE1D7C" w:rsidRPr="00B727B0">
        <w:rPr>
          <w:rFonts w:ascii="Book Antiqua" w:hAnsi="Book Antiqua" w:cstheme="majorBidi"/>
          <w:vertAlign w:val="superscript"/>
        </w:rPr>
        <w:t>[</w:t>
      </w:r>
      <w:proofErr w:type="gramEnd"/>
      <w:r w:rsidR="00AE1D7C" w:rsidRPr="00B727B0">
        <w:rPr>
          <w:rFonts w:ascii="Book Antiqua" w:hAnsi="Book Antiqua" w:cstheme="majorBidi"/>
          <w:vertAlign w:val="superscript"/>
        </w:rPr>
        <w:t>24,25]</w:t>
      </w:r>
      <w:r w:rsidR="00E94119" w:rsidRPr="00B727B0">
        <w:rPr>
          <w:rFonts w:ascii="Book Antiqua" w:hAnsi="Book Antiqua" w:cstheme="majorBidi"/>
        </w:rPr>
        <w:t>, IgAN</w:t>
      </w:r>
      <w:r w:rsidR="00A3680B" w:rsidRPr="00B727B0">
        <w:rPr>
          <w:rFonts w:ascii="Book Antiqua" w:hAnsi="Book Antiqua" w:cstheme="majorBidi"/>
          <w:vertAlign w:val="superscript"/>
        </w:rPr>
        <w:t>[26,27]</w:t>
      </w:r>
      <w:r w:rsidRPr="00B727B0">
        <w:rPr>
          <w:rFonts w:ascii="Book Antiqua" w:hAnsi="Book Antiqua" w:cstheme="majorBidi"/>
        </w:rPr>
        <w:t>, atypical HUS</w:t>
      </w:r>
      <w:r w:rsidR="00AE1D7C" w:rsidRPr="00B727B0">
        <w:rPr>
          <w:rFonts w:ascii="Book Antiqua" w:hAnsi="Book Antiqua" w:cstheme="majorBidi"/>
          <w:vertAlign w:val="superscript"/>
        </w:rPr>
        <w:t>[28]</w:t>
      </w:r>
      <w:r w:rsidRPr="00B727B0">
        <w:rPr>
          <w:rFonts w:ascii="Book Antiqua" w:hAnsi="Book Antiqua" w:cstheme="majorBidi"/>
        </w:rPr>
        <w:t xml:space="preserve"> and light chain deposition disease</w:t>
      </w:r>
      <w:r w:rsidR="00AE1D7C" w:rsidRPr="00B727B0">
        <w:rPr>
          <w:rFonts w:ascii="Book Antiqua" w:hAnsi="Book Antiqua" w:cstheme="majorBidi"/>
          <w:vertAlign w:val="superscript"/>
        </w:rPr>
        <w:t>[29]</w:t>
      </w:r>
      <w:r w:rsidRPr="00B727B0">
        <w:rPr>
          <w:rFonts w:ascii="Book Antiqua" w:hAnsi="Book Antiqua" w:cstheme="majorBidi"/>
        </w:rPr>
        <w:t xml:space="preserve">. </w:t>
      </w:r>
    </w:p>
    <w:p w14:paraId="4078CA28" w14:textId="77777777" w:rsidR="003505CF" w:rsidRPr="00B727B0" w:rsidRDefault="003505CF" w:rsidP="007312CD">
      <w:pPr>
        <w:autoSpaceDE w:val="0"/>
        <w:autoSpaceDN w:val="0"/>
        <w:adjustRightInd w:val="0"/>
        <w:snapToGrid w:val="0"/>
        <w:spacing w:after="0" w:line="360" w:lineRule="auto"/>
        <w:jc w:val="both"/>
        <w:rPr>
          <w:rFonts w:ascii="Book Antiqua" w:eastAsia="宋体" w:hAnsi="Book Antiqua" w:cstheme="majorBidi"/>
          <w:sz w:val="24"/>
          <w:szCs w:val="24"/>
          <w:u w:val="single"/>
          <w:lang w:eastAsia="zh-CN"/>
        </w:rPr>
      </w:pPr>
    </w:p>
    <w:p w14:paraId="3BC8E50B" w14:textId="30D32D8A" w:rsidR="003505CF" w:rsidRPr="00B727B0" w:rsidRDefault="00244DA1" w:rsidP="007312CD">
      <w:pPr>
        <w:autoSpaceDE w:val="0"/>
        <w:autoSpaceDN w:val="0"/>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 xml:space="preserve">Graft survival in </w:t>
      </w:r>
      <w:r w:rsidRPr="00B727B0">
        <w:rPr>
          <w:rFonts w:ascii="Book Antiqua" w:eastAsia="Times New Roman" w:hAnsi="Book Antiqua" w:cstheme="majorBidi"/>
          <w:b/>
          <w:i/>
          <w:sz w:val="24"/>
          <w:szCs w:val="24"/>
        </w:rPr>
        <w:t>MPGN</w:t>
      </w:r>
      <w:r w:rsidR="009D4D4D" w:rsidRPr="00B727B0">
        <w:rPr>
          <w:rFonts w:ascii="Book Antiqua" w:eastAsia="Times New Roman" w:hAnsi="Book Antiqua" w:cstheme="majorBidi"/>
          <w:b/>
          <w:i/>
          <w:sz w:val="24"/>
          <w:szCs w:val="24"/>
        </w:rPr>
        <w:t xml:space="preserve"> type I recurrence </w:t>
      </w:r>
    </w:p>
    <w:p w14:paraId="6000E3D7" w14:textId="30436F94" w:rsidR="00244DA1" w:rsidRPr="00B727B0" w:rsidRDefault="00244DA1" w:rsidP="007312CD">
      <w:pPr>
        <w:autoSpaceDE w:val="0"/>
        <w:autoSpaceDN w:val="0"/>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Green </w:t>
      </w:r>
      <w:r w:rsidR="00DF361A" w:rsidRPr="00B727B0">
        <w:rPr>
          <w:rFonts w:ascii="Book Antiqua" w:hAnsi="Book Antiqua" w:cstheme="majorBidi"/>
          <w:i/>
          <w:sz w:val="24"/>
          <w:szCs w:val="24"/>
        </w:rPr>
        <w:t>et al</w:t>
      </w:r>
      <w:r w:rsidR="003505CF" w:rsidRPr="00B727B0">
        <w:rPr>
          <w:rFonts w:ascii="Book Antiqua" w:hAnsi="Book Antiqua" w:cstheme="majorBidi"/>
          <w:sz w:val="24"/>
          <w:szCs w:val="24"/>
          <w:vertAlign w:val="superscript"/>
        </w:rPr>
        <w:t>[23,24]</w:t>
      </w:r>
      <w:r w:rsidRPr="00B727B0">
        <w:rPr>
          <w:rFonts w:ascii="Book Antiqua" w:hAnsi="Book Antiqua" w:cstheme="majorBidi"/>
          <w:sz w:val="24"/>
          <w:szCs w:val="24"/>
        </w:rPr>
        <w:t xml:space="preserve"> (2015) </w:t>
      </w:r>
      <w:r w:rsidR="008E26F7" w:rsidRPr="00B727B0">
        <w:rPr>
          <w:rFonts w:ascii="Book Antiqua" w:hAnsi="Book Antiqua" w:cstheme="majorBidi"/>
          <w:sz w:val="24"/>
          <w:szCs w:val="24"/>
        </w:rPr>
        <w:t xml:space="preserve">reported </w:t>
      </w:r>
      <w:r w:rsidRPr="00B727B0">
        <w:rPr>
          <w:rFonts w:ascii="Book Antiqua" w:hAnsi="Book Antiqua" w:cstheme="majorBidi"/>
          <w:sz w:val="24"/>
          <w:szCs w:val="24"/>
        </w:rPr>
        <w:t xml:space="preserve">that the risk of recurrence is higher in MPGN type I, with the following </w:t>
      </w:r>
      <w:r w:rsidR="008E26F7" w:rsidRPr="00B727B0">
        <w:rPr>
          <w:rFonts w:ascii="Book Antiqua" w:hAnsi="Book Antiqua" w:cstheme="majorBidi"/>
          <w:sz w:val="24"/>
          <w:szCs w:val="24"/>
        </w:rPr>
        <w:t>factors</w:t>
      </w:r>
      <w:r w:rsidRPr="00B727B0">
        <w:rPr>
          <w:rFonts w:ascii="Book Antiqua" w:hAnsi="Book Antiqua" w:cstheme="majorBidi"/>
          <w:sz w:val="24"/>
          <w:szCs w:val="24"/>
        </w:rPr>
        <w:t>:</w:t>
      </w:r>
      <w:r w:rsidR="008E72A1" w:rsidRPr="00B727B0">
        <w:rPr>
          <w:rFonts w:ascii="Book Antiqua" w:eastAsia="宋体" w:hAnsi="Book Antiqua" w:cstheme="majorBidi"/>
          <w:sz w:val="24"/>
          <w:szCs w:val="24"/>
          <w:lang w:eastAsia="zh-CN"/>
        </w:rPr>
        <w:t xml:space="preserve"> (1) </w:t>
      </w:r>
      <w:r w:rsidR="008E72A1" w:rsidRPr="00B727B0">
        <w:rPr>
          <w:rFonts w:ascii="Book Antiqua" w:hAnsi="Book Antiqua" w:cstheme="majorBidi"/>
          <w:sz w:val="24"/>
          <w:szCs w:val="24"/>
        </w:rPr>
        <w:t>the HLA B49, HLA DR4</w:t>
      </w:r>
      <w:r w:rsidR="008E72A1" w:rsidRPr="00B727B0">
        <w:rPr>
          <w:rFonts w:ascii="Book Antiqua" w:eastAsia="宋体" w:hAnsi="Book Antiqua" w:cstheme="majorBidi"/>
          <w:sz w:val="24"/>
          <w:szCs w:val="24"/>
          <w:lang w:eastAsia="zh-CN"/>
        </w:rPr>
        <w:t xml:space="preserve">; (2) </w:t>
      </w:r>
      <w:r w:rsidR="008E72A1" w:rsidRPr="00B727B0">
        <w:rPr>
          <w:rFonts w:ascii="Book Antiqua" w:hAnsi="Book Antiqua" w:cstheme="majorBidi"/>
          <w:sz w:val="24"/>
          <w:szCs w:val="24"/>
        </w:rPr>
        <w:t>p</w:t>
      </w:r>
      <w:r w:rsidRPr="00B727B0">
        <w:rPr>
          <w:rFonts w:ascii="Book Antiqua" w:hAnsi="Book Antiqua" w:cstheme="majorBidi"/>
          <w:sz w:val="24"/>
          <w:szCs w:val="24"/>
        </w:rPr>
        <w:t>revious transplantations</w:t>
      </w:r>
      <w:r w:rsidR="008E72A1" w:rsidRPr="00B727B0">
        <w:rPr>
          <w:rFonts w:ascii="Book Antiqua" w:eastAsia="宋体" w:hAnsi="Book Antiqua" w:cstheme="majorBidi"/>
          <w:sz w:val="24"/>
          <w:szCs w:val="24"/>
          <w:lang w:eastAsia="zh-CN"/>
        </w:rPr>
        <w:t xml:space="preserve">; (3) </w:t>
      </w:r>
      <w:r w:rsidR="008E72A1" w:rsidRPr="00B727B0">
        <w:rPr>
          <w:rFonts w:ascii="Book Antiqua" w:hAnsi="Book Antiqua" w:cstheme="majorBidi"/>
          <w:sz w:val="24"/>
          <w:szCs w:val="24"/>
        </w:rPr>
        <w:t>a</w:t>
      </w:r>
      <w:r w:rsidRPr="00B727B0">
        <w:rPr>
          <w:rFonts w:ascii="Book Antiqua" w:hAnsi="Book Antiqua" w:cstheme="majorBidi"/>
          <w:sz w:val="24"/>
          <w:szCs w:val="24"/>
        </w:rPr>
        <w:t>cute tubular</w:t>
      </w:r>
      <w:r w:rsidR="008E72A1" w:rsidRPr="00B727B0">
        <w:rPr>
          <w:rFonts w:ascii="Book Antiqua" w:hAnsi="Book Antiqua" w:cstheme="majorBidi"/>
          <w:sz w:val="24"/>
          <w:szCs w:val="24"/>
        </w:rPr>
        <w:t xml:space="preserve"> necrosis after transplantation</w:t>
      </w:r>
      <w:r w:rsidR="008E72A1" w:rsidRPr="00B727B0">
        <w:rPr>
          <w:rFonts w:ascii="Book Antiqua" w:eastAsia="宋体" w:hAnsi="Book Antiqua" w:cstheme="majorBidi"/>
          <w:sz w:val="24"/>
          <w:szCs w:val="24"/>
          <w:lang w:eastAsia="zh-CN"/>
        </w:rPr>
        <w:t>; (4) s</w:t>
      </w:r>
      <w:r w:rsidRPr="00B727B0">
        <w:rPr>
          <w:rFonts w:ascii="Book Antiqua" w:hAnsi="Book Antiqua" w:cstheme="majorBidi"/>
          <w:sz w:val="24"/>
          <w:szCs w:val="24"/>
        </w:rPr>
        <w:t xml:space="preserve">horter duration of </w:t>
      </w:r>
      <w:r w:rsidR="008E72A1" w:rsidRPr="00B727B0">
        <w:rPr>
          <w:rFonts w:ascii="Book Antiqua" w:hAnsi="Book Antiqua" w:cstheme="majorBidi"/>
          <w:sz w:val="24"/>
          <w:szCs w:val="24"/>
        </w:rPr>
        <w:t>dialysis before transplantation</w:t>
      </w:r>
      <w:r w:rsidR="008E72A1" w:rsidRPr="00B727B0">
        <w:rPr>
          <w:rFonts w:ascii="Book Antiqua" w:eastAsia="宋体" w:hAnsi="Book Antiqua" w:cstheme="majorBidi"/>
          <w:sz w:val="24"/>
          <w:szCs w:val="24"/>
          <w:lang w:eastAsia="zh-CN"/>
        </w:rPr>
        <w:t>; and (5) A</w:t>
      </w:r>
      <w:r w:rsidRPr="00B727B0">
        <w:rPr>
          <w:rFonts w:ascii="Book Antiqua" w:hAnsi="Book Antiqua" w:cstheme="majorBidi"/>
          <w:sz w:val="24"/>
          <w:szCs w:val="24"/>
        </w:rPr>
        <w:t>rab origin was all associated with decreased graft and patient sur</w:t>
      </w:r>
      <w:r w:rsidR="009E6804" w:rsidRPr="00B727B0">
        <w:rPr>
          <w:rFonts w:ascii="Book Antiqua" w:hAnsi="Book Antiqua" w:cstheme="majorBidi"/>
          <w:sz w:val="24"/>
          <w:szCs w:val="24"/>
        </w:rPr>
        <w:t>vival</w:t>
      </w:r>
      <w:r w:rsidR="00AE1D7C" w:rsidRPr="00B727B0">
        <w:rPr>
          <w:rFonts w:ascii="Book Antiqua" w:hAnsi="Book Antiqua" w:cstheme="majorBidi"/>
          <w:sz w:val="24"/>
          <w:szCs w:val="24"/>
          <w:vertAlign w:val="superscript"/>
        </w:rPr>
        <w:t>[24]</w:t>
      </w:r>
      <w:r w:rsidRPr="00B727B0">
        <w:rPr>
          <w:rFonts w:ascii="Book Antiqua" w:hAnsi="Book Antiqua" w:cstheme="majorBidi"/>
          <w:sz w:val="24"/>
          <w:szCs w:val="24"/>
        </w:rPr>
        <w:t>.</w:t>
      </w:r>
    </w:p>
    <w:p w14:paraId="55BCE46B" w14:textId="31FE32A6" w:rsidR="00244DA1" w:rsidRPr="00B727B0" w:rsidRDefault="00244DA1" w:rsidP="007312CD">
      <w:pPr>
        <w:pStyle w:val="NormalWeb"/>
        <w:adjustRightInd w:val="0"/>
        <w:snapToGrid w:val="0"/>
        <w:spacing w:before="0" w:beforeAutospacing="0" w:after="0" w:afterAutospacing="0" w:line="360" w:lineRule="auto"/>
        <w:ind w:firstLine="720"/>
        <w:jc w:val="both"/>
        <w:rPr>
          <w:rFonts w:ascii="Book Antiqua" w:hAnsi="Book Antiqua" w:cstheme="majorBidi"/>
        </w:rPr>
      </w:pPr>
      <w:r w:rsidRPr="00B727B0">
        <w:rPr>
          <w:rFonts w:ascii="Book Antiqua" w:hAnsi="Book Antiqua" w:cstheme="majorBidi"/>
        </w:rPr>
        <w:lastRenderedPageBreak/>
        <w:t xml:space="preserve">A better allograft survival is expected in MPGN type I, with the </w:t>
      </w:r>
      <w:proofErr w:type="gramStart"/>
      <w:r w:rsidRPr="00B727B0">
        <w:rPr>
          <w:rFonts w:ascii="Book Antiqua" w:hAnsi="Book Antiqua" w:cstheme="majorBidi"/>
        </w:rPr>
        <w:t>following</w:t>
      </w:r>
      <w:r w:rsidR="00AE1D7C" w:rsidRPr="00B727B0">
        <w:rPr>
          <w:rFonts w:ascii="Book Antiqua" w:hAnsi="Book Antiqua" w:cstheme="majorBidi"/>
          <w:vertAlign w:val="superscript"/>
        </w:rPr>
        <w:t>[</w:t>
      </w:r>
      <w:proofErr w:type="gramEnd"/>
      <w:r w:rsidR="00AE1D7C" w:rsidRPr="00B727B0">
        <w:rPr>
          <w:rFonts w:ascii="Book Antiqua" w:hAnsi="Book Antiqua" w:cstheme="majorBidi"/>
          <w:vertAlign w:val="superscript"/>
        </w:rPr>
        <w:t>24]</w:t>
      </w:r>
      <w:r w:rsidRPr="00B727B0">
        <w:rPr>
          <w:rFonts w:ascii="Book Antiqua" w:hAnsi="Book Antiqua" w:cstheme="majorBidi"/>
        </w:rPr>
        <w:t>:</w:t>
      </w:r>
      <w:r w:rsidR="008E72A1" w:rsidRPr="00B727B0">
        <w:rPr>
          <w:rFonts w:ascii="Book Antiqua" w:eastAsia="宋体" w:hAnsi="Book Antiqua" w:cstheme="majorBidi"/>
          <w:lang w:eastAsia="zh-CN"/>
        </w:rPr>
        <w:t xml:space="preserve"> (1) </w:t>
      </w:r>
      <w:r w:rsidR="008E72A1" w:rsidRPr="00B727B0">
        <w:rPr>
          <w:rFonts w:ascii="Book Antiqua" w:hAnsi="Book Antiqua" w:cstheme="majorBidi"/>
        </w:rPr>
        <w:t>u</w:t>
      </w:r>
      <w:r w:rsidR="00FF6B5A" w:rsidRPr="00B727B0">
        <w:rPr>
          <w:rFonts w:ascii="Book Antiqua" w:hAnsi="Book Antiqua" w:cstheme="majorBidi"/>
        </w:rPr>
        <w:t>n</w:t>
      </w:r>
      <w:r w:rsidR="008E72A1" w:rsidRPr="00B727B0">
        <w:rPr>
          <w:rFonts w:ascii="Book Antiqua" w:hAnsi="Book Antiqua" w:cstheme="majorBidi"/>
        </w:rPr>
        <w:t>related living donors</w:t>
      </w:r>
      <w:r w:rsidR="008E72A1" w:rsidRPr="00B727B0">
        <w:rPr>
          <w:rFonts w:ascii="Book Antiqua" w:eastAsia="宋体" w:hAnsi="Book Antiqua" w:cstheme="majorBidi"/>
          <w:lang w:eastAsia="zh-CN"/>
        </w:rPr>
        <w:t xml:space="preserve">; and (2) </w:t>
      </w:r>
      <w:r w:rsidR="008E72A1" w:rsidRPr="00B727B0">
        <w:rPr>
          <w:rFonts w:ascii="Book Antiqua" w:hAnsi="Book Antiqua" w:cstheme="majorBidi"/>
        </w:rPr>
        <w:t>a</w:t>
      </w:r>
      <w:r w:rsidRPr="00B727B0">
        <w:rPr>
          <w:rFonts w:ascii="Book Antiqua" w:hAnsi="Book Antiqua" w:cstheme="majorBidi"/>
        </w:rPr>
        <w:t>bsence of recurrence in the first year post transplantation.</w:t>
      </w:r>
    </w:p>
    <w:p w14:paraId="1EBE6256" w14:textId="38313F9E" w:rsidR="00244DA1" w:rsidRPr="00B727B0" w:rsidRDefault="00244DA1" w:rsidP="007312CD">
      <w:pPr>
        <w:adjustRightInd w:val="0"/>
        <w:snapToGrid w:val="0"/>
        <w:spacing w:after="0" w:line="360" w:lineRule="auto"/>
        <w:ind w:firstLine="720"/>
        <w:jc w:val="both"/>
        <w:rPr>
          <w:rFonts w:ascii="Book Antiqua" w:hAnsi="Book Antiqua" w:cstheme="majorBidi"/>
          <w:sz w:val="24"/>
          <w:szCs w:val="24"/>
          <w:lang w:bidi="ar-EG"/>
        </w:rPr>
      </w:pPr>
      <w:r w:rsidRPr="00B727B0">
        <w:rPr>
          <w:rFonts w:ascii="Book Antiqua" w:hAnsi="Book Antiqua" w:cstheme="majorBidi"/>
          <w:sz w:val="24"/>
          <w:szCs w:val="24"/>
        </w:rPr>
        <w:t xml:space="preserve">The advent of the new concepts declaring the role of the alternative complement pathway in the pathogenesis of </w:t>
      </w:r>
      <w:r w:rsidR="008E26F7" w:rsidRPr="00B727B0">
        <w:rPr>
          <w:rFonts w:ascii="Book Antiqua" w:hAnsi="Book Antiqua" w:cstheme="majorBidi"/>
          <w:sz w:val="24"/>
          <w:szCs w:val="24"/>
        </w:rPr>
        <w:t>MPGN</w:t>
      </w:r>
      <w:r w:rsidRPr="00B727B0">
        <w:rPr>
          <w:rFonts w:ascii="Book Antiqua" w:hAnsi="Book Antiqua" w:cstheme="majorBidi"/>
          <w:sz w:val="24"/>
          <w:szCs w:val="24"/>
        </w:rPr>
        <w:t xml:space="preserve"> was </w:t>
      </w:r>
      <w:r w:rsidR="008E26F7" w:rsidRPr="00B727B0">
        <w:rPr>
          <w:rFonts w:ascii="Book Antiqua" w:hAnsi="Book Antiqua" w:cstheme="majorBidi"/>
          <w:sz w:val="24"/>
          <w:szCs w:val="24"/>
        </w:rPr>
        <w:t xml:space="preserve">addressed </w:t>
      </w:r>
      <w:r w:rsidRPr="00B727B0">
        <w:rPr>
          <w:rFonts w:ascii="Book Antiqua" w:hAnsi="Book Antiqua" w:cstheme="majorBidi"/>
          <w:sz w:val="24"/>
          <w:szCs w:val="24"/>
        </w:rPr>
        <w:t xml:space="preserve">in appearance of the new classification of MPGN. It depends on the mechanism of glomerular injury instead of deposits distribution, which will be ultimately reflected on </w:t>
      </w:r>
      <w:r w:rsidR="007E44B8" w:rsidRPr="00B727B0">
        <w:rPr>
          <w:rFonts w:ascii="Book Antiqua" w:hAnsi="Book Antiqua" w:cstheme="majorBidi"/>
          <w:sz w:val="24"/>
          <w:szCs w:val="24"/>
        </w:rPr>
        <w:t>development</w:t>
      </w:r>
      <w:r w:rsidRPr="00B727B0">
        <w:rPr>
          <w:rFonts w:ascii="Book Antiqua" w:hAnsi="Book Antiqua" w:cstheme="majorBidi"/>
          <w:sz w:val="24"/>
          <w:szCs w:val="24"/>
        </w:rPr>
        <w:t xml:space="preserve"> of </w:t>
      </w:r>
      <w:r w:rsidR="007E44B8" w:rsidRPr="00B727B0">
        <w:rPr>
          <w:rFonts w:ascii="Book Antiqua" w:hAnsi="Book Antiqua" w:cstheme="majorBidi"/>
          <w:sz w:val="24"/>
          <w:szCs w:val="24"/>
        </w:rPr>
        <w:t>the new</w:t>
      </w:r>
      <w:r w:rsidRPr="00B727B0">
        <w:rPr>
          <w:rFonts w:ascii="Book Antiqua" w:hAnsi="Book Antiqua" w:cstheme="majorBidi"/>
          <w:sz w:val="24"/>
          <w:szCs w:val="24"/>
        </w:rPr>
        <w:t xml:space="preserve"> therapeutic policies (see therapy of GN recurrence) and </w:t>
      </w:r>
      <w:r w:rsidR="007E44B8" w:rsidRPr="00B727B0">
        <w:rPr>
          <w:rFonts w:ascii="Book Antiqua" w:hAnsi="Book Antiqua" w:cstheme="majorBidi"/>
          <w:sz w:val="24"/>
          <w:szCs w:val="24"/>
        </w:rPr>
        <w:t xml:space="preserve">its </w:t>
      </w:r>
      <w:r w:rsidRPr="00B727B0">
        <w:rPr>
          <w:rFonts w:ascii="Book Antiqua" w:hAnsi="Book Antiqua" w:cstheme="majorBidi"/>
          <w:sz w:val="24"/>
          <w:szCs w:val="24"/>
        </w:rPr>
        <w:t xml:space="preserve">clinical </w:t>
      </w:r>
      <w:proofErr w:type="gramStart"/>
      <w:r w:rsidRPr="00B727B0">
        <w:rPr>
          <w:rFonts w:ascii="Book Antiqua" w:hAnsi="Book Antiqua" w:cstheme="majorBidi"/>
          <w:sz w:val="24"/>
          <w:szCs w:val="24"/>
        </w:rPr>
        <w:t>interpretations</w:t>
      </w:r>
      <w:r w:rsidR="00AE1D7C" w:rsidRPr="00B727B0">
        <w:rPr>
          <w:rFonts w:ascii="Book Antiqua" w:hAnsi="Book Antiqua" w:cstheme="majorBidi"/>
          <w:sz w:val="24"/>
          <w:szCs w:val="24"/>
          <w:vertAlign w:val="superscript"/>
        </w:rPr>
        <w:t>[</w:t>
      </w:r>
      <w:proofErr w:type="gramEnd"/>
      <w:r w:rsidR="00AE1D7C" w:rsidRPr="00B727B0">
        <w:rPr>
          <w:rFonts w:ascii="Book Antiqua" w:hAnsi="Book Antiqua" w:cstheme="majorBidi"/>
          <w:sz w:val="24"/>
          <w:szCs w:val="24"/>
          <w:vertAlign w:val="superscript"/>
        </w:rPr>
        <w:t>30]</w:t>
      </w:r>
      <w:r w:rsidRPr="00B727B0">
        <w:rPr>
          <w:rFonts w:ascii="Book Antiqua" w:hAnsi="Book Antiqua" w:cstheme="majorBidi"/>
          <w:sz w:val="24"/>
          <w:szCs w:val="24"/>
        </w:rPr>
        <w:t xml:space="preserve">. So, MPGN will be </w:t>
      </w:r>
      <w:r w:rsidR="00FA12B1" w:rsidRPr="00B727B0">
        <w:rPr>
          <w:rFonts w:ascii="Book Antiqua" w:hAnsi="Book Antiqua" w:cstheme="majorBidi"/>
          <w:sz w:val="24"/>
          <w:szCs w:val="24"/>
        </w:rPr>
        <w:t>immune</w:t>
      </w:r>
      <w:r w:rsidRPr="00B727B0">
        <w:rPr>
          <w:rFonts w:ascii="Book Antiqua" w:hAnsi="Book Antiqua" w:cstheme="majorBidi"/>
          <w:sz w:val="24"/>
          <w:szCs w:val="24"/>
        </w:rPr>
        <w:t xml:space="preserve"> complex mediated</w:t>
      </w:r>
      <w:r w:rsidR="00AD4B36" w:rsidRPr="00B727B0">
        <w:rPr>
          <w:rFonts w:ascii="Book Antiqua" w:hAnsi="Book Antiqua" w:cstheme="majorBidi"/>
          <w:sz w:val="24"/>
          <w:szCs w:val="24"/>
        </w:rPr>
        <w:t xml:space="preserve"> (ICGN)</w:t>
      </w:r>
      <w:r w:rsidRPr="00B727B0">
        <w:rPr>
          <w:rFonts w:ascii="Book Antiqua" w:hAnsi="Book Antiqua" w:cstheme="majorBidi"/>
          <w:sz w:val="24"/>
          <w:szCs w:val="24"/>
        </w:rPr>
        <w:t xml:space="preserve">, encompassing immune complexes and complement compounds, or complement-mediated </w:t>
      </w:r>
      <w:r w:rsidR="00AD4B36" w:rsidRPr="00B727B0">
        <w:rPr>
          <w:rFonts w:ascii="Book Antiqua" w:hAnsi="Book Antiqua" w:cstheme="majorBidi"/>
          <w:sz w:val="24"/>
          <w:szCs w:val="24"/>
        </w:rPr>
        <w:t xml:space="preserve">(CGN) </w:t>
      </w:r>
      <w:r w:rsidRPr="00B727B0">
        <w:rPr>
          <w:rFonts w:ascii="Book Antiqua" w:hAnsi="Book Antiqua" w:cstheme="majorBidi"/>
          <w:sz w:val="24"/>
          <w:szCs w:val="24"/>
        </w:rPr>
        <w:t>containing only complement, without immune complex</w:t>
      </w:r>
      <w:r w:rsidR="002A5DB3" w:rsidRPr="00B727B0">
        <w:rPr>
          <w:rFonts w:ascii="Book Antiqua" w:hAnsi="Book Antiqua" w:cstheme="majorBidi"/>
          <w:sz w:val="24"/>
          <w:szCs w:val="24"/>
        </w:rPr>
        <w:t xml:space="preserve"> (</w:t>
      </w:r>
      <w:r w:rsidR="004E66B6" w:rsidRPr="00B727B0">
        <w:rPr>
          <w:rFonts w:ascii="Book Antiqua" w:hAnsi="Book Antiqua" w:cstheme="majorBidi"/>
          <w:sz w:val="24"/>
          <w:szCs w:val="24"/>
        </w:rPr>
        <w:t xml:space="preserve">Table </w:t>
      </w:r>
      <w:r w:rsidR="002A5DB3" w:rsidRPr="00B727B0">
        <w:rPr>
          <w:rFonts w:ascii="Book Antiqua" w:hAnsi="Book Antiqua" w:cstheme="majorBidi"/>
          <w:sz w:val="24"/>
          <w:szCs w:val="24"/>
        </w:rPr>
        <w:t>1</w:t>
      </w:r>
      <w:r w:rsidR="005C349D" w:rsidRPr="00B727B0">
        <w:rPr>
          <w:rFonts w:ascii="Book Antiqua" w:hAnsi="Book Antiqua" w:cstheme="majorBidi"/>
          <w:sz w:val="24"/>
          <w:szCs w:val="24"/>
        </w:rPr>
        <w:t xml:space="preserve"> </w:t>
      </w:r>
      <w:r w:rsidR="004E66B6" w:rsidRPr="00B727B0">
        <w:rPr>
          <w:rFonts w:ascii="Book Antiqua" w:eastAsia="宋体" w:hAnsi="Book Antiqua" w:cstheme="majorBidi"/>
          <w:sz w:val="24"/>
          <w:szCs w:val="24"/>
          <w:lang w:eastAsia="zh-CN"/>
        </w:rPr>
        <w:t>and</w:t>
      </w:r>
      <w:r w:rsidR="005C349D" w:rsidRPr="00B727B0">
        <w:rPr>
          <w:rFonts w:ascii="Book Antiqua" w:hAnsi="Book Antiqua" w:cstheme="majorBidi"/>
          <w:sz w:val="24"/>
          <w:szCs w:val="24"/>
        </w:rPr>
        <w:t xml:space="preserve"> </w:t>
      </w:r>
      <w:r w:rsidR="004E66B6" w:rsidRPr="00B727B0">
        <w:rPr>
          <w:rFonts w:ascii="Book Antiqua" w:hAnsi="Book Antiqua" w:cstheme="majorBidi"/>
          <w:sz w:val="24"/>
          <w:szCs w:val="24"/>
        </w:rPr>
        <w:t xml:space="preserve">Figure </w:t>
      </w:r>
      <w:r w:rsidR="005C349D" w:rsidRPr="00B727B0">
        <w:rPr>
          <w:rFonts w:ascii="Book Antiqua" w:hAnsi="Book Antiqua" w:cstheme="majorBidi"/>
          <w:sz w:val="24"/>
          <w:szCs w:val="24"/>
        </w:rPr>
        <w:t>3</w:t>
      </w:r>
      <w:r w:rsidR="002A5DB3" w:rsidRPr="00B727B0">
        <w:rPr>
          <w:rFonts w:ascii="Book Antiqua" w:hAnsi="Book Antiqua" w:cstheme="majorBidi"/>
          <w:sz w:val="24"/>
          <w:szCs w:val="24"/>
        </w:rPr>
        <w:t>)</w:t>
      </w:r>
      <w:r w:rsidRPr="00B727B0">
        <w:rPr>
          <w:rFonts w:ascii="Book Antiqua" w:hAnsi="Book Antiqua" w:cstheme="majorBidi"/>
          <w:sz w:val="24"/>
          <w:szCs w:val="24"/>
        </w:rPr>
        <w:t xml:space="preserve">. Old studies were based on the old classification and data in this subject were very limited owing to the limited number of patients and short follow up durations. The highest prevalence rate has been observed with the previously named MPGN </w:t>
      </w:r>
      <w:proofErr w:type="gramStart"/>
      <w:r w:rsidRPr="00B727B0">
        <w:rPr>
          <w:rFonts w:ascii="Book Antiqua" w:hAnsi="Book Antiqua" w:cstheme="majorBidi"/>
          <w:sz w:val="24"/>
          <w:szCs w:val="24"/>
        </w:rPr>
        <w:t>II</w:t>
      </w:r>
      <w:r w:rsidR="009E6804" w:rsidRPr="00B727B0">
        <w:rPr>
          <w:rFonts w:ascii="Book Antiqua" w:hAnsi="Book Antiqua" w:cstheme="majorBidi"/>
          <w:sz w:val="24"/>
          <w:szCs w:val="24"/>
          <w:vertAlign w:val="superscript"/>
        </w:rPr>
        <w:t>[</w:t>
      </w:r>
      <w:proofErr w:type="gramEnd"/>
      <w:r w:rsidR="009E6804" w:rsidRPr="00B727B0">
        <w:rPr>
          <w:rFonts w:ascii="Book Antiqua" w:hAnsi="Book Antiqua" w:cstheme="majorBidi"/>
          <w:sz w:val="24"/>
          <w:szCs w:val="24"/>
          <w:vertAlign w:val="superscript"/>
        </w:rPr>
        <w:t>31,</w:t>
      </w:r>
      <w:r w:rsidR="00AE1D7C" w:rsidRPr="00B727B0">
        <w:rPr>
          <w:rFonts w:ascii="Book Antiqua" w:hAnsi="Book Antiqua" w:cstheme="majorBidi"/>
          <w:sz w:val="24"/>
          <w:szCs w:val="24"/>
          <w:vertAlign w:val="superscript"/>
        </w:rPr>
        <w:t>32]</w:t>
      </w:r>
      <w:r w:rsidRPr="00B727B0">
        <w:rPr>
          <w:rFonts w:ascii="Book Antiqua" w:hAnsi="Book Antiqua" w:cstheme="majorBidi"/>
          <w:sz w:val="24"/>
          <w:szCs w:val="24"/>
        </w:rPr>
        <w:t>.</w:t>
      </w:r>
      <w:r w:rsidR="00F305E4">
        <w:rPr>
          <w:rFonts w:ascii="Book Antiqua" w:hAnsi="Book Antiqua" w:cstheme="majorBidi"/>
          <w:sz w:val="24"/>
          <w:szCs w:val="24"/>
        </w:rPr>
        <w:t xml:space="preserve"> </w:t>
      </w:r>
    </w:p>
    <w:p w14:paraId="6EAC19B5" w14:textId="77777777" w:rsidR="00D45B87" w:rsidRPr="00B727B0" w:rsidRDefault="00D45B87" w:rsidP="00D45B87">
      <w:pPr>
        <w:shd w:val="clear" w:color="auto" w:fill="FFFFFF" w:themeFill="background1"/>
        <w:adjustRightInd w:val="0"/>
        <w:snapToGrid w:val="0"/>
        <w:spacing w:after="0" w:line="360" w:lineRule="auto"/>
        <w:jc w:val="both"/>
        <w:rPr>
          <w:rFonts w:ascii="Book Antiqua" w:eastAsia="宋体" w:hAnsi="Book Antiqua" w:cstheme="majorBidi"/>
          <w:i/>
          <w:sz w:val="24"/>
          <w:szCs w:val="24"/>
          <w:shd w:val="clear" w:color="auto" w:fill="FFFFFF" w:themeFill="background1"/>
          <w:lang w:eastAsia="zh-CN"/>
        </w:rPr>
      </w:pPr>
    </w:p>
    <w:p w14:paraId="1F37AE51" w14:textId="75501BBB" w:rsidR="00D45B87" w:rsidRPr="00B727B0" w:rsidRDefault="00244DA1" w:rsidP="00D45B87">
      <w:pPr>
        <w:shd w:val="clear" w:color="auto" w:fill="FFFFFF" w:themeFill="background1"/>
        <w:adjustRightInd w:val="0"/>
        <w:snapToGrid w:val="0"/>
        <w:spacing w:after="0" w:line="360" w:lineRule="auto"/>
        <w:jc w:val="both"/>
        <w:rPr>
          <w:rFonts w:ascii="Book Antiqua" w:eastAsia="宋体" w:hAnsi="Book Antiqua" w:cstheme="majorBidi"/>
          <w:b/>
          <w:sz w:val="24"/>
          <w:szCs w:val="24"/>
          <w:shd w:val="clear" w:color="auto" w:fill="FFFFFF" w:themeFill="background1"/>
          <w:lang w:eastAsia="zh-CN"/>
        </w:rPr>
      </w:pPr>
      <w:r w:rsidRPr="00B727B0">
        <w:rPr>
          <w:rFonts w:ascii="Book Antiqua" w:eastAsia="Times New Roman" w:hAnsi="Book Antiqua" w:cstheme="majorBidi"/>
          <w:b/>
          <w:i/>
          <w:sz w:val="24"/>
          <w:szCs w:val="24"/>
          <w:shd w:val="clear" w:color="auto" w:fill="FFFFFF" w:themeFill="background1"/>
        </w:rPr>
        <w:t>Risk factors of MPGN</w:t>
      </w:r>
      <w:r w:rsidR="00D45B87" w:rsidRPr="00B727B0">
        <w:rPr>
          <w:rFonts w:ascii="Book Antiqua" w:eastAsia="Times New Roman" w:hAnsi="Book Antiqua" w:cstheme="majorBidi"/>
          <w:b/>
          <w:i/>
          <w:sz w:val="24"/>
          <w:szCs w:val="24"/>
          <w:shd w:val="clear" w:color="auto" w:fill="FFFFFF" w:themeFill="background1"/>
        </w:rPr>
        <w:t xml:space="preserve"> recurrence</w:t>
      </w:r>
    </w:p>
    <w:p w14:paraId="33D2A941" w14:textId="7164577B" w:rsidR="00244DA1" w:rsidRPr="00B727B0" w:rsidRDefault="00D45B87" w:rsidP="00D45B87">
      <w:pPr>
        <w:shd w:val="clear" w:color="auto" w:fill="FFFFFF" w:themeFill="background1"/>
        <w:adjustRightInd w:val="0"/>
        <w:snapToGrid w:val="0"/>
        <w:spacing w:after="0" w:line="360" w:lineRule="auto"/>
        <w:jc w:val="both"/>
        <w:rPr>
          <w:rFonts w:ascii="Book Antiqua" w:eastAsia="Times New Roman" w:hAnsi="Book Antiqua" w:cstheme="majorBidi"/>
          <w:i/>
          <w:sz w:val="24"/>
          <w:szCs w:val="24"/>
          <w:shd w:val="clear" w:color="auto" w:fill="FFFFFF" w:themeFill="background1"/>
        </w:rPr>
      </w:pPr>
      <w:r w:rsidRPr="00B727B0">
        <w:rPr>
          <w:rFonts w:ascii="Book Antiqua" w:eastAsia="Times New Roman" w:hAnsi="Book Antiqua" w:cstheme="majorBidi"/>
          <w:sz w:val="24"/>
          <w:szCs w:val="24"/>
          <w:shd w:val="clear" w:color="auto" w:fill="FFFFFF" w:themeFill="background1"/>
        </w:rPr>
        <w:t>A</w:t>
      </w:r>
      <w:r w:rsidR="00244DA1" w:rsidRPr="00B727B0">
        <w:rPr>
          <w:rFonts w:ascii="Book Antiqua" w:eastAsia="Times New Roman" w:hAnsi="Book Antiqua" w:cstheme="majorBidi"/>
          <w:sz w:val="24"/>
          <w:szCs w:val="24"/>
          <w:shd w:val="clear" w:color="auto" w:fill="FFFFFF" w:themeFill="background1"/>
        </w:rPr>
        <w:t>cco</w:t>
      </w:r>
      <w:r w:rsidR="000C1293" w:rsidRPr="00B727B0">
        <w:rPr>
          <w:rFonts w:ascii="Book Antiqua" w:eastAsia="Times New Roman" w:hAnsi="Book Antiqua" w:cstheme="majorBidi"/>
          <w:sz w:val="24"/>
          <w:szCs w:val="24"/>
          <w:shd w:val="clear" w:color="auto" w:fill="FFFFFF" w:themeFill="background1"/>
        </w:rPr>
        <w:t xml:space="preserve">rding to Alasfar </w:t>
      </w:r>
      <w:r w:rsidR="00DF361A" w:rsidRPr="00B727B0">
        <w:rPr>
          <w:rFonts w:ascii="Book Antiqua" w:eastAsia="Times New Roman" w:hAnsi="Book Antiqua" w:cstheme="majorBidi"/>
          <w:i/>
          <w:sz w:val="24"/>
          <w:szCs w:val="24"/>
          <w:shd w:val="clear" w:color="auto" w:fill="FFFFFF" w:themeFill="background1"/>
        </w:rPr>
        <w:t>et al</w:t>
      </w:r>
      <w:r w:rsidR="004E66B6" w:rsidRPr="00B727B0">
        <w:rPr>
          <w:rFonts w:ascii="Book Antiqua" w:eastAsia="Times New Roman" w:hAnsi="Book Antiqua" w:cstheme="majorBidi"/>
          <w:sz w:val="24"/>
          <w:szCs w:val="24"/>
          <w:shd w:val="clear" w:color="auto" w:fill="FFFFFF" w:themeFill="background1"/>
          <w:vertAlign w:val="superscript"/>
        </w:rPr>
        <w:t>[30]</w:t>
      </w:r>
      <w:r w:rsidR="000C1293" w:rsidRPr="00B727B0">
        <w:rPr>
          <w:rFonts w:ascii="Book Antiqua" w:eastAsia="Times New Roman" w:hAnsi="Book Antiqua" w:cstheme="majorBidi"/>
          <w:sz w:val="24"/>
          <w:szCs w:val="24"/>
          <w:shd w:val="clear" w:color="auto" w:fill="FFFFFF" w:themeFill="background1"/>
        </w:rPr>
        <w:t xml:space="preserve"> (2016) (</w:t>
      </w:r>
      <w:r w:rsidR="00DF361A" w:rsidRPr="00B727B0">
        <w:rPr>
          <w:rFonts w:ascii="Book Antiqua" w:eastAsia="Times New Roman" w:hAnsi="Book Antiqua" w:cstheme="majorBidi"/>
          <w:sz w:val="24"/>
          <w:szCs w:val="24"/>
          <w:shd w:val="clear" w:color="auto" w:fill="FFFFFF" w:themeFill="background1"/>
        </w:rPr>
        <w:t>F</w:t>
      </w:r>
      <w:r w:rsidR="000C1293" w:rsidRPr="00B727B0">
        <w:rPr>
          <w:rFonts w:ascii="Book Antiqua" w:eastAsia="Times New Roman" w:hAnsi="Book Antiqua" w:cstheme="majorBidi"/>
          <w:sz w:val="24"/>
          <w:szCs w:val="24"/>
          <w:shd w:val="clear" w:color="auto" w:fill="FFFFFF" w:themeFill="background1"/>
        </w:rPr>
        <w:t>igure 4)</w:t>
      </w:r>
      <w:r w:rsidR="00244DA1" w:rsidRPr="00B727B0">
        <w:rPr>
          <w:rFonts w:ascii="Book Antiqua" w:eastAsia="Times New Roman" w:hAnsi="Book Antiqua" w:cstheme="majorBidi"/>
          <w:sz w:val="24"/>
          <w:szCs w:val="24"/>
          <w:shd w:val="clear" w:color="auto" w:fill="FFFFFF" w:themeFill="background1"/>
        </w:rPr>
        <w:t>, the following risk factors have been proposed to be associated with more liability for MPGN recurrence:</w:t>
      </w:r>
      <w:r w:rsidR="00DF361A" w:rsidRPr="00B727B0">
        <w:rPr>
          <w:rFonts w:ascii="Book Antiqua" w:eastAsia="宋体" w:hAnsi="Book Antiqua" w:cstheme="majorBidi"/>
          <w:sz w:val="24"/>
          <w:szCs w:val="24"/>
          <w:shd w:val="clear" w:color="auto" w:fill="FFFFFF" w:themeFill="background1"/>
          <w:lang w:eastAsia="zh-CN"/>
        </w:rPr>
        <w:t xml:space="preserve"> (1) </w:t>
      </w:r>
      <w:r w:rsidR="00DF361A" w:rsidRPr="00B727B0">
        <w:rPr>
          <w:rFonts w:ascii="Book Antiqua" w:eastAsia="Times New Roman" w:hAnsi="Book Antiqua" w:cstheme="majorBidi"/>
          <w:sz w:val="24"/>
          <w:szCs w:val="24"/>
          <w:shd w:val="clear" w:color="auto" w:fill="FFFFFF" w:themeFill="background1"/>
        </w:rPr>
        <w:t>p</w:t>
      </w:r>
      <w:r w:rsidR="00244DA1" w:rsidRPr="00B727B0">
        <w:rPr>
          <w:rFonts w:ascii="Book Antiqua" w:eastAsia="Times New Roman" w:hAnsi="Book Antiqua" w:cstheme="majorBidi"/>
          <w:sz w:val="24"/>
          <w:szCs w:val="24"/>
          <w:shd w:val="clear" w:color="auto" w:fill="FFFFFF" w:themeFill="background1"/>
        </w:rPr>
        <w:t>reemptive renal transp</w:t>
      </w:r>
      <w:r w:rsidR="004E2204" w:rsidRPr="00B727B0">
        <w:rPr>
          <w:rFonts w:ascii="Book Antiqua" w:eastAsia="Times New Roman" w:hAnsi="Book Antiqua" w:cstheme="majorBidi"/>
          <w:sz w:val="24"/>
          <w:szCs w:val="24"/>
          <w:shd w:val="clear" w:color="auto" w:fill="FFFFFF" w:themeFill="background1"/>
        </w:rPr>
        <w:t>lantation</w:t>
      </w:r>
      <w:r w:rsidR="00AE1D7C" w:rsidRPr="00B727B0">
        <w:rPr>
          <w:rFonts w:ascii="Book Antiqua" w:eastAsia="Times New Roman" w:hAnsi="Book Antiqua" w:cstheme="majorBidi"/>
          <w:sz w:val="24"/>
          <w:szCs w:val="24"/>
          <w:shd w:val="clear" w:color="auto" w:fill="FFFFFF" w:themeFill="background1"/>
          <w:vertAlign w:val="superscript"/>
        </w:rPr>
        <w:t>[30]</w:t>
      </w:r>
      <w:r w:rsidR="00DF361A" w:rsidRPr="00B727B0">
        <w:rPr>
          <w:rFonts w:ascii="Book Antiqua" w:eastAsia="宋体" w:hAnsi="Book Antiqua" w:cstheme="majorBidi"/>
          <w:sz w:val="24"/>
          <w:szCs w:val="24"/>
          <w:shd w:val="clear" w:color="auto" w:fill="FFFFFF" w:themeFill="background1"/>
          <w:lang w:eastAsia="zh-CN"/>
        </w:rPr>
        <w:t xml:space="preserve">; (2) </w:t>
      </w:r>
      <w:r w:rsidR="00DF361A" w:rsidRPr="00B727B0">
        <w:rPr>
          <w:rFonts w:ascii="Book Antiqua" w:eastAsia="Times New Roman" w:hAnsi="Book Antiqua" w:cstheme="majorBidi"/>
          <w:sz w:val="24"/>
          <w:szCs w:val="24"/>
          <w:shd w:val="clear" w:color="auto" w:fill="FFFFFF" w:themeFill="background1"/>
        </w:rPr>
        <w:t>t</w:t>
      </w:r>
      <w:r w:rsidR="004E2204" w:rsidRPr="00B727B0">
        <w:rPr>
          <w:rFonts w:ascii="Book Antiqua" w:eastAsia="Times New Roman" w:hAnsi="Book Antiqua" w:cstheme="majorBidi"/>
          <w:sz w:val="24"/>
          <w:szCs w:val="24"/>
          <w:shd w:val="clear" w:color="auto" w:fill="FFFFFF" w:themeFill="background1"/>
        </w:rPr>
        <w:t>he living related donation</w:t>
      </w:r>
      <w:r w:rsidR="00AE1D7C" w:rsidRPr="00B727B0">
        <w:rPr>
          <w:rFonts w:ascii="Book Antiqua" w:eastAsia="Times New Roman" w:hAnsi="Book Antiqua" w:cstheme="majorBidi"/>
          <w:sz w:val="24"/>
          <w:szCs w:val="24"/>
          <w:shd w:val="clear" w:color="auto" w:fill="FFFFFF" w:themeFill="background1"/>
          <w:vertAlign w:val="superscript"/>
        </w:rPr>
        <w:t>[30]</w:t>
      </w:r>
      <w:r w:rsidR="00DF361A" w:rsidRPr="00B727B0">
        <w:rPr>
          <w:rFonts w:ascii="Book Antiqua" w:eastAsia="宋体" w:hAnsi="Book Antiqua" w:cstheme="majorBidi"/>
          <w:sz w:val="24"/>
          <w:szCs w:val="24"/>
          <w:shd w:val="clear" w:color="auto" w:fill="FFFFFF" w:themeFill="background1"/>
          <w:lang w:eastAsia="zh-CN"/>
        </w:rPr>
        <w:t xml:space="preserve">; (3) </w:t>
      </w:r>
      <w:r w:rsidR="00DF361A" w:rsidRPr="00B727B0">
        <w:rPr>
          <w:rFonts w:ascii="Book Antiqua" w:eastAsia="Times New Roman" w:hAnsi="Book Antiqua" w:cstheme="majorBidi"/>
          <w:sz w:val="24"/>
          <w:szCs w:val="24"/>
          <w:shd w:val="clear" w:color="auto" w:fill="FFFFFF" w:themeFill="background1"/>
        </w:rPr>
        <w:t>p</w:t>
      </w:r>
      <w:r w:rsidR="00244DA1" w:rsidRPr="00B727B0">
        <w:rPr>
          <w:rFonts w:ascii="Book Antiqua" w:eastAsia="Times New Roman" w:hAnsi="Book Antiqua" w:cstheme="majorBidi"/>
          <w:sz w:val="24"/>
          <w:szCs w:val="24"/>
          <w:shd w:val="clear" w:color="auto" w:fill="FFFFFF" w:themeFill="background1"/>
        </w:rPr>
        <w:t>resence of monoclonal immunoglobulins</w:t>
      </w:r>
      <w:r w:rsidR="00AE1D7C" w:rsidRPr="00B727B0">
        <w:rPr>
          <w:rFonts w:ascii="Book Antiqua" w:eastAsia="Times New Roman" w:hAnsi="Book Antiqua" w:cstheme="majorBidi"/>
          <w:sz w:val="24"/>
          <w:szCs w:val="24"/>
          <w:shd w:val="clear" w:color="auto" w:fill="FFFFFF" w:themeFill="background1"/>
          <w:vertAlign w:val="superscript"/>
        </w:rPr>
        <w:t>[33]</w:t>
      </w:r>
      <w:r w:rsidR="00DF361A" w:rsidRPr="00B727B0">
        <w:rPr>
          <w:rFonts w:ascii="Book Antiqua" w:eastAsia="宋体" w:hAnsi="Book Antiqua" w:cstheme="majorBidi"/>
          <w:sz w:val="24"/>
          <w:szCs w:val="24"/>
          <w:shd w:val="clear" w:color="auto" w:fill="FFFFFF" w:themeFill="background1"/>
          <w:lang w:eastAsia="zh-CN"/>
        </w:rPr>
        <w:t xml:space="preserve">; (4) </w:t>
      </w:r>
      <w:r w:rsidR="00DF361A" w:rsidRPr="00B727B0">
        <w:rPr>
          <w:rFonts w:ascii="Book Antiqua" w:eastAsia="Times New Roman" w:hAnsi="Book Antiqua" w:cstheme="majorBidi"/>
          <w:sz w:val="24"/>
          <w:szCs w:val="24"/>
          <w:shd w:val="clear" w:color="auto" w:fill="FFFFFF" w:themeFill="background1"/>
        </w:rPr>
        <w:t>d</w:t>
      </w:r>
      <w:r w:rsidR="00244DA1" w:rsidRPr="00B727B0">
        <w:rPr>
          <w:rFonts w:ascii="Book Antiqua" w:eastAsia="Times New Roman" w:hAnsi="Book Antiqua" w:cstheme="majorBidi"/>
          <w:sz w:val="24"/>
          <w:szCs w:val="24"/>
          <w:shd w:val="clear" w:color="auto" w:fill="FFFFFF" w:themeFill="background1"/>
        </w:rPr>
        <w:t>iminished complement level</w:t>
      </w:r>
      <w:r w:rsidR="00A3371E" w:rsidRPr="00B727B0">
        <w:rPr>
          <w:rFonts w:ascii="Book Antiqua" w:eastAsia="Times New Roman" w:hAnsi="Book Antiqua" w:cstheme="majorBidi"/>
          <w:sz w:val="24"/>
          <w:szCs w:val="24"/>
          <w:shd w:val="clear" w:color="auto" w:fill="FFFFFF" w:themeFill="background1"/>
        </w:rPr>
        <w:t>s</w:t>
      </w:r>
      <w:r w:rsidR="00DF49EF" w:rsidRPr="00B727B0">
        <w:rPr>
          <w:rFonts w:ascii="Book Antiqua" w:eastAsia="Times New Roman" w:hAnsi="Book Antiqua" w:cstheme="majorBidi"/>
          <w:sz w:val="24"/>
          <w:szCs w:val="24"/>
          <w:shd w:val="clear" w:color="auto" w:fill="FFFFFF" w:themeFill="background1"/>
          <w:vertAlign w:val="superscript"/>
        </w:rPr>
        <w:t>[33]</w:t>
      </w:r>
      <w:r w:rsidR="00DF361A" w:rsidRPr="00B727B0">
        <w:rPr>
          <w:rFonts w:ascii="Book Antiqua" w:eastAsia="宋体" w:hAnsi="Book Antiqua" w:cstheme="majorBidi"/>
          <w:sz w:val="24"/>
          <w:szCs w:val="24"/>
          <w:shd w:val="clear" w:color="auto" w:fill="FFFFFF" w:themeFill="background1"/>
          <w:lang w:eastAsia="zh-CN"/>
        </w:rPr>
        <w:t xml:space="preserve">; (5) </w:t>
      </w:r>
      <w:r w:rsidR="00DF361A" w:rsidRPr="00B727B0">
        <w:rPr>
          <w:rFonts w:ascii="Book Antiqua" w:eastAsia="Times New Roman" w:hAnsi="Book Antiqua" w:cstheme="majorBidi"/>
          <w:sz w:val="24"/>
          <w:szCs w:val="24"/>
          <w:shd w:val="clear" w:color="auto" w:fill="FFFFFF" w:themeFill="background1"/>
        </w:rPr>
        <w:t>a</w:t>
      </w:r>
      <w:r w:rsidR="00244DA1" w:rsidRPr="00B727B0">
        <w:rPr>
          <w:rFonts w:ascii="Book Antiqua" w:eastAsia="Times New Roman" w:hAnsi="Book Antiqua" w:cstheme="majorBidi"/>
          <w:sz w:val="24"/>
          <w:szCs w:val="24"/>
          <w:shd w:val="clear" w:color="auto" w:fill="FFFFFF" w:themeFill="background1"/>
        </w:rPr>
        <w:t xml:space="preserve"> higher level of proteinuria</w:t>
      </w:r>
      <w:r w:rsidR="00AE1D7C" w:rsidRPr="00B727B0">
        <w:rPr>
          <w:rFonts w:ascii="Book Antiqua" w:eastAsia="Times New Roman" w:hAnsi="Book Antiqua" w:cstheme="majorBidi"/>
          <w:sz w:val="24"/>
          <w:szCs w:val="24"/>
          <w:shd w:val="clear" w:color="auto" w:fill="FFFFFF" w:themeFill="background1"/>
          <w:vertAlign w:val="superscript"/>
        </w:rPr>
        <w:t>[32]</w:t>
      </w:r>
      <w:r w:rsidR="00DF361A" w:rsidRPr="00B727B0">
        <w:rPr>
          <w:rFonts w:ascii="Book Antiqua" w:eastAsia="宋体" w:hAnsi="Book Antiqua" w:cstheme="majorBidi"/>
          <w:sz w:val="24"/>
          <w:szCs w:val="24"/>
          <w:shd w:val="clear" w:color="auto" w:fill="FFFFFF" w:themeFill="background1"/>
          <w:lang w:eastAsia="zh-CN"/>
        </w:rPr>
        <w:t xml:space="preserve">; (6) </w:t>
      </w:r>
      <w:r w:rsidR="00DF361A" w:rsidRPr="00B727B0">
        <w:rPr>
          <w:rFonts w:ascii="Book Antiqua" w:eastAsia="Times New Roman" w:hAnsi="Book Antiqua" w:cstheme="majorBidi"/>
          <w:sz w:val="24"/>
          <w:szCs w:val="24"/>
          <w:shd w:val="clear" w:color="auto" w:fill="FFFFFF" w:themeFill="background1"/>
        </w:rPr>
        <w:t>h</w:t>
      </w:r>
      <w:r w:rsidR="00244DA1" w:rsidRPr="00B727B0">
        <w:rPr>
          <w:rFonts w:ascii="Book Antiqua" w:eastAsia="Times New Roman" w:hAnsi="Book Antiqua" w:cstheme="majorBidi"/>
          <w:sz w:val="24"/>
          <w:szCs w:val="24"/>
          <w:shd w:val="clear" w:color="auto" w:fill="FFFFFF" w:themeFill="background1"/>
        </w:rPr>
        <w:t>uman leukocyte antigen type: HLA B8, DR 3</w:t>
      </w:r>
      <w:r w:rsidR="00AE1D7C" w:rsidRPr="00B727B0">
        <w:rPr>
          <w:rFonts w:ascii="Book Antiqua" w:eastAsia="Times New Roman" w:hAnsi="Book Antiqua" w:cstheme="majorBidi"/>
          <w:sz w:val="24"/>
          <w:szCs w:val="24"/>
          <w:shd w:val="clear" w:color="auto" w:fill="FFFFFF" w:themeFill="background1"/>
          <w:vertAlign w:val="superscript"/>
        </w:rPr>
        <w:t>[34]</w:t>
      </w:r>
      <w:r w:rsidR="00DF361A" w:rsidRPr="00B727B0">
        <w:rPr>
          <w:rFonts w:ascii="Book Antiqua" w:eastAsia="宋体" w:hAnsi="Book Antiqua" w:cstheme="majorBidi"/>
          <w:sz w:val="24"/>
          <w:szCs w:val="24"/>
          <w:lang w:eastAsia="zh-CN"/>
        </w:rPr>
        <w:t xml:space="preserve">; and (7) </w:t>
      </w:r>
      <w:r w:rsidR="00DF361A" w:rsidRPr="00B727B0">
        <w:rPr>
          <w:rFonts w:ascii="Book Antiqua" w:eastAsia="Times New Roman" w:hAnsi="Book Antiqua" w:cstheme="majorBidi"/>
          <w:sz w:val="24"/>
          <w:szCs w:val="24"/>
          <w:shd w:val="clear" w:color="auto" w:fill="FFFFFF" w:themeFill="background1"/>
        </w:rPr>
        <w:t>e</w:t>
      </w:r>
      <w:r w:rsidR="00244DA1" w:rsidRPr="00B727B0">
        <w:rPr>
          <w:rFonts w:ascii="Book Antiqua" w:eastAsia="Times New Roman" w:hAnsi="Book Antiqua" w:cstheme="majorBidi"/>
          <w:sz w:val="24"/>
          <w:szCs w:val="24"/>
          <w:shd w:val="clear" w:color="auto" w:fill="FFFFFF" w:themeFill="background1"/>
        </w:rPr>
        <w:t>vidence of c</w:t>
      </w:r>
      <w:r w:rsidR="009E6804" w:rsidRPr="00B727B0">
        <w:rPr>
          <w:rFonts w:ascii="Book Antiqua" w:eastAsia="Times New Roman" w:hAnsi="Book Antiqua" w:cstheme="majorBidi"/>
          <w:sz w:val="24"/>
          <w:szCs w:val="24"/>
          <w:shd w:val="clear" w:color="auto" w:fill="FFFFFF" w:themeFill="background1"/>
        </w:rPr>
        <w:t>rescents in the original biopsy</w:t>
      </w:r>
      <w:r w:rsidR="00DF49EF" w:rsidRPr="00B727B0">
        <w:rPr>
          <w:rFonts w:ascii="Book Antiqua" w:eastAsia="Times New Roman" w:hAnsi="Book Antiqua" w:cstheme="majorBidi"/>
          <w:sz w:val="24"/>
          <w:szCs w:val="24"/>
          <w:shd w:val="clear" w:color="auto" w:fill="FFFFFF" w:themeFill="background1"/>
          <w:vertAlign w:val="superscript"/>
        </w:rPr>
        <w:t>[34</w:t>
      </w:r>
      <w:r w:rsidR="004E2204" w:rsidRPr="00B727B0">
        <w:rPr>
          <w:rFonts w:ascii="Book Antiqua" w:hAnsi="Book Antiqua" w:cstheme="majorBidi"/>
          <w:sz w:val="24"/>
          <w:szCs w:val="24"/>
          <w:vertAlign w:val="superscript"/>
        </w:rPr>
        <w:t>]</w:t>
      </w:r>
      <w:r w:rsidR="00244DA1" w:rsidRPr="00B727B0">
        <w:rPr>
          <w:rFonts w:ascii="Book Antiqua" w:eastAsia="Times New Roman" w:hAnsi="Book Antiqua" w:cstheme="majorBidi"/>
          <w:sz w:val="24"/>
          <w:szCs w:val="24"/>
          <w:shd w:val="clear" w:color="auto" w:fill="FFFFFF" w:themeFill="background1"/>
        </w:rPr>
        <w:t>.</w:t>
      </w:r>
    </w:p>
    <w:p w14:paraId="4C135F3A" w14:textId="77777777" w:rsidR="00E56451" w:rsidRPr="00B727B0" w:rsidRDefault="00E56451" w:rsidP="007312CD">
      <w:pPr>
        <w:adjustRightInd w:val="0"/>
        <w:snapToGrid w:val="0"/>
        <w:spacing w:after="0" w:line="360" w:lineRule="auto"/>
        <w:jc w:val="both"/>
        <w:rPr>
          <w:rFonts w:ascii="Book Antiqua" w:eastAsia="宋体" w:hAnsi="Book Antiqua" w:cstheme="majorBidi"/>
          <w:i/>
          <w:sz w:val="24"/>
          <w:szCs w:val="24"/>
          <w:lang w:eastAsia="zh-CN"/>
        </w:rPr>
      </w:pPr>
    </w:p>
    <w:p w14:paraId="760C4F86" w14:textId="439E1095" w:rsidR="00587FF1" w:rsidRPr="00B727B0" w:rsidRDefault="00587FF1" w:rsidP="007312CD">
      <w:pPr>
        <w:adjustRightInd w:val="0"/>
        <w:snapToGrid w:val="0"/>
        <w:spacing w:after="0" w:line="360" w:lineRule="auto"/>
        <w:jc w:val="both"/>
        <w:rPr>
          <w:rFonts w:ascii="Book Antiqua" w:hAnsi="Book Antiqua" w:cstheme="majorBidi"/>
          <w:sz w:val="24"/>
          <w:szCs w:val="24"/>
        </w:rPr>
      </w:pPr>
      <w:r w:rsidRPr="00B727B0">
        <w:rPr>
          <w:rFonts w:ascii="Book Antiqua" w:eastAsia="Times New Roman" w:hAnsi="Book Antiqua" w:cstheme="majorBidi"/>
          <w:b/>
          <w:sz w:val="24"/>
          <w:szCs w:val="24"/>
        </w:rPr>
        <w:t>Impact of HLA typing o</w:t>
      </w:r>
      <w:r w:rsidR="00E56451" w:rsidRPr="00B727B0">
        <w:rPr>
          <w:rFonts w:ascii="Book Antiqua" w:eastAsia="Times New Roman" w:hAnsi="Book Antiqua" w:cstheme="majorBidi"/>
          <w:b/>
          <w:sz w:val="24"/>
          <w:szCs w:val="24"/>
        </w:rPr>
        <w:t>n prevalence of MPGN recurrence</w:t>
      </w:r>
      <w:r w:rsidR="0041119E" w:rsidRPr="00B727B0">
        <w:rPr>
          <w:rFonts w:ascii="Book Antiqua" w:eastAsia="宋体" w:hAnsi="Book Antiqua" w:cstheme="majorBidi"/>
          <w:b/>
          <w:sz w:val="24"/>
          <w:szCs w:val="24"/>
          <w:lang w:eastAsia="zh-CN"/>
        </w:rPr>
        <w:t xml:space="preserve">: </w:t>
      </w:r>
      <w:r w:rsidRPr="00B727B0">
        <w:rPr>
          <w:rFonts w:ascii="Book Antiqua" w:hAnsi="Book Antiqua" w:cstheme="majorBidi"/>
          <w:sz w:val="24"/>
          <w:szCs w:val="24"/>
        </w:rPr>
        <w:t xml:space="preserve">Green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DF361A" w:rsidRPr="00B727B0">
        <w:rPr>
          <w:rFonts w:ascii="Book Antiqua" w:hAnsi="Book Antiqua" w:cstheme="majorBidi"/>
          <w:sz w:val="24"/>
          <w:szCs w:val="24"/>
          <w:vertAlign w:val="superscript"/>
        </w:rPr>
        <w:t>[</w:t>
      </w:r>
      <w:proofErr w:type="gramEnd"/>
      <w:r w:rsidR="00DF361A" w:rsidRPr="00B727B0">
        <w:rPr>
          <w:rFonts w:ascii="Book Antiqua" w:hAnsi="Book Antiqua" w:cstheme="majorBidi"/>
          <w:sz w:val="24"/>
          <w:szCs w:val="24"/>
          <w:vertAlign w:val="superscript"/>
        </w:rPr>
        <w:t>24]</w:t>
      </w:r>
      <w:r w:rsidR="00DF361A" w:rsidRPr="00B727B0">
        <w:rPr>
          <w:rFonts w:ascii="Book Antiqua" w:hAnsi="Book Antiqua" w:cstheme="majorBidi"/>
          <w:sz w:val="24"/>
          <w:szCs w:val="24"/>
        </w:rPr>
        <w:t xml:space="preserve"> </w:t>
      </w:r>
      <w:r w:rsidRPr="00B727B0">
        <w:rPr>
          <w:rFonts w:ascii="Book Antiqua" w:hAnsi="Book Antiqua" w:cstheme="majorBidi"/>
          <w:sz w:val="24"/>
          <w:szCs w:val="24"/>
        </w:rPr>
        <w:t xml:space="preserve">(2013) concluded that the risk of recurrence is higher in MPGN type I, with certain </w:t>
      </w:r>
      <w:r w:rsidRPr="00B727B0">
        <w:rPr>
          <w:rFonts w:ascii="Book Antiqua" w:hAnsi="Book Antiqua" w:cstheme="majorBidi"/>
          <w:sz w:val="24"/>
          <w:szCs w:val="24"/>
          <w:shd w:val="clear" w:color="auto" w:fill="FFFFFF" w:themeFill="background1"/>
        </w:rPr>
        <w:t>Human leukocyte antigen</w:t>
      </w:r>
      <w:r w:rsidR="00DF361A" w:rsidRPr="00B727B0">
        <w:rPr>
          <w:rFonts w:ascii="Book Antiqua" w:eastAsia="宋体" w:hAnsi="Book Antiqua" w:cstheme="majorBidi"/>
          <w:sz w:val="24"/>
          <w:szCs w:val="24"/>
          <w:shd w:val="clear" w:color="auto" w:fill="FFFFFF" w:themeFill="background1"/>
          <w:lang w:eastAsia="zh-CN"/>
        </w:rPr>
        <w:t>,</w:t>
      </w:r>
      <w:r w:rsidR="00A3371E" w:rsidRPr="00B727B0">
        <w:rPr>
          <w:rFonts w:ascii="Book Antiqua" w:hAnsi="Book Antiqua" w:cstheme="majorBidi"/>
          <w:sz w:val="24"/>
          <w:szCs w:val="24"/>
        </w:rPr>
        <w:t xml:space="preserve"> </w:t>
      </w:r>
      <w:r w:rsidR="00DF361A" w:rsidRPr="00B727B0">
        <w:rPr>
          <w:rFonts w:ascii="Book Antiqua" w:hAnsi="Book Antiqua" w:cstheme="majorBidi"/>
          <w:i/>
          <w:sz w:val="24"/>
          <w:szCs w:val="24"/>
        </w:rPr>
        <w:t>i.e.</w:t>
      </w:r>
      <w:r w:rsidR="00DF361A" w:rsidRPr="00B727B0">
        <w:rPr>
          <w:rFonts w:ascii="Book Antiqua" w:eastAsia="宋体" w:hAnsi="Book Antiqua" w:cstheme="majorBidi"/>
          <w:sz w:val="24"/>
          <w:szCs w:val="24"/>
          <w:lang w:eastAsia="zh-CN"/>
        </w:rPr>
        <w:t>,</w:t>
      </w:r>
      <w:r w:rsidR="009E6804" w:rsidRPr="00B727B0">
        <w:rPr>
          <w:rFonts w:ascii="Book Antiqua" w:hAnsi="Book Antiqua" w:cstheme="majorBidi"/>
          <w:sz w:val="24"/>
          <w:szCs w:val="24"/>
        </w:rPr>
        <w:t xml:space="preserve"> HLA B49, HLA DR4</w:t>
      </w:r>
      <w:r w:rsidRPr="00B727B0">
        <w:rPr>
          <w:rFonts w:ascii="Book Antiqua" w:hAnsi="Book Antiqua" w:cstheme="majorBidi"/>
          <w:sz w:val="24"/>
          <w:szCs w:val="24"/>
        </w:rPr>
        <w:t>.</w:t>
      </w:r>
      <w:r w:rsidR="00E56451" w:rsidRPr="00B727B0">
        <w:rPr>
          <w:rFonts w:ascii="Book Antiqua" w:eastAsia="宋体" w:hAnsi="Book Antiqua" w:cstheme="majorBidi"/>
          <w:sz w:val="24"/>
          <w:szCs w:val="24"/>
          <w:lang w:eastAsia="zh-CN"/>
        </w:rPr>
        <w:t xml:space="preserve"> </w:t>
      </w:r>
      <w:r w:rsidRPr="00B727B0">
        <w:rPr>
          <w:rFonts w:ascii="Book Antiqua" w:hAnsi="Book Antiqua"/>
          <w:sz w:val="24"/>
          <w:szCs w:val="24"/>
        </w:rPr>
        <w:t xml:space="preserve">Andresdottir </w:t>
      </w:r>
      <w:r w:rsidR="00DF361A" w:rsidRPr="00B727B0">
        <w:rPr>
          <w:rFonts w:ascii="Book Antiqua" w:hAnsi="Book Antiqua" w:cstheme="majorBidi"/>
          <w:sz w:val="24"/>
          <w:szCs w:val="24"/>
        </w:rPr>
        <w:t>et</w:t>
      </w:r>
      <w:r w:rsidR="00DF361A" w:rsidRPr="00B727B0">
        <w:rPr>
          <w:rFonts w:ascii="Book Antiqua" w:hAnsi="Book Antiqua" w:cstheme="majorBidi"/>
          <w:i/>
          <w:sz w:val="24"/>
          <w:szCs w:val="24"/>
        </w:rPr>
        <w:t xml:space="preserve"> </w:t>
      </w:r>
      <w:proofErr w:type="gramStart"/>
      <w:r w:rsidR="00DF361A" w:rsidRPr="00B727B0">
        <w:rPr>
          <w:rFonts w:ascii="Book Antiqua" w:hAnsi="Book Antiqua" w:cstheme="majorBidi"/>
          <w:i/>
          <w:sz w:val="24"/>
          <w:szCs w:val="24"/>
        </w:rPr>
        <w:t>al</w:t>
      </w:r>
      <w:r w:rsidR="00DF361A" w:rsidRPr="00B727B0">
        <w:rPr>
          <w:rFonts w:ascii="Book Antiqua" w:hAnsi="Book Antiqua" w:cstheme="majorBidi"/>
          <w:sz w:val="24"/>
          <w:szCs w:val="24"/>
          <w:vertAlign w:val="superscript"/>
        </w:rPr>
        <w:t>[</w:t>
      </w:r>
      <w:proofErr w:type="gramEnd"/>
      <w:r w:rsidR="00DF361A" w:rsidRPr="00B727B0">
        <w:rPr>
          <w:rFonts w:ascii="Book Antiqua" w:hAnsi="Book Antiqua" w:cstheme="majorBidi"/>
          <w:sz w:val="24"/>
          <w:szCs w:val="24"/>
          <w:vertAlign w:val="superscript"/>
        </w:rPr>
        <w:t>34]</w:t>
      </w:r>
      <w:r w:rsidRPr="00B727B0">
        <w:rPr>
          <w:rFonts w:ascii="Book Antiqua" w:hAnsi="Book Antiqua" w:cstheme="majorBidi"/>
          <w:sz w:val="24"/>
          <w:szCs w:val="24"/>
        </w:rPr>
        <w:t xml:space="preserve"> (1997) reported an increased risk of recurrence </w:t>
      </w:r>
      <w:r w:rsidR="00BC4B04" w:rsidRPr="00B727B0">
        <w:rPr>
          <w:rFonts w:ascii="Book Antiqua" w:hAnsi="Book Antiqua" w:cstheme="majorBidi"/>
          <w:sz w:val="24"/>
          <w:szCs w:val="24"/>
        </w:rPr>
        <w:t xml:space="preserve">of MBGN type I </w:t>
      </w:r>
      <w:r w:rsidRPr="00B727B0">
        <w:rPr>
          <w:rFonts w:ascii="Book Antiqua" w:hAnsi="Book Antiqua" w:cstheme="majorBidi"/>
          <w:sz w:val="24"/>
          <w:szCs w:val="24"/>
        </w:rPr>
        <w:t>was observed in patients with the HLA haplotype B8 DR3.</w:t>
      </w:r>
    </w:p>
    <w:p w14:paraId="5153CF86" w14:textId="77777777" w:rsidR="00587FF1" w:rsidRPr="00B727B0" w:rsidRDefault="00587FF1" w:rsidP="007312CD">
      <w:pPr>
        <w:shd w:val="clear" w:color="auto" w:fill="FFFFFF" w:themeFill="background1"/>
        <w:adjustRightInd w:val="0"/>
        <w:snapToGrid w:val="0"/>
        <w:spacing w:after="0" w:line="360" w:lineRule="auto"/>
        <w:jc w:val="both"/>
        <w:rPr>
          <w:rFonts w:ascii="Book Antiqua" w:eastAsia="宋体" w:hAnsi="Book Antiqua" w:cstheme="majorBidi"/>
          <w:sz w:val="24"/>
          <w:szCs w:val="24"/>
          <w:shd w:val="clear" w:color="auto" w:fill="FFFFFF" w:themeFill="background1"/>
          <w:lang w:eastAsia="zh-CN"/>
        </w:rPr>
      </w:pPr>
    </w:p>
    <w:p w14:paraId="040E7734" w14:textId="44966E32" w:rsidR="00E56451" w:rsidRPr="00B727B0" w:rsidRDefault="0041119E"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b/>
          <w:sz w:val="24"/>
          <w:szCs w:val="24"/>
        </w:rPr>
        <w:lastRenderedPageBreak/>
        <w:t>GRAFT SURVIVAL IN “RECURRENT MN”</w:t>
      </w:r>
    </w:p>
    <w:p w14:paraId="2FD32A00" w14:textId="5F6FCDDF" w:rsidR="00E56451" w:rsidRPr="00B727B0" w:rsidRDefault="00244DA1"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 xml:space="preserve">The recurrence of primary MN after renal transplantation is obviously has </w:t>
      </w:r>
      <w:r w:rsidR="0061388D" w:rsidRPr="00B727B0">
        <w:rPr>
          <w:rFonts w:ascii="Book Antiqua" w:hAnsi="Book Antiqua" w:cstheme="majorBidi"/>
          <w:sz w:val="24"/>
          <w:szCs w:val="24"/>
        </w:rPr>
        <w:t>deleterious</w:t>
      </w:r>
      <w:r w:rsidRPr="00B727B0">
        <w:rPr>
          <w:rFonts w:ascii="Book Antiqua" w:hAnsi="Book Antiqua" w:cstheme="majorBidi"/>
          <w:sz w:val="24"/>
          <w:szCs w:val="24"/>
        </w:rPr>
        <w:t xml:space="preserve"> impact on graft survival. For better evaluation of the death censored survival, timing of GN recurrence should be </w:t>
      </w:r>
      <w:proofErr w:type="gramStart"/>
      <w:r w:rsidRPr="00B727B0">
        <w:rPr>
          <w:rFonts w:ascii="Book Antiqua" w:hAnsi="Book Antiqua" w:cstheme="majorBidi"/>
          <w:sz w:val="24"/>
          <w:szCs w:val="24"/>
        </w:rPr>
        <w:t>considered</w:t>
      </w:r>
      <w:r w:rsidR="00D77890" w:rsidRPr="00B727B0">
        <w:rPr>
          <w:rFonts w:ascii="Book Antiqua" w:hAnsi="Book Antiqua" w:cstheme="majorBidi"/>
          <w:sz w:val="24"/>
          <w:szCs w:val="24"/>
          <w:vertAlign w:val="superscript"/>
        </w:rPr>
        <w:t>[</w:t>
      </w:r>
      <w:proofErr w:type="gramEnd"/>
      <w:r w:rsidR="00492813" w:rsidRPr="00B727B0">
        <w:rPr>
          <w:rFonts w:ascii="Book Antiqua" w:hAnsi="Book Antiqua" w:cstheme="majorBidi"/>
          <w:sz w:val="24"/>
          <w:szCs w:val="24"/>
          <w:vertAlign w:val="superscript"/>
        </w:rPr>
        <w:t>17</w:t>
      </w:r>
      <w:r w:rsidR="00D77890" w:rsidRPr="00B727B0">
        <w:rPr>
          <w:rFonts w:ascii="Book Antiqua" w:hAnsi="Book Antiqua" w:cstheme="majorBidi"/>
          <w:sz w:val="24"/>
          <w:szCs w:val="24"/>
          <w:vertAlign w:val="superscript"/>
        </w:rPr>
        <w:t>]</w:t>
      </w:r>
      <w:r w:rsidRPr="00B727B0">
        <w:rPr>
          <w:rFonts w:ascii="Book Antiqua" w:hAnsi="Book Antiqua" w:cstheme="majorBidi"/>
          <w:sz w:val="24"/>
          <w:szCs w:val="24"/>
        </w:rPr>
        <w:t>.</w:t>
      </w:r>
      <w:r w:rsidR="00F305E4">
        <w:rPr>
          <w:rFonts w:ascii="Book Antiqua" w:hAnsi="Book Antiqua" w:cstheme="majorBidi"/>
          <w:sz w:val="24"/>
          <w:szCs w:val="24"/>
        </w:rPr>
        <w:t xml:space="preserve"> </w:t>
      </w:r>
    </w:p>
    <w:p w14:paraId="20435420" w14:textId="77777777" w:rsidR="00E56451" w:rsidRPr="00B727B0" w:rsidRDefault="00E56451" w:rsidP="007312CD">
      <w:pPr>
        <w:adjustRightInd w:val="0"/>
        <w:snapToGrid w:val="0"/>
        <w:spacing w:after="0" w:line="360" w:lineRule="auto"/>
        <w:jc w:val="both"/>
        <w:rPr>
          <w:rFonts w:ascii="Book Antiqua" w:eastAsia="宋体" w:hAnsi="Book Antiqua" w:cstheme="majorBidi"/>
          <w:sz w:val="24"/>
          <w:szCs w:val="24"/>
          <w:lang w:eastAsia="zh-CN"/>
        </w:rPr>
      </w:pPr>
    </w:p>
    <w:p w14:paraId="4BB17935" w14:textId="5996CFE5" w:rsidR="00244DA1" w:rsidRPr="00B727B0" w:rsidRDefault="00244DA1" w:rsidP="007312CD">
      <w:pPr>
        <w:adjustRightInd w:val="0"/>
        <w:snapToGrid w:val="0"/>
        <w:spacing w:after="0" w:line="360" w:lineRule="auto"/>
        <w:jc w:val="both"/>
        <w:rPr>
          <w:rFonts w:ascii="Book Antiqua" w:hAnsi="Book Antiqua" w:cstheme="majorBidi"/>
          <w:sz w:val="24"/>
          <w:szCs w:val="24"/>
          <w:rtl/>
          <w:lang w:bidi="ar-EG"/>
        </w:rPr>
      </w:pPr>
      <w:r w:rsidRPr="00B727B0">
        <w:rPr>
          <w:rFonts w:ascii="Book Antiqua" w:hAnsi="Book Antiqua" w:cstheme="majorBidi"/>
          <w:b/>
          <w:sz w:val="24"/>
          <w:szCs w:val="24"/>
        </w:rPr>
        <w:t>Anti-PLA2R autoantibodies in re</w:t>
      </w:r>
      <w:r w:rsidR="00E56451" w:rsidRPr="00B727B0">
        <w:rPr>
          <w:rFonts w:ascii="Book Antiqua" w:hAnsi="Book Antiqua" w:cstheme="majorBidi"/>
          <w:b/>
          <w:sz w:val="24"/>
          <w:szCs w:val="24"/>
        </w:rPr>
        <w:t>current MN and graft survival</w:t>
      </w:r>
      <w:r w:rsidR="0041119E" w:rsidRPr="00B727B0">
        <w:rPr>
          <w:rFonts w:ascii="Book Antiqua" w:eastAsia="宋体" w:hAnsi="Book Antiqua" w:cstheme="majorBidi"/>
          <w:b/>
          <w:sz w:val="24"/>
          <w:szCs w:val="24"/>
          <w:lang w:eastAsia="zh-CN"/>
        </w:rPr>
        <w:t xml:space="preserve">: </w:t>
      </w:r>
      <w:r w:rsidRPr="00B727B0">
        <w:rPr>
          <w:rFonts w:ascii="Book Antiqua" w:hAnsi="Book Antiqua" w:cstheme="majorBidi"/>
          <w:sz w:val="24"/>
          <w:szCs w:val="24"/>
        </w:rPr>
        <w:t>The pivotal role of anti-phospholipase A2 receptor (PLA2R) auto antibodies in the pathogenesis of primary MN before as well as after renal transplantation has an impressing popularity. The prevalence of anti-PLA2R antibodies in primary MN is approaching 70% and nearly the same percentage in RTR (70</w:t>
      </w:r>
      <w:r w:rsidR="007A0A73" w:rsidRPr="00B727B0">
        <w:rPr>
          <w:rFonts w:ascii="Book Antiqua" w:hAnsi="Book Antiqua" w:cstheme="majorBidi"/>
          <w:sz w:val="24"/>
          <w:szCs w:val="24"/>
        </w:rPr>
        <w:t>%</w:t>
      </w:r>
      <w:r w:rsidRPr="00B727B0">
        <w:rPr>
          <w:rFonts w:ascii="Book Antiqua" w:hAnsi="Book Antiqua" w:cstheme="majorBidi"/>
          <w:sz w:val="24"/>
          <w:szCs w:val="24"/>
        </w:rPr>
        <w:t>-80%)</w:t>
      </w:r>
      <w:r w:rsidR="00D77890" w:rsidRPr="00DB3305">
        <w:rPr>
          <w:rFonts w:ascii="Book Antiqua" w:hAnsi="Book Antiqua" w:cstheme="majorBidi"/>
          <w:sz w:val="24"/>
          <w:szCs w:val="24"/>
          <w:vertAlign w:val="superscript"/>
        </w:rPr>
        <w:t>[1</w:t>
      </w:r>
      <w:r w:rsidR="00492813" w:rsidRPr="00DB3305">
        <w:rPr>
          <w:rFonts w:ascii="Book Antiqua" w:hAnsi="Book Antiqua" w:cstheme="majorBidi"/>
          <w:sz w:val="24"/>
          <w:szCs w:val="24"/>
          <w:vertAlign w:val="superscript"/>
        </w:rPr>
        <w:t>7</w:t>
      </w:r>
      <w:r w:rsidR="00DB3305" w:rsidRPr="00DB3305">
        <w:rPr>
          <w:rFonts w:ascii="Book Antiqua" w:eastAsia="宋体" w:hAnsi="Book Antiqua" w:cstheme="majorBidi"/>
          <w:sz w:val="24"/>
          <w:szCs w:val="24"/>
          <w:vertAlign w:val="superscript"/>
          <w:lang w:eastAsia="zh-CN"/>
        </w:rPr>
        <w:t>,</w:t>
      </w:r>
      <w:r w:rsidR="00DF361A" w:rsidRPr="00DB3305">
        <w:rPr>
          <w:rFonts w:ascii="Book Antiqua" w:eastAsia="宋体" w:hAnsi="Book Antiqua" w:cstheme="majorBidi"/>
          <w:sz w:val="24"/>
          <w:szCs w:val="24"/>
          <w:vertAlign w:val="superscript"/>
          <w:lang w:eastAsia="zh-CN"/>
        </w:rPr>
        <w:t>35,36</w:t>
      </w:r>
      <w:r w:rsidR="00D77890" w:rsidRPr="00DB3305">
        <w:rPr>
          <w:rFonts w:ascii="Book Antiqua" w:hAnsi="Book Antiqua" w:cstheme="majorBidi"/>
          <w:sz w:val="24"/>
          <w:szCs w:val="24"/>
          <w:vertAlign w:val="superscript"/>
        </w:rPr>
        <w:t>]</w:t>
      </w:r>
      <w:r w:rsidR="00A023D1" w:rsidRPr="00B727B0">
        <w:rPr>
          <w:rFonts w:ascii="Book Antiqua" w:hAnsi="Book Antiqua" w:cstheme="majorBidi"/>
          <w:sz w:val="24"/>
          <w:szCs w:val="24"/>
        </w:rPr>
        <w:t>,</w:t>
      </w:r>
      <w:r w:rsidRPr="00B727B0">
        <w:rPr>
          <w:rFonts w:ascii="Book Antiqua" w:hAnsi="Book Antiqua" w:cstheme="majorBidi"/>
          <w:sz w:val="24"/>
          <w:szCs w:val="24"/>
        </w:rPr>
        <w:t xml:space="preserve"> with about half of the patients are liable for recurrence after renal transplantation</w:t>
      </w:r>
      <w:r w:rsidR="00D77890" w:rsidRPr="00F305E4">
        <w:rPr>
          <w:rFonts w:ascii="Book Antiqua" w:hAnsi="Book Antiqua" w:cstheme="majorBidi"/>
          <w:sz w:val="24"/>
          <w:szCs w:val="24"/>
          <w:vertAlign w:val="superscript"/>
        </w:rPr>
        <w:t>[</w:t>
      </w:r>
      <w:r w:rsidR="00492813" w:rsidRPr="00F305E4">
        <w:rPr>
          <w:rFonts w:ascii="Book Antiqua" w:hAnsi="Book Antiqua" w:cstheme="majorBidi"/>
          <w:sz w:val="24"/>
          <w:szCs w:val="24"/>
          <w:vertAlign w:val="superscript"/>
        </w:rPr>
        <w:t>17</w:t>
      </w:r>
      <w:r w:rsidR="00DF361A" w:rsidRPr="00F305E4">
        <w:rPr>
          <w:rFonts w:ascii="Book Antiqua" w:hAnsi="Book Antiqua" w:cstheme="majorBidi"/>
          <w:sz w:val="24"/>
          <w:szCs w:val="24"/>
          <w:vertAlign w:val="superscript"/>
        </w:rPr>
        <w:t>,</w:t>
      </w:r>
      <w:r w:rsidR="00DF361A" w:rsidRPr="00F305E4">
        <w:rPr>
          <w:rFonts w:ascii="Book Antiqua" w:eastAsia="宋体" w:hAnsi="Book Antiqua" w:cstheme="majorBidi"/>
          <w:sz w:val="24"/>
          <w:szCs w:val="24"/>
          <w:vertAlign w:val="superscript"/>
          <w:lang w:eastAsia="zh-CN"/>
        </w:rPr>
        <w:t>3</w:t>
      </w:r>
      <w:r w:rsidR="00DF49EF" w:rsidRPr="00F305E4">
        <w:rPr>
          <w:rFonts w:ascii="Book Antiqua" w:hAnsi="Book Antiqua" w:cstheme="majorBidi"/>
          <w:sz w:val="24"/>
          <w:szCs w:val="24"/>
          <w:vertAlign w:val="superscript"/>
        </w:rPr>
        <w:t>7]</w:t>
      </w:r>
      <w:r w:rsidRPr="00B727B0">
        <w:rPr>
          <w:rFonts w:ascii="Book Antiqua" w:hAnsi="Book Antiqua" w:cstheme="majorBidi"/>
          <w:sz w:val="24"/>
          <w:szCs w:val="24"/>
        </w:rPr>
        <w:t>. Patients with anti-PLA2R antibodies before transplantation have a 60</w:t>
      </w:r>
      <w:r w:rsidR="00DF361A" w:rsidRPr="00B727B0">
        <w:rPr>
          <w:rFonts w:ascii="Book Antiqua" w:eastAsia="宋体" w:hAnsi="Book Antiqua" w:cstheme="majorBidi"/>
          <w:sz w:val="24"/>
          <w:szCs w:val="24"/>
          <w:lang w:eastAsia="zh-CN"/>
        </w:rPr>
        <w:t>%</w:t>
      </w:r>
      <w:r w:rsidRPr="00B727B0">
        <w:rPr>
          <w:rFonts w:ascii="Book Antiqua" w:hAnsi="Book Antiqua" w:cstheme="majorBidi"/>
          <w:sz w:val="24"/>
          <w:szCs w:val="24"/>
        </w:rPr>
        <w:t>-76% chance of histologic recurrence, while absence of these autoantibodies decreases their risk</w:t>
      </w:r>
      <w:r w:rsidR="00DF361A" w:rsidRPr="00B727B0">
        <w:rPr>
          <w:rFonts w:ascii="Book Antiqua" w:hAnsi="Book Antiqua" w:cstheme="majorBidi"/>
          <w:sz w:val="24"/>
          <w:szCs w:val="24"/>
        </w:rPr>
        <w:t xml:space="preserve"> of recurrence to less than 30</w:t>
      </w:r>
      <w:proofErr w:type="gramStart"/>
      <w:r w:rsidR="00DF361A" w:rsidRPr="00B727B0">
        <w:rPr>
          <w:rFonts w:ascii="Book Antiqua" w:hAnsi="Book Antiqua" w:cstheme="majorBidi"/>
          <w:sz w:val="24"/>
          <w:szCs w:val="24"/>
        </w:rPr>
        <w:t>%</w:t>
      </w:r>
      <w:r w:rsidR="00F04AEF" w:rsidRPr="00DB3305">
        <w:rPr>
          <w:rFonts w:ascii="Book Antiqua" w:hAnsi="Book Antiqua" w:cstheme="majorBidi"/>
          <w:sz w:val="24"/>
          <w:szCs w:val="24"/>
          <w:vertAlign w:val="superscript"/>
        </w:rPr>
        <w:t>[</w:t>
      </w:r>
      <w:proofErr w:type="gramEnd"/>
      <w:r w:rsidR="00492813" w:rsidRPr="00DB3305">
        <w:rPr>
          <w:rFonts w:ascii="Book Antiqua" w:hAnsi="Book Antiqua" w:cstheme="majorBidi"/>
          <w:sz w:val="24"/>
          <w:szCs w:val="24"/>
          <w:vertAlign w:val="superscript"/>
        </w:rPr>
        <w:t>17</w:t>
      </w:r>
      <w:r w:rsidR="00DF361A" w:rsidRPr="00DB3305">
        <w:rPr>
          <w:rFonts w:ascii="Book Antiqua" w:hAnsi="Book Antiqua" w:cstheme="majorBidi"/>
          <w:sz w:val="24"/>
          <w:szCs w:val="24"/>
          <w:vertAlign w:val="superscript"/>
        </w:rPr>
        <w:t>,</w:t>
      </w:r>
      <w:r w:rsidR="00AE1D7C" w:rsidRPr="00DB3305">
        <w:rPr>
          <w:rFonts w:ascii="Book Antiqua" w:hAnsi="Book Antiqua" w:cstheme="majorBidi"/>
          <w:sz w:val="24"/>
          <w:szCs w:val="24"/>
          <w:vertAlign w:val="superscript"/>
        </w:rPr>
        <w:t>36</w:t>
      </w:r>
      <w:r w:rsidR="00DF361A" w:rsidRPr="00DB3305">
        <w:rPr>
          <w:rFonts w:ascii="Book Antiqua" w:hAnsi="Book Antiqua" w:cstheme="majorBidi"/>
          <w:sz w:val="24"/>
          <w:szCs w:val="24"/>
          <w:vertAlign w:val="superscript"/>
        </w:rPr>
        <w:t>,</w:t>
      </w:r>
      <w:r w:rsidR="00AE1D7C" w:rsidRPr="00DB3305">
        <w:rPr>
          <w:rFonts w:ascii="Book Antiqua" w:hAnsi="Book Antiqua" w:cstheme="majorBidi"/>
          <w:sz w:val="24"/>
          <w:szCs w:val="24"/>
          <w:vertAlign w:val="superscript"/>
        </w:rPr>
        <w:t>38</w:t>
      </w:r>
      <w:r w:rsidR="00DF361A" w:rsidRPr="00DB3305">
        <w:rPr>
          <w:rFonts w:ascii="Book Antiqua" w:hAnsi="Book Antiqua" w:cstheme="majorBidi"/>
          <w:sz w:val="24"/>
          <w:szCs w:val="24"/>
          <w:vertAlign w:val="superscript"/>
        </w:rPr>
        <w:t>,</w:t>
      </w:r>
      <w:r w:rsidR="00DF49EF" w:rsidRPr="00DB3305">
        <w:rPr>
          <w:rFonts w:ascii="Book Antiqua" w:hAnsi="Book Antiqua" w:cstheme="majorBidi"/>
          <w:sz w:val="24"/>
          <w:szCs w:val="24"/>
          <w:vertAlign w:val="superscript"/>
        </w:rPr>
        <w:t>39</w:t>
      </w:r>
      <w:r w:rsidR="00AE1D7C" w:rsidRPr="00DB3305">
        <w:rPr>
          <w:rFonts w:ascii="Book Antiqua" w:hAnsi="Book Antiqua" w:cstheme="majorBidi"/>
          <w:sz w:val="24"/>
          <w:szCs w:val="24"/>
          <w:vertAlign w:val="superscript"/>
        </w:rPr>
        <w:t>]</w:t>
      </w:r>
      <w:r w:rsidR="00A023D1" w:rsidRPr="00B727B0">
        <w:rPr>
          <w:rFonts w:ascii="Book Antiqua" w:hAnsi="Book Antiqua" w:cstheme="majorBidi"/>
          <w:sz w:val="24"/>
          <w:szCs w:val="24"/>
        </w:rPr>
        <w:t xml:space="preserve">. </w:t>
      </w:r>
      <w:r w:rsidRPr="00B727B0">
        <w:rPr>
          <w:rFonts w:ascii="Book Antiqua" w:hAnsi="Book Antiqua" w:cstheme="majorBidi"/>
          <w:sz w:val="24"/>
          <w:szCs w:val="24"/>
        </w:rPr>
        <w:t xml:space="preserve">After transplantation the anti-PLA2R antibodies absorbed rapidly into the allograft and as a result of decreased antibodies production due to the immunosuppression medications leading to decline of their level in up to 50% of </w:t>
      </w:r>
      <w:proofErr w:type="gramStart"/>
      <w:r w:rsidRPr="00B727B0">
        <w:rPr>
          <w:rFonts w:ascii="Book Antiqua" w:hAnsi="Book Antiqua" w:cstheme="majorBidi"/>
          <w:sz w:val="24"/>
          <w:szCs w:val="24"/>
        </w:rPr>
        <w:t>patients</w:t>
      </w:r>
      <w:r w:rsidR="00A14522" w:rsidRPr="00F305E4">
        <w:rPr>
          <w:rFonts w:ascii="Book Antiqua" w:hAnsi="Book Antiqua" w:cstheme="majorBidi"/>
          <w:sz w:val="24"/>
          <w:szCs w:val="24"/>
          <w:vertAlign w:val="superscript"/>
        </w:rPr>
        <w:t>[</w:t>
      </w:r>
      <w:proofErr w:type="gramEnd"/>
      <w:r w:rsidR="00A14522" w:rsidRPr="00F305E4">
        <w:rPr>
          <w:rFonts w:ascii="Book Antiqua" w:hAnsi="Book Antiqua" w:cstheme="majorBidi"/>
          <w:sz w:val="24"/>
          <w:szCs w:val="24"/>
          <w:vertAlign w:val="superscript"/>
        </w:rPr>
        <w:t>36]</w:t>
      </w:r>
      <w:r w:rsidR="00A023D1" w:rsidRPr="00B727B0">
        <w:rPr>
          <w:rFonts w:ascii="Book Antiqua" w:hAnsi="Book Antiqua" w:cstheme="majorBidi"/>
          <w:sz w:val="24"/>
          <w:szCs w:val="24"/>
        </w:rPr>
        <w:t>.</w:t>
      </w:r>
      <w:r w:rsidRPr="00B727B0">
        <w:rPr>
          <w:rFonts w:ascii="Book Antiqua" w:hAnsi="Book Antiqua" w:cstheme="majorBidi"/>
          <w:sz w:val="24"/>
          <w:szCs w:val="24"/>
        </w:rPr>
        <w:t xml:space="preserve"> This decline is definitely associated not only by a lower risk of recurrence, but also by a slower rate of progression if </w:t>
      </w:r>
      <w:r w:rsidR="0061388D" w:rsidRPr="00B727B0">
        <w:rPr>
          <w:rFonts w:ascii="Book Antiqua" w:hAnsi="Book Antiqua" w:cstheme="majorBidi"/>
          <w:sz w:val="24"/>
          <w:szCs w:val="24"/>
        </w:rPr>
        <w:t xml:space="preserve">MN </w:t>
      </w:r>
      <w:r w:rsidRPr="00B727B0">
        <w:rPr>
          <w:rFonts w:ascii="Book Antiqua" w:hAnsi="Book Antiqua" w:cstheme="majorBidi"/>
          <w:sz w:val="24"/>
          <w:szCs w:val="24"/>
        </w:rPr>
        <w:t xml:space="preserve">does </w:t>
      </w:r>
      <w:proofErr w:type="gramStart"/>
      <w:r w:rsidR="0061388D" w:rsidRPr="00B727B0">
        <w:rPr>
          <w:rFonts w:ascii="Book Antiqua" w:hAnsi="Book Antiqua" w:cstheme="majorBidi"/>
          <w:sz w:val="24"/>
          <w:szCs w:val="24"/>
        </w:rPr>
        <w:t>recur</w:t>
      </w:r>
      <w:r w:rsidR="00DF49EF" w:rsidRPr="00F305E4">
        <w:rPr>
          <w:rFonts w:ascii="Book Antiqua" w:hAnsi="Book Antiqua" w:cstheme="majorBidi"/>
          <w:sz w:val="24"/>
          <w:szCs w:val="24"/>
          <w:vertAlign w:val="superscript"/>
        </w:rPr>
        <w:t>[</w:t>
      </w:r>
      <w:proofErr w:type="gramEnd"/>
      <w:r w:rsidR="00DF49EF" w:rsidRPr="00F305E4">
        <w:rPr>
          <w:rFonts w:ascii="Book Antiqua" w:hAnsi="Book Antiqua" w:cstheme="majorBidi"/>
          <w:sz w:val="24"/>
          <w:szCs w:val="24"/>
          <w:vertAlign w:val="superscript"/>
        </w:rPr>
        <w:t>36]</w:t>
      </w:r>
      <w:r w:rsidRPr="00B727B0">
        <w:rPr>
          <w:rFonts w:ascii="Book Antiqua" w:hAnsi="Book Antiqua" w:cstheme="majorBidi"/>
          <w:sz w:val="24"/>
          <w:szCs w:val="24"/>
        </w:rPr>
        <w:t>. On the other hand, the significance of the anti-PLA2R post transplantation is greatly observed in their predictive value of recurrence and disease progression which is exceeding 80%</w:t>
      </w:r>
      <w:r w:rsidR="00A14522" w:rsidRPr="00F305E4">
        <w:rPr>
          <w:rFonts w:ascii="Book Antiqua" w:hAnsi="Book Antiqua" w:cstheme="majorBidi"/>
          <w:sz w:val="24"/>
          <w:szCs w:val="24"/>
          <w:vertAlign w:val="superscript"/>
        </w:rPr>
        <w:t>[36]</w:t>
      </w:r>
      <w:r w:rsidRPr="00B727B0">
        <w:rPr>
          <w:rFonts w:ascii="Book Antiqua" w:hAnsi="Book Antiqua" w:cstheme="majorBidi"/>
          <w:sz w:val="24"/>
          <w:szCs w:val="24"/>
        </w:rPr>
        <w:t>, a high anti-PLA2R is usually accompanied</w:t>
      </w:r>
      <w:r w:rsidR="00F305E4">
        <w:rPr>
          <w:rFonts w:ascii="Book Antiqua" w:hAnsi="Book Antiqua" w:cstheme="majorBidi"/>
          <w:sz w:val="24"/>
          <w:szCs w:val="24"/>
        </w:rPr>
        <w:t xml:space="preserve"> </w:t>
      </w:r>
      <w:r w:rsidRPr="00B727B0">
        <w:rPr>
          <w:rFonts w:ascii="Book Antiqua" w:hAnsi="Book Antiqua" w:cstheme="majorBidi"/>
          <w:sz w:val="24"/>
          <w:szCs w:val="24"/>
        </w:rPr>
        <w:t xml:space="preserve">by an increased risk of recurrence, rapid disease progression and probably </w:t>
      </w:r>
      <w:r w:rsidR="00DF361A" w:rsidRPr="00B727B0">
        <w:rPr>
          <w:rFonts w:ascii="Book Antiqua" w:hAnsi="Book Antiqua" w:cstheme="majorBidi"/>
          <w:sz w:val="24"/>
          <w:szCs w:val="24"/>
        </w:rPr>
        <w:t>more resistance to drug therapy</w:t>
      </w:r>
      <w:r w:rsidR="00DF361A" w:rsidRPr="00F305E4">
        <w:rPr>
          <w:rFonts w:ascii="Book Antiqua" w:hAnsi="Book Antiqua" w:cstheme="majorBidi"/>
          <w:sz w:val="24"/>
          <w:szCs w:val="24"/>
          <w:vertAlign w:val="superscript"/>
        </w:rPr>
        <w:t>[36,</w:t>
      </w:r>
      <w:r w:rsidR="00A14522" w:rsidRPr="00F305E4">
        <w:rPr>
          <w:rFonts w:ascii="Book Antiqua" w:hAnsi="Book Antiqua" w:cstheme="majorBidi"/>
          <w:sz w:val="24"/>
          <w:szCs w:val="24"/>
          <w:vertAlign w:val="superscript"/>
        </w:rPr>
        <w:t>38]</w:t>
      </w:r>
      <w:r w:rsidRPr="00B727B0">
        <w:rPr>
          <w:rFonts w:ascii="Book Antiqua" w:hAnsi="Book Antiqua" w:cstheme="majorBidi"/>
          <w:sz w:val="24"/>
          <w:szCs w:val="24"/>
        </w:rPr>
        <w:t>.</w:t>
      </w:r>
      <w:r w:rsidR="00F305E4">
        <w:rPr>
          <w:rFonts w:ascii="Book Antiqua" w:hAnsi="Book Antiqua" w:cstheme="majorBidi"/>
          <w:sz w:val="24"/>
          <w:szCs w:val="24"/>
        </w:rPr>
        <w:t xml:space="preserve"> </w:t>
      </w:r>
    </w:p>
    <w:p w14:paraId="03C7FF5D" w14:textId="77777777" w:rsidR="00E56451" w:rsidRPr="00B727B0" w:rsidRDefault="00E56451" w:rsidP="007312CD">
      <w:pPr>
        <w:adjustRightInd w:val="0"/>
        <w:snapToGrid w:val="0"/>
        <w:spacing w:after="0" w:line="360" w:lineRule="auto"/>
        <w:jc w:val="both"/>
        <w:outlineLvl w:val="2"/>
        <w:rPr>
          <w:rFonts w:ascii="Book Antiqua" w:eastAsia="宋体" w:hAnsi="Book Antiqua" w:cstheme="majorBidi"/>
          <w:i/>
          <w:sz w:val="24"/>
          <w:szCs w:val="24"/>
          <w:lang w:eastAsia="zh-CN"/>
        </w:rPr>
      </w:pPr>
    </w:p>
    <w:p w14:paraId="0D70DBD1" w14:textId="77777777" w:rsidR="0041119E" w:rsidRPr="00B727B0" w:rsidRDefault="00244DA1" w:rsidP="007312CD">
      <w:pPr>
        <w:adjustRightInd w:val="0"/>
        <w:snapToGrid w:val="0"/>
        <w:spacing w:after="0" w:line="360" w:lineRule="auto"/>
        <w:jc w:val="both"/>
        <w:outlineLvl w:val="2"/>
        <w:rPr>
          <w:rFonts w:ascii="Book Antiqua" w:eastAsia="宋体" w:hAnsi="Book Antiqua" w:cstheme="majorBidi"/>
          <w:sz w:val="24"/>
          <w:szCs w:val="24"/>
          <w:lang w:eastAsia="zh-CN"/>
        </w:rPr>
      </w:pPr>
      <w:r w:rsidRPr="00B727B0">
        <w:rPr>
          <w:rFonts w:ascii="Book Antiqua" w:hAnsi="Book Antiqua" w:cstheme="majorBidi"/>
          <w:b/>
          <w:sz w:val="24"/>
          <w:szCs w:val="24"/>
        </w:rPr>
        <w:t xml:space="preserve">Impact </w:t>
      </w:r>
      <w:r w:rsidR="00E56451" w:rsidRPr="00B727B0">
        <w:rPr>
          <w:rFonts w:ascii="Book Antiqua" w:hAnsi="Book Antiqua" w:cstheme="majorBidi"/>
          <w:b/>
          <w:sz w:val="24"/>
          <w:szCs w:val="24"/>
        </w:rPr>
        <w:t>of anti-PLA2R on graft survival</w:t>
      </w:r>
      <w:r w:rsidR="0041119E" w:rsidRPr="00B727B0">
        <w:rPr>
          <w:rFonts w:ascii="Book Antiqua" w:eastAsia="宋体" w:hAnsi="Book Antiqua" w:cstheme="majorBidi"/>
          <w:b/>
          <w:sz w:val="24"/>
          <w:szCs w:val="24"/>
          <w:lang w:eastAsia="zh-CN"/>
        </w:rPr>
        <w:t xml:space="preserve">: </w:t>
      </w:r>
      <w:r w:rsidRPr="00B727B0">
        <w:rPr>
          <w:rFonts w:ascii="Book Antiqua" w:hAnsi="Book Antiqua" w:cstheme="majorBidi"/>
          <w:sz w:val="24"/>
          <w:szCs w:val="24"/>
        </w:rPr>
        <w:t xml:space="preserve">Serial survey of the anti-PLA2R antibodies </w:t>
      </w:r>
      <w:r w:rsidR="00496EFC" w:rsidRPr="00B727B0">
        <w:rPr>
          <w:rFonts w:ascii="Book Antiqua" w:hAnsi="Book Antiqua" w:cstheme="majorBidi"/>
          <w:sz w:val="24"/>
          <w:szCs w:val="24"/>
        </w:rPr>
        <w:t>titer</w:t>
      </w:r>
      <w:r w:rsidRPr="00B727B0">
        <w:rPr>
          <w:rFonts w:ascii="Book Antiqua" w:hAnsi="Book Antiqua" w:cstheme="majorBidi"/>
          <w:sz w:val="24"/>
          <w:szCs w:val="24"/>
        </w:rPr>
        <w:t xml:space="preserve"> is of utmost importance for the following </w:t>
      </w:r>
      <w:proofErr w:type="gramStart"/>
      <w:r w:rsidRPr="00B727B0">
        <w:rPr>
          <w:rFonts w:ascii="Book Antiqua" w:hAnsi="Book Antiqua" w:cstheme="majorBidi"/>
          <w:sz w:val="24"/>
          <w:szCs w:val="24"/>
        </w:rPr>
        <w:t>indications</w:t>
      </w:r>
      <w:r w:rsidR="00F04AEF" w:rsidRPr="00B727B0">
        <w:rPr>
          <w:rFonts w:ascii="Book Antiqua" w:hAnsi="Book Antiqua" w:cstheme="majorBidi"/>
          <w:sz w:val="24"/>
          <w:szCs w:val="24"/>
          <w:vertAlign w:val="superscript"/>
        </w:rPr>
        <w:t>[</w:t>
      </w:r>
      <w:proofErr w:type="gramEnd"/>
      <w:r w:rsidR="00F04AEF" w:rsidRPr="00B727B0">
        <w:rPr>
          <w:rFonts w:ascii="Book Antiqua" w:hAnsi="Book Antiqua" w:cstheme="majorBidi"/>
          <w:sz w:val="24"/>
          <w:szCs w:val="24"/>
          <w:vertAlign w:val="superscript"/>
        </w:rPr>
        <w:t>2]</w:t>
      </w:r>
      <w:r w:rsidRPr="00B727B0">
        <w:rPr>
          <w:rFonts w:ascii="Book Antiqua" w:hAnsi="Book Antiqua" w:cstheme="majorBidi"/>
          <w:sz w:val="24"/>
          <w:szCs w:val="24"/>
        </w:rPr>
        <w:t>:</w:t>
      </w:r>
      <w:r w:rsidR="00DF361A" w:rsidRPr="00B727B0">
        <w:rPr>
          <w:rFonts w:ascii="Book Antiqua" w:eastAsia="宋体" w:hAnsi="Book Antiqua" w:cstheme="majorBidi"/>
          <w:sz w:val="24"/>
          <w:szCs w:val="24"/>
          <w:lang w:eastAsia="zh-CN"/>
        </w:rPr>
        <w:t xml:space="preserve"> (1) </w:t>
      </w:r>
      <w:r w:rsidR="00DF361A" w:rsidRPr="00B727B0">
        <w:rPr>
          <w:rFonts w:ascii="Book Antiqua" w:hAnsi="Book Antiqua" w:cstheme="majorBidi"/>
          <w:sz w:val="24"/>
          <w:szCs w:val="24"/>
        </w:rPr>
        <w:t>e</w:t>
      </w:r>
      <w:r w:rsidRPr="00B727B0">
        <w:rPr>
          <w:rFonts w:ascii="Book Antiqua" w:hAnsi="Book Antiqua" w:cstheme="majorBidi"/>
          <w:sz w:val="24"/>
          <w:szCs w:val="24"/>
        </w:rPr>
        <w:t>valuating t</w:t>
      </w:r>
      <w:r w:rsidR="00DF361A" w:rsidRPr="00B727B0">
        <w:rPr>
          <w:rFonts w:ascii="Book Antiqua" w:hAnsi="Book Antiqua" w:cstheme="majorBidi"/>
          <w:sz w:val="24"/>
          <w:szCs w:val="24"/>
        </w:rPr>
        <w:t>he magnitude of recurrence risk</w:t>
      </w:r>
      <w:r w:rsidR="00DF361A" w:rsidRPr="00B727B0">
        <w:rPr>
          <w:rFonts w:ascii="Book Antiqua" w:eastAsia="宋体" w:hAnsi="Book Antiqua" w:cstheme="majorBidi"/>
          <w:sz w:val="24"/>
          <w:szCs w:val="24"/>
          <w:lang w:eastAsia="zh-CN"/>
        </w:rPr>
        <w:t xml:space="preserve">; (2) </w:t>
      </w:r>
      <w:r w:rsidR="00DF361A" w:rsidRPr="00B727B0">
        <w:rPr>
          <w:rFonts w:ascii="Book Antiqua" w:hAnsi="Book Antiqua" w:cstheme="majorBidi"/>
          <w:sz w:val="24"/>
          <w:szCs w:val="24"/>
        </w:rPr>
        <w:t>d</w:t>
      </w:r>
      <w:r w:rsidRPr="00B727B0">
        <w:rPr>
          <w:rFonts w:ascii="Book Antiqua" w:hAnsi="Book Antiqua" w:cstheme="majorBidi"/>
          <w:sz w:val="24"/>
          <w:szCs w:val="24"/>
        </w:rPr>
        <w:t>etermining t</w:t>
      </w:r>
      <w:r w:rsidR="00DF361A" w:rsidRPr="00B727B0">
        <w:rPr>
          <w:rFonts w:ascii="Book Antiqua" w:hAnsi="Book Antiqua" w:cstheme="majorBidi"/>
          <w:sz w:val="24"/>
          <w:szCs w:val="24"/>
        </w:rPr>
        <w:t>he rate of disease progression</w:t>
      </w:r>
      <w:r w:rsidR="00DF361A" w:rsidRPr="00B727B0">
        <w:rPr>
          <w:rFonts w:ascii="Book Antiqua" w:eastAsia="宋体" w:hAnsi="Book Antiqua" w:cstheme="majorBidi"/>
          <w:sz w:val="24"/>
          <w:szCs w:val="24"/>
          <w:lang w:eastAsia="zh-CN"/>
        </w:rPr>
        <w:t xml:space="preserve">; (3) </w:t>
      </w:r>
      <w:r w:rsidR="00DF361A" w:rsidRPr="00B727B0">
        <w:rPr>
          <w:rFonts w:ascii="Book Antiqua" w:hAnsi="Book Antiqua" w:cstheme="majorBidi"/>
          <w:sz w:val="24"/>
          <w:szCs w:val="24"/>
        </w:rPr>
        <w:t>p</w:t>
      </w:r>
      <w:r w:rsidR="00DF50E5" w:rsidRPr="00B727B0">
        <w:rPr>
          <w:rFonts w:ascii="Book Antiqua" w:hAnsi="Book Antiqua" w:cstheme="majorBidi"/>
          <w:sz w:val="24"/>
          <w:szCs w:val="24"/>
        </w:rPr>
        <w:t>rediction of the response to treatment</w:t>
      </w:r>
      <w:r w:rsidR="00DF361A" w:rsidRPr="00B727B0">
        <w:rPr>
          <w:rFonts w:ascii="Book Antiqua" w:hAnsi="Book Antiqua" w:cstheme="majorBidi"/>
          <w:sz w:val="24"/>
          <w:szCs w:val="24"/>
          <w:vertAlign w:val="superscript"/>
        </w:rPr>
        <w:t>[2]</w:t>
      </w:r>
      <w:r w:rsidR="00DF361A" w:rsidRPr="00B727B0">
        <w:rPr>
          <w:rFonts w:ascii="Book Antiqua" w:eastAsia="宋体" w:hAnsi="Book Antiqua" w:cstheme="majorBidi"/>
          <w:sz w:val="24"/>
          <w:szCs w:val="24"/>
          <w:lang w:eastAsia="zh-CN"/>
        </w:rPr>
        <w:t xml:space="preserve">; </w:t>
      </w:r>
      <w:r w:rsidR="0041119E" w:rsidRPr="00B727B0">
        <w:rPr>
          <w:rFonts w:ascii="Book Antiqua" w:eastAsia="宋体" w:hAnsi="Book Antiqua" w:cstheme="majorBidi"/>
          <w:sz w:val="24"/>
          <w:szCs w:val="24"/>
          <w:lang w:eastAsia="zh-CN"/>
        </w:rPr>
        <w:t xml:space="preserve">and </w:t>
      </w:r>
      <w:r w:rsidR="00DF361A" w:rsidRPr="00B727B0">
        <w:rPr>
          <w:rFonts w:ascii="Book Antiqua" w:eastAsia="宋体" w:hAnsi="Book Antiqua" w:cstheme="majorBidi"/>
          <w:sz w:val="24"/>
          <w:szCs w:val="24"/>
          <w:lang w:eastAsia="zh-CN"/>
        </w:rPr>
        <w:t xml:space="preserve">(4) </w:t>
      </w:r>
      <w:r w:rsidR="00DF361A" w:rsidRPr="00B727B0">
        <w:rPr>
          <w:rFonts w:ascii="Book Antiqua" w:hAnsi="Book Antiqua" w:cstheme="majorBidi"/>
          <w:sz w:val="24"/>
          <w:szCs w:val="24"/>
        </w:rPr>
        <w:t>d</w:t>
      </w:r>
      <w:r w:rsidRPr="00B727B0">
        <w:rPr>
          <w:rFonts w:ascii="Book Antiqua" w:hAnsi="Book Antiqua" w:cstheme="majorBidi"/>
          <w:sz w:val="24"/>
          <w:szCs w:val="24"/>
        </w:rPr>
        <w:t>ifferential diagnosis of proteinuria in re</w:t>
      </w:r>
      <w:r w:rsidR="00DF361A" w:rsidRPr="00B727B0">
        <w:rPr>
          <w:rFonts w:ascii="Book Antiqua" w:hAnsi="Book Antiqua" w:cstheme="majorBidi"/>
          <w:sz w:val="24"/>
          <w:szCs w:val="24"/>
        </w:rPr>
        <w:t>cipients with native primary MN</w:t>
      </w:r>
      <w:r w:rsidR="0041119E" w:rsidRPr="00B727B0">
        <w:rPr>
          <w:rFonts w:ascii="Book Antiqua" w:eastAsia="宋体" w:hAnsi="Book Antiqua" w:cstheme="majorBidi"/>
          <w:sz w:val="24"/>
          <w:szCs w:val="24"/>
          <w:lang w:eastAsia="zh-CN"/>
        </w:rPr>
        <w:t>.</w:t>
      </w:r>
    </w:p>
    <w:p w14:paraId="2DD0BC2C" w14:textId="77777777" w:rsidR="0041119E" w:rsidRPr="00B727B0" w:rsidRDefault="0041119E" w:rsidP="007312CD">
      <w:pPr>
        <w:adjustRightInd w:val="0"/>
        <w:snapToGrid w:val="0"/>
        <w:spacing w:after="0" w:line="360" w:lineRule="auto"/>
        <w:jc w:val="both"/>
        <w:outlineLvl w:val="2"/>
        <w:rPr>
          <w:rFonts w:ascii="Book Antiqua" w:eastAsia="宋体" w:hAnsi="Book Antiqua" w:cstheme="majorBidi"/>
          <w:sz w:val="24"/>
          <w:szCs w:val="24"/>
          <w:lang w:eastAsia="zh-CN"/>
        </w:rPr>
      </w:pPr>
    </w:p>
    <w:p w14:paraId="2F94297F" w14:textId="74814749" w:rsidR="00244DA1" w:rsidRPr="00B727B0" w:rsidRDefault="0041119E" w:rsidP="007312CD">
      <w:pPr>
        <w:adjustRightInd w:val="0"/>
        <w:snapToGrid w:val="0"/>
        <w:spacing w:after="0" w:line="360" w:lineRule="auto"/>
        <w:jc w:val="both"/>
        <w:outlineLvl w:val="2"/>
        <w:rPr>
          <w:rFonts w:ascii="Book Antiqua" w:hAnsi="Book Antiqua" w:cstheme="majorBidi"/>
          <w:sz w:val="24"/>
          <w:szCs w:val="24"/>
        </w:rPr>
      </w:pPr>
      <w:r w:rsidRPr="00B727B0">
        <w:rPr>
          <w:rFonts w:ascii="Book Antiqua" w:eastAsia="宋体" w:hAnsi="Book Antiqua" w:cstheme="majorBidi"/>
          <w:b/>
          <w:sz w:val="24"/>
          <w:szCs w:val="24"/>
          <w:lang w:eastAsia="zh-CN"/>
        </w:rPr>
        <w:t>N</w:t>
      </w:r>
      <w:r w:rsidRPr="00B727B0">
        <w:rPr>
          <w:rFonts w:ascii="Book Antiqua" w:hAnsi="Book Antiqua" w:cstheme="majorBidi"/>
          <w:b/>
          <w:sz w:val="24"/>
          <w:szCs w:val="24"/>
        </w:rPr>
        <w:t>on-</w:t>
      </w:r>
      <w:r w:rsidR="00DF361A" w:rsidRPr="00B727B0">
        <w:rPr>
          <w:rFonts w:ascii="Book Antiqua" w:hAnsi="Book Antiqua" w:cstheme="majorBidi"/>
          <w:b/>
          <w:sz w:val="24"/>
          <w:szCs w:val="24"/>
        </w:rPr>
        <w:t>anti-PLA2R MN recurrence</w:t>
      </w:r>
      <w:r w:rsidRPr="00B727B0">
        <w:rPr>
          <w:rFonts w:ascii="Book Antiqua" w:eastAsia="宋体" w:hAnsi="Book Antiqua" w:cstheme="majorBidi"/>
          <w:b/>
          <w:sz w:val="24"/>
          <w:szCs w:val="24"/>
          <w:lang w:eastAsia="zh-CN"/>
        </w:rPr>
        <w:t>:</w:t>
      </w:r>
      <w:r w:rsidRPr="00B727B0">
        <w:rPr>
          <w:rFonts w:ascii="Book Antiqua" w:eastAsia="宋体" w:hAnsi="Book Antiqua" w:cstheme="majorBidi"/>
          <w:sz w:val="24"/>
          <w:szCs w:val="24"/>
          <w:lang w:eastAsia="zh-CN"/>
        </w:rPr>
        <w:t xml:space="preserve"> </w:t>
      </w:r>
      <w:r w:rsidR="00244DA1" w:rsidRPr="00B727B0">
        <w:rPr>
          <w:rFonts w:ascii="Book Antiqua" w:hAnsi="Book Antiqua" w:cstheme="majorBidi"/>
          <w:sz w:val="24"/>
          <w:szCs w:val="24"/>
        </w:rPr>
        <w:t>Not all the patients with primary MN express anti-PLA2R antibodies, 30% of these patients are negative to these antibodies. Instead, few patients have been reported to have antibodies against other types like cationic bovine serum albumin and thrombospondin type 1</w:t>
      </w:r>
      <w:r w:rsidR="00A14522" w:rsidRPr="00B727B0">
        <w:rPr>
          <w:rFonts w:ascii="Book Antiqua" w:hAnsi="Book Antiqua" w:cstheme="majorBidi"/>
          <w:sz w:val="24"/>
          <w:szCs w:val="24"/>
          <w:vertAlign w:val="superscript"/>
        </w:rPr>
        <w:t>[</w:t>
      </w:r>
      <w:r w:rsidR="005E6A1C" w:rsidRPr="00B727B0">
        <w:rPr>
          <w:rFonts w:ascii="Book Antiqua" w:hAnsi="Book Antiqua" w:cstheme="majorBidi"/>
          <w:sz w:val="24"/>
          <w:szCs w:val="24"/>
          <w:vertAlign w:val="superscript"/>
        </w:rPr>
        <w:t>40</w:t>
      </w:r>
      <w:r w:rsidR="00A14522" w:rsidRPr="00B727B0">
        <w:rPr>
          <w:rFonts w:ascii="Book Antiqua" w:hAnsi="Book Antiqua" w:cstheme="majorBidi"/>
          <w:sz w:val="24"/>
          <w:szCs w:val="24"/>
          <w:vertAlign w:val="superscript"/>
        </w:rPr>
        <w:t>]</w:t>
      </w:r>
      <w:r w:rsidR="00244DA1" w:rsidRPr="00B727B0">
        <w:rPr>
          <w:rFonts w:ascii="Book Antiqua" w:hAnsi="Book Antiqua" w:cstheme="majorBidi"/>
          <w:sz w:val="24"/>
          <w:szCs w:val="24"/>
        </w:rPr>
        <w:t xml:space="preserve"> but data, however, concern</w:t>
      </w:r>
      <w:r w:rsidR="005E6BE9" w:rsidRPr="00B727B0">
        <w:rPr>
          <w:rFonts w:ascii="Book Antiqua" w:hAnsi="Book Antiqua" w:cstheme="majorBidi"/>
          <w:sz w:val="24"/>
          <w:szCs w:val="24"/>
        </w:rPr>
        <w:t>ed with</w:t>
      </w:r>
      <w:r w:rsidR="00244DA1" w:rsidRPr="00B727B0">
        <w:rPr>
          <w:rFonts w:ascii="Book Antiqua" w:hAnsi="Book Antiqua" w:cstheme="majorBidi"/>
          <w:sz w:val="24"/>
          <w:szCs w:val="24"/>
        </w:rPr>
        <w:t xml:space="preserve"> the real significance of these mediators are still </w:t>
      </w:r>
      <w:proofErr w:type="gramStart"/>
      <w:r w:rsidR="00244DA1" w:rsidRPr="00B727B0">
        <w:rPr>
          <w:rFonts w:ascii="Book Antiqua" w:hAnsi="Book Antiqua" w:cstheme="majorBidi"/>
          <w:sz w:val="24"/>
          <w:szCs w:val="24"/>
        </w:rPr>
        <w:t>deficient</w:t>
      </w:r>
      <w:r w:rsidR="00DF361A" w:rsidRPr="00B727B0">
        <w:rPr>
          <w:rFonts w:ascii="Book Antiqua" w:hAnsi="Book Antiqua" w:cstheme="majorBidi"/>
          <w:sz w:val="24"/>
          <w:szCs w:val="24"/>
          <w:vertAlign w:val="superscript"/>
        </w:rPr>
        <w:t>[</w:t>
      </w:r>
      <w:proofErr w:type="gramEnd"/>
      <w:r w:rsidR="000B581C" w:rsidRPr="00B727B0">
        <w:rPr>
          <w:rFonts w:ascii="Book Antiqua" w:eastAsia="宋体" w:hAnsi="Book Antiqua" w:cstheme="majorBidi"/>
          <w:sz w:val="24"/>
          <w:szCs w:val="24"/>
          <w:vertAlign w:val="superscript"/>
          <w:lang w:eastAsia="zh-CN"/>
        </w:rPr>
        <w:t>40-42</w:t>
      </w:r>
      <w:r w:rsidR="00A14522" w:rsidRPr="00B727B0">
        <w:rPr>
          <w:rFonts w:ascii="Book Antiqua" w:hAnsi="Book Antiqua" w:cstheme="majorBidi"/>
          <w:sz w:val="24"/>
          <w:szCs w:val="24"/>
          <w:vertAlign w:val="superscript"/>
        </w:rPr>
        <w:t>]</w:t>
      </w:r>
      <w:r w:rsidR="00A023D1" w:rsidRPr="00B727B0">
        <w:rPr>
          <w:rFonts w:ascii="Book Antiqua" w:hAnsi="Book Antiqua" w:cstheme="majorBidi"/>
          <w:sz w:val="24"/>
          <w:szCs w:val="24"/>
        </w:rPr>
        <w:t>.</w:t>
      </w:r>
    </w:p>
    <w:p w14:paraId="6208BCC9" w14:textId="45EC5B5C" w:rsidR="00244DA1" w:rsidRPr="00B727B0" w:rsidRDefault="00244DA1" w:rsidP="007312CD">
      <w:pPr>
        <w:adjustRightInd w:val="0"/>
        <w:snapToGrid w:val="0"/>
        <w:spacing w:after="0" w:line="360" w:lineRule="auto"/>
        <w:ind w:firstLine="720"/>
        <w:jc w:val="both"/>
        <w:outlineLvl w:val="2"/>
        <w:rPr>
          <w:rFonts w:ascii="Book Antiqua" w:hAnsi="Book Antiqua" w:cstheme="majorBidi"/>
          <w:sz w:val="24"/>
          <w:szCs w:val="24"/>
        </w:rPr>
      </w:pPr>
      <w:r w:rsidRPr="00B727B0">
        <w:rPr>
          <w:rFonts w:ascii="Book Antiqua" w:hAnsi="Book Antiqua" w:cstheme="majorBidi"/>
          <w:sz w:val="24"/>
          <w:szCs w:val="24"/>
        </w:rPr>
        <w:t xml:space="preserve">Of note that if the anti-PLA2R antibody </w:t>
      </w:r>
      <w:r w:rsidR="00496EFC" w:rsidRPr="00B727B0">
        <w:rPr>
          <w:rFonts w:ascii="Book Antiqua" w:hAnsi="Book Antiqua" w:cstheme="majorBidi"/>
          <w:sz w:val="24"/>
          <w:szCs w:val="24"/>
        </w:rPr>
        <w:t>titer</w:t>
      </w:r>
      <w:r w:rsidRPr="00B727B0">
        <w:rPr>
          <w:rFonts w:ascii="Book Antiqua" w:hAnsi="Book Antiqua" w:cstheme="majorBidi"/>
          <w:sz w:val="24"/>
          <w:szCs w:val="24"/>
        </w:rPr>
        <w:t xml:space="preserve"> is negative, we should search for the </w:t>
      </w:r>
      <w:r w:rsidR="005E6BE9" w:rsidRPr="00B727B0">
        <w:rPr>
          <w:rFonts w:ascii="Book Antiqua" w:hAnsi="Book Antiqua" w:cstheme="majorBidi"/>
          <w:sz w:val="24"/>
          <w:szCs w:val="24"/>
        </w:rPr>
        <w:t>“</w:t>
      </w:r>
      <w:r w:rsidRPr="00B727B0">
        <w:rPr>
          <w:rFonts w:ascii="Book Antiqua" w:hAnsi="Book Antiqua" w:cstheme="majorBidi"/>
          <w:sz w:val="24"/>
          <w:szCs w:val="24"/>
        </w:rPr>
        <w:t>glomerular PLA2R</w:t>
      </w:r>
      <w:r w:rsidR="005E6BE9" w:rsidRPr="00B727B0">
        <w:rPr>
          <w:rFonts w:ascii="Book Antiqua" w:hAnsi="Book Antiqua" w:cstheme="majorBidi"/>
          <w:sz w:val="24"/>
          <w:szCs w:val="24"/>
        </w:rPr>
        <w:t>”</w:t>
      </w:r>
      <w:r w:rsidRPr="00B727B0">
        <w:rPr>
          <w:rFonts w:ascii="Book Antiqua" w:hAnsi="Book Antiqua" w:cstheme="majorBidi"/>
          <w:sz w:val="24"/>
          <w:szCs w:val="24"/>
        </w:rPr>
        <w:t xml:space="preserve"> staining, in such a case there is associated anti-PLA2R MN with negative anti-PLA2R serum level, which is present in 30</w:t>
      </w:r>
      <w:r w:rsidR="003505CF" w:rsidRPr="00B727B0">
        <w:rPr>
          <w:rFonts w:ascii="Book Antiqua" w:hAnsi="Book Antiqua" w:cstheme="majorBidi"/>
          <w:sz w:val="24"/>
          <w:szCs w:val="24"/>
        </w:rPr>
        <w:t>%</w:t>
      </w:r>
      <w:r w:rsidR="00DF361A" w:rsidRPr="00B727B0">
        <w:rPr>
          <w:rFonts w:ascii="Book Antiqua" w:hAnsi="Book Antiqua" w:cstheme="majorBidi"/>
          <w:sz w:val="24"/>
          <w:szCs w:val="24"/>
        </w:rPr>
        <w:t xml:space="preserve"> of cases</w:t>
      </w:r>
      <w:r w:rsidR="00DF361A" w:rsidRPr="00B727B0">
        <w:rPr>
          <w:rFonts w:ascii="Book Antiqua" w:hAnsi="Book Antiqua" w:cstheme="majorBidi"/>
          <w:sz w:val="24"/>
          <w:szCs w:val="24"/>
          <w:vertAlign w:val="superscript"/>
        </w:rPr>
        <w:t>[36,</w:t>
      </w:r>
      <w:r w:rsidR="00A14522" w:rsidRPr="00B727B0">
        <w:rPr>
          <w:rFonts w:ascii="Book Antiqua" w:hAnsi="Book Antiqua" w:cstheme="majorBidi"/>
          <w:sz w:val="24"/>
          <w:szCs w:val="24"/>
          <w:vertAlign w:val="superscript"/>
        </w:rPr>
        <w:t>43]</w:t>
      </w:r>
      <w:r w:rsidRPr="00B727B0">
        <w:rPr>
          <w:rFonts w:ascii="Book Antiqua" w:hAnsi="Book Antiqua" w:cstheme="majorBidi"/>
          <w:sz w:val="24"/>
          <w:szCs w:val="24"/>
        </w:rPr>
        <w:t>.</w:t>
      </w:r>
    </w:p>
    <w:p w14:paraId="7919AF69" w14:textId="77777777" w:rsidR="000B581C" w:rsidRPr="00B727B0" w:rsidRDefault="000B581C" w:rsidP="007312CD">
      <w:pPr>
        <w:autoSpaceDE w:val="0"/>
        <w:autoSpaceDN w:val="0"/>
        <w:adjustRightInd w:val="0"/>
        <w:snapToGrid w:val="0"/>
        <w:spacing w:after="0" w:line="360" w:lineRule="auto"/>
        <w:jc w:val="both"/>
        <w:rPr>
          <w:rFonts w:ascii="Book Antiqua" w:eastAsia="宋体" w:hAnsi="Book Antiqua" w:cstheme="majorBidi"/>
          <w:sz w:val="24"/>
          <w:szCs w:val="24"/>
          <w:u w:val="single"/>
          <w:lang w:eastAsia="zh-CN"/>
        </w:rPr>
      </w:pPr>
    </w:p>
    <w:p w14:paraId="043F4816" w14:textId="7CAAE787" w:rsidR="00244DA1" w:rsidRPr="00B727B0" w:rsidRDefault="00244DA1" w:rsidP="007312CD">
      <w:pPr>
        <w:autoSpaceDE w:val="0"/>
        <w:autoSpaceDN w:val="0"/>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Graft survival in recurrent “</w:t>
      </w:r>
      <w:r w:rsidR="000B581C" w:rsidRPr="00B727B0">
        <w:rPr>
          <w:rFonts w:ascii="Book Antiqua" w:hAnsi="Book Antiqua" w:cstheme="majorBidi"/>
          <w:b/>
          <w:i/>
          <w:sz w:val="24"/>
          <w:szCs w:val="24"/>
        </w:rPr>
        <w:t>primary focal segmental”</w:t>
      </w:r>
    </w:p>
    <w:p w14:paraId="40C1881D" w14:textId="15954951" w:rsidR="00244DA1" w:rsidRPr="00B727B0" w:rsidRDefault="00244DA1"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Primary focal segmental (FSGS) is proved to be one of the highest glomerulonephritis (GN) in recurrence </w:t>
      </w:r>
      <w:r w:rsidR="005E6BE9" w:rsidRPr="00B727B0">
        <w:rPr>
          <w:rFonts w:ascii="Book Antiqua" w:hAnsi="Book Antiqua" w:cstheme="majorBidi"/>
          <w:sz w:val="24"/>
          <w:szCs w:val="24"/>
        </w:rPr>
        <w:t xml:space="preserve">rate </w:t>
      </w:r>
      <w:r w:rsidRPr="00B727B0">
        <w:rPr>
          <w:rFonts w:ascii="Book Antiqua" w:hAnsi="Book Antiqua" w:cstheme="majorBidi"/>
          <w:sz w:val="24"/>
          <w:szCs w:val="24"/>
        </w:rPr>
        <w:t>after kidney transplantation (KTx), with a percentage of prevalence exceeding 30</w:t>
      </w:r>
      <w:r w:rsidR="003505CF" w:rsidRPr="00B727B0">
        <w:rPr>
          <w:rFonts w:ascii="Book Antiqua" w:hAnsi="Book Antiqua" w:cstheme="majorBidi"/>
          <w:sz w:val="24"/>
          <w:szCs w:val="24"/>
        </w:rPr>
        <w:t>%</w:t>
      </w:r>
      <w:r w:rsidRPr="00B727B0">
        <w:rPr>
          <w:rFonts w:ascii="Book Antiqua" w:hAnsi="Book Antiqua" w:cstheme="majorBidi"/>
          <w:sz w:val="24"/>
          <w:szCs w:val="24"/>
        </w:rPr>
        <w:t xml:space="preserve"> in the most recent </w:t>
      </w:r>
      <w:proofErr w:type="gramStart"/>
      <w:r w:rsidRPr="00B727B0">
        <w:rPr>
          <w:rFonts w:ascii="Book Antiqua" w:hAnsi="Book Antiqua" w:cstheme="majorBidi"/>
          <w:sz w:val="24"/>
          <w:szCs w:val="24"/>
        </w:rPr>
        <w:t>series</w:t>
      </w:r>
      <w:r w:rsidR="005C16DD" w:rsidRPr="00B727B0">
        <w:rPr>
          <w:rFonts w:ascii="Book Antiqua" w:hAnsi="Book Antiqua" w:cstheme="majorBidi"/>
          <w:sz w:val="24"/>
          <w:szCs w:val="24"/>
          <w:vertAlign w:val="superscript"/>
        </w:rPr>
        <w:t>[</w:t>
      </w:r>
      <w:proofErr w:type="gramEnd"/>
      <w:r w:rsidR="005C16DD" w:rsidRPr="00B727B0">
        <w:rPr>
          <w:rFonts w:ascii="Book Antiqua" w:hAnsi="Book Antiqua" w:cstheme="majorBidi"/>
          <w:sz w:val="24"/>
          <w:szCs w:val="24"/>
          <w:vertAlign w:val="superscript"/>
        </w:rPr>
        <w:t>2]</w:t>
      </w:r>
      <w:r w:rsidRPr="00B727B0">
        <w:rPr>
          <w:rFonts w:ascii="Book Antiqua" w:hAnsi="Book Antiqua" w:cstheme="majorBidi"/>
          <w:sz w:val="24"/>
          <w:szCs w:val="24"/>
        </w:rPr>
        <w:t>, with an expected very poor graft survival rate</w:t>
      </w:r>
      <w:r w:rsidR="005E6A1C" w:rsidRPr="000E4285">
        <w:rPr>
          <w:rFonts w:ascii="Book Antiqua" w:hAnsi="Book Antiqua" w:cstheme="majorBidi"/>
          <w:sz w:val="24"/>
          <w:szCs w:val="24"/>
          <w:vertAlign w:val="superscript"/>
        </w:rPr>
        <w:t>[43]</w:t>
      </w:r>
      <w:r w:rsidRPr="00B727B0">
        <w:rPr>
          <w:rFonts w:ascii="Book Antiqua" w:hAnsi="Book Antiqua" w:cstheme="majorBidi"/>
          <w:sz w:val="24"/>
          <w:szCs w:val="24"/>
        </w:rPr>
        <w:t>. It can recur immediately post-transplantation, or recur lately, where its diagnosis is usually masked by the secondary FSGS resulting from the reduced total nephron mass, or due to other causes</w:t>
      </w:r>
      <w:r w:rsidR="009218D1" w:rsidRPr="00B727B0">
        <w:rPr>
          <w:rFonts w:ascii="Book Antiqua" w:hAnsi="Book Antiqua" w:cstheme="majorBidi"/>
          <w:i/>
          <w:sz w:val="24"/>
          <w:szCs w:val="24"/>
        </w:rPr>
        <w:t xml:space="preserve">, e.g., </w:t>
      </w:r>
      <w:r w:rsidRPr="00B727B0">
        <w:rPr>
          <w:rFonts w:ascii="Book Antiqua" w:hAnsi="Book Antiqua" w:cstheme="majorBidi"/>
          <w:sz w:val="24"/>
          <w:szCs w:val="24"/>
        </w:rPr>
        <w:t>iatrogenic</w:t>
      </w:r>
      <w:r w:rsidR="005C16DD" w:rsidRPr="00A5428A">
        <w:rPr>
          <w:rFonts w:ascii="Book Antiqua" w:hAnsi="Book Antiqua" w:cstheme="majorBidi"/>
          <w:sz w:val="24"/>
          <w:szCs w:val="24"/>
          <w:vertAlign w:val="superscript"/>
        </w:rPr>
        <w:t>[</w:t>
      </w:r>
      <w:r w:rsidR="006F226F" w:rsidRPr="00A5428A">
        <w:rPr>
          <w:rFonts w:ascii="Book Antiqua" w:hAnsi="Book Antiqua" w:cstheme="majorBidi"/>
          <w:sz w:val="24"/>
          <w:szCs w:val="24"/>
          <w:vertAlign w:val="superscript"/>
        </w:rPr>
        <w:t>20</w:t>
      </w:r>
      <w:r w:rsidR="00DF361A" w:rsidRPr="00A5428A">
        <w:rPr>
          <w:rFonts w:ascii="Book Antiqua" w:hAnsi="Book Antiqua" w:cstheme="majorBidi"/>
          <w:sz w:val="24"/>
          <w:szCs w:val="24"/>
          <w:vertAlign w:val="superscript"/>
        </w:rPr>
        <w:t>,</w:t>
      </w:r>
      <w:r w:rsidR="00A14522" w:rsidRPr="00A5428A">
        <w:rPr>
          <w:rFonts w:ascii="Book Antiqua" w:hAnsi="Book Antiqua" w:cstheme="majorBidi"/>
          <w:sz w:val="24"/>
          <w:szCs w:val="24"/>
          <w:vertAlign w:val="superscript"/>
        </w:rPr>
        <w:t>44]</w:t>
      </w:r>
      <w:r w:rsidRPr="00B727B0">
        <w:rPr>
          <w:rFonts w:ascii="Book Antiqua" w:hAnsi="Book Antiqua" w:cstheme="majorBidi"/>
          <w:sz w:val="24"/>
          <w:szCs w:val="24"/>
        </w:rPr>
        <w:t xml:space="preserve">. Of all causes of the FSGN, “genetic” subtype showed the least incidence of </w:t>
      </w:r>
      <w:proofErr w:type="gramStart"/>
      <w:r w:rsidRPr="00B727B0">
        <w:rPr>
          <w:rFonts w:ascii="Book Antiqua" w:hAnsi="Book Antiqua" w:cstheme="majorBidi"/>
          <w:sz w:val="24"/>
          <w:szCs w:val="24"/>
        </w:rPr>
        <w:t>recurrence</w:t>
      </w:r>
      <w:r w:rsidR="005C16DD" w:rsidRPr="00A5428A">
        <w:rPr>
          <w:rFonts w:ascii="Book Antiqua" w:hAnsi="Book Antiqua" w:cstheme="majorBidi"/>
          <w:sz w:val="24"/>
          <w:szCs w:val="24"/>
          <w:vertAlign w:val="superscript"/>
        </w:rPr>
        <w:t>[</w:t>
      </w:r>
      <w:proofErr w:type="gramEnd"/>
      <w:r w:rsidR="006F226F" w:rsidRPr="00A5428A">
        <w:rPr>
          <w:rFonts w:ascii="Book Antiqua" w:hAnsi="Book Antiqua" w:cstheme="majorBidi"/>
          <w:sz w:val="24"/>
          <w:szCs w:val="24"/>
          <w:vertAlign w:val="superscript"/>
        </w:rPr>
        <w:t>19</w:t>
      </w:r>
      <w:r w:rsidR="00A5428A" w:rsidRPr="00A5428A">
        <w:rPr>
          <w:rFonts w:ascii="Book Antiqua" w:hAnsi="Book Antiqua" w:cstheme="majorBidi"/>
          <w:sz w:val="24"/>
          <w:szCs w:val="24"/>
          <w:vertAlign w:val="superscript"/>
        </w:rPr>
        <w:t>,</w:t>
      </w:r>
      <w:r w:rsidR="00A14522" w:rsidRPr="00A5428A">
        <w:rPr>
          <w:rFonts w:ascii="Book Antiqua" w:hAnsi="Book Antiqua" w:cstheme="majorBidi"/>
          <w:sz w:val="24"/>
          <w:szCs w:val="24"/>
          <w:vertAlign w:val="superscript"/>
        </w:rPr>
        <w:t>45</w:t>
      </w:r>
      <w:r w:rsidR="00A5428A" w:rsidRPr="00A5428A">
        <w:rPr>
          <w:rFonts w:ascii="Book Antiqua" w:eastAsia="宋体" w:hAnsi="Book Antiqua" w:cstheme="majorBidi" w:hint="eastAsia"/>
          <w:sz w:val="24"/>
          <w:szCs w:val="24"/>
          <w:vertAlign w:val="superscript"/>
          <w:lang w:eastAsia="zh-CN"/>
        </w:rPr>
        <w:t>,</w:t>
      </w:r>
      <w:r w:rsidR="00A14522" w:rsidRPr="00A5428A">
        <w:rPr>
          <w:rFonts w:ascii="Book Antiqua" w:hAnsi="Book Antiqua" w:cstheme="majorBidi"/>
          <w:sz w:val="24"/>
          <w:szCs w:val="24"/>
          <w:vertAlign w:val="superscript"/>
        </w:rPr>
        <w:t>46</w:t>
      </w:r>
      <w:r w:rsidR="005C16DD" w:rsidRPr="00A5428A">
        <w:rPr>
          <w:rFonts w:ascii="Book Antiqua" w:hAnsi="Book Antiqua" w:cstheme="majorBidi"/>
          <w:sz w:val="24"/>
          <w:szCs w:val="24"/>
          <w:vertAlign w:val="superscript"/>
        </w:rPr>
        <w:t>]</w:t>
      </w:r>
      <w:r w:rsidRPr="00B727B0">
        <w:rPr>
          <w:rFonts w:ascii="Book Antiqua" w:hAnsi="Book Antiqua" w:cstheme="majorBidi"/>
          <w:sz w:val="24"/>
          <w:szCs w:val="24"/>
        </w:rPr>
        <w:t xml:space="preserve">. On the other hand, podocyn mutations did not show a decreased risk of </w:t>
      </w:r>
      <w:proofErr w:type="gramStart"/>
      <w:r w:rsidRPr="00B727B0">
        <w:rPr>
          <w:rFonts w:ascii="Book Antiqua" w:hAnsi="Book Antiqua" w:cstheme="majorBidi"/>
          <w:sz w:val="24"/>
          <w:szCs w:val="24"/>
        </w:rPr>
        <w:t>recurrence</w:t>
      </w:r>
      <w:r w:rsidR="005E6A1C" w:rsidRPr="00A5428A">
        <w:rPr>
          <w:rFonts w:ascii="Book Antiqua" w:hAnsi="Book Antiqua" w:cstheme="majorBidi"/>
          <w:sz w:val="24"/>
          <w:szCs w:val="24"/>
          <w:vertAlign w:val="superscript"/>
        </w:rPr>
        <w:t>[</w:t>
      </w:r>
      <w:proofErr w:type="gramEnd"/>
      <w:r w:rsidR="005E6A1C" w:rsidRPr="00A5428A">
        <w:rPr>
          <w:rFonts w:ascii="Book Antiqua" w:hAnsi="Book Antiqua" w:cstheme="majorBidi"/>
          <w:sz w:val="24"/>
          <w:szCs w:val="24"/>
          <w:vertAlign w:val="superscript"/>
        </w:rPr>
        <w:t>45]</w:t>
      </w:r>
      <w:r w:rsidRPr="00B727B0">
        <w:rPr>
          <w:rFonts w:ascii="Book Antiqua" w:hAnsi="Book Antiqua" w:cstheme="majorBidi"/>
          <w:sz w:val="24"/>
          <w:szCs w:val="24"/>
        </w:rPr>
        <w:t xml:space="preserve">. However, revising the recent series, there is consensus about certain clinical parameters that is considered </w:t>
      </w:r>
      <w:r w:rsidR="00D30A96" w:rsidRPr="00B727B0">
        <w:rPr>
          <w:rFonts w:ascii="Book Antiqua" w:hAnsi="Book Antiqua" w:cstheme="majorBidi"/>
          <w:sz w:val="24"/>
          <w:szCs w:val="24"/>
        </w:rPr>
        <w:t xml:space="preserve">the </w:t>
      </w:r>
      <w:r w:rsidRPr="00B727B0">
        <w:rPr>
          <w:rFonts w:ascii="Book Antiqua" w:hAnsi="Book Antiqua" w:cstheme="majorBidi"/>
          <w:sz w:val="24"/>
          <w:szCs w:val="24"/>
        </w:rPr>
        <w:t xml:space="preserve">paramount risk factors for </w:t>
      </w:r>
      <w:r w:rsidR="0061388D" w:rsidRPr="00B727B0">
        <w:rPr>
          <w:rFonts w:ascii="Book Antiqua" w:hAnsi="Book Antiqua" w:cstheme="majorBidi"/>
          <w:sz w:val="24"/>
          <w:szCs w:val="24"/>
        </w:rPr>
        <w:t xml:space="preserve">FSGS </w:t>
      </w:r>
      <w:r w:rsidRPr="00B727B0">
        <w:rPr>
          <w:rFonts w:ascii="Book Antiqua" w:hAnsi="Book Antiqua" w:cstheme="majorBidi"/>
          <w:sz w:val="24"/>
          <w:szCs w:val="24"/>
        </w:rPr>
        <w:t>recurrence:</w:t>
      </w:r>
      <w:r w:rsidR="00DF361A" w:rsidRPr="00B727B0">
        <w:rPr>
          <w:rFonts w:ascii="Book Antiqua" w:eastAsia="宋体" w:hAnsi="Book Antiqua" w:cstheme="majorBidi"/>
          <w:sz w:val="24"/>
          <w:szCs w:val="24"/>
          <w:lang w:eastAsia="zh-CN"/>
        </w:rPr>
        <w:t xml:space="preserve"> (1) </w:t>
      </w:r>
      <w:r w:rsidRPr="00B727B0">
        <w:rPr>
          <w:rFonts w:ascii="Book Antiqua" w:hAnsi="Book Antiqua" w:cstheme="majorBidi"/>
          <w:sz w:val="24"/>
          <w:szCs w:val="24"/>
        </w:rPr>
        <w:t>White race</w:t>
      </w:r>
      <w:r w:rsidR="00A14522" w:rsidRPr="00A5428A">
        <w:rPr>
          <w:rFonts w:ascii="Book Antiqua" w:hAnsi="Book Antiqua" w:cstheme="majorBidi"/>
          <w:sz w:val="24"/>
          <w:szCs w:val="24"/>
          <w:vertAlign w:val="superscript"/>
        </w:rPr>
        <w:t>[43]</w:t>
      </w:r>
      <w:r w:rsidR="00DF361A" w:rsidRPr="00B727B0">
        <w:rPr>
          <w:rFonts w:ascii="Book Antiqua" w:eastAsia="宋体" w:hAnsi="Book Antiqua" w:cstheme="majorBidi"/>
          <w:sz w:val="24"/>
          <w:szCs w:val="24"/>
          <w:lang w:eastAsia="zh-CN"/>
        </w:rPr>
        <w:t xml:space="preserve">; (2) </w:t>
      </w:r>
      <w:r w:rsidR="00DF361A" w:rsidRPr="00B727B0">
        <w:rPr>
          <w:rFonts w:ascii="Book Antiqua" w:hAnsi="Book Antiqua" w:cstheme="majorBidi"/>
          <w:sz w:val="24"/>
          <w:szCs w:val="24"/>
        </w:rPr>
        <w:t>h</w:t>
      </w:r>
      <w:r w:rsidR="00D30A96" w:rsidRPr="00B727B0">
        <w:rPr>
          <w:rFonts w:ascii="Book Antiqua" w:hAnsi="Book Antiqua" w:cstheme="majorBidi"/>
          <w:sz w:val="24"/>
          <w:szCs w:val="24"/>
        </w:rPr>
        <w:t>igher level of proteinuria</w:t>
      </w:r>
      <w:r w:rsidR="00DF361A" w:rsidRPr="00A5428A">
        <w:rPr>
          <w:rFonts w:ascii="Book Antiqua" w:hAnsi="Book Antiqua" w:cstheme="majorBidi"/>
          <w:sz w:val="24"/>
          <w:szCs w:val="24"/>
          <w:vertAlign w:val="superscript"/>
        </w:rPr>
        <w:t>[46,</w:t>
      </w:r>
      <w:r w:rsidR="00A14522" w:rsidRPr="00A5428A">
        <w:rPr>
          <w:rFonts w:ascii="Book Antiqua" w:hAnsi="Book Antiqua" w:cstheme="majorBidi"/>
          <w:sz w:val="24"/>
          <w:szCs w:val="24"/>
          <w:vertAlign w:val="superscript"/>
        </w:rPr>
        <w:t>47]</w:t>
      </w:r>
      <w:r w:rsidR="00DF361A" w:rsidRPr="00B727B0">
        <w:rPr>
          <w:rFonts w:ascii="Book Antiqua" w:eastAsia="宋体" w:hAnsi="Book Antiqua" w:cstheme="majorBidi"/>
          <w:sz w:val="24"/>
          <w:szCs w:val="24"/>
          <w:lang w:eastAsia="zh-CN"/>
        </w:rPr>
        <w:t xml:space="preserve">; (3) </w:t>
      </w:r>
      <w:r w:rsidR="00DF361A" w:rsidRPr="00B727B0">
        <w:rPr>
          <w:rFonts w:ascii="Book Antiqua" w:hAnsi="Book Antiqua" w:cstheme="majorBidi"/>
          <w:sz w:val="24"/>
          <w:szCs w:val="24"/>
        </w:rPr>
        <w:t>r</w:t>
      </w:r>
      <w:r w:rsidRPr="00B727B0">
        <w:rPr>
          <w:rFonts w:ascii="Book Antiqua" w:hAnsi="Book Antiqua" w:cstheme="majorBidi"/>
          <w:sz w:val="24"/>
          <w:szCs w:val="24"/>
        </w:rPr>
        <w:t>apid progression to ESR</w:t>
      </w:r>
      <w:r w:rsidR="00D30A96" w:rsidRPr="00B727B0">
        <w:rPr>
          <w:rFonts w:ascii="Book Antiqua" w:hAnsi="Book Antiqua" w:cstheme="majorBidi"/>
          <w:sz w:val="24"/>
          <w:szCs w:val="24"/>
        </w:rPr>
        <w:t>D</w:t>
      </w:r>
      <w:r w:rsidR="00DF361A" w:rsidRPr="00B727B0">
        <w:rPr>
          <w:rFonts w:ascii="Book Antiqua" w:hAnsi="Book Antiqua" w:cstheme="majorBidi"/>
          <w:sz w:val="24"/>
          <w:szCs w:val="24"/>
        </w:rPr>
        <w:t xml:space="preserve"> (&lt; 3 years)</w:t>
      </w:r>
      <w:r w:rsidR="00DF361A" w:rsidRPr="00B727B0">
        <w:rPr>
          <w:rFonts w:ascii="Book Antiqua" w:eastAsia="宋体" w:hAnsi="Book Antiqua" w:cstheme="majorBidi"/>
          <w:sz w:val="24"/>
          <w:szCs w:val="24"/>
          <w:lang w:eastAsia="zh-CN"/>
        </w:rPr>
        <w:t>; (4) y</w:t>
      </w:r>
      <w:r w:rsidR="00D30A96" w:rsidRPr="00B727B0">
        <w:rPr>
          <w:rFonts w:ascii="Book Antiqua" w:hAnsi="Book Antiqua" w:cstheme="majorBidi"/>
          <w:sz w:val="24"/>
          <w:szCs w:val="24"/>
        </w:rPr>
        <w:t>ounger age (&lt;</w:t>
      </w:r>
      <w:r w:rsidR="00DF361A" w:rsidRPr="00B727B0">
        <w:rPr>
          <w:rFonts w:ascii="Book Antiqua" w:eastAsia="宋体" w:hAnsi="Book Antiqua" w:cstheme="majorBidi"/>
          <w:sz w:val="24"/>
          <w:szCs w:val="24"/>
          <w:lang w:eastAsia="zh-CN"/>
        </w:rPr>
        <w:t xml:space="preserve"> </w:t>
      </w:r>
      <w:r w:rsidR="00D30A96" w:rsidRPr="00B727B0">
        <w:rPr>
          <w:rFonts w:ascii="Book Antiqua" w:hAnsi="Book Antiqua" w:cstheme="majorBidi"/>
          <w:sz w:val="24"/>
          <w:szCs w:val="24"/>
        </w:rPr>
        <w:t>15 years old</w:t>
      </w:r>
      <w:r w:rsidR="00DF361A" w:rsidRPr="00B727B0">
        <w:rPr>
          <w:rFonts w:ascii="Book Antiqua" w:hAnsi="Book Antiqua" w:cstheme="majorBidi"/>
          <w:sz w:val="24"/>
          <w:szCs w:val="24"/>
        </w:rPr>
        <w:t>) at time of diagnosis</w:t>
      </w:r>
      <w:r w:rsidR="00A14522" w:rsidRPr="00B727B0">
        <w:rPr>
          <w:rFonts w:ascii="Book Antiqua" w:hAnsi="Book Antiqua" w:cstheme="majorBidi"/>
          <w:sz w:val="24"/>
          <w:szCs w:val="24"/>
          <w:vertAlign w:val="superscript"/>
        </w:rPr>
        <w:t>[46]</w:t>
      </w:r>
      <w:r w:rsidR="00DF361A" w:rsidRPr="00B727B0">
        <w:rPr>
          <w:rFonts w:ascii="Book Antiqua" w:eastAsia="宋体" w:hAnsi="Book Antiqua" w:cstheme="majorBidi"/>
          <w:sz w:val="24"/>
          <w:szCs w:val="24"/>
          <w:lang w:eastAsia="zh-CN"/>
        </w:rPr>
        <w:t>; and (</w:t>
      </w:r>
      <w:r w:rsidR="00FA104D" w:rsidRPr="00B727B0">
        <w:rPr>
          <w:rFonts w:ascii="Book Antiqua" w:eastAsia="宋体" w:hAnsi="Book Antiqua" w:cstheme="majorBidi"/>
          <w:sz w:val="24"/>
          <w:szCs w:val="24"/>
          <w:lang w:eastAsia="zh-CN"/>
        </w:rPr>
        <w:t>5</w:t>
      </w:r>
      <w:r w:rsidR="00DF361A" w:rsidRPr="00B727B0">
        <w:rPr>
          <w:rFonts w:ascii="Book Antiqua" w:eastAsia="宋体" w:hAnsi="Book Antiqua" w:cstheme="majorBidi"/>
          <w:sz w:val="24"/>
          <w:szCs w:val="24"/>
          <w:lang w:eastAsia="zh-CN"/>
        </w:rPr>
        <w:t>) t</w:t>
      </w:r>
      <w:r w:rsidRPr="00B727B0">
        <w:rPr>
          <w:rFonts w:ascii="Book Antiqua" w:hAnsi="Book Antiqua" w:cstheme="majorBidi"/>
          <w:sz w:val="24"/>
          <w:szCs w:val="24"/>
        </w:rPr>
        <w:t xml:space="preserve">he most reliable risk </w:t>
      </w:r>
      <w:r w:rsidR="00FF6B5A" w:rsidRPr="00B727B0">
        <w:rPr>
          <w:rFonts w:ascii="Book Antiqua" w:hAnsi="Book Antiqua" w:cstheme="majorBidi"/>
          <w:sz w:val="24"/>
          <w:szCs w:val="24"/>
        </w:rPr>
        <w:t>factor</w:t>
      </w:r>
      <w:r w:rsidRPr="00B727B0">
        <w:rPr>
          <w:rFonts w:ascii="Book Antiqua" w:hAnsi="Book Antiqua" w:cstheme="majorBidi"/>
          <w:sz w:val="24"/>
          <w:szCs w:val="24"/>
        </w:rPr>
        <w:t xml:space="preserve"> for recurrence is recurrence in </w:t>
      </w:r>
      <w:r w:rsidR="00D30A96" w:rsidRPr="00B727B0">
        <w:rPr>
          <w:rFonts w:ascii="Book Antiqua" w:hAnsi="Book Antiqua" w:cstheme="majorBidi"/>
          <w:sz w:val="24"/>
          <w:szCs w:val="24"/>
        </w:rPr>
        <w:t xml:space="preserve">a </w:t>
      </w:r>
      <w:r w:rsidR="00FF6B5A" w:rsidRPr="00B727B0">
        <w:rPr>
          <w:rFonts w:ascii="Book Antiqua" w:hAnsi="Book Antiqua" w:cstheme="majorBidi"/>
          <w:sz w:val="24"/>
          <w:szCs w:val="24"/>
        </w:rPr>
        <w:t xml:space="preserve">previous </w:t>
      </w:r>
      <w:r w:rsidRPr="00B727B0">
        <w:rPr>
          <w:rFonts w:ascii="Book Antiqua" w:hAnsi="Book Antiqua" w:cstheme="majorBidi"/>
          <w:sz w:val="24"/>
          <w:szCs w:val="24"/>
        </w:rPr>
        <w:t>graft</w:t>
      </w:r>
      <w:r w:rsidR="00A814A9" w:rsidRPr="00A5428A">
        <w:rPr>
          <w:rFonts w:ascii="Book Antiqua" w:hAnsi="Book Antiqua" w:cstheme="majorBidi"/>
          <w:sz w:val="24"/>
          <w:szCs w:val="24"/>
          <w:vertAlign w:val="superscript"/>
        </w:rPr>
        <w:t>[2]</w:t>
      </w:r>
      <w:r w:rsidRPr="00B727B0">
        <w:rPr>
          <w:rFonts w:ascii="Book Antiqua" w:hAnsi="Book Antiqua" w:cstheme="majorBidi"/>
          <w:sz w:val="24"/>
          <w:szCs w:val="24"/>
        </w:rPr>
        <w:t xml:space="preserve">. </w:t>
      </w:r>
    </w:p>
    <w:p w14:paraId="5B8F96ED" w14:textId="5883E25B" w:rsidR="00244DA1" w:rsidRPr="00B727B0" w:rsidRDefault="00244DA1" w:rsidP="007312CD">
      <w:pPr>
        <w:adjustRightInd w:val="0"/>
        <w:snapToGrid w:val="0"/>
        <w:spacing w:after="0" w:line="360" w:lineRule="auto"/>
        <w:ind w:left="90" w:firstLine="720"/>
        <w:jc w:val="both"/>
        <w:rPr>
          <w:rFonts w:ascii="Book Antiqua" w:hAnsi="Book Antiqua" w:cstheme="majorBidi"/>
          <w:sz w:val="24"/>
          <w:szCs w:val="24"/>
        </w:rPr>
      </w:pPr>
      <w:r w:rsidRPr="00B727B0">
        <w:rPr>
          <w:rFonts w:ascii="Book Antiqua" w:hAnsi="Book Antiqua" w:cstheme="majorBidi"/>
          <w:sz w:val="24"/>
          <w:szCs w:val="24"/>
        </w:rPr>
        <w:t xml:space="preserve">By far, the most reliable risk factor for recurrence is recurrence in a failed allograft, which will be ultimately reflected on allograft survival. Losing of </w:t>
      </w:r>
      <w:r w:rsidRPr="00B727B0">
        <w:rPr>
          <w:rFonts w:ascii="Book Antiqua" w:hAnsi="Book Antiqua" w:cstheme="majorBidi"/>
          <w:sz w:val="24"/>
          <w:szCs w:val="24"/>
        </w:rPr>
        <w:lastRenderedPageBreak/>
        <w:t xml:space="preserve">allograft due to recurrent FSGS is associated of an 80% liability of recurrence of the original </w:t>
      </w:r>
      <w:proofErr w:type="gramStart"/>
      <w:r w:rsidRPr="00B727B0">
        <w:rPr>
          <w:rFonts w:ascii="Book Antiqua" w:hAnsi="Book Antiqua" w:cstheme="majorBidi"/>
          <w:sz w:val="24"/>
          <w:szCs w:val="24"/>
        </w:rPr>
        <w:t>disease</w:t>
      </w:r>
      <w:r w:rsidR="00A814A9" w:rsidRPr="00E21F5F">
        <w:rPr>
          <w:rFonts w:ascii="Book Antiqua" w:hAnsi="Book Antiqua" w:cstheme="majorBidi"/>
          <w:sz w:val="24"/>
          <w:szCs w:val="24"/>
          <w:vertAlign w:val="superscript"/>
        </w:rPr>
        <w:t>[</w:t>
      </w:r>
      <w:proofErr w:type="gramEnd"/>
      <w:r w:rsidR="00A814A9" w:rsidRPr="00E21F5F">
        <w:rPr>
          <w:rFonts w:ascii="Book Antiqua" w:hAnsi="Book Antiqua" w:cstheme="majorBidi"/>
          <w:sz w:val="24"/>
          <w:szCs w:val="24"/>
          <w:vertAlign w:val="superscript"/>
        </w:rPr>
        <w:t>2]</w:t>
      </w:r>
      <w:r w:rsidRPr="00B727B0">
        <w:rPr>
          <w:rFonts w:ascii="Book Antiqua" w:hAnsi="Book Antiqua" w:cstheme="majorBidi"/>
          <w:sz w:val="24"/>
          <w:szCs w:val="24"/>
        </w:rPr>
        <w:t xml:space="preserve">. </w:t>
      </w:r>
    </w:p>
    <w:p w14:paraId="3827DA84" w14:textId="77777777" w:rsidR="00FA104D" w:rsidRPr="00B727B0" w:rsidRDefault="00FA104D" w:rsidP="007312CD">
      <w:pPr>
        <w:adjustRightInd w:val="0"/>
        <w:snapToGrid w:val="0"/>
        <w:spacing w:after="0" w:line="360" w:lineRule="auto"/>
        <w:jc w:val="both"/>
        <w:rPr>
          <w:rFonts w:ascii="Book Antiqua" w:eastAsia="宋体" w:hAnsi="Book Antiqua" w:cstheme="majorBidi"/>
          <w:sz w:val="24"/>
          <w:szCs w:val="24"/>
          <w:u w:val="single"/>
          <w:lang w:eastAsia="zh-CN"/>
        </w:rPr>
      </w:pPr>
    </w:p>
    <w:p w14:paraId="2E9DEC7F" w14:textId="77DFDC23" w:rsidR="00244DA1" w:rsidRPr="00B727B0" w:rsidRDefault="00244DA1"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Graft survival in “recurrent”</w:t>
      </w:r>
      <w:r w:rsidRPr="00B727B0">
        <w:rPr>
          <w:rFonts w:ascii="Book Antiqua" w:hAnsi="Book Antiqua" w:cstheme="majorBidi"/>
          <w:b/>
          <w:bCs/>
          <w:i/>
          <w:sz w:val="24"/>
          <w:szCs w:val="24"/>
        </w:rPr>
        <w:t xml:space="preserve"> </w:t>
      </w:r>
      <w:r w:rsidR="00FA104D" w:rsidRPr="00B727B0">
        <w:rPr>
          <w:rFonts w:ascii="Book Antiqua" w:hAnsi="Book Antiqua" w:cstheme="majorBidi"/>
          <w:b/>
          <w:i/>
          <w:sz w:val="24"/>
          <w:szCs w:val="24"/>
        </w:rPr>
        <w:t>IgAN”</w:t>
      </w:r>
    </w:p>
    <w:p w14:paraId="7B869B46" w14:textId="55E3039D" w:rsidR="00244DA1" w:rsidRPr="00B727B0" w:rsidRDefault="00244DA1"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The reported incidence if recurrent IgAN is quite variable according to the considered diagnosis and period of follow up. IgAN can remain silent for 5 years before it became clinically evident. So, an average incidence of 30% has been </w:t>
      </w:r>
      <w:proofErr w:type="gramStart"/>
      <w:r w:rsidRPr="00B727B0">
        <w:rPr>
          <w:rFonts w:ascii="Book Antiqua" w:hAnsi="Book Antiqua" w:cstheme="majorBidi"/>
          <w:sz w:val="24"/>
          <w:szCs w:val="24"/>
        </w:rPr>
        <w:t>reported</w:t>
      </w:r>
      <w:r w:rsidR="00A14522" w:rsidRPr="001D768A">
        <w:rPr>
          <w:rFonts w:ascii="Book Antiqua" w:hAnsi="Book Antiqua" w:cstheme="majorBidi"/>
          <w:sz w:val="24"/>
          <w:szCs w:val="24"/>
          <w:vertAlign w:val="superscript"/>
        </w:rPr>
        <w:t>[</w:t>
      </w:r>
      <w:proofErr w:type="gramEnd"/>
      <w:r w:rsidR="00A14522" w:rsidRPr="001D768A">
        <w:rPr>
          <w:rFonts w:ascii="Book Antiqua" w:hAnsi="Book Antiqua" w:cstheme="majorBidi"/>
          <w:sz w:val="24"/>
          <w:szCs w:val="24"/>
          <w:vertAlign w:val="superscript"/>
        </w:rPr>
        <w:t>48]</w:t>
      </w:r>
      <w:r w:rsidRPr="00B727B0">
        <w:rPr>
          <w:rFonts w:ascii="Book Antiqua" w:hAnsi="Book Antiqua" w:cstheme="majorBidi"/>
          <w:sz w:val="24"/>
          <w:szCs w:val="24"/>
        </w:rPr>
        <w:t xml:space="preserve">. The histologic recurrence is by far more prevalent and discovered earlier before the disease became clinically evident. Rarely, crescentic disease with a rapidly progressing course can occur, which ultimately </w:t>
      </w:r>
      <w:r w:rsidR="00604623" w:rsidRPr="00B727B0">
        <w:rPr>
          <w:rFonts w:ascii="Book Antiqua" w:hAnsi="Book Antiqua" w:cstheme="majorBidi"/>
          <w:sz w:val="24"/>
          <w:szCs w:val="24"/>
        </w:rPr>
        <w:t>is associated with</w:t>
      </w:r>
      <w:r w:rsidRPr="00B727B0">
        <w:rPr>
          <w:rFonts w:ascii="Book Antiqua" w:hAnsi="Book Antiqua" w:cstheme="majorBidi"/>
          <w:sz w:val="24"/>
          <w:szCs w:val="24"/>
        </w:rPr>
        <w:t xml:space="preserve"> poor </w:t>
      </w:r>
      <w:proofErr w:type="gramStart"/>
      <w:r w:rsidRPr="00B727B0">
        <w:rPr>
          <w:rFonts w:ascii="Book Antiqua" w:hAnsi="Book Antiqua" w:cstheme="majorBidi"/>
          <w:sz w:val="24"/>
          <w:szCs w:val="24"/>
        </w:rPr>
        <w:t>prognosis</w:t>
      </w:r>
      <w:r w:rsidR="001D768A" w:rsidRPr="001D768A">
        <w:rPr>
          <w:rFonts w:ascii="Book Antiqua" w:hAnsi="Book Antiqua" w:cstheme="majorBidi"/>
          <w:sz w:val="24"/>
          <w:szCs w:val="24"/>
          <w:vertAlign w:val="superscript"/>
        </w:rPr>
        <w:t>[</w:t>
      </w:r>
      <w:proofErr w:type="gramEnd"/>
      <w:r w:rsidR="001D768A" w:rsidRPr="001D768A">
        <w:rPr>
          <w:rFonts w:ascii="Book Antiqua" w:hAnsi="Book Antiqua" w:cstheme="majorBidi"/>
          <w:sz w:val="24"/>
          <w:szCs w:val="24"/>
          <w:vertAlign w:val="superscript"/>
        </w:rPr>
        <w:t>48</w:t>
      </w:r>
      <w:r w:rsidR="001D768A" w:rsidRPr="001D768A">
        <w:rPr>
          <w:rFonts w:ascii="Book Antiqua" w:eastAsia="宋体" w:hAnsi="Book Antiqua" w:cstheme="majorBidi" w:hint="eastAsia"/>
          <w:sz w:val="24"/>
          <w:szCs w:val="24"/>
          <w:vertAlign w:val="superscript"/>
          <w:lang w:eastAsia="zh-CN"/>
        </w:rPr>
        <w:t>-</w:t>
      </w:r>
      <w:r w:rsidR="00A14522" w:rsidRPr="001D768A">
        <w:rPr>
          <w:rFonts w:ascii="Book Antiqua" w:hAnsi="Book Antiqua" w:cstheme="majorBidi"/>
          <w:sz w:val="24"/>
          <w:szCs w:val="24"/>
          <w:vertAlign w:val="superscript"/>
        </w:rPr>
        <w:t>50]</w:t>
      </w:r>
      <w:r w:rsidRPr="00B727B0">
        <w:rPr>
          <w:rFonts w:ascii="Book Antiqua" w:hAnsi="Book Antiqua" w:cstheme="majorBidi"/>
          <w:sz w:val="24"/>
          <w:szCs w:val="24"/>
        </w:rPr>
        <w:t xml:space="preserve">. </w:t>
      </w:r>
    </w:p>
    <w:p w14:paraId="75FFD625" w14:textId="6ED6F3FD" w:rsidR="00244DA1" w:rsidRPr="00B727B0" w:rsidRDefault="00244DA1" w:rsidP="007312CD">
      <w:pPr>
        <w:adjustRightInd w:val="0"/>
        <w:snapToGrid w:val="0"/>
        <w:spacing w:after="0" w:line="360" w:lineRule="auto"/>
        <w:ind w:firstLine="720"/>
        <w:jc w:val="both"/>
        <w:outlineLvl w:val="2"/>
        <w:rPr>
          <w:rFonts w:ascii="Book Antiqua" w:eastAsia="Times New Roman" w:hAnsi="Book Antiqua" w:cstheme="majorBidi"/>
          <w:sz w:val="24"/>
          <w:szCs w:val="24"/>
        </w:rPr>
      </w:pPr>
      <w:r w:rsidRPr="00B727B0">
        <w:rPr>
          <w:rFonts w:ascii="Book Antiqua" w:hAnsi="Book Antiqua" w:cstheme="majorBidi"/>
          <w:sz w:val="24"/>
          <w:szCs w:val="24"/>
        </w:rPr>
        <w:t xml:space="preserve">A growing body of evidence that three markers of an active disease </w:t>
      </w:r>
      <w:r w:rsidR="00604623" w:rsidRPr="00B727B0">
        <w:rPr>
          <w:rFonts w:ascii="Book Antiqua" w:hAnsi="Book Antiqua" w:cstheme="majorBidi"/>
          <w:sz w:val="24"/>
          <w:szCs w:val="24"/>
        </w:rPr>
        <w:t>indicates</w:t>
      </w:r>
      <w:r w:rsidRPr="00B727B0">
        <w:rPr>
          <w:rFonts w:ascii="Book Antiqua" w:hAnsi="Book Antiqua" w:cstheme="majorBidi"/>
          <w:sz w:val="24"/>
          <w:szCs w:val="24"/>
        </w:rPr>
        <w:t xml:space="preserve"> a great liability for recurrence</w:t>
      </w:r>
      <w:r w:rsidRPr="001D768A">
        <w:rPr>
          <w:rFonts w:ascii="Book Antiqua" w:hAnsi="Book Antiqua" w:cstheme="majorBidi"/>
          <w:sz w:val="24"/>
          <w:szCs w:val="24"/>
        </w:rPr>
        <w:t xml:space="preserve">: </w:t>
      </w:r>
      <w:r w:rsidR="001D768A" w:rsidRPr="001D768A">
        <w:rPr>
          <w:rFonts w:ascii="Book Antiqua" w:eastAsia="宋体" w:hAnsi="Book Antiqua" w:cstheme="majorBidi" w:hint="eastAsia"/>
          <w:sz w:val="24"/>
          <w:szCs w:val="24"/>
          <w:lang w:eastAsia="zh-CN"/>
        </w:rPr>
        <w:t>(1)</w:t>
      </w:r>
      <w:r w:rsidRPr="001D768A">
        <w:rPr>
          <w:rFonts w:ascii="Book Antiqua" w:hAnsi="Book Antiqua" w:cstheme="majorBidi"/>
          <w:sz w:val="24"/>
          <w:szCs w:val="24"/>
        </w:rPr>
        <w:t xml:space="preserve"> galactose-deficient IgA1</w:t>
      </w:r>
      <w:r w:rsidR="001D768A">
        <w:rPr>
          <w:rFonts w:ascii="Book Antiqua" w:eastAsia="宋体" w:hAnsi="Book Antiqua" w:cstheme="majorBidi" w:hint="eastAsia"/>
          <w:sz w:val="24"/>
          <w:szCs w:val="24"/>
          <w:lang w:eastAsia="zh-CN"/>
        </w:rPr>
        <w:t>;</w:t>
      </w:r>
      <w:r w:rsidRPr="001D768A">
        <w:rPr>
          <w:rFonts w:ascii="Book Antiqua" w:hAnsi="Book Antiqua" w:cstheme="majorBidi"/>
          <w:sz w:val="24"/>
          <w:szCs w:val="24"/>
        </w:rPr>
        <w:t xml:space="preserve"> </w:t>
      </w:r>
      <w:r w:rsidR="001D768A">
        <w:rPr>
          <w:rFonts w:ascii="Book Antiqua" w:eastAsia="宋体" w:hAnsi="Book Antiqua" w:cstheme="majorBidi" w:hint="eastAsia"/>
          <w:sz w:val="24"/>
          <w:szCs w:val="24"/>
          <w:lang w:eastAsia="zh-CN"/>
        </w:rPr>
        <w:t>(2)</w:t>
      </w:r>
      <w:r w:rsidRPr="001D768A">
        <w:rPr>
          <w:rFonts w:ascii="Book Antiqua" w:hAnsi="Book Antiqua" w:cstheme="majorBidi"/>
          <w:sz w:val="24"/>
          <w:szCs w:val="24"/>
        </w:rPr>
        <w:t xml:space="preserve"> IgA-IgG immune complexes</w:t>
      </w:r>
      <w:r w:rsidR="001D768A">
        <w:rPr>
          <w:rFonts w:ascii="Book Antiqua" w:eastAsia="宋体" w:hAnsi="Book Antiqua" w:cstheme="majorBidi" w:hint="eastAsia"/>
          <w:sz w:val="24"/>
          <w:szCs w:val="24"/>
          <w:lang w:eastAsia="zh-CN"/>
        </w:rPr>
        <w:t>;</w:t>
      </w:r>
      <w:r w:rsidRPr="001D768A">
        <w:rPr>
          <w:rFonts w:ascii="Book Antiqua" w:hAnsi="Book Antiqua" w:cstheme="majorBidi"/>
          <w:sz w:val="24"/>
          <w:szCs w:val="24"/>
        </w:rPr>
        <w:t xml:space="preserve"> and </w:t>
      </w:r>
      <w:r w:rsidR="001D768A">
        <w:rPr>
          <w:rFonts w:ascii="Book Antiqua" w:eastAsia="宋体" w:hAnsi="Book Antiqua" w:cstheme="majorBidi" w:hint="eastAsia"/>
          <w:sz w:val="24"/>
          <w:szCs w:val="24"/>
          <w:lang w:eastAsia="zh-CN"/>
        </w:rPr>
        <w:t>(3)</w:t>
      </w:r>
      <w:r w:rsidRPr="00B727B0">
        <w:rPr>
          <w:rFonts w:ascii="Book Antiqua" w:hAnsi="Book Antiqua" w:cstheme="majorBidi"/>
          <w:sz w:val="24"/>
          <w:szCs w:val="24"/>
        </w:rPr>
        <w:t xml:space="preserve"> </w:t>
      </w:r>
      <w:r w:rsidR="001D768A" w:rsidRPr="00B727B0">
        <w:rPr>
          <w:rFonts w:ascii="Book Antiqua" w:hAnsi="Book Antiqua" w:cstheme="majorBidi"/>
          <w:sz w:val="24"/>
          <w:szCs w:val="24"/>
        </w:rPr>
        <w:t>l</w:t>
      </w:r>
      <w:r w:rsidRPr="00B727B0">
        <w:rPr>
          <w:rFonts w:ascii="Book Antiqua" w:hAnsi="Book Antiqua" w:cstheme="majorBidi"/>
          <w:sz w:val="24"/>
          <w:szCs w:val="24"/>
        </w:rPr>
        <w:t xml:space="preserve">ower levels of IgA-soluble CD89 circulating complexes, the myeloid cell receptor for </w:t>
      </w:r>
      <w:proofErr w:type="gramStart"/>
      <w:r w:rsidRPr="00B727B0">
        <w:rPr>
          <w:rFonts w:ascii="Book Antiqua" w:hAnsi="Book Antiqua" w:cstheme="majorBidi"/>
          <w:sz w:val="24"/>
          <w:szCs w:val="24"/>
        </w:rPr>
        <w:t>IgA</w:t>
      </w:r>
      <w:r w:rsidR="00A14522" w:rsidRPr="001D768A">
        <w:rPr>
          <w:rFonts w:ascii="Book Antiqua" w:eastAsia="Times New Roman" w:hAnsi="Book Antiqua" w:cstheme="majorBidi"/>
          <w:sz w:val="24"/>
          <w:szCs w:val="24"/>
          <w:vertAlign w:val="superscript"/>
        </w:rPr>
        <w:t>[</w:t>
      </w:r>
      <w:proofErr w:type="gramEnd"/>
      <w:r w:rsidR="00A14522" w:rsidRPr="001D768A">
        <w:rPr>
          <w:rFonts w:ascii="Book Antiqua" w:eastAsia="Times New Roman" w:hAnsi="Book Antiqua" w:cstheme="majorBidi"/>
          <w:sz w:val="24"/>
          <w:szCs w:val="24"/>
          <w:vertAlign w:val="superscript"/>
        </w:rPr>
        <w:t>51]</w:t>
      </w:r>
      <w:r w:rsidR="00CF02AA" w:rsidRPr="00B727B0">
        <w:rPr>
          <w:rFonts w:ascii="Book Antiqua" w:hAnsi="Book Antiqua" w:cstheme="majorBidi"/>
          <w:sz w:val="24"/>
          <w:szCs w:val="24"/>
        </w:rPr>
        <w:t>.</w:t>
      </w:r>
      <w:r w:rsidR="00F305E4">
        <w:rPr>
          <w:rFonts w:ascii="Book Antiqua" w:hAnsi="Book Antiqua" w:cstheme="majorBidi"/>
          <w:sz w:val="24"/>
          <w:szCs w:val="24"/>
        </w:rPr>
        <w:t xml:space="preserve"> </w:t>
      </w:r>
      <w:r w:rsidRPr="00B727B0">
        <w:rPr>
          <w:rFonts w:ascii="Book Antiqua" w:hAnsi="Book Antiqua" w:cstheme="majorBidi"/>
          <w:sz w:val="24"/>
          <w:szCs w:val="24"/>
        </w:rPr>
        <w:t>The</w:t>
      </w:r>
      <w:r w:rsidRPr="00B727B0">
        <w:rPr>
          <w:rStyle w:val="Hyperlink"/>
          <w:rFonts w:ascii="Book Antiqua" w:eastAsia="Times New Roman" w:hAnsi="Book Antiqua" w:cstheme="majorBidi"/>
          <w:color w:val="auto"/>
          <w:sz w:val="24"/>
          <w:szCs w:val="24"/>
          <w:vertAlign w:val="superscript"/>
        </w:rPr>
        <w:t xml:space="preserve"> </w:t>
      </w:r>
      <w:r w:rsidRPr="00B727B0">
        <w:rPr>
          <w:rFonts w:ascii="Book Antiqua" w:hAnsi="Book Antiqua" w:cstheme="majorBidi"/>
          <w:sz w:val="24"/>
          <w:szCs w:val="24"/>
        </w:rPr>
        <w:t>only defect in considering these components is that they were considered on a clinically evident base of IgAN recurre</w:t>
      </w:r>
      <w:r w:rsidR="00E77F73" w:rsidRPr="00B727B0">
        <w:rPr>
          <w:rFonts w:ascii="Book Antiqua" w:hAnsi="Book Antiqua" w:cstheme="majorBidi"/>
          <w:sz w:val="24"/>
          <w:szCs w:val="24"/>
        </w:rPr>
        <w:t xml:space="preserve">nce, </w:t>
      </w:r>
      <w:r w:rsidR="00604623" w:rsidRPr="00B727B0">
        <w:rPr>
          <w:rFonts w:ascii="Book Antiqua" w:hAnsi="Book Antiqua" w:cstheme="majorBidi"/>
          <w:sz w:val="24"/>
          <w:szCs w:val="24"/>
        </w:rPr>
        <w:t>therefore</w:t>
      </w:r>
      <w:r w:rsidR="00E77F73" w:rsidRPr="00B727B0">
        <w:rPr>
          <w:rFonts w:ascii="Book Antiqua" w:hAnsi="Book Antiqua" w:cstheme="majorBidi"/>
          <w:sz w:val="24"/>
          <w:szCs w:val="24"/>
        </w:rPr>
        <w:t>, silent disease - a qui</w:t>
      </w:r>
      <w:r w:rsidRPr="00B727B0">
        <w:rPr>
          <w:rFonts w:ascii="Book Antiqua" w:hAnsi="Book Antiqua" w:cstheme="majorBidi"/>
          <w:sz w:val="24"/>
          <w:szCs w:val="24"/>
        </w:rPr>
        <w:t>t</w:t>
      </w:r>
      <w:r w:rsidR="00E77F73" w:rsidRPr="00B727B0">
        <w:rPr>
          <w:rFonts w:ascii="Book Antiqua" w:hAnsi="Book Antiqua" w:cstheme="majorBidi"/>
          <w:sz w:val="24"/>
          <w:szCs w:val="24"/>
        </w:rPr>
        <w:t>e</w:t>
      </w:r>
      <w:r w:rsidRPr="00B727B0">
        <w:rPr>
          <w:rFonts w:ascii="Book Antiqua" w:hAnsi="Book Antiqua" w:cstheme="majorBidi"/>
          <w:sz w:val="24"/>
          <w:szCs w:val="24"/>
        </w:rPr>
        <w:t xml:space="preserve"> common </w:t>
      </w:r>
      <w:r w:rsidR="00E77F73" w:rsidRPr="00B727B0">
        <w:rPr>
          <w:rFonts w:ascii="Book Antiqua" w:hAnsi="Book Antiqua" w:cstheme="majorBidi"/>
          <w:sz w:val="24"/>
          <w:szCs w:val="24"/>
        </w:rPr>
        <w:t xml:space="preserve">IgAN </w:t>
      </w:r>
      <w:r w:rsidRPr="00B727B0">
        <w:rPr>
          <w:rFonts w:ascii="Book Antiqua" w:hAnsi="Book Antiqua" w:cstheme="majorBidi"/>
          <w:sz w:val="24"/>
          <w:szCs w:val="24"/>
        </w:rPr>
        <w:t xml:space="preserve">behavior - will be definitely missed, which means </w:t>
      </w:r>
      <w:r w:rsidR="0061388D" w:rsidRPr="00B727B0">
        <w:rPr>
          <w:rFonts w:ascii="Book Antiqua" w:hAnsi="Book Antiqua" w:cstheme="majorBidi"/>
          <w:sz w:val="24"/>
          <w:szCs w:val="24"/>
        </w:rPr>
        <w:t>an easily</w:t>
      </w:r>
      <w:r w:rsidRPr="00B727B0">
        <w:rPr>
          <w:rFonts w:ascii="Book Antiqua" w:hAnsi="Book Antiqua" w:cstheme="majorBidi"/>
          <w:sz w:val="24"/>
          <w:szCs w:val="24"/>
        </w:rPr>
        <w:t xml:space="preserve"> missed diagnos</w:t>
      </w:r>
      <w:r w:rsidR="0061388D" w:rsidRPr="00B727B0">
        <w:rPr>
          <w:rFonts w:ascii="Book Antiqua" w:hAnsi="Book Antiqua" w:cstheme="majorBidi"/>
          <w:sz w:val="24"/>
          <w:szCs w:val="24"/>
        </w:rPr>
        <w:t>i</w:t>
      </w:r>
      <w:r w:rsidRPr="00B727B0">
        <w:rPr>
          <w:rFonts w:ascii="Book Antiqua" w:hAnsi="Book Antiqua" w:cstheme="majorBidi"/>
          <w:sz w:val="24"/>
          <w:szCs w:val="24"/>
        </w:rPr>
        <w:t>s of IgAN recurrence</w:t>
      </w:r>
      <w:r w:rsidR="00A814A9" w:rsidRPr="001D768A">
        <w:rPr>
          <w:rFonts w:ascii="Book Antiqua" w:hAnsi="Book Antiqua" w:cstheme="majorBidi"/>
          <w:sz w:val="24"/>
          <w:szCs w:val="24"/>
          <w:vertAlign w:val="superscript"/>
        </w:rPr>
        <w:t>[2]</w:t>
      </w:r>
      <w:r w:rsidRPr="00B727B0">
        <w:rPr>
          <w:rFonts w:ascii="Book Antiqua" w:hAnsi="Book Antiqua" w:cstheme="majorBidi"/>
          <w:sz w:val="24"/>
          <w:szCs w:val="24"/>
        </w:rPr>
        <w:t>.</w:t>
      </w:r>
      <w:r w:rsidRPr="00B727B0">
        <w:rPr>
          <w:rFonts w:ascii="Book Antiqua" w:eastAsia="Times New Roman" w:hAnsi="Book Antiqua" w:cstheme="majorBidi"/>
          <w:sz w:val="24"/>
          <w:szCs w:val="24"/>
        </w:rPr>
        <w:t xml:space="preserve"> </w:t>
      </w:r>
    </w:p>
    <w:p w14:paraId="23269BEB" w14:textId="77777777" w:rsidR="00FA104D" w:rsidRPr="001A779E" w:rsidRDefault="00FA104D" w:rsidP="007312CD">
      <w:pPr>
        <w:adjustRightInd w:val="0"/>
        <w:snapToGrid w:val="0"/>
        <w:spacing w:after="0" w:line="360" w:lineRule="auto"/>
        <w:jc w:val="both"/>
        <w:outlineLvl w:val="2"/>
        <w:rPr>
          <w:rFonts w:ascii="Book Antiqua" w:eastAsia="宋体" w:hAnsi="Book Antiqua" w:cstheme="majorBidi"/>
          <w:sz w:val="24"/>
          <w:szCs w:val="24"/>
          <w:lang w:eastAsia="zh-CN"/>
        </w:rPr>
      </w:pPr>
    </w:p>
    <w:p w14:paraId="2A95838A" w14:textId="3FAE51AB" w:rsidR="00244DA1" w:rsidRPr="00B727B0" w:rsidRDefault="00244DA1" w:rsidP="007312CD">
      <w:pPr>
        <w:adjustRightInd w:val="0"/>
        <w:snapToGrid w:val="0"/>
        <w:spacing w:after="0" w:line="360" w:lineRule="auto"/>
        <w:jc w:val="both"/>
        <w:outlineLvl w:val="2"/>
        <w:rPr>
          <w:rFonts w:ascii="Book Antiqua" w:hAnsi="Book Antiqua" w:cstheme="majorBidi"/>
          <w:sz w:val="24"/>
          <w:szCs w:val="24"/>
        </w:rPr>
      </w:pPr>
      <w:r w:rsidRPr="00B727B0">
        <w:rPr>
          <w:rFonts w:ascii="Book Antiqua" w:hAnsi="Book Antiqua" w:cstheme="majorBidi"/>
          <w:b/>
          <w:sz w:val="24"/>
          <w:szCs w:val="24"/>
        </w:rPr>
        <w:t xml:space="preserve">Risk factors of IgAN recurrence include: </w:t>
      </w:r>
      <w:r w:rsidR="00DF361A" w:rsidRPr="00B727B0">
        <w:rPr>
          <w:rFonts w:ascii="Book Antiqua" w:eastAsia="宋体" w:hAnsi="Book Antiqua" w:cstheme="majorBidi"/>
          <w:sz w:val="24"/>
          <w:szCs w:val="24"/>
          <w:lang w:eastAsia="zh-CN"/>
        </w:rPr>
        <w:t>(1) y</w:t>
      </w:r>
      <w:r w:rsidR="00DF361A" w:rsidRPr="00B727B0">
        <w:rPr>
          <w:rFonts w:ascii="Book Antiqua" w:hAnsi="Book Antiqua" w:cstheme="majorBidi"/>
          <w:sz w:val="24"/>
          <w:szCs w:val="24"/>
        </w:rPr>
        <w:t>oung RTR</w:t>
      </w:r>
      <w:r w:rsidR="00DF361A" w:rsidRPr="00B727B0">
        <w:rPr>
          <w:rFonts w:ascii="Book Antiqua" w:eastAsia="宋体" w:hAnsi="Book Antiqua" w:cstheme="majorBidi"/>
          <w:sz w:val="24"/>
          <w:szCs w:val="24"/>
          <w:lang w:eastAsia="zh-CN"/>
        </w:rPr>
        <w:t>; (2) a</w:t>
      </w:r>
      <w:r w:rsidRPr="00B727B0">
        <w:rPr>
          <w:rFonts w:ascii="Book Antiqua" w:hAnsi="Book Antiqua" w:cstheme="majorBidi"/>
          <w:sz w:val="24"/>
          <w:szCs w:val="24"/>
        </w:rPr>
        <w:t>ggressive course of the</w:t>
      </w:r>
      <w:r w:rsidR="00DF361A" w:rsidRPr="00B727B0">
        <w:rPr>
          <w:rFonts w:ascii="Book Antiqua" w:hAnsi="Book Antiqua" w:cstheme="majorBidi"/>
          <w:sz w:val="24"/>
          <w:szCs w:val="24"/>
        </w:rPr>
        <w:t xml:space="preserve"> disease before transplantation</w:t>
      </w:r>
      <w:r w:rsidR="00DF361A" w:rsidRPr="00B727B0">
        <w:rPr>
          <w:rFonts w:ascii="Book Antiqua" w:eastAsia="宋体" w:hAnsi="Book Antiqua" w:cstheme="majorBidi"/>
          <w:sz w:val="24"/>
          <w:szCs w:val="24"/>
          <w:lang w:eastAsia="zh-CN"/>
        </w:rPr>
        <w:t>; (3) l</w:t>
      </w:r>
      <w:r w:rsidRPr="00B727B0">
        <w:rPr>
          <w:rFonts w:ascii="Book Antiqua" w:hAnsi="Book Antiqua" w:cstheme="majorBidi"/>
          <w:sz w:val="24"/>
          <w:szCs w:val="24"/>
        </w:rPr>
        <w:t xml:space="preserve">iving </w:t>
      </w:r>
      <w:r w:rsidR="00DF361A" w:rsidRPr="00B727B0">
        <w:rPr>
          <w:rFonts w:ascii="Book Antiqua" w:hAnsi="Book Antiqua" w:cstheme="majorBidi"/>
          <w:i/>
          <w:sz w:val="24"/>
          <w:szCs w:val="24"/>
        </w:rPr>
        <w:t>vs</w:t>
      </w:r>
      <w:r w:rsidR="004C111A" w:rsidRPr="00B727B0">
        <w:rPr>
          <w:rFonts w:ascii="Book Antiqua" w:hAnsi="Book Antiqua" w:cstheme="majorBidi"/>
          <w:i/>
          <w:sz w:val="24"/>
          <w:szCs w:val="24"/>
        </w:rPr>
        <w:t xml:space="preserve"> </w:t>
      </w:r>
      <w:r w:rsidR="00DF361A" w:rsidRPr="00B727B0">
        <w:rPr>
          <w:rFonts w:ascii="Book Antiqua" w:hAnsi="Book Antiqua" w:cstheme="majorBidi"/>
          <w:sz w:val="24"/>
          <w:szCs w:val="24"/>
        </w:rPr>
        <w:t>deceased donation</w:t>
      </w:r>
      <w:r w:rsidR="00DF361A" w:rsidRPr="001A779E">
        <w:rPr>
          <w:rFonts w:ascii="Book Antiqua" w:hAnsi="Book Antiqua" w:cstheme="majorBidi"/>
          <w:sz w:val="24"/>
          <w:szCs w:val="24"/>
          <w:vertAlign w:val="superscript"/>
        </w:rPr>
        <w:t>[52,</w:t>
      </w:r>
      <w:r w:rsidR="00A14522" w:rsidRPr="001A779E">
        <w:rPr>
          <w:rFonts w:ascii="Book Antiqua" w:hAnsi="Book Antiqua" w:cstheme="majorBidi"/>
          <w:sz w:val="24"/>
          <w:szCs w:val="24"/>
          <w:vertAlign w:val="superscript"/>
        </w:rPr>
        <w:t>53]</w:t>
      </w:r>
      <w:r w:rsidR="00DF361A" w:rsidRPr="00B727B0">
        <w:rPr>
          <w:rFonts w:ascii="Book Antiqua" w:eastAsia="宋体" w:hAnsi="Book Antiqua" w:cstheme="majorBidi"/>
          <w:sz w:val="24"/>
          <w:szCs w:val="24"/>
          <w:lang w:eastAsia="zh-CN"/>
        </w:rPr>
        <w:t>; (4) p</w:t>
      </w:r>
      <w:r w:rsidR="00DF361A" w:rsidRPr="00B727B0">
        <w:rPr>
          <w:rFonts w:ascii="Book Antiqua" w:hAnsi="Book Antiqua" w:cstheme="majorBidi"/>
          <w:sz w:val="24"/>
          <w:szCs w:val="24"/>
        </w:rPr>
        <w:t>olymorphisms in IL-10</w:t>
      </w:r>
      <w:r w:rsidR="00DF361A" w:rsidRPr="001A779E">
        <w:rPr>
          <w:rFonts w:ascii="Book Antiqua" w:hAnsi="Book Antiqua" w:cstheme="majorBidi"/>
          <w:sz w:val="24"/>
          <w:szCs w:val="24"/>
          <w:vertAlign w:val="superscript"/>
        </w:rPr>
        <w:t>[54,</w:t>
      </w:r>
      <w:r w:rsidR="00A14522" w:rsidRPr="001A779E">
        <w:rPr>
          <w:rFonts w:ascii="Book Antiqua" w:hAnsi="Book Antiqua" w:cstheme="majorBidi"/>
          <w:sz w:val="24"/>
          <w:szCs w:val="24"/>
          <w:vertAlign w:val="superscript"/>
        </w:rPr>
        <w:t>55]</w:t>
      </w:r>
      <w:r w:rsidR="00DF361A"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5</w:t>
      </w:r>
      <w:r w:rsidR="00DF361A" w:rsidRPr="00B727B0">
        <w:rPr>
          <w:rFonts w:ascii="Book Antiqua" w:eastAsia="宋体" w:hAnsi="Book Antiqua" w:cstheme="majorBidi"/>
          <w:sz w:val="24"/>
          <w:szCs w:val="24"/>
          <w:lang w:eastAsia="zh-CN"/>
        </w:rPr>
        <w:t xml:space="preserve">) </w:t>
      </w:r>
      <w:r w:rsidRPr="00B727B0">
        <w:rPr>
          <w:rFonts w:ascii="Book Antiqua" w:hAnsi="Book Antiqua" w:cstheme="majorBidi"/>
          <w:sz w:val="24"/>
          <w:szCs w:val="24"/>
        </w:rPr>
        <w:t>HLA-B8-DR3 haplotype</w:t>
      </w:r>
      <w:r w:rsidR="00A14522" w:rsidRPr="001A779E">
        <w:rPr>
          <w:rFonts w:ascii="Book Antiqua" w:hAnsi="Book Antiqua" w:cstheme="majorBidi"/>
          <w:sz w:val="24"/>
          <w:szCs w:val="24"/>
          <w:vertAlign w:val="superscript"/>
        </w:rPr>
        <w:t>[56]</w:t>
      </w:r>
      <w:r w:rsidR="00DF361A"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6</w:t>
      </w:r>
      <w:r w:rsidR="00DF361A" w:rsidRPr="00B727B0">
        <w:rPr>
          <w:rFonts w:ascii="Book Antiqua" w:eastAsia="宋体" w:hAnsi="Book Antiqua" w:cstheme="majorBidi"/>
          <w:sz w:val="24"/>
          <w:szCs w:val="24"/>
          <w:lang w:eastAsia="zh-CN"/>
        </w:rPr>
        <w:t>) s</w:t>
      </w:r>
      <w:r w:rsidRPr="00B727B0">
        <w:rPr>
          <w:rFonts w:ascii="Book Antiqua" w:hAnsi="Book Antiqua" w:cstheme="majorBidi"/>
          <w:sz w:val="24"/>
          <w:szCs w:val="24"/>
        </w:rPr>
        <w:t>teroid-free regimen</w:t>
      </w:r>
      <w:r w:rsidR="00DF361A" w:rsidRPr="001A779E">
        <w:rPr>
          <w:rFonts w:ascii="Book Antiqua" w:hAnsi="Book Antiqua" w:cstheme="majorBidi"/>
          <w:sz w:val="24"/>
          <w:szCs w:val="24"/>
          <w:vertAlign w:val="superscript"/>
        </w:rPr>
        <w:t>[57,</w:t>
      </w:r>
      <w:r w:rsidR="005E6A1C" w:rsidRPr="001A779E">
        <w:rPr>
          <w:rFonts w:ascii="Book Antiqua" w:hAnsi="Book Antiqua" w:cstheme="majorBidi"/>
          <w:sz w:val="24"/>
          <w:szCs w:val="24"/>
          <w:vertAlign w:val="superscript"/>
        </w:rPr>
        <w:t>58]</w:t>
      </w:r>
      <w:r w:rsidR="00DF361A" w:rsidRPr="00B727B0">
        <w:rPr>
          <w:rFonts w:ascii="Book Antiqua" w:eastAsia="宋体" w:hAnsi="Book Antiqua" w:cstheme="majorBidi"/>
          <w:sz w:val="24"/>
          <w:szCs w:val="24"/>
          <w:lang w:eastAsia="zh-CN"/>
        </w:rPr>
        <w:t>; and (</w:t>
      </w:r>
      <w:r w:rsidR="00FA104D" w:rsidRPr="00B727B0">
        <w:rPr>
          <w:rFonts w:ascii="Book Antiqua" w:eastAsia="宋体" w:hAnsi="Book Antiqua" w:cstheme="majorBidi"/>
          <w:sz w:val="24"/>
          <w:szCs w:val="24"/>
          <w:lang w:eastAsia="zh-CN"/>
        </w:rPr>
        <w:t>7</w:t>
      </w:r>
      <w:r w:rsidR="00DF361A" w:rsidRPr="00B727B0">
        <w:rPr>
          <w:rFonts w:ascii="Book Antiqua" w:eastAsia="宋体" w:hAnsi="Book Antiqua" w:cstheme="majorBidi"/>
          <w:sz w:val="24"/>
          <w:szCs w:val="24"/>
          <w:lang w:eastAsia="zh-CN"/>
        </w:rPr>
        <w:t xml:space="preserve">) </w:t>
      </w:r>
      <w:r w:rsidR="00DF361A" w:rsidRPr="00B727B0">
        <w:rPr>
          <w:rFonts w:ascii="Book Antiqua" w:hAnsi="Book Antiqua" w:cstheme="majorBidi"/>
          <w:sz w:val="24"/>
          <w:szCs w:val="24"/>
        </w:rPr>
        <w:t>i</w:t>
      </w:r>
      <w:r w:rsidRPr="00B727B0">
        <w:rPr>
          <w:rFonts w:ascii="Book Antiqua" w:hAnsi="Book Antiqua" w:cstheme="majorBidi"/>
          <w:sz w:val="24"/>
          <w:szCs w:val="24"/>
        </w:rPr>
        <w:t>mpact of histological classification: could have prognostic implications</w:t>
      </w:r>
      <w:r w:rsidR="00F71858" w:rsidRPr="001A779E">
        <w:rPr>
          <w:rFonts w:ascii="Book Antiqua" w:hAnsi="Book Antiqua" w:cstheme="majorBidi"/>
          <w:sz w:val="24"/>
          <w:szCs w:val="24"/>
          <w:vertAlign w:val="superscript"/>
        </w:rPr>
        <w:t>[</w:t>
      </w:r>
      <w:r w:rsidR="00D46461" w:rsidRPr="001A779E">
        <w:rPr>
          <w:rFonts w:ascii="Book Antiqua" w:hAnsi="Book Antiqua" w:cstheme="majorBidi"/>
          <w:sz w:val="24"/>
          <w:szCs w:val="24"/>
          <w:vertAlign w:val="superscript"/>
        </w:rPr>
        <w:t>18</w:t>
      </w:r>
      <w:r w:rsidR="005E6A1C" w:rsidRPr="001A779E">
        <w:rPr>
          <w:rFonts w:ascii="Book Antiqua" w:hAnsi="Book Antiqua" w:cstheme="majorBidi"/>
          <w:sz w:val="24"/>
          <w:szCs w:val="24"/>
          <w:vertAlign w:val="superscript"/>
        </w:rPr>
        <w:t>,</w:t>
      </w:r>
      <w:r w:rsidR="00A14522" w:rsidRPr="001A779E">
        <w:rPr>
          <w:rFonts w:ascii="Book Antiqua" w:hAnsi="Book Antiqua" w:cstheme="majorBidi"/>
          <w:sz w:val="24"/>
          <w:szCs w:val="24"/>
          <w:vertAlign w:val="superscript"/>
        </w:rPr>
        <w:t>59,60]</w:t>
      </w:r>
      <w:r w:rsidR="00CF02AA" w:rsidRPr="00B727B0">
        <w:rPr>
          <w:rFonts w:ascii="Book Antiqua" w:hAnsi="Book Antiqua" w:cstheme="majorBidi"/>
          <w:sz w:val="24"/>
          <w:szCs w:val="24"/>
        </w:rPr>
        <w:t>.</w:t>
      </w:r>
    </w:p>
    <w:p w14:paraId="7D9952BB" w14:textId="1D7FD056" w:rsidR="00AD6261" w:rsidRPr="00B727B0" w:rsidRDefault="00244DA1" w:rsidP="007312CD">
      <w:pPr>
        <w:adjustRightInd w:val="0"/>
        <w:snapToGrid w:val="0"/>
        <w:spacing w:after="0" w:line="360" w:lineRule="auto"/>
        <w:ind w:firstLine="720"/>
        <w:jc w:val="both"/>
        <w:rPr>
          <w:rFonts w:ascii="Book Antiqua" w:eastAsia="Times New Roman" w:hAnsi="Book Antiqua" w:cstheme="majorBidi"/>
          <w:sz w:val="24"/>
          <w:szCs w:val="24"/>
        </w:rPr>
      </w:pPr>
      <w:r w:rsidRPr="00B727B0">
        <w:rPr>
          <w:rFonts w:ascii="Book Antiqua" w:eastAsia="Times New Roman" w:hAnsi="Book Antiqua" w:cstheme="majorBidi"/>
          <w:sz w:val="24"/>
          <w:szCs w:val="24"/>
        </w:rPr>
        <w:t xml:space="preserve">Despite the reported excellent outcome after renal transplantation and the better graft survival in comparison with other GN </w:t>
      </w:r>
      <w:proofErr w:type="gramStart"/>
      <w:r w:rsidRPr="00B727B0">
        <w:rPr>
          <w:rFonts w:ascii="Book Antiqua" w:eastAsia="Times New Roman" w:hAnsi="Book Antiqua" w:cstheme="majorBidi"/>
          <w:sz w:val="24"/>
          <w:szCs w:val="24"/>
        </w:rPr>
        <w:t>diseases</w:t>
      </w:r>
      <w:r w:rsidR="00A14522" w:rsidRPr="001A779E">
        <w:rPr>
          <w:rFonts w:ascii="Book Antiqua" w:eastAsia="Times New Roman" w:hAnsi="Book Antiqua" w:cstheme="majorBidi"/>
          <w:sz w:val="24"/>
          <w:szCs w:val="24"/>
          <w:vertAlign w:val="superscript"/>
        </w:rPr>
        <w:t>[</w:t>
      </w:r>
      <w:proofErr w:type="gramEnd"/>
      <w:r w:rsidR="00A14522" w:rsidRPr="001A779E">
        <w:rPr>
          <w:rFonts w:ascii="Book Antiqua" w:eastAsia="Times New Roman" w:hAnsi="Book Antiqua" w:cstheme="majorBidi"/>
          <w:sz w:val="24"/>
          <w:szCs w:val="24"/>
          <w:vertAlign w:val="superscript"/>
        </w:rPr>
        <w:t>61</w:t>
      </w:r>
      <w:r w:rsidR="00DF361A" w:rsidRPr="001A779E">
        <w:rPr>
          <w:rFonts w:ascii="Book Antiqua" w:eastAsia="宋体" w:hAnsi="Book Antiqua" w:cstheme="majorBidi"/>
          <w:sz w:val="24"/>
          <w:szCs w:val="24"/>
          <w:vertAlign w:val="superscript"/>
          <w:lang w:eastAsia="zh-CN"/>
        </w:rPr>
        <w:t>-</w:t>
      </w:r>
      <w:r w:rsidR="005E6A1C" w:rsidRPr="001A779E">
        <w:rPr>
          <w:rFonts w:ascii="Book Antiqua" w:eastAsia="Times New Roman" w:hAnsi="Book Antiqua" w:cstheme="majorBidi"/>
          <w:sz w:val="24"/>
          <w:szCs w:val="24"/>
          <w:vertAlign w:val="superscript"/>
        </w:rPr>
        <w:t>63</w:t>
      </w:r>
      <w:r w:rsidR="00A14522" w:rsidRPr="001A779E">
        <w:rPr>
          <w:rFonts w:ascii="Book Antiqua" w:eastAsia="Times New Roman" w:hAnsi="Book Antiqua" w:cstheme="majorBidi"/>
          <w:sz w:val="24"/>
          <w:szCs w:val="24"/>
          <w:vertAlign w:val="superscript"/>
        </w:rPr>
        <w:t>]</w:t>
      </w:r>
      <w:r w:rsidRPr="00B727B0">
        <w:rPr>
          <w:rFonts w:ascii="Book Antiqua" w:eastAsia="Times New Roman" w:hAnsi="Book Antiqua" w:cstheme="majorBidi"/>
          <w:sz w:val="24"/>
          <w:szCs w:val="24"/>
        </w:rPr>
        <w:t xml:space="preserve">, recurrent IgA disease - on the other hand - have been proved to be detrimental to the allograft. So, definitely, patient with recurrent IgAN have a higher risk of losing their grafts in comparison with patients without </w:t>
      </w:r>
      <w:proofErr w:type="gramStart"/>
      <w:r w:rsidRPr="00B727B0">
        <w:rPr>
          <w:rFonts w:ascii="Book Antiqua" w:eastAsia="Times New Roman" w:hAnsi="Book Antiqua" w:cstheme="majorBidi"/>
          <w:sz w:val="24"/>
          <w:szCs w:val="24"/>
        </w:rPr>
        <w:t>recurrence</w:t>
      </w:r>
      <w:r w:rsidR="00AB4FF9" w:rsidRPr="001A779E">
        <w:rPr>
          <w:rFonts w:ascii="Book Antiqua" w:hAnsi="Book Antiqua" w:cstheme="majorBidi"/>
          <w:sz w:val="24"/>
          <w:szCs w:val="24"/>
          <w:vertAlign w:val="superscript"/>
        </w:rPr>
        <w:t>[</w:t>
      </w:r>
      <w:proofErr w:type="gramEnd"/>
      <w:r w:rsidR="00D46461" w:rsidRPr="001A779E">
        <w:rPr>
          <w:rFonts w:ascii="Book Antiqua" w:hAnsi="Book Antiqua" w:cstheme="majorBidi"/>
          <w:sz w:val="24"/>
          <w:szCs w:val="24"/>
          <w:vertAlign w:val="superscript"/>
        </w:rPr>
        <w:t>18</w:t>
      </w:r>
      <w:r w:rsidR="00DF361A" w:rsidRPr="001A779E">
        <w:rPr>
          <w:rFonts w:ascii="Book Antiqua" w:hAnsi="Book Antiqua" w:cstheme="majorBidi"/>
          <w:sz w:val="24"/>
          <w:szCs w:val="24"/>
          <w:vertAlign w:val="superscript"/>
        </w:rPr>
        <w:t>,48,64,</w:t>
      </w:r>
      <w:r w:rsidR="00A14522" w:rsidRPr="001A779E">
        <w:rPr>
          <w:rFonts w:ascii="Book Antiqua" w:hAnsi="Book Antiqua" w:cstheme="majorBidi"/>
          <w:sz w:val="24"/>
          <w:szCs w:val="24"/>
          <w:vertAlign w:val="superscript"/>
        </w:rPr>
        <w:t>65]</w:t>
      </w:r>
      <w:r w:rsidR="00CF02AA" w:rsidRPr="00B727B0">
        <w:rPr>
          <w:rFonts w:ascii="Book Antiqua" w:hAnsi="Book Antiqua" w:cstheme="majorBidi"/>
          <w:sz w:val="24"/>
          <w:szCs w:val="24"/>
        </w:rPr>
        <w:t>.</w:t>
      </w:r>
    </w:p>
    <w:p w14:paraId="4B682418" w14:textId="77777777" w:rsidR="00FA104D" w:rsidRPr="00B727B0" w:rsidRDefault="00FA104D" w:rsidP="007312CD">
      <w:pPr>
        <w:adjustRightInd w:val="0"/>
        <w:snapToGrid w:val="0"/>
        <w:spacing w:after="0" w:line="360" w:lineRule="auto"/>
        <w:jc w:val="both"/>
        <w:outlineLvl w:val="2"/>
        <w:rPr>
          <w:rFonts w:ascii="Book Antiqua" w:eastAsia="宋体" w:hAnsi="Book Antiqua" w:cstheme="majorBidi"/>
          <w:sz w:val="24"/>
          <w:szCs w:val="24"/>
          <w:u w:val="single"/>
          <w:lang w:eastAsia="zh-CN"/>
        </w:rPr>
      </w:pPr>
    </w:p>
    <w:p w14:paraId="7E07C857" w14:textId="12360AD0" w:rsidR="00904B24" w:rsidRPr="00B727B0" w:rsidRDefault="00FA104D" w:rsidP="007312CD">
      <w:pPr>
        <w:adjustRightInd w:val="0"/>
        <w:snapToGrid w:val="0"/>
        <w:spacing w:after="0" w:line="360" w:lineRule="auto"/>
        <w:jc w:val="both"/>
        <w:outlineLvl w:val="2"/>
        <w:rPr>
          <w:rFonts w:ascii="Book Antiqua" w:eastAsia="宋体" w:hAnsi="Book Antiqua" w:cstheme="majorBidi"/>
          <w:b/>
          <w:sz w:val="24"/>
          <w:szCs w:val="24"/>
          <w:lang w:eastAsia="zh-CN"/>
        </w:rPr>
      </w:pPr>
      <w:r w:rsidRPr="00B727B0">
        <w:rPr>
          <w:rFonts w:ascii="Book Antiqua" w:eastAsia="Times New Roman" w:hAnsi="Book Antiqua" w:cstheme="majorBidi"/>
          <w:b/>
          <w:sz w:val="24"/>
          <w:szCs w:val="24"/>
        </w:rPr>
        <w:t>ROLE OF IMMUNOSUPPRESSION</w:t>
      </w:r>
    </w:p>
    <w:p w14:paraId="0B9DADEA" w14:textId="293A7605" w:rsidR="00904B24" w:rsidRPr="001A779E" w:rsidRDefault="00904B24" w:rsidP="007312CD">
      <w:pPr>
        <w:adjustRightInd w:val="0"/>
        <w:snapToGrid w:val="0"/>
        <w:spacing w:after="0" w:line="360" w:lineRule="auto"/>
        <w:jc w:val="both"/>
        <w:outlineLvl w:val="2"/>
        <w:rPr>
          <w:rFonts w:ascii="Book Antiqua" w:eastAsia="Times New Roman" w:hAnsi="Book Antiqua" w:cstheme="majorBidi"/>
          <w:sz w:val="24"/>
          <w:szCs w:val="24"/>
        </w:rPr>
      </w:pPr>
      <w:r w:rsidRPr="00B727B0">
        <w:rPr>
          <w:rFonts w:ascii="Book Antiqua" w:eastAsia="Times New Roman" w:hAnsi="Book Antiqua" w:cstheme="majorBidi"/>
          <w:sz w:val="24"/>
          <w:szCs w:val="24"/>
        </w:rPr>
        <w:t xml:space="preserve">A definite role of immunosuppression on recurrent GN prevalence </w:t>
      </w:r>
      <w:r w:rsidR="00E45381" w:rsidRPr="00B727B0">
        <w:rPr>
          <w:rFonts w:ascii="Book Antiqua" w:eastAsia="Times New Roman" w:hAnsi="Book Antiqua" w:cstheme="majorBidi"/>
          <w:sz w:val="24"/>
          <w:szCs w:val="24"/>
        </w:rPr>
        <w:t>was</w:t>
      </w:r>
      <w:r w:rsidRPr="00B727B0">
        <w:rPr>
          <w:rFonts w:ascii="Book Antiqua" w:eastAsia="Times New Roman" w:hAnsi="Book Antiqua" w:cstheme="majorBidi"/>
          <w:sz w:val="24"/>
          <w:szCs w:val="24"/>
        </w:rPr>
        <w:t xml:space="preserve"> </w:t>
      </w:r>
      <w:r w:rsidR="00081419" w:rsidRPr="00B727B0">
        <w:rPr>
          <w:rFonts w:ascii="Book Antiqua" w:eastAsia="Times New Roman" w:hAnsi="Book Antiqua" w:cstheme="majorBidi"/>
          <w:sz w:val="24"/>
          <w:szCs w:val="24"/>
        </w:rPr>
        <w:t xml:space="preserve">previously </w:t>
      </w:r>
      <w:r w:rsidRPr="00B727B0">
        <w:rPr>
          <w:rFonts w:ascii="Book Antiqua" w:eastAsia="Times New Roman" w:hAnsi="Book Antiqua" w:cstheme="majorBidi"/>
          <w:sz w:val="24"/>
          <w:szCs w:val="24"/>
        </w:rPr>
        <w:t xml:space="preserve">denied by the early </w:t>
      </w:r>
      <w:proofErr w:type="gramStart"/>
      <w:r w:rsidRPr="00B727B0">
        <w:rPr>
          <w:rFonts w:ascii="Book Antiqua" w:eastAsia="Times New Roman" w:hAnsi="Book Antiqua" w:cstheme="majorBidi"/>
          <w:sz w:val="24"/>
          <w:szCs w:val="24"/>
        </w:rPr>
        <w:t>reports</w:t>
      </w:r>
      <w:r w:rsidR="00736845" w:rsidRPr="001A779E">
        <w:rPr>
          <w:rFonts w:ascii="Book Antiqua" w:hAnsi="Book Antiqua" w:cstheme="majorBidi"/>
          <w:sz w:val="24"/>
          <w:szCs w:val="24"/>
          <w:vertAlign w:val="superscript"/>
        </w:rPr>
        <w:t>[</w:t>
      </w:r>
      <w:proofErr w:type="gramEnd"/>
      <w:r w:rsidR="008B6F5C" w:rsidRPr="001A779E">
        <w:rPr>
          <w:rFonts w:ascii="Book Antiqua" w:hAnsi="Book Antiqua" w:cstheme="majorBidi"/>
          <w:sz w:val="24"/>
          <w:szCs w:val="24"/>
          <w:vertAlign w:val="superscript"/>
        </w:rPr>
        <w:t>13</w:t>
      </w:r>
      <w:r w:rsidR="00736845" w:rsidRPr="001A779E">
        <w:rPr>
          <w:rFonts w:ascii="Book Antiqua" w:hAnsi="Book Antiqua" w:cstheme="majorBidi"/>
          <w:sz w:val="24"/>
          <w:szCs w:val="24"/>
          <w:vertAlign w:val="superscript"/>
        </w:rPr>
        <w:t>]</w:t>
      </w:r>
      <w:r w:rsidRPr="00B727B0">
        <w:rPr>
          <w:rFonts w:ascii="Book Antiqua" w:eastAsia="Times New Roman" w:hAnsi="Book Antiqua" w:cstheme="majorBidi"/>
          <w:sz w:val="24"/>
          <w:szCs w:val="24"/>
        </w:rPr>
        <w:t>. However, recently, some explanations were given to argue that immunosuppressive therapy could cure or at least modulate the recurrent GN course</w:t>
      </w:r>
      <w:r w:rsidR="00736845" w:rsidRPr="001A779E">
        <w:rPr>
          <w:rFonts w:ascii="Book Antiqua" w:hAnsi="Book Antiqua" w:cstheme="majorBidi"/>
          <w:sz w:val="24"/>
          <w:szCs w:val="24"/>
          <w:vertAlign w:val="superscript"/>
        </w:rPr>
        <w:t>[2]</w:t>
      </w:r>
      <w:r w:rsidR="001A779E">
        <w:rPr>
          <w:rFonts w:ascii="Book Antiqua" w:eastAsia="宋体" w:hAnsi="Book Antiqua" w:cstheme="majorBidi" w:hint="eastAsia"/>
          <w:sz w:val="24"/>
          <w:szCs w:val="24"/>
          <w:lang w:eastAsia="zh-CN"/>
        </w:rPr>
        <w:t>:</w:t>
      </w:r>
      <w:r w:rsidRPr="00B727B0">
        <w:rPr>
          <w:rFonts w:ascii="Book Antiqua" w:eastAsia="Times New Roman" w:hAnsi="Book Antiqua" w:cstheme="majorBidi"/>
          <w:sz w:val="24"/>
          <w:szCs w:val="24"/>
        </w:rPr>
        <w:t xml:space="preserve"> </w:t>
      </w:r>
      <w:r w:rsidR="001A779E">
        <w:rPr>
          <w:rFonts w:ascii="Book Antiqua" w:eastAsia="宋体" w:hAnsi="Book Antiqua" w:cstheme="majorBidi" w:hint="eastAsia"/>
          <w:sz w:val="24"/>
          <w:szCs w:val="24"/>
          <w:lang w:eastAsia="zh-CN"/>
        </w:rPr>
        <w:t>(1)</w:t>
      </w:r>
      <w:r w:rsidRPr="001A779E">
        <w:rPr>
          <w:rFonts w:ascii="Book Antiqua" w:eastAsia="Times New Roman" w:hAnsi="Book Antiqua" w:cstheme="majorBidi"/>
          <w:sz w:val="24"/>
          <w:szCs w:val="24"/>
        </w:rPr>
        <w:t xml:space="preserve"> certain GN recurrence</w:t>
      </w:r>
      <w:r w:rsidR="00604623" w:rsidRPr="001A779E">
        <w:rPr>
          <w:rFonts w:ascii="Book Antiqua" w:eastAsia="Times New Roman" w:hAnsi="Book Antiqua" w:cstheme="majorBidi"/>
          <w:sz w:val="24"/>
          <w:szCs w:val="24"/>
        </w:rPr>
        <w:t>s</w:t>
      </w:r>
      <w:r w:rsidRPr="001A779E">
        <w:rPr>
          <w:rFonts w:ascii="Book Antiqua" w:eastAsia="Times New Roman" w:hAnsi="Book Antiqua" w:cstheme="majorBidi"/>
          <w:sz w:val="24"/>
          <w:szCs w:val="24"/>
        </w:rPr>
        <w:t xml:space="preserve"> show a diminished rate of recurrence</w:t>
      </w:r>
      <w:r w:rsidR="00DF361A" w:rsidRPr="001A779E">
        <w:rPr>
          <w:rFonts w:ascii="Book Antiqua" w:eastAsia="Times New Roman" w:hAnsi="Book Antiqua" w:cstheme="majorBidi"/>
          <w:sz w:val="24"/>
          <w:szCs w:val="24"/>
          <w:vertAlign w:val="superscript"/>
        </w:rPr>
        <w:t>[20,</w:t>
      </w:r>
      <w:r w:rsidR="005E6A1C" w:rsidRPr="001A779E">
        <w:rPr>
          <w:rFonts w:ascii="Book Antiqua" w:eastAsia="Times New Roman" w:hAnsi="Book Antiqua" w:cstheme="majorBidi"/>
          <w:sz w:val="24"/>
          <w:szCs w:val="24"/>
          <w:vertAlign w:val="superscript"/>
        </w:rPr>
        <w:t>66</w:t>
      </w:r>
      <w:r w:rsidR="00DF361A" w:rsidRPr="001A779E">
        <w:rPr>
          <w:rFonts w:ascii="Book Antiqua" w:eastAsia="宋体" w:hAnsi="Book Antiqua" w:cstheme="majorBidi"/>
          <w:sz w:val="24"/>
          <w:szCs w:val="24"/>
          <w:vertAlign w:val="superscript"/>
          <w:lang w:eastAsia="zh-CN"/>
        </w:rPr>
        <w:t>-</w:t>
      </w:r>
      <w:r w:rsidR="005E6A1C" w:rsidRPr="001A779E">
        <w:rPr>
          <w:rFonts w:ascii="Book Antiqua" w:eastAsia="Times New Roman" w:hAnsi="Book Antiqua" w:cstheme="majorBidi"/>
          <w:sz w:val="24"/>
          <w:szCs w:val="24"/>
          <w:vertAlign w:val="superscript"/>
        </w:rPr>
        <w:t>68]</w:t>
      </w:r>
      <w:r w:rsidR="001A779E">
        <w:rPr>
          <w:rFonts w:ascii="Book Antiqua" w:eastAsia="宋体" w:hAnsi="Book Antiqua" w:cstheme="majorBidi" w:hint="eastAsia"/>
          <w:sz w:val="24"/>
          <w:szCs w:val="24"/>
          <w:lang w:eastAsia="zh-CN"/>
        </w:rPr>
        <w:t>;</w:t>
      </w:r>
      <w:r w:rsidR="00F305E4" w:rsidRPr="001A779E">
        <w:rPr>
          <w:rFonts w:ascii="Book Antiqua" w:hAnsi="Book Antiqua" w:cstheme="majorBidi"/>
          <w:sz w:val="24"/>
          <w:szCs w:val="24"/>
        </w:rPr>
        <w:t xml:space="preserve"> </w:t>
      </w:r>
      <w:r w:rsidR="001A779E">
        <w:rPr>
          <w:rFonts w:ascii="Book Antiqua" w:eastAsia="宋体" w:hAnsi="Book Antiqua" w:cstheme="majorBidi" w:hint="eastAsia"/>
          <w:sz w:val="24"/>
          <w:szCs w:val="24"/>
          <w:lang w:eastAsia="zh-CN"/>
        </w:rPr>
        <w:t>(2)</w:t>
      </w:r>
      <w:r w:rsidRPr="001A779E">
        <w:rPr>
          <w:rFonts w:ascii="Book Antiqua" w:hAnsi="Book Antiqua" w:cstheme="majorBidi"/>
          <w:sz w:val="24"/>
          <w:szCs w:val="24"/>
        </w:rPr>
        <w:t xml:space="preserve"> </w:t>
      </w:r>
      <w:r w:rsidR="001F1EB4" w:rsidRPr="001A779E">
        <w:rPr>
          <w:rFonts w:ascii="Book Antiqua" w:eastAsia="Times New Roman" w:hAnsi="Book Antiqua" w:cstheme="majorBidi"/>
          <w:sz w:val="24"/>
          <w:szCs w:val="24"/>
        </w:rPr>
        <w:t>a</w:t>
      </w:r>
      <w:r w:rsidRPr="001A779E">
        <w:rPr>
          <w:rFonts w:ascii="Book Antiqua" w:eastAsia="Times New Roman" w:hAnsi="Book Antiqua" w:cstheme="majorBidi"/>
          <w:sz w:val="24"/>
          <w:szCs w:val="24"/>
        </w:rPr>
        <w:t>n increased rate of recurrence has been observed with steroid free regimen i</w:t>
      </w:r>
      <w:r w:rsidR="00DF361A" w:rsidRPr="001A779E">
        <w:rPr>
          <w:rFonts w:ascii="Book Antiqua" w:eastAsia="Times New Roman" w:hAnsi="Book Antiqua" w:cstheme="majorBidi"/>
          <w:sz w:val="24"/>
          <w:szCs w:val="24"/>
        </w:rPr>
        <w:t>n pediatrics as well as in IgAN</w:t>
      </w:r>
      <w:r w:rsidR="003120A8" w:rsidRPr="001A779E">
        <w:rPr>
          <w:rFonts w:ascii="Book Antiqua" w:eastAsia="Times New Roman" w:hAnsi="Book Antiqua" w:cstheme="majorBidi"/>
          <w:sz w:val="24"/>
          <w:szCs w:val="24"/>
          <w:vertAlign w:val="superscript"/>
        </w:rPr>
        <w:t>[57,58,64]</w:t>
      </w:r>
      <w:r w:rsidRPr="001A779E">
        <w:rPr>
          <w:rFonts w:ascii="Book Antiqua" w:eastAsia="Times New Roman" w:hAnsi="Book Antiqua" w:cstheme="majorBidi"/>
          <w:sz w:val="24"/>
          <w:szCs w:val="24"/>
        </w:rPr>
        <w:t>, but not in FSGS patients</w:t>
      </w:r>
      <w:r w:rsidR="00DF361A" w:rsidRPr="001A779E">
        <w:rPr>
          <w:rFonts w:ascii="Book Antiqua" w:eastAsia="Times New Roman" w:hAnsi="Book Antiqua" w:cstheme="majorBidi"/>
          <w:sz w:val="24"/>
          <w:szCs w:val="24"/>
          <w:vertAlign w:val="superscript"/>
        </w:rPr>
        <w:t>[69,</w:t>
      </w:r>
      <w:r w:rsidR="00102E47" w:rsidRPr="001A779E">
        <w:rPr>
          <w:rFonts w:ascii="Book Antiqua" w:eastAsia="Times New Roman" w:hAnsi="Book Antiqua" w:cstheme="majorBidi"/>
          <w:sz w:val="24"/>
          <w:szCs w:val="24"/>
          <w:vertAlign w:val="superscript"/>
        </w:rPr>
        <w:t>70]</w:t>
      </w:r>
      <w:r w:rsidR="0013141A">
        <w:rPr>
          <w:rFonts w:ascii="Book Antiqua" w:eastAsia="宋体" w:hAnsi="Book Antiqua" w:cstheme="majorBidi" w:hint="eastAsia"/>
          <w:sz w:val="24"/>
          <w:szCs w:val="24"/>
          <w:lang w:eastAsia="zh-CN"/>
        </w:rPr>
        <w:t>; and (3)</w:t>
      </w:r>
      <w:r w:rsidRPr="001A779E">
        <w:rPr>
          <w:rFonts w:ascii="Book Antiqua" w:eastAsia="Times New Roman" w:hAnsi="Book Antiqua" w:cstheme="majorBidi"/>
          <w:sz w:val="24"/>
          <w:szCs w:val="24"/>
        </w:rPr>
        <w:t xml:space="preserve"> an observed </w:t>
      </w:r>
      <w:r w:rsidR="00EE0DC6" w:rsidRPr="001A779E">
        <w:rPr>
          <w:rFonts w:ascii="Book Antiqua" w:eastAsia="Times New Roman" w:hAnsi="Book Antiqua" w:cstheme="majorBidi"/>
          <w:sz w:val="24"/>
          <w:szCs w:val="24"/>
        </w:rPr>
        <w:t>decline in</w:t>
      </w:r>
      <w:r w:rsidRPr="001A779E">
        <w:rPr>
          <w:rFonts w:ascii="Book Antiqua" w:eastAsia="Times New Roman" w:hAnsi="Book Antiqua" w:cstheme="majorBidi"/>
          <w:sz w:val="24"/>
          <w:szCs w:val="24"/>
        </w:rPr>
        <w:t xml:space="preserve"> antibody level (anti-PLA2R), one of the </w:t>
      </w:r>
      <w:r w:rsidR="00E45381" w:rsidRPr="001A779E">
        <w:rPr>
          <w:rFonts w:ascii="Book Antiqua" w:eastAsia="Times New Roman" w:hAnsi="Book Antiqua" w:cstheme="majorBidi"/>
          <w:sz w:val="24"/>
          <w:szCs w:val="24"/>
        </w:rPr>
        <w:t>essential</w:t>
      </w:r>
      <w:r w:rsidRPr="001A779E">
        <w:rPr>
          <w:rFonts w:ascii="Book Antiqua" w:eastAsia="Times New Roman" w:hAnsi="Book Antiqua" w:cstheme="majorBidi"/>
          <w:sz w:val="24"/>
          <w:szCs w:val="24"/>
        </w:rPr>
        <w:t xml:space="preserve"> effects </w:t>
      </w:r>
      <w:r w:rsidR="00E45381" w:rsidRPr="001A779E">
        <w:rPr>
          <w:rFonts w:ascii="Book Antiqua" w:eastAsia="Times New Roman" w:hAnsi="Book Antiqua" w:cstheme="majorBidi"/>
          <w:sz w:val="24"/>
          <w:szCs w:val="24"/>
        </w:rPr>
        <w:t xml:space="preserve">that </w:t>
      </w:r>
      <w:r w:rsidRPr="001A779E">
        <w:rPr>
          <w:rFonts w:ascii="Book Antiqua" w:eastAsia="Times New Roman" w:hAnsi="Book Antiqua" w:cstheme="majorBidi"/>
          <w:sz w:val="24"/>
          <w:szCs w:val="24"/>
        </w:rPr>
        <w:t xml:space="preserve">observed once the immunosuppressive agents </w:t>
      </w:r>
      <w:r w:rsidR="00E45381" w:rsidRPr="001A779E">
        <w:rPr>
          <w:rFonts w:ascii="Book Antiqua" w:eastAsia="Times New Roman" w:hAnsi="Book Antiqua" w:cstheme="majorBidi"/>
          <w:sz w:val="24"/>
          <w:szCs w:val="24"/>
        </w:rPr>
        <w:t>have</w:t>
      </w:r>
      <w:r w:rsidR="00DF361A" w:rsidRPr="001A779E">
        <w:rPr>
          <w:rFonts w:ascii="Book Antiqua" w:eastAsia="Times New Roman" w:hAnsi="Book Antiqua" w:cstheme="majorBidi"/>
          <w:sz w:val="24"/>
          <w:szCs w:val="24"/>
        </w:rPr>
        <w:t xml:space="preserve"> been commenced</w:t>
      </w:r>
      <w:r w:rsidR="00102E47" w:rsidRPr="001A779E">
        <w:rPr>
          <w:rFonts w:ascii="Book Antiqua" w:eastAsia="Times New Roman" w:hAnsi="Book Antiqua" w:cstheme="majorBidi"/>
          <w:sz w:val="24"/>
          <w:szCs w:val="24"/>
          <w:vertAlign w:val="superscript"/>
        </w:rPr>
        <w:t>[36]</w:t>
      </w:r>
      <w:r w:rsidRPr="001A779E">
        <w:rPr>
          <w:rFonts w:ascii="Book Antiqua" w:eastAsia="Times New Roman" w:hAnsi="Book Antiqua" w:cstheme="majorBidi"/>
          <w:sz w:val="24"/>
          <w:szCs w:val="24"/>
        </w:rPr>
        <w:t>.</w:t>
      </w:r>
    </w:p>
    <w:p w14:paraId="1BD187E2" w14:textId="77777777" w:rsidR="00FA104D" w:rsidRPr="00B727B0" w:rsidRDefault="00FA104D" w:rsidP="007312CD">
      <w:pPr>
        <w:pStyle w:val="NormalWeb"/>
        <w:shd w:val="clear" w:color="auto" w:fill="FFFFFF" w:themeFill="background1"/>
        <w:adjustRightInd w:val="0"/>
        <w:snapToGrid w:val="0"/>
        <w:spacing w:before="0" w:beforeAutospacing="0" w:after="0" w:afterAutospacing="0" w:line="360" w:lineRule="auto"/>
        <w:jc w:val="both"/>
        <w:rPr>
          <w:rFonts w:ascii="Book Antiqua" w:eastAsia="宋体" w:hAnsi="Book Antiqua" w:cstheme="majorBidi"/>
          <w:u w:val="single"/>
          <w:lang w:eastAsia="zh-CN"/>
        </w:rPr>
      </w:pPr>
    </w:p>
    <w:p w14:paraId="3B25AAAC" w14:textId="25296C25" w:rsidR="00AD6261" w:rsidRPr="00B727B0" w:rsidRDefault="00FA104D" w:rsidP="007312CD">
      <w:pPr>
        <w:pStyle w:val="NormalWeb"/>
        <w:shd w:val="clear" w:color="auto" w:fill="FFFFFF" w:themeFill="background1"/>
        <w:adjustRightInd w:val="0"/>
        <w:snapToGrid w:val="0"/>
        <w:spacing w:before="0" w:beforeAutospacing="0" w:after="0" w:afterAutospacing="0" w:line="360" w:lineRule="auto"/>
        <w:jc w:val="both"/>
        <w:rPr>
          <w:rFonts w:ascii="Book Antiqua" w:eastAsia="宋体" w:hAnsi="Book Antiqua" w:cstheme="majorBidi"/>
          <w:b/>
          <w:lang w:eastAsia="zh-CN"/>
        </w:rPr>
      </w:pPr>
      <w:r w:rsidRPr="00B727B0">
        <w:rPr>
          <w:rFonts w:ascii="Book Antiqua" w:hAnsi="Book Antiqua" w:cstheme="majorBidi"/>
          <w:b/>
        </w:rPr>
        <w:t>GENERAL RECOMMENDATIONS (EDTA DATABASE) FOR RECURRENT GN THERAPY</w:t>
      </w:r>
    </w:p>
    <w:p w14:paraId="00760DF5" w14:textId="318683C6" w:rsidR="00A43A5A" w:rsidRPr="00B727B0" w:rsidRDefault="00AD6261"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On behalf of the EDTA database, </w:t>
      </w:r>
      <w:hyperlink r:id="rId10" w:history="1">
        <w:r w:rsidRPr="00B727B0">
          <w:rPr>
            <w:rFonts w:ascii="Book Antiqua" w:hAnsi="Book Antiqua" w:cstheme="majorBidi"/>
            <w:sz w:val="24"/>
            <w:szCs w:val="24"/>
          </w:rPr>
          <w:t xml:space="preserve"> Floege</w:t>
        </w:r>
      </w:hyperlink>
      <w:r w:rsidRPr="00B727B0">
        <w:rPr>
          <w:rFonts w:ascii="Book Antiqua" w:eastAsia="Times New Roman" w:hAnsi="Book Antiqua" w:cstheme="majorBidi"/>
          <w:sz w:val="24"/>
          <w:szCs w:val="24"/>
        </w:rPr>
        <w:t xml:space="preserve"> J</w:t>
      </w:r>
      <w:r w:rsidR="00931266" w:rsidRPr="00B727B0">
        <w:rPr>
          <w:rFonts w:ascii="Book Antiqua" w:eastAsia="宋体" w:hAnsi="Book Antiqua" w:cstheme="majorBidi"/>
          <w:sz w:val="24"/>
          <w:szCs w:val="24"/>
          <w:lang w:eastAsia="zh-CN"/>
        </w:rPr>
        <w:t xml:space="preserve"> </w:t>
      </w:r>
      <w:r w:rsidR="00931266" w:rsidRPr="00B727B0">
        <w:rPr>
          <w:rFonts w:ascii="Book Antiqua" w:eastAsia="宋体" w:hAnsi="Book Antiqua" w:cstheme="majorBidi"/>
          <w:i/>
          <w:sz w:val="24"/>
          <w:szCs w:val="24"/>
          <w:lang w:eastAsia="zh-CN"/>
        </w:rPr>
        <w:t xml:space="preserve">et </w:t>
      </w:r>
      <w:proofErr w:type="gramStart"/>
      <w:r w:rsidR="00931266" w:rsidRPr="00B727B0">
        <w:rPr>
          <w:rFonts w:ascii="Book Antiqua" w:eastAsia="宋体" w:hAnsi="Book Antiqua" w:cstheme="majorBidi"/>
          <w:i/>
          <w:sz w:val="24"/>
          <w:szCs w:val="24"/>
          <w:lang w:eastAsia="zh-CN"/>
        </w:rPr>
        <w:t>al</w:t>
      </w:r>
      <w:r w:rsidR="00931266" w:rsidRPr="00B8002F">
        <w:rPr>
          <w:rFonts w:ascii="Book Antiqua" w:hAnsi="Book Antiqua" w:cstheme="majorBidi"/>
          <w:sz w:val="24"/>
          <w:szCs w:val="24"/>
          <w:vertAlign w:val="superscript"/>
        </w:rPr>
        <w:t>[</w:t>
      </w:r>
      <w:proofErr w:type="gramEnd"/>
      <w:r w:rsidR="00931266" w:rsidRPr="00B8002F">
        <w:rPr>
          <w:rFonts w:ascii="Book Antiqua" w:hAnsi="Book Antiqua" w:cstheme="majorBidi"/>
          <w:sz w:val="24"/>
          <w:szCs w:val="24"/>
          <w:vertAlign w:val="superscript"/>
        </w:rPr>
        <w:t>10]</w:t>
      </w:r>
      <w:r w:rsidR="00931266"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tried to shed the light on the most </w:t>
      </w:r>
      <w:r w:rsidR="00D760B7" w:rsidRPr="00B727B0">
        <w:rPr>
          <w:rFonts w:ascii="Book Antiqua" w:eastAsia="Times New Roman" w:hAnsi="Book Antiqua" w:cstheme="majorBidi"/>
          <w:sz w:val="24"/>
          <w:szCs w:val="24"/>
        </w:rPr>
        <w:t>vital</w:t>
      </w:r>
      <w:r w:rsidRPr="00B727B0">
        <w:rPr>
          <w:rFonts w:ascii="Book Antiqua" w:eastAsia="Times New Roman" w:hAnsi="Book Antiqua" w:cstheme="majorBidi"/>
          <w:sz w:val="24"/>
          <w:szCs w:val="24"/>
        </w:rPr>
        <w:t xml:space="preserve"> </w:t>
      </w:r>
      <w:r w:rsidR="00B972E5" w:rsidRPr="00B727B0">
        <w:rPr>
          <w:rFonts w:ascii="Book Antiqua" w:eastAsia="Times New Roman" w:hAnsi="Book Antiqua" w:cstheme="majorBidi"/>
          <w:sz w:val="24"/>
          <w:szCs w:val="24"/>
        </w:rPr>
        <w:t>recommendations</w:t>
      </w:r>
      <w:r w:rsidRPr="00B727B0">
        <w:rPr>
          <w:rFonts w:ascii="Book Antiqua" w:eastAsia="Times New Roman" w:hAnsi="Book Antiqua" w:cstheme="majorBidi"/>
          <w:sz w:val="24"/>
          <w:szCs w:val="24"/>
        </w:rPr>
        <w:t xml:space="preserve"> in dealing with a RTR with </w:t>
      </w:r>
      <w:r w:rsidR="00C93013" w:rsidRPr="00B727B0">
        <w:rPr>
          <w:rFonts w:ascii="Book Antiqua" w:eastAsia="Times New Roman" w:hAnsi="Book Antiqua" w:cstheme="majorBidi"/>
          <w:sz w:val="24"/>
          <w:szCs w:val="24"/>
        </w:rPr>
        <w:t xml:space="preserve">an </w:t>
      </w:r>
      <w:r w:rsidRPr="00B727B0">
        <w:rPr>
          <w:rFonts w:ascii="Book Antiqua" w:eastAsia="Times New Roman" w:hAnsi="Book Antiqua" w:cstheme="majorBidi"/>
          <w:sz w:val="24"/>
          <w:szCs w:val="24"/>
        </w:rPr>
        <w:t>underlying glomerular disease as follows:</w:t>
      </w:r>
      <w:r w:rsidR="00DF361A" w:rsidRPr="00B727B0">
        <w:rPr>
          <w:rFonts w:ascii="Book Antiqua" w:eastAsia="宋体" w:hAnsi="Book Antiqua" w:cstheme="majorBidi"/>
          <w:sz w:val="24"/>
          <w:szCs w:val="24"/>
          <w:lang w:eastAsia="zh-CN"/>
        </w:rPr>
        <w:t xml:space="preserve"> (1) d</w:t>
      </w:r>
      <w:r w:rsidRPr="00B727B0">
        <w:rPr>
          <w:rFonts w:ascii="Book Antiqua" w:eastAsia="Times New Roman" w:hAnsi="Book Antiqua" w:cstheme="majorBidi"/>
          <w:sz w:val="24"/>
          <w:szCs w:val="24"/>
        </w:rPr>
        <w:t>efining the original native glomerular disease in RTR w</w:t>
      </w:r>
      <w:r w:rsidR="00DF361A" w:rsidRPr="00B727B0">
        <w:rPr>
          <w:rFonts w:ascii="Book Antiqua" w:eastAsia="Times New Roman" w:hAnsi="Book Antiqua" w:cstheme="majorBidi"/>
          <w:sz w:val="24"/>
          <w:szCs w:val="24"/>
        </w:rPr>
        <w:t>ill help prevent its recurrence</w:t>
      </w:r>
      <w:r w:rsidR="00DF361A" w:rsidRPr="00B727B0">
        <w:rPr>
          <w:rFonts w:ascii="Book Antiqua" w:eastAsia="宋体" w:hAnsi="Book Antiqua" w:cstheme="majorBidi"/>
          <w:sz w:val="24"/>
          <w:szCs w:val="24"/>
          <w:lang w:eastAsia="zh-CN"/>
        </w:rPr>
        <w:t>; (2) w</w:t>
      </w:r>
      <w:r w:rsidRPr="00B727B0">
        <w:rPr>
          <w:rFonts w:ascii="Book Antiqua" w:eastAsia="Times New Roman" w:hAnsi="Book Antiqua" w:cstheme="majorBidi"/>
          <w:sz w:val="24"/>
          <w:szCs w:val="24"/>
        </w:rPr>
        <w:t xml:space="preserve">ith </w:t>
      </w:r>
      <w:r w:rsidR="004E1A82"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living-related</w:t>
      </w:r>
      <w:r w:rsidR="004E1A82"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kidney donation, and expected familial GN such as IgAN, renal biopsy should be considered. </w:t>
      </w:r>
      <w:hyperlink r:id="rId11" w:history="1">
        <w:r w:rsidR="00931266" w:rsidRPr="00B727B0">
          <w:rPr>
            <w:rFonts w:ascii="Book Antiqua" w:hAnsi="Book Antiqua" w:cstheme="majorBidi"/>
            <w:sz w:val="24"/>
            <w:szCs w:val="24"/>
          </w:rPr>
          <w:t xml:space="preserve"> Floege</w:t>
        </w:r>
      </w:hyperlink>
      <w:r w:rsidR="00931266" w:rsidRPr="00B727B0">
        <w:rPr>
          <w:rFonts w:ascii="Book Antiqua" w:eastAsia="Times New Roman" w:hAnsi="Book Antiqua" w:cstheme="majorBidi"/>
          <w:sz w:val="24"/>
          <w:szCs w:val="24"/>
        </w:rPr>
        <w:t xml:space="preserve"> J</w:t>
      </w:r>
      <w:r w:rsidR="00931266" w:rsidRPr="00B727B0">
        <w:rPr>
          <w:rFonts w:ascii="Book Antiqua" w:eastAsia="宋体" w:hAnsi="Book Antiqua" w:cstheme="majorBidi"/>
          <w:sz w:val="24"/>
          <w:szCs w:val="24"/>
          <w:lang w:eastAsia="zh-CN"/>
        </w:rPr>
        <w:t xml:space="preserve"> </w:t>
      </w:r>
      <w:r w:rsidR="00931266" w:rsidRPr="00B727B0">
        <w:rPr>
          <w:rFonts w:ascii="Book Antiqua" w:eastAsia="宋体" w:hAnsi="Book Antiqua" w:cstheme="majorBidi"/>
          <w:i/>
          <w:sz w:val="24"/>
          <w:szCs w:val="24"/>
          <w:lang w:eastAsia="zh-CN"/>
        </w:rPr>
        <w:t xml:space="preserve">et </w:t>
      </w:r>
      <w:proofErr w:type="gramStart"/>
      <w:r w:rsidR="00931266" w:rsidRPr="00B727B0">
        <w:rPr>
          <w:rFonts w:ascii="Book Antiqua" w:eastAsia="宋体" w:hAnsi="Book Antiqua" w:cstheme="majorBidi"/>
          <w:i/>
          <w:sz w:val="24"/>
          <w:szCs w:val="24"/>
          <w:lang w:eastAsia="zh-CN"/>
        </w:rPr>
        <w:t>al</w:t>
      </w:r>
      <w:r w:rsidR="00931266" w:rsidRPr="00B8002F">
        <w:rPr>
          <w:rFonts w:ascii="Book Antiqua" w:hAnsi="Book Antiqua" w:cstheme="majorBidi"/>
          <w:sz w:val="24"/>
          <w:szCs w:val="24"/>
          <w:vertAlign w:val="superscript"/>
        </w:rPr>
        <w:t>[</w:t>
      </w:r>
      <w:proofErr w:type="gramEnd"/>
      <w:r w:rsidR="00931266" w:rsidRPr="00B8002F">
        <w:rPr>
          <w:rFonts w:ascii="Book Antiqua" w:hAnsi="Book Antiqua" w:cstheme="majorBidi"/>
          <w:sz w:val="24"/>
          <w:szCs w:val="24"/>
          <w:vertAlign w:val="superscript"/>
        </w:rPr>
        <w:t>10]</w:t>
      </w:r>
      <w:r w:rsidRPr="00B727B0">
        <w:rPr>
          <w:rFonts w:ascii="Book Antiqua" w:eastAsia="Times New Roman" w:hAnsi="Book Antiqua" w:cstheme="majorBidi"/>
          <w:sz w:val="24"/>
          <w:szCs w:val="24"/>
        </w:rPr>
        <w:t xml:space="preserve"> accept living related donation for RTR with MN, MPGN t</w:t>
      </w:r>
      <w:r w:rsidR="00931266" w:rsidRPr="00B727B0">
        <w:rPr>
          <w:rFonts w:ascii="Book Antiqua" w:eastAsia="Times New Roman" w:hAnsi="Book Antiqua" w:cstheme="majorBidi"/>
          <w:sz w:val="24"/>
          <w:szCs w:val="24"/>
        </w:rPr>
        <w:t>ype I, IgA and anti-GBM disease</w:t>
      </w:r>
      <w:r w:rsidR="00FA104D" w:rsidRPr="00B727B0">
        <w:rPr>
          <w:rFonts w:ascii="Book Antiqua" w:eastAsia="宋体" w:hAnsi="Book Antiqua" w:cstheme="majorBidi"/>
          <w:sz w:val="24"/>
          <w:szCs w:val="24"/>
          <w:lang w:eastAsia="zh-CN"/>
        </w:rPr>
        <w:t>;</w:t>
      </w:r>
      <w:r w:rsidR="00931266" w:rsidRPr="00B727B0">
        <w:rPr>
          <w:rFonts w:ascii="Book Antiqua" w:eastAsia="宋体" w:hAnsi="Book Antiqua" w:cstheme="majorBidi"/>
          <w:sz w:val="24"/>
          <w:szCs w:val="24"/>
          <w:lang w:eastAsia="zh-CN"/>
        </w:rPr>
        <w:t xml:space="preserve"> (</w:t>
      </w:r>
      <w:r w:rsidR="00FA104D" w:rsidRPr="00B727B0">
        <w:rPr>
          <w:rFonts w:ascii="Book Antiqua" w:eastAsia="宋体" w:hAnsi="Book Antiqua" w:cstheme="majorBidi"/>
          <w:sz w:val="24"/>
          <w:szCs w:val="24"/>
          <w:lang w:eastAsia="zh-CN"/>
        </w:rPr>
        <w:t>3</w:t>
      </w:r>
      <w:r w:rsidR="00931266" w:rsidRPr="00B727B0">
        <w:rPr>
          <w:rFonts w:ascii="Book Antiqua" w:eastAsia="宋体" w:hAnsi="Book Antiqua" w:cstheme="majorBidi"/>
          <w:sz w:val="24"/>
          <w:szCs w:val="24"/>
          <w:lang w:eastAsia="zh-CN"/>
        </w:rPr>
        <w:t>) s</w:t>
      </w:r>
      <w:r w:rsidRPr="00B727B0">
        <w:rPr>
          <w:rFonts w:ascii="Book Antiqua" w:eastAsia="Times New Roman" w:hAnsi="Book Antiqua" w:cstheme="majorBidi"/>
          <w:sz w:val="24"/>
          <w:szCs w:val="24"/>
        </w:rPr>
        <w:t>harp limit</w:t>
      </w:r>
      <w:r w:rsidR="00C93013" w:rsidRPr="00B727B0">
        <w:rPr>
          <w:rFonts w:ascii="Book Antiqua" w:eastAsia="Times New Roman" w:hAnsi="Book Antiqua" w:cstheme="majorBidi"/>
          <w:sz w:val="24"/>
          <w:szCs w:val="24"/>
        </w:rPr>
        <w:t>ing</w:t>
      </w:r>
      <w:r w:rsidRPr="00B727B0">
        <w:rPr>
          <w:rFonts w:ascii="Book Antiqua" w:eastAsia="Times New Roman" w:hAnsi="Book Antiqua" w:cstheme="majorBidi"/>
          <w:sz w:val="24"/>
          <w:szCs w:val="24"/>
        </w:rPr>
        <w:t xml:space="preserve"> roles should judge t</w:t>
      </w:r>
      <w:r w:rsidR="00102E47" w:rsidRPr="00B727B0">
        <w:rPr>
          <w:rFonts w:ascii="Book Antiqua" w:eastAsia="Times New Roman" w:hAnsi="Book Antiqua" w:cstheme="majorBidi"/>
          <w:sz w:val="24"/>
          <w:szCs w:val="24"/>
        </w:rPr>
        <w:t>he living related donation pool</w:t>
      </w:r>
      <w:r w:rsidRPr="00B727B0">
        <w:rPr>
          <w:rFonts w:ascii="Book Antiqua" w:eastAsia="Times New Roman" w:hAnsi="Book Antiqua" w:cstheme="majorBidi"/>
          <w:sz w:val="24"/>
          <w:szCs w:val="24"/>
        </w:rPr>
        <w:t xml:space="preserve">. A deep discussion with a patient with </w:t>
      </w:r>
      <w:r w:rsidR="001F1EB4" w:rsidRPr="00B727B0">
        <w:rPr>
          <w:rFonts w:ascii="Book Antiqua" w:eastAsia="Times New Roman" w:hAnsi="Book Antiqua" w:cstheme="majorBidi"/>
          <w:sz w:val="24"/>
          <w:szCs w:val="24"/>
        </w:rPr>
        <w:t>dense deposit disease (</w:t>
      </w:r>
      <w:r w:rsidRPr="00B727B0">
        <w:rPr>
          <w:rFonts w:ascii="Book Antiqua" w:eastAsia="Times New Roman" w:hAnsi="Book Antiqua" w:cstheme="majorBidi"/>
          <w:sz w:val="24"/>
          <w:szCs w:val="24"/>
        </w:rPr>
        <w:t>DDD</w:t>
      </w:r>
      <w:r w:rsidR="001F1EB4"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and a child </w:t>
      </w:r>
      <w:r w:rsidR="00931266" w:rsidRPr="00B727B0">
        <w:rPr>
          <w:rFonts w:ascii="Book Antiqua" w:eastAsia="Times New Roman" w:hAnsi="Book Antiqua" w:cstheme="majorBidi"/>
          <w:sz w:val="24"/>
          <w:szCs w:val="24"/>
        </w:rPr>
        <w:t>with FSGS should be instituted</w:t>
      </w:r>
      <w:r w:rsidR="00931266"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4</w:t>
      </w:r>
      <w:r w:rsidR="00931266" w:rsidRPr="00B727B0">
        <w:rPr>
          <w:rFonts w:ascii="Book Antiqua" w:eastAsia="宋体" w:hAnsi="Book Antiqua" w:cstheme="majorBidi"/>
          <w:sz w:val="24"/>
          <w:szCs w:val="24"/>
          <w:lang w:eastAsia="zh-CN"/>
        </w:rPr>
        <w:t>) t</w:t>
      </w:r>
      <w:r w:rsidRPr="00B727B0">
        <w:rPr>
          <w:rFonts w:ascii="Book Antiqua" w:eastAsia="Times New Roman" w:hAnsi="Book Antiqua" w:cstheme="majorBidi"/>
          <w:sz w:val="24"/>
          <w:szCs w:val="24"/>
        </w:rPr>
        <w:t>he list of recipients with high risk of recurrence includes advanced mesangiocapillary alterations in renal biopsy, age of less than 15 years and short duration between</w:t>
      </w:r>
      <w:r w:rsidR="00931266" w:rsidRPr="00B727B0">
        <w:rPr>
          <w:rFonts w:ascii="Book Antiqua" w:eastAsia="Times New Roman" w:hAnsi="Book Antiqua" w:cstheme="majorBidi"/>
          <w:sz w:val="24"/>
          <w:szCs w:val="24"/>
        </w:rPr>
        <w:t xml:space="preserve"> established diagnosis and ESRD</w:t>
      </w:r>
      <w:r w:rsidR="00931266"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5</w:t>
      </w:r>
      <w:r w:rsidR="00931266" w:rsidRPr="00B727B0">
        <w:rPr>
          <w:rFonts w:ascii="Book Antiqua" w:eastAsia="宋体" w:hAnsi="Book Antiqua" w:cstheme="majorBidi"/>
          <w:sz w:val="24"/>
          <w:szCs w:val="24"/>
          <w:lang w:eastAsia="zh-CN"/>
        </w:rPr>
        <w:t>) a</w:t>
      </w:r>
      <w:r w:rsidRPr="00B727B0">
        <w:rPr>
          <w:rFonts w:ascii="Book Antiqua" w:eastAsia="Times New Roman" w:hAnsi="Book Antiqua" w:cstheme="majorBidi"/>
          <w:sz w:val="24"/>
          <w:szCs w:val="24"/>
        </w:rPr>
        <w:t xml:space="preserve"> benefit/risk ratio should be balanced properly between proceeding to kidney transplant and surviv</w:t>
      </w:r>
      <w:r w:rsidR="00C93013" w:rsidRPr="00B727B0">
        <w:rPr>
          <w:rFonts w:ascii="Book Antiqua" w:eastAsia="Times New Roman" w:hAnsi="Book Antiqua" w:cstheme="majorBidi"/>
          <w:sz w:val="24"/>
          <w:szCs w:val="24"/>
        </w:rPr>
        <w:t>ing</w:t>
      </w:r>
      <w:r w:rsidRPr="00B727B0">
        <w:rPr>
          <w:rFonts w:ascii="Book Antiqua" w:eastAsia="Times New Roman" w:hAnsi="Book Antiqua" w:cstheme="majorBidi"/>
          <w:sz w:val="24"/>
          <w:szCs w:val="24"/>
        </w:rPr>
        <w:t xml:space="preserve"> on dialysis</w:t>
      </w:r>
      <w:r w:rsidR="00C93013" w:rsidRPr="00B727B0">
        <w:rPr>
          <w:rFonts w:ascii="Book Antiqua" w:eastAsia="Times New Roman" w:hAnsi="Book Antiqua" w:cstheme="majorBidi"/>
          <w:sz w:val="24"/>
          <w:szCs w:val="24"/>
        </w:rPr>
        <w:t xml:space="preserve"> accordingly</w:t>
      </w:r>
      <w:r w:rsidR="00931266"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6</w:t>
      </w:r>
      <w:r w:rsidR="00931266" w:rsidRPr="00B727B0">
        <w:rPr>
          <w:rFonts w:ascii="Book Antiqua" w:eastAsia="宋体" w:hAnsi="Book Antiqua" w:cstheme="majorBidi"/>
          <w:sz w:val="24"/>
          <w:szCs w:val="24"/>
          <w:lang w:eastAsia="zh-CN"/>
        </w:rPr>
        <w:t>) e</w:t>
      </w:r>
      <w:r w:rsidRPr="00B727B0">
        <w:rPr>
          <w:rFonts w:ascii="Book Antiqua" w:eastAsia="Times New Roman" w:hAnsi="Book Antiqua" w:cstheme="majorBidi"/>
          <w:sz w:val="24"/>
          <w:szCs w:val="24"/>
        </w:rPr>
        <w:t>tiology of graft loss in a previously failed transplant is b</w:t>
      </w:r>
      <w:r w:rsidR="00931266" w:rsidRPr="00B727B0">
        <w:rPr>
          <w:rFonts w:ascii="Book Antiqua" w:eastAsia="Times New Roman" w:hAnsi="Book Antiqua" w:cstheme="majorBidi"/>
          <w:sz w:val="24"/>
          <w:szCs w:val="24"/>
        </w:rPr>
        <w:t>etter to be elucidated</w:t>
      </w:r>
      <w:r w:rsidR="00931266"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7</w:t>
      </w:r>
      <w:r w:rsidR="00931266" w:rsidRPr="00B727B0">
        <w:rPr>
          <w:rFonts w:ascii="Book Antiqua" w:eastAsia="宋体" w:hAnsi="Book Antiqua" w:cstheme="majorBidi"/>
          <w:sz w:val="24"/>
          <w:szCs w:val="24"/>
          <w:lang w:eastAsia="zh-CN"/>
        </w:rPr>
        <w:t>) a</w:t>
      </w:r>
      <w:r w:rsidR="001F1EB4" w:rsidRPr="00B727B0">
        <w:rPr>
          <w:rFonts w:ascii="Book Antiqua" w:eastAsia="Times New Roman" w:hAnsi="Book Antiqua" w:cstheme="majorBidi"/>
          <w:sz w:val="24"/>
          <w:szCs w:val="24"/>
        </w:rPr>
        <w:t>void</w:t>
      </w:r>
      <w:r w:rsidRPr="00B727B0">
        <w:rPr>
          <w:rFonts w:ascii="Book Antiqua" w:eastAsia="Times New Roman" w:hAnsi="Book Antiqua" w:cstheme="majorBidi"/>
          <w:sz w:val="24"/>
          <w:szCs w:val="24"/>
        </w:rPr>
        <w:t xml:space="preserve"> living donation in case of a previously failed transplant due to GN recurrence, the risk of recurrence and subsequent allograft loss will </w:t>
      </w:r>
      <w:r w:rsidRPr="00B727B0">
        <w:rPr>
          <w:rFonts w:ascii="Book Antiqua" w:eastAsia="Times New Roman" w:hAnsi="Book Antiqua" w:cstheme="majorBidi"/>
          <w:sz w:val="24"/>
          <w:szCs w:val="24"/>
        </w:rPr>
        <w:lastRenderedPageBreak/>
        <w:t xml:space="preserve">be enhanced in presence of </w:t>
      </w:r>
      <w:r w:rsidR="00C93013" w:rsidRPr="00B727B0">
        <w:rPr>
          <w:rFonts w:ascii="Book Antiqua" w:eastAsia="Times New Roman" w:hAnsi="Book Antiqua" w:cstheme="majorBidi"/>
          <w:sz w:val="24"/>
          <w:szCs w:val="24"/>
        </w:rPr>
        <w:t xml:space="preserve">the </w:t>
      </w:r>
      <w:r w:rsidRPr="00B727B0">
        <w:rPr>
          <w:rFonts w:ascii="Book Antiqua" w:eastAsia="Times New Roman" w:hAnsi="Book Antiqua" w:cstheme="majorBidi"/>
          <w:sz w:val="24"/>
          <w:szCs w:val="24"/>
        </w:rPr>
        <w:t>recurrence risk factors</w:t>
      </w:r>
      <w:r w:rsidR="00102E47" w:rsidRPr="00B8002F">
        <w:rPr>
          <w:rFonts w:ascii="Book Antiqua" w:eastAsia="Times New Roman" w:hAnsi="Book Antiqua" w:cstheme="majorBidi"/>
          <w:sz w:val="24"/>
          <w:szCs w:val="24"/>
          <w:vertAlign w:val="superscript"/>
        </w:rPr>
        <w:t>[71]</w:t>
      </w:r>
      <w:r w:rsidR="00931266" w:rsidRPr="00B727B0">
        <w:rPr>
          <w:rFonts w:ascii="Book Antiqua" w:eastAsia="宋体" w:hAnsi="Book Antiqua" w:cstheme="majorBidi"/>
          <w:sz w:val="24"/>
          <w:szCs w:val="24"/>
          <w:lang w:eastAsia="zh-CN"/>
        </w:rPr>
        <w:t>; (</w:t>
      </w:r>
      <w:r w:rsidR="00FA104D" w:rsidRPr="00B727B0">
        <w:rPr>
          <w:rFonts w:ascii="Book Antiqua" w:eastAsia="宋体" w:hAnsi="Book Antiqua" w:cstheme="majorBidi"/>
          <w:sz w:val="24"/>
          <w:szCs w:val="24"/>
          <w:lang w:eastAsia="zh-CN"/>
        </w:rPr>
        <w:t>8</w:t>
      </w:r>
      <w:r w:rsidR="00931266" w:rsidRPr="00B727B0">
        <w:rPr>
          <w:rFonts w:ascii="Book Antiqua" w:eastAsia="宋体" w:hAnsi="Book Antiqua" w:cstheme="majorBidi"/>
          <w:sz w:val="24"/>
          <w:szCs w:val="24"/>
          <w:lang w:eastAsia="zh-CN"/>
        </w:rPr>
        <w:t>) t</w:t>
      </w:r>
      <w:r w:rsidRPr="00B727B0">
        <w:rPr>
          <w:rFonts w:ascii="Book Antiqua" w:eastAsia="Times New Roman" w:hAnsi="Book Antiqua" w:cstheme="majorBidi"/>
          <w:sz w:val="24"/>
          <w:szCs w:val="24"/>
        </w:rPr>
        <w:t>he impact of modification of immunosuppression protocol</w:t>
      </w:r>
      <w:r w:rsidR="00534549" w:rsidRPr="00B727B0">
        <w:rPr>
          <w:rFonts w:ascii="Book Antiqua" w:eastAsia="Times New Roman" w:hAnsi="Book Antiqua" w:cstheme="majorBidi"/>
          <w:sz w:val="24"/>
          <w:szCs w:val="24"/>
        </w:rPr>
        <w:t>s</w:t>
      </w:r>
      <w:r w:rsidRPr="00B727B0">
        <w:rPr>
          <w:rFonts w:ascii="Book Antiqua" w:eastAsia="Times New Roman" w:hAnsi="Book Antiqua" w:cstheme="majorBidi"/>
          <w:sz w:val="24"/>
          <w:szCs w:val="24"/>
        </w:rPr>
        <w:t xml:space="preserve"> still questionable</w:t>
      </w:r>
      <w:r w:rsidR="00534549" w:rsidRPr="00B727B0">
        <w:rPr>
          <w:rFonts w:ascii="Book Antiqua" w:eastAsia="Times New Roman" w:hAnsi="Book Antiqua" w:cstheme="majorBidi"/>
          <w:sz w:val="24"/>
          <w:szCs w:val="24"/>
        </w:rPr>
        <w:t xml:space="preserve"> by some authors</w:t>
      </w:r>
      <w:r w:rsidR="00931266" w:rsidRPr="00B727B0">
        <w:rPr>
          <w:rFonts w:ascii="Book Antiqua" w:eastAsia="宋体" w:hAnsi="Book Antiqua" w:cstheme="majorBidi"/>
          <w:sz w:val="24"/>
          <w:szCs w:val="24"/>
          <w:lang w:eastAsia="zh-CN"/>
        </w:rPr>
        <w:t>; and (</w:t>
      </w:r>
      <w:r w:rsidR="00FA104D" w:rsidRPr="00B727B0">
        <w:rPr>
          <w:rFonts w:ascii="Book Antiqua" w:eastAsia="宋体" w:hAnsi="Book Antiqua" w:cstheme="majorBidi"/>
          <w:sz w:val="24"/>
          <w:szCs w:val="24"/>
          <w:lang w:eastAsia="zh-CN"/>
        </w:rPr>
        <w:t>9</w:t>
      </w:r>
      <w:r w:rsidR="00931266" w:rsidRPr="00B727B0">
        <w:rPr>
          <w:rFonts w:ascii="Book Antiqua" w:eastAsia="宋体" w:hAnsi="Book Antiqua" w:cstheme="majorBidi"/>
          <w:sz w:val="24"/>
          <w:szCs w:val="24"/>
          <w:lang w:eastAsia="zh-CN"/>
        </w:rPr>
        <w:t>) r</w:t>
      </w:r>
      <w:r w:rsidRPr="00B727B0">
        <w:rPr>
          <w:rFonts w:ascii="Book Antiqua" w:eastAsia="Times New Roman" w:hAnsi="Book Antiqua" w:cstheme="majorBidi"/>
          <w:sz w:val="24"/>
          <w:szCs w:val="24"/>
        </w:rPr>
        <w:t xml:space="preserve">obust battery of investigations </w:t>
      </w:r>
      <w:r w:rsidR="001F1EB4" w:rsidRPr="00B727B0">
        <w:rPr>
          <w:rFonts w:ascii="Book Antiqua" w:eastAsia="Times New Roman" w:hAnsi="Book Antiqua" w:cstheme="majorBidi"/>
          <w:sz w:val="24"/>
          <w:szCs w:val="24"/>
        </w:rPr>
        <w:t>is required</w:t>
      </w:r>
      <w:r w:rsidRPr="00B727B0">
        <w:rPr>
          <w:rFonts w:ascii="Book Antiqua" w:eastAsia="Times New Roman" w:hAnsi="Book Antiqua" w:cstheme="majorBidi"/>
          <w:sz w:val="24"/>
          <w:szCs w:val="24"/>
        </w:rPr>
        <w:t xml:space="preserve"> </w:t>
      </w:r>
      <w:r w:rsidR="00C93013" w:rsidRPr="00B727B0">
        <w:rPr>
          <w:rFonts w:ascii="Book Antiqua" w:eastAsia="Times New Roman" w:hAnsi="Book Antiqua" w:cstheme="majorBidi"/>
          <w:sz w:val="24"/>
          <w:szCs w:val="24"/>
        </w:rPr>
        <w:t>including</w:t>
      </w:r>
      <w:r w:rsidRPr="00B727B0">
        <w:rPr>
          <w:rFonts w:ascii="Book Antiqua" w:eastAsia="Times New Roman" w:hAnsi="Book Antiqua" w:cstheme="majorBidi"/>
          <w:sz w:val="24"/>
          <w:szCs w:val="24"/>
        </w:rPr>
        <w:t xml:space="preserve"> renal biopsy with its related studies</w:t>
      </w:r>
      <w:r w:rsidR="009218D1" w:rsidRPr="00B727B0">
        <w:rPr>
          <w:rFonts w:ascii="Book Antiqua" w:eastAsia="Times New Roman" w:hAnsi="Book Antiqua" w:cstheme="majorBidi"/>
          <w:sz w:val="24"/>
          <w:szCs w:val="24"/>
        </w:rPr>
        <w:t>,</w:t>
      </w:r>
      <w:r w:rsidR="009218D1" w:rsidRPr="00B727B0">
        <w:rPr>
          <w:rFonts w:ascii="Book Antiqua" w:eastAsia="Times New Roman" w:hAnsi="Book Antiqua" w:cstheme="majorBidi"/>
          <w:i/>
          <w:sz w:val="24"/>
          <w:szCs w:val="24"/>
        </w:rPr>
        <w:t xml:space="preserve"> e.g., </w:t>
      </w:r>
      <w:r w:rsidRPr="00B727B0">
        <w:rPr>
          <w:rFonts w:ascii="Book Antiqua" w:eastAsia="Times New Roman" w:hAnsi="Book Antiqua" w:cstheme="majorBidi"/>
          <w:sz w:val="24"/>
          <w:szCs w:val="24"/>
        </w:rPr>
        <w:t xml:space="preserve">LM, IF, E/M and immune-studies should be accomplished with every renal biopsy, so that a </w:t>
      </w:r>
      <w:r w:rsidR="00C93013" w:rsidRPr="00B727B0">
        <w:rPr>
          <w:rFonts w:ascii="Book Antiqua" w:eastAsia="Times New Roman" w:hAnsi="Book Antiqua" w:cstheme="majorBidi"/>
          <w:sz w:val="24"/>
          <w:szCs w:val="24"/>
        </w:rPr>
        <w:t>perfect</w:t>
      </w:r>
      <w:r w:rsidRPr="00B727B0">
        <w:rPr>
          <w:rFonts w:ascii="Book Antiqua" w:eastAsia="Times New Roman" w:hAnsi="Book Antiqua" w:cstheme="majorBidi"/>
          <w:sz w:val="24"/>
          <w:szCs w:val="24"/>
        </w:rPr>
        <w:t xml:space="preserve"> differential diagnosis from other possible lesions</w:t>
      </w:r>
      <w:r w:rsidR="009218D1" w:rsidRPr="00B727B0">
        <w:rPr>
          <w:rFonts w:ascii="Book Antiqua" w:eastAsia="Times New Roman" w:hAnsi="Book Antiqua" w:cstheme="majorBidi"/>
          <w:i/>
          <w:sz w:val="24"/>
          <w:szCs w:val="24"/>
        </w:rPr>
        <w:t xml:space="preserve">, e.g., </w:t>
      </w:r>
      <w:r w:rsidRPr="00B727B0">
        <w:rPr>
          <w:rFonts w:ascii="Book Antiqua" w:eastAsia="Times New Roman" w:hAnsi="Book Antiqua" w:cstheme="majorBidi"/>
          <w:sz w:val="24"/>
          <w:szCs w:val="24"/>
        </w:rPr>
        <w:t>chronic allograft glomerulop</w:t>
      </w:r>
      <w:r w:rsidR="00102E47" w:rsidRPr="00B727B0">
        <w:rPr>
          <w:rFonts w:ascii="Book Antiqua" w:eastAsia="Times New Roman" w:hAnsi="Book Antiqua" w:cstheme="majorBidi"/>
          <w:sz w:val="24"/>
          <w:szCs w:val="24"/>
        </w:rPr>
        <w:t>athy (CAN) could be established</w:t>
      </w:r>
      <w:r w:rsidRPr="00B727B0">
        <w:rPr>
          <w:rFonts w:ascii="Book Antiqua" w:eastAsia="Times New Roman" w:hAnsi="Book Antiqua" w:cstheme="majorBidi"/>
          <w:sz w:val="24"/>
          <w:szCs w:val="24"/>
        </w:rPr>
        <w:t>.</w:t>
      </w:r>
    </w:p>
    <w:p w14:paraId="17F944CC" w14:textId="77777777" w:rsidR="00A43A5A" w:rsidRPr="00B727B0" w:rsidRDefault="00A43A5A" w:rsidP="007312CD">
      <w:pPr>
        <w:adjustRightInd w:val="0"/>
        <w:snapToGrid w:val="0"/>
        <w:spacing w:after="0" w:line="360" w:lineRule="auto"/>
        <w:ind w:firstLine="720"/>
        <w:jc w:val="both"/>
        <w:rPr>
          <w:rFonts w:ascii="Book Antiqua" w:hAnsi="Book Antiqua" w:cstheme="majorBidi"/>
          <w:sz w:val="24"/>
          <w:szCs w:val="24"/>
          <w:u w:val="single"/>
        </w:rPr>
      </w:pPr>
    </w:p>
    <w:p w14:paraId="3D4EF21D" w14:textId="2C6841C3" w:rsidR="00BC1E24" w:rsidRPr="00B727B0" w:rsidRDefault="00991F19"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hAnsi="Book Antiqua" w:cstheme="majorBidi"/>
          <w:b/>
          <w:sz w:val="24"/>
          <w:szCs w:val="24"/>
        </w:rPr>
        <w:t xml:space="preserve">TREATMENT OF RECURRENT MPGN </w:t>
      </w:r>
      <w:r w:rsidRPr="00B727B0">
        <w:rPr>
          <w:rFonts w:ascii="Book Antiqua" w:eastAsia="Times New Roman" w:hAnsi="Book Antiqua" w:cstheme="majorBidi"/>
          <w:b/>
          <w:sz w:val="24"/>
          <w:szCs w:val="24"/>
        </w:rPr>
        <w:t>(</w:t>
      </w:r>
      <w:hyperlink r:id="rId12" w:anchor="fig3" w:history="1">
        <w:r w:rsidRPr="00B727B0">
          <w:rPr>
            <w:rFonts w:ascii="Book Antiqua" w:hAnsi="Book Antiqua" w:cstheme="majorBidi"/>
            <w:b/>
            <w:sz w:val="24"/>
            <w:szCs w:val="24"/>
          </w:rPr>
          <w:t>FIG</w:t>
        </w:r>
      </w:hyperlink>
      <w:r w:rsidRPr="00B727B0">
        <w:rPr>
          <w:rFonts w:ascii="Book Antiqua" w:hAnsi="Book Antiqua" w:cstheme="majorBidi"/>
          <w:b/>
          <w:sz w:val="24"/>
          <w:szCs w:val="24"/>
        </w:rPr>
        <w:t>URE 5</w:t>
      </w:r>
      <w:r w:rsidRPr="00B727B0">
        <w:rPr>
          <w:rFonts w:ascii="Book Antiqua" w:eastAsia="Times New Roman" w:hAnsi="Book Antiqua" w:cstheme="majorBidi"/>
          <w:b/>
          <w:sz w:val="24"/>
          <w:szCs w:val="24"/>
        </w:rPr>
        <w:t>)</w:t>
      </w:r>
    </w:p>
    <w:p w14:paraId="18AB0DB1" w14:textId="415634E4" w:rsidR="00320946" w:rsidRPr="00B727B0" w:rsidRDefault="00320946"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sz w:val="24"/>
          <w:szCs w:val="24"/>
        </w:rPr>
        <w:t>The advent of a new classification of MPGN including the classic morphology as well as</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the other features enables not only a better understanding of the course of this disease</w:t>
      </w:r>
      <w:r w:rsidR="00C93013"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but also delineates the best tools of prevention and therapy of recurrence, which will be ultimately refl</w:t>
      </w:r>
      <w:r w:rsidR="00931266" w:rsidRPr="00B727B0">
        <w:rPr>
          <w:rFonts w:ascii="Book Antiqua" w:eastAsia="Times New Roman" w:hAnsi="Book Antiqua" w:cstheme="majorBidi"/>
          <w:sz w:val="24"/>
          <w:szCs w:val="24"/>
        </w:rPr>
        <w:t>ected on the allograft survival</w:t>
      </w:r>
      <w:r w:rsidR="00931266" w:rsidRPr="00B8002F">
        <w:rPr>
          <w:rFonts w:ascii="Book Antiqua" w:eastAsia="Times New Roman" w:hAnsi="Book Antiqua" w:cstheme="majorBidi"/>
          <w:sz w:val="24"/>
          <w:szCs w:val="24"/>
          <w:vertAlign w:val="superscript"/>
        </w:rPr>
        <w:t>[72,</w:t>
      </w:r>
      <w:r w:rsidR="003120A8" w:rsidRPr="00B8002F">
        <w:rPr>
          <w:rFonts w:ascii="Book Antiqua" w:eastAsia="Times New Roman" w:hAnsi="Book Antiqua" w:cstheme="majorBidi"/>
          <w:sz w:val="24"/>
          <w:szCs w:val="24"/>
          <w:vertAlign w:val="superscript"/>
        </w:rPr>
        <w:t>73]</w:t>
      </w:r>
      <w:r w:rsidRPr="00B727B0">
        <w:rPr>
          <w:rFonts w:ascii="Book Antiqua" w:eastAsia="Times New Roman" w:hAnsi="Book Antiqua" w:cstheme="majorBidi"/>
          <w:sz w:val="24"/>
          <w:szCs w:val="24"/>
        </w:rPr>
        <w:t xml:space="preserve">. This fact is evolved from the observed wide discrepancy in the behavior of each subtype (see below) as regard </w:t>
      </w:r>
      <w:r w:rsidR="001F1EB4" w:rsidRPr="00B727B0">
        <w:rPr>
          <w:rFonts w:ascii="Book Antiqua" w:eastAsia="Times New Roman" w:hAnsi="Book Antiqua" w:cstheme="majorBidi"/>
          <w:sz w:val="24"/>
          <w:szCs w:val="24"/>
        </w:rPr>
        <w:t>the incidence</w:t>
      </w:r>
      <w:r w:rsidRPr="00B727B0">
        <w:rPr>
          <w:rFonts w:ascii="Book Antiqua" w:eastAsia="Times New Roman" w:hAnsi="Book Antiqua" w:cstheme="majorBidi"/>
          <w:sz w:val="24"/>
          <w:szCs w:val="24"/>
        </w:rPr>
        <w:t xml:space="preserve"> and</w:t>
      </w:r>
      <w:r w:rsidR="001F1EB4" w:rsidRPr="00B727B0">
        <w:rPr>
          <w:rFonts w:ascii="Book Antiqua" w:eastAsia="Times New Roman" w:hAnsi="Book Antiqua" w:cstheme="majorBidi"/>
          <w:sz w:val="24"/>
          <w:szCs w:val="24"/>
        </w:rPr>
        <w:t xml:space="preserve"> the</w:t>
      </w:r>
      <w:r w:rsidRPr="00B727B0">
        <w:rPr>
          <w:rFonts w:ascii="Book Antiqua" w:eastAsia="Times New Roman" w:hAnsi="Book Antiqua" w:cstheme="majorBidi"/>
          <w:sz w:val="24"/>
          <w:szCs w:val="24"/>
        </w:rPr>
        <w:t xml:space="preserve"> intensity of recurrence as well as its impact on allograft survival</w:t>
      </w:r>
      <w:r w:rsidR="00C94994" w:rsidRPr="00B8002F">
        <w:rPr>
          <w:rFonts w:ascii="Book Antiqua" w:hAnsi="Book Antiqua" w:cstheme="majorBidi"/>
          <w:sz w:val="24"/>
          <w:szCs w:val="24"/>
          <w:vertAlign w:val="superscript"/>
        </w:rPr>
        <w:t>[2]</w:t>
      </w:r>
      <w:r w:rsidRPr="00B727B0">
        <w:rPr>
          <w:rFonts w:ascii="Book Antiqua" w:eastAsia="Times New Roman" w:hAnsi="Book Antiqua" w:cstheme="majorBidi"/>
          <w:sz w:val="24"/>
          <w:szCs w:val="24"/>
        </w:rPr>
        <w:t>.</w:t>
      </w:r>
    </w:p>
    <w:p w14:paraId="7538F9E4" w14:textId="4E8FB434" w:rsidR="009E7B44" w:rsidRPr="00B727B0" w:rsidRDefault="00320946" w:rsidP="007312CD">
      <w:pPr>
        <w:adjustRightInd w:val="0"/>
        <w:snapToGrid w:val="0"/>
        <w:spacing w:after="0" w:line="360" w:lineRule="auto"/>
        <w:ind w:firstLine="720"/>
        <w:jc w:val="both"/>
        <w:rPr>
          <w:rFonts w:ascii="Book Antiqua" w:hAnsi="Book Antiqua" w:cstheme="majorBidi"/>
          <w:sz w:val="24"/>
          <w:szCs w:val="24"/>
        </w:rPr>
      </w:pPr>
      <w:r w:rsidRPr="00B727B0">
        <w:rPr>
          <w:rFonts w:ascii="Book Antiqua" w:hAnsi="Book Antiqua" w:cstheme="majorBidi"/>
          <w:sz w:val="24"/>
          <w:szCs w:val="24"/>
        </w:rPr>
        <w:t>One of the largest series about post-transplant MPGN recurrence in the literature was admitted by Alasfa</w:t>
      </w:r>
      <w:r w:rsidR="00B972E5" w:rsidRPr="00B727B0">
        <w:rPr>
          <w:rFonts w:ascii="Book Antiqua" w:hAnsi="Book Antiqua" w:cstheme="majorBidi"/>
          <w:sz w:val="24"/>
          <w:szCs w:val="24"/>
        </w:rPr>
        <w:t>r</w:t>
      </w:r>
      <w:r w:rsidRPr="00B727B0">
        <w:rPr>
          <w:rFonts w:ascii="Book Antiqua" w:hAnsi="Book Antiqua" w:cstheme="majorBidi"/>
          <w:sz w:val="24"/>
          <w:szCs w:val="24"/>
        </w:rPr>
        <w:t xml:space="preserve">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931266" w:rsidRPr="00B8002F">
        <w:rPr>
          <w:rFonts w:ascii="Book Antiqua" w:hAnsi="Book Antiqua" w:cstheme="majorBidi"/>
          <w:sz w:val="24"/>
          <w:szCs w:val="24"/>
          <w:vertAlign w:val="superscript"/>
        </w:rPr>
        <w:t>[</w:t>
      </w:r>
      <w:proofErr w:type="gramEnd"/>
      <w:r w:rsidR="00931266" w:rsidRPr="00B8002F">
        <w:rPr>
          <w:rFonts w:ascii="Book Antiqua" w:hAnsi="Book Antiqua" w:cstheme="majorBidi"/>
          <w:sz w:val="24"/>
          <w:szCs w:val="24"/>
          <w:vertAlign w:val="superscript"/>
        </w:rPr>
        <w:t>30]</w:t>
      </w:r>
      <w:r w:rsidRPr="00B727B0">
        <w:rPr>
          <w:rFonts w:ascii="Book Antiqua" w:hAnsi="Book Antiqua" w:cstheme="majorBidi"/>
          <w:sz w:val="24"/>
          <w:szCs w:val="24"/>
        </w:rPr>
        <w:t>, it was the first study that applied the new MPGN classification in evaluating post-transplant MPGN recurrence</w:t>
      </w:r>
      <w:r w:rsidR="00931266" w:rsidRPr="00B727B0">
        <w:rPr>
          <w:rFonts w:ascii="Book Antiqua" w:hAnsi="Book Antiqua" w:cstheme="majorBidi"/>
          <w:sz w:val="24"/>
          <w:szCs w:val="24"/>
        </w:rPr>
        <w:t xml:space="preserve"> (Table </w:t>
      </w:r>
      <w:r w:rsidR="00DC22DF" w:rsidRPr="00B727B0">
        <w:rPr>
          <w:rFonts w:ascii="Book Antiqua" w:hAnsi="Book Antiqua" w:cstheme="majorBidi"/>
          <w:sz w:val="24"/>
          <w:szCs w:val="24"/>
        </w:rPr>
        <w:t>1)</w:t>
      </w:r>
      <w:r w:rsidRPr="00B727B0">
        <w:rPr>
          <w:rFonts w:ascii="Book Antiqua" w:hAnsi="Book Antiqua" w:cstheme="majorBidi"/>
          <w:sz w:val="24"/>
          <w:szCs w:val="24"/>
        </w:rPr>
        <w:t xml:space="preserve">. Despite the absence of worse survival in the recurrent cohort of </w:t>
      </w:r>
      <w:r w:rsidR="00B8002F" w:rsidRPr="00B727B0">
        <w:rPr>
          <w:rFonts w:ascii="Book Antiqua" w:hAnsi="Book Antiqua" w:cstheme="majorBidi"/>
          <w:sz w:val="24"/>
          <w:szCs w:val="24"/>
        </w:rPr>
        <w:t xml:space="preserve">Alasfar </w:t>
      </w:r>
      <w:r w:rsidR="00B8002F" w:rsidRPr="00B727B0">
        <w:rPr>
          <w:rFonts w:ascii="Book Antiqua" w:hAnsi="Book Antiqua" w:cstheme="majorBidi"/>
          <w:i/>
          <w:sz w:val="24"/>
          <w:szCs w:val="24"/>
        </w:rPr>
        <w:t xml:space="preserve">et </w:t>
      </w:r>
      <w:proofErr w:type="gramStart"/>
      <w:r w:rsidR="00B8002F" w:rsidRPr="00B727B0">
        <w:rPr>
          <w:rFonts w:ascii="Book Antiqua" w:hAnsi="Book Antiqua" w:cstheme="majorBidi"/>
          <w:i/>
          <w:sz w:val="24"/>
          <w:szCs w:val="24"/>
        </w:rPr>
        <w:t>al</w:t>
      </w:r>
      <w:r w:rsidR="00B8002F" w:rsidRPr="00B8002F">
        <w:rPr>
          <w:rFonts w:ascii="Book Antiqua" w:hAnsi="Book Antiqua" w:cstheme="majorBidi"/>
          <w:sz w:val="24"/>
          <w:szCs w:val="24"/>
          <w:vertAlign w:val="superscript"/>
        </w:rPr>
        <w:t>[</w:t>
      </w:r>
      <w:proofErr w:type="gramEnd"/>
      <w:r w:rsidR="00B8002F" w:rsidRPr="00B8002F">
        <w:rPr>
          <w:rFonts w:ascii="Book Antiqua" w:hAnsi="Book Antiqua" w:cstheme="majorBidi"/>
          <w:sz w:val="24"/>
          <w:szCs w:val="24"/>
          <w:vertAlign w:val="superscript"/>
        </w:rPr>
        <w:t>30]</w:t>
      </w:r>
      <w:r w:rsidRPr="00B727B0">
        <w:rPr>
          <w:rFonts w:ascii="Book Antiqua" w:hAnsi="Book Antiqua" w:cstheme="majorBidi"/>
          <w:sz w:val="24"/>
          <w:szCs w:val="24"/>
        </w:rPr>
        <w:t xml:space="preserve">, the rate of allograft loss was higher </w:t>
      </w:r>
      <w:r w:rsidR="00880C35" w:rsidRPr="00B727B0">
        <w:rPr>
          <w:rFonts w:ascii="Book Antiqua" w:hAnsi="Book Antiqua" w:cstheme="majorBidi"/>
          <w:sz w:val="24"/>
          <w:szCs w:val="24"/>
        </w:rPr>
        <w:t>(Figure 3).</w:t>
      </w:r>
      <w:r w:rsidR="00F305E4">
        <w:rPr>
          <w:rFonts w:ascii="Book Antiqua" w:eastAsia="Times New Roman" w:hAnsi="Book Antiqua" w:cstheme="majorBidi"/>
          <w:sz w:val="24"/>
          <w:szCs w:val="24"/>
        </w:rPr>
        <w:t xml:space="preserve"> </w:t>
      </w:r>
      <w:r w:rsidRPr="00B727B0">
        <w:rPr>
          <w:rFonts w:ascii="Book Antiqua" w:hAnsi="Book Antiqua" w:cstheme="majorBidi"/>
          <w:sz w:val="24"/>
          <w:szCs w:val="24"/>
        </w:rPr>
        <w:t>They explain</w:t>
      </w:r>
      <w:r w:rsidR="007C6DD8" w:rsidRPr="00B727B0">
        <w:rPr>
          <w:rFonts w:ascii="Book Antiqua" w:hAnsi="Book Antiqua" w:cstheme="majorBidi"/>
          <w:sz w:val="24"/>
          <w:szCs w:val="24"/>
        </w:rPr>
        <w:t>ed</w:t>
      </w:r>
      <w:r w:rsidRPr="00B727B0">
        <w:rPr>
          <w:rFonts w:ascii="Book Antiqua" w:hAnsi="Book Antiqua" w:cstheme="majorBidi"/>
          <w:sz w:val="24"/>
          <w:szCs w:val="24"/>
        </w:rPr>
        <w:t xml:space="preserve"> this discrepancy by the small </w:t>
      </w:r>
      <w:r w:rsidR="001F1EB4" w:rsidRPr="00B727B0">
        <w:rPr>
          <w:rFonts w:ascii="Book Antiqua" w:hAnsi="Book Antiqua" w:cstheme="majorBidi"/>
          <w:sz w:val="24"/>
          <w:szCs w:val="24"/>
        </w:rPr>
        <w:t>sample size</w:t>
      </w:r>
      <w:r w:rsidRPr="00B727B0">
        <w:rPr>
          <w:rFonts w:ascii="Book Antiqua" w:hAnsi="Book Antiqua" w:cstheme="majorBidi"/>
          <w:sz w:val="24"/>
          <w:szCs w:val="24"/>
        </w:rPr>
        <w:t>. Unfortunately, the response to immunosuppressive therapy in this study was poor, as less than 50% of their patients treated by high dose steroid therapy, rituximab and/or plasmapheresis, or eculizumab could attain allograft function st</w:t>
      </w:r>
      <w:r w:rsidR="005908AF" w:rsidRPr="00B727B0">
        <w:rPr>
          <w:rFonts w:ascii="Book Antiqua" w:hAnsi="Book Antiqua" w:cstheme="majorBidi"/>
          <w:sz w:val="24"/>
          <w:szCs w:val="24"/>
        </w:rPr>
        <w:t>ability and prevent graft loss (Figure 6)</w:t>
      </w:r>
      <w:r w:rsidRPr="00B727B0">
        <w:rPr>
          <w:rFonts w:ascii="Book Antiqua" w:hAnsi="Book Antiqua" w:cstheme="majorBidi"/>
          <w:sz w:val="24"/>
          <w:szCs w:val="24"/>
        </w:rPr>
        <w:t xml:space="preserve">. An assumed benefit of ACEi/ARBs therapy in prevention of graft loss was </w:t>
      </w:r>
      <w:r w:rsidR="00947355" w:rsidRPr="00B727B0">
        <w:rPr>
          <w:rFonts w:ascii="Book Antiqua" w:hAnsi="Book Antiqua" w:cstheme="majorBidi"/>
          <w:sz w:val="24"/>
          <w:szCs w:val="24"/>
        </w:rPr>
        <w:t>suggested</w:t>
      </w:r>
      <w:r w:rsidRPr="00B727B0">
        <w:rPr>
          <w:rFonts w:ascii="Book Antiqua" w:hAnsi="Book Antiqua" w:cstheme="majorBidi"/>
          <w:sz w:val="24"/>
          <w:szCs w:val="24"/>
        </w:rPr>
        <w:t xml:space="preserve"> </w:t>
      </w:r>
      <w:r w:rsidR="00B9220F" w:rsidRPr="00B727B0">
        <w:rPr>
          <w:rFonts w:ascii="Book Antiqua" w:hAnsi="Book Antiqua" w:cstheme="majorBidi"/>
          <w:sz w:val="24"/>
          <w:szCs w:val="24"/>
        </w:rPr>
        <w:t>by</w:t>
      </w:r>
      <w:r w:rsidRPr="00B727B0">
        <w:rPr>
          <w:rFonts w:ascii="Book Antiqua" w:hAnsi="Book Antiqua" w:cstheme="majorBidi"/>
          <w:sz w:val="24"/>
          <w:szCs w:val="24"/>
        </w:rPr>
        <w:t xml:space="preserve"> this study, which should be considered cautiously regarding the </w:t>
      </w:r>
      <w:r w:rsidR="007C6DD8" w:rsidRPr="00B727B0">
        <w:rPr>
          <w:rFonts w:ascii="Book Antiqua" w:hAnsi="Book Antiqua" w:cstheme="majorBidi"/>
          <w:sz w:val="24"/>
          <w:szCs w:val="24"/>
        </w:rPr>
        <w:t>small</w:t>
      </w:r>
      <w:r w:rsidRPr="00B727B0">
        <w:rPr>
          <w:rFonts w:ascii="Book Antiqua" w:hAnsi="Book Antiqua" w:cstheme="majorBidi"/>
          <w:sz w:val="24"/>
          <w:szCs w:val="24"/>
        </w:rPr>
        <w:t xml:space="preserve"> number of </w:t>
      </w:r>
      <w:proofErr w:type="gramStart"/>
      <w:r w:rsidRPr="00B727B0">
        <w:rPr>
          <w:rFonts w:ascii="Book Antiqua" w:hAnsi="Book Antiqua" w:cstheme="majorBidi"/>
          <w:sz w:val="24"/>
          <w:szCs w:val="24"/>
        </w:rPr>
        <w:t>cases</w:t>
      </w:r>
      <w:r w:rsidR="00102E47" w:rsidRPr="00B8002F">
        <w:rPr>
          <w:rFonts w:ascii="Book Antiqua" w:hAnsi="Book Antiqua" w:cstheme="majorBidi"/>
          <w:sz w:val="24"/>
          <w:szCs w:val="24"/>
          <w:vertAlign w:val="superscript"/>
        </w:rPr>
        <w:t>[</w:t>
      </w:r>
      <w:proofErr w:type="gramEnd"/>
      <w:r w:rsidR="00102E47" w:rsidRPr="00B8002F">
        <w:rPr>
          <w:rFonts w:ascii="Book Antiqua" w:hAnsi="Book Antiqua" w:cstheme="majorBidi"/>
          <w:sz w:val="24"/>
          <w:szCs w:val="24"/>
          <w:vertAlign w:val="superscript"/>
        </w:rPr>
        <w:t>30]</w:t>
      </w:r>
      <w:r w:rsidRPr="00B727B0">
        <w:rPr>
          <w:rFonts w:ascii="Book Antiqua" w:hAnsi="Book Antiqua" w:cstheme="majorBidi"/>
          <w:sz w:val="24"/>
          <w:szCs w:val="24"/>
        </w:rPr>
        <w:t>. Alasfa</w:t>
      </w:r>
      <w:r w:rsidR="00B972E5" w:rsidRPr="00B727B0">
        <w:rPr>
          <w:rFonts w:ascii="Book Antiqua" w:hAnsi="Book Antiqua" w:cstheme="majorBidi"/>
          <w:sz w:val="24"/>
          <w:szCs w:val="24"/>
        </w:rPr>
        <w:t>r</w:t>
      </w:r>
      <w:r w:rsidRPr="00B727B0">
        <w:rPr>
          <w:rFonts w:ascii="Book Antiqua" w:hAnsi="Book Antiqua" w:cstheme="majorBidi"/>
          <w:sz w:val="24"/>
          <w:szCs w:val="24"/>
        </w:rPr>
        <w:t xml:space="preserve"> </w:t>
      </w:r>
      <w:r w:rsidR="00D56A03" w:rsidRPr="00D56A03">
        <w:rPr>
          <w:rFonts w:ascii="Book Antiqua" w:eastAsia="宋体" w:hAnsi="Book Antiqua" w:cstheme="majorBidi" w:hint="eastAsia"/>
          <w:i/>
          <w:sz w:val="24"/>
          <w:szCs w:val="24"/>
          <w:lang w:eastAsia="zh-CN"/>
        </w:rPr>
        <w:t xml:space="preserve">et </w:t>
      </w:r>
      <w:proofErr w:type="gramStart"/>
      <w:r w:rsidR="00D56A03" w:rsidRPr="00D56A03">
        <w:rPr>
          <w:rFonts w:ascii="Book Antiqua" w:eastAsia="宋体" w:hAnsi="Book Antiqua" w:cstheme="majorBidi" w:hint="eastAsia"/>
          <w:i/>
          <w:sz w:val="24"/>
          <w:szCs w:val="24"/>
          <w:lang w:eastAsia="zh-CN"/>
        </w:rPr>
        <w:t>al</w:t>
      </w:r>
      <w:r w:rsidR="00D56A03" w:rsidRPr="00B8002F">
        <w:rPr>
          <w:rFonts w:ascii="Book Antiqua" w:hAnsi="Book Antiqua" w:cstheme="majorBidi"/>
          <w:sz w:val="24"/>
          <w:szCs w:val="24"/>
          <w:vertAlign w:val="superscript"/>
        </w:rPr>
        <w:t>[</w:t>
      </w:r>
      <w:proofErr w:type="gramEnd"/>
      <w:r w:rsidR="00D56A03" w:rsidRPr="00B8002F">
        <w:rPr>
          <w:rFonts w:ascii="Book Antiqua" w:hAnsi="Book Antiqua" w:cstheme="majorBidi"/>
          <w:sz w:val="24"/>
          <w:szCs w:val="24"/>
          <w:vertAlign w:val="superscript"/>
        </w:rPr>
        <w:t>30]</w:t>
      </w:r>
      <w:r w:rsidRPr="00B727B0">
        <w:rPr>
          <w:rFonts w:ascii="Book Antiqua" w:hAnsi="Book Antiqua" w:cstheme="majorBidi"/>
          <w:sz w:val="24"/>
          <w:szCs w:val="24"/>
        </w:rPr>
        <w:t xml:space="preserve">, however, showed that 43% of their patients who developed MPGN recurrence were of the </w:t>
      </w:r>
      <w:r w:rsidR="007C6DD8" w:rsidRPr="00B727B0">
        <w:rPr>
          <w:rFonts w:ascii="Book Antiqua" w:hAnsi="Book Antiqua" w:cstheme="majorBidi"/>
          <w:sz w:val="24"/>
          <w:szCs w:val="24"/>
        </w:rPr>
        <w:t>immune complex-mediated GN (</w:t>
      </w:r>
      <w:r w:rsidRPr="00B727B0">
        <w:rPr>
          <w:rFonts w:ascii="Book Antiqua" w:hAnsi="Book Antiqua" w:cstheme="majorBidi"/>
          <w:sz w:val="24"/>
          <w:szCs w:val="24"/>
        </w:rPr>
        <w:t>ICGN</w:t>
      </w:r>
      <w:r w:rsidR="007C6DD8" w:rsidRPr="00B727B0">
        <w:rPr>
          <w:rFonts w:ascii="Book Antiqua" w:hAnsi="Book Antiqua" w:cstheme="majorBidi"/>
          <w:sz w:val="24"/>
          <w:szCs w:val="24"/>
        </w:rPr>
        <w:t>)</w:t>
      </w:r>
      <w:r w:rsidRPr="00B727B0">
        <w:rPr>
          <w:rFonts w:ascii="Book Antiqua" w:hAnsi="Book Antiqua" w:cstheme="majorBidi"/>
          <w:sz w:val="24"/>
          <w:szCs w:val="24"/>
        </w:rPr>
        <w:t xml:space="preserve"> type and were complicated by graft loss. On the </w:t>
      </w:r>
      <w:r w:rsidRPr="00B727B0">
        <w:rPr>
          <w:rFonts w:ascii="Book Antiqua" w:hAnsi="Book Antiqua" w:cstheme="majorBidi"/>
          <w:sz w:val="24"/>
          <w:szCs w:val="24"/>
        </w:rPr>
        <w:lastRenderedPageBreak/>
        <w:t xml:space="preserve">other hand, one of the two patients with GN recurrence and subtyped as </w:t>
      </w:r>
      <w:r w:rsidR="007C6DD8" w:rsidRPr="00B727B0">
        <w:rPr>
          <w:rFonts w:ascii="Book Antiqua" w:hAnsi="Book Antiqua" w:cstheme="majorBidi"/>
          <w:sz w:val="24"/>
          <w:szCs w:val="24"/>
        </w:rPr>
        <w:t>complement-mediated GN (</w:t>
      </w:r>
      <w:r w:rsidRPr="00B727B0">
        <w:rPr>
          <w:rFonts w:ascii="Book Antiqua" w:hAnsi="Book Antiqua" w:cstheme="majorBidi"/>
          <w:sz w:val="24"/>
          <w:szCs w:val="24"/>
        </w:rPr>
        <w:t>CGN</w:t>
      </w:r>
      <w:r w:rsidR="007C6DD8" w:rsidRPr="00B727B0">
        <w:rPr>
          <w:rFonts w:ascii="Book Antiqua" w:hAnsi="Book Antiqua" w:cstheme="majorBidi"/>
          <w:sz w:val="24"/>
          <w:szCs w:val="24"/>
        </w:rPr>
        <w:t>)</w:t>
      </w:r>
      <w:r w:rsidRPr="00B727B0">
        <w:rPr>
          <w:rFonts w:ascii="Book Antiqua" w:hAnsi="Book Antiqua" w:cstheme="majorBidi"/>
          <w:sz w:val="24"/>
          <w:szCs w:val="24"/>
        </w:rPr>
        <w:t xml:space="preserve"> developed graft loss. The average time of graft loss was 6.5 </w:t>
      </w:r>
      <w:r w:rsidR="00B8002F">
        <w:rPr>
          <w:rFonts w:ascii="Book Antiqua" w:hAnsi="Book Antiqua" w:cstheme="majorBidi"/>
          <w:sz w:val="24"/>
          <w:szCs w:val="24"/>
        </w:rPr>
        <w:t>mo</w:t>
      </w:r>
      <w:r w:rsidRPr="00B727B0">
        <w:rPr>
          <w:rFonts w:ascii="Book Antiqua" w:hAnsi="Book Antiqua" w:cstheme="majorBidi"/>
          <w:sz w:val="24"/>
          <w:szCs w:val="24"/>
        </w:rPr>
        <w:t xml:space="preserve"> (2-18 </w:t>
      </w:r>
      <w:r w:rsidR="00B8002F">
        <w:rPr>
          <w:rFonts w:ascii="Book Antiqua" w:hAnsi="Book Antiqua" w:cstheme="majorBidi"/>
          <w:sz w:val="24"/>
          <w:szCs w:val="24"/>
        </w:rPr>
        <w:t>mo</w:t>
      </w:r>
      <w:r w:rsidRPr="00B727B0">
        <w:rPr>
          <w:rFonts w:ascii="Book Antiqua" w:hAnsi="Book Antiqua" w:cstheme="majorBidi"/>
          <w:sz w:val="24"/>
          <w:szCs w:val="24"/>
        </w:rPr>
        <w:t xml:space="preserve">). Interpreting these results showed non-significant results between recurrent and non-recurrent groups, despite the presence of tendency to worse </w:t>
      </w:r>
      <w:proofErr w:type="gramStart"/>
      <w:r w:rsidRPr="00B727B0">
        <w:rPr>
          <w:rFonts w:ascii="Book Antiqua" w:hAnsi="Book Antiqua" w:cstheme="majorBidi"/>
          <w:sz w:val="24"/>
          <w:szCs w:val="24"/>
        </w:rPr>
        <w:t>survival</w:t>
      </w:r>
      <w:r w:rsidR="003120A8" w:rsidRPr="00B8002F">
        <w:rPr>
          <w:rFonts w:ascii="Book Antiqua" w:hAnsi="Book Antiqua" w:cstheme="majorBidi"/>
          <w:sz w:val="24"/>
          <w:szCs w:val="24"/>
          <w:vertAlign w:val="superscript"/>
        </w:rPr>
        <w:t>[</w:t>
      </w:r>
      <w:proofErr w:type="gramEnd"/>
      <w:r w:rsidR="003120A8" w:rsidRPr="00B8002F">
        <w:rPr>
          <w:rFonts w:ascii="Book Antiqua" w:hAnsi="Book Antiqua" w:cstheme="majorBidi"/>
          <w:sz w:val="24"/>
          <w:szCs w:val="24"/>
          <w:vertAlign w:val="superscript"/>
        </w:rPr>
        <w:t>30]</w:t>
      </w:r>
      <w:r w:rsidRPr="00B727B0">
        <w:rPr>
          <w:rFonts w:ascii="Book Antiqua" w:hAnsi="Book Antiqua" w:cstheme="majorBidi"/>
          <w:sz w:val="24"/>
          <w:szCs w:val="24"/>
        </w:rPr>
        <w:t>. Also, no significance could be detected with other factors</w:t>
      </w:r>
      <w:r w:rsidR="009218D1" w:rsidRPr="00B727B0">
        <w:rPr>
          <w:rFonts w:ascii="Book Antiqua" w:hAnsi="Book Antiqua" w:cstheme="majorBidi"/>
          <w:i/>
          <w:sz w:val="24"/>
          <w:szCs w:val="24"/>
        </w:rPr>
        <w:t xml:space="preserve">, e.g., </w:t>
      </w:r>
      <w:r w:rsidRPr="00B727B0">
        <w:rPr>
          <w:rFonts w:ascii="Book Antiqua" w:hAnsi="Book Antiqua" w:cstheme="majorBidi"/>
          <w:sz w:val="24"/>
          <w:szCs w:val="24"/>
        </w:rPr>
        <w:t>(age, race, gender, mismatching degree, graft source, pre-emptive transplantation and degree of proteinuria). In contrary to other factors and despite of non-significance, ACEi /ARB therapy could</w:t>
      </w:r>
      <w:r w:rsidRPr="00B727B0">
        <w:rPr>
          <w:rFonts w:ascii="Book Antiqua" w:hAnsi="Book Antiqua" w:cstheme="majorBidi"/>
          <w:i/>
          <w:iCs/>
          <w:sz w:val="24"/>
          <w:szCs w:val="24"/>
        </w:rPr>
        <w:t xml:space="preserve"> </w:t>
      </w:r>
      <w:r w:rsidRPr="00B8002F">
        <w:rPr>
          <w:rFonts w:ascii="Book Antiqua" w:hAnsi="Book Antiqua" w:cstheme="majorBidi"/>
          <w:iCs/>
          <w:sz w:val="24"/>
          <w:szCs w:val="24"/>
        </w:rPr>
        <w:t>ameliorate</w:t>
      </w:r>
      <w:r w:rsidRPr="00B8002F">
        <w:rPr>
          <w:rFonts w:ascii="Book Antiqua" w:hAnsi="Book Antiqua" w:cstheme="majorBidi"/>
          <w:sz w:val="24"/>
          <w:szCs w:val="24"/>
        </w:rPr>
        <w:t xml:space="preserve"> the</w:t>
      </w:r>
      <w:r w:rsidRPr="00B727B0">
        <w:rPr>
          <w:rFonts w:ascii="Book Antiqua" w:hAnsi="Book Antiqua" w:cstheme="majorBidi"/>
          <w:sz w:val="24"/>
          <w:szCs w:val="24"/>
        </w:rPr>
        <w:t xml:space="preserve"> tendency of graft loss </w:t>
      </w:r>
      <w:r w:rsidR="00DD6431" w:rsidRPr="00B727B0">
        <w:rPr>
          <w:rFonts w:ascii="Book Antiqua" w:hAnsi="Book Antiqua" w:cstheme="majorBidi"/>
          <w:sz w:val="24"/>
          <w:szCs w:val="24"/>
        </w:rPr>
        <w:t xml:space="preserve">(Figure </w:t>
      </w:r>
      <w:r w:rsidR="00A30CDC" w:rsidRPr="00B727B0">
        <w:rPr>
          <w:rFonts w:ascii="Book Antiqua" w:hAnsi="Book Antiqua" w:cstheme="majorBidi"/>
          <w:sz w:val="24"/>
          <w:szCs w:val="24"/>
        </w:rPr>
        <w:t>6</w:t>
      </w:r>
      <w:r w:rsidR="00616116" w:rsidRPr="00B727B0">
        <w:rPr>
          <w:rFonts w:ascii="Book Antiqua" w:hAnsi="Book Antiqua" w:cstheme="majorBidi"/>
          <w:sz w:val="24"/>
          <w:szCs w:val="24"/>
        </w:rPr>
        <w:t>).</w:t>
      </w:r>
      <w:r w:rsidR="00F305E4">
        <w:rPr>
          <w:rFonts w:ascii="Book Antiqua" w:eastAsia="Times New Roman" w:hAnsi="Book Antiqua" w:cstheme="majorBidi"/>
          <w:sz w:val="24"/>
          <w:szCs w:val="24"/>
        </w:rPr>
        <w:t xml:space="preserve"> </w:t>
      </w:r>
      <w:r w:rsidRPr="00B727B0">
        <w:rPr>
          <w:rFonts w:ascii="Book Antiqua" w:hAnsi="Book Antiqua" w:cstheme="majorBidi"/>
          <w:sz w:val="24"/>
          <w:szCs w:val="24"/>
        </w:rPr>
        <w:t xml:space="preserve">For </w:t>
      </w:r>
      <w:r w:rsidR="0067053E" w:rsidRPr="00B727B0">
        <w:rPr>
          <w:rFonts w:ascii="Book Antiqua" w:hAnsi="Book Antiqua" w:cstheme="majorBidi"/>
          <w:sz w:val="24"/>
          <w:szCs w:val="24"/>
        </w:rPr>
        <w:t xml:space="preserve">more </w:t>
      </w:r>
      <w:r w:rsidR="00431F48" w:rsidRPr="00B727B0">
        <w:rPr>
          <w:rFonts w:ascii="Book Antiqua" w:hAnsi="Book Antiqua" w:cstheme="majorBidi"/>
          <w:sz w:val="24"/>
          <w:szCs w:val="24"/>
        </w:rPr>
        <w:t xml:space="preserve">specified specific </w:t>
      </w:r>
      <w:r w:rsidRPr="00B727B0">
        <w:rPr>
          <w:rFonts w:ascii="Book Antiqua" w:hAnsi="Book Antiqua" w:cstheme="majorBidi"/>
          <w:sz w:val="24"/>
          <w:szCs w:val="24"/>
        </w:rPr>
        <w:t xml:space="preserve">therapy, all the old biopsies before the advent of the new classification, should be reclassified. The CGN is generally less prevalent, on the other hand, ICGN is more common </w:t>
      </w:r>
      <w:r w:rsidR="00AA6907" w:rsidRPr="00B727B0">
        <w:rPr>
          <w:rFonts w:ascii="Book Antiqua" w:hAnsi="Book Antiqua" w:cstheme="majorBidi"/>
          <w:sz w:val="24"/>
          <w:szCs w:val="24"/>
        </w:rPr>
        <w:t xml:space="preserve">(Table </w:t>
      </w:r>
      <w:r w:rsidR="0067053E" w:rsidRPr="00B727B0">
        <w:rPr>
          <w:rFonts w:ascii="Book Antiqua" w:hAnsi="Book Antiqua" w:cstheme="majorBidi"/>
          <w:sz w:val="24"/>
          <w:szCs w:val="24"/>
        </w:rPr>
        <w:t xml:space="preserve">1) </w:t>
      </w:r>
      <w:r w:rsidRPr="00B727B0">
        <w:rPr>
          <w:rFonts w:ascii="Book Antiqua" w:hAnsi="Book Antiqua" w:cstheme="majorBidi"/>
          <w:sz w:val="24"/>
          <w:szCs w:val="24"/>
        </w:rPr>
        <w:t xml:space="preserve">and most of the native as well as the recurrent MPGN </w:t>
      </w:r>
      <w:r w:rsidR="00ED7FE7" w:rsidRPr="00B727B0">
        <w:rPr>
          <w:rFonts w:ascii="Book Antiqua" w:hAnsi="Book Antiqua" w:cstheme="majorBidi"/>
          <w:sz w:val="24"/>
          <w:szCs w:val="24"/>
        </w:rPr>
        <w:t>appear to be classified as ICGN</w:t>
      </w:r>
      <w:r w:rsidRPr="00B727B0">
        <w:rPr>
          <w:rFonts w:ascii="Book Antiqua" w:hAnsi="Book Antiqua" w:cstheme="majorBidi"/>
          <w:sz w:val="24"/>
          <w:szCs w:val="24"/>
        </w:rPr>
        <w:t xml:space="preserve">. It is noteworthy to remind that some of the reclassified cases may change their microscopy by time. Unfortunately, the latter change could be difficult to differentiate from a </w:t>
      </w:r>
      <w:r w:rsidR="004C111A" w:rsidRPr="00B727B0">
        <w:rPr>
          <w:rFonts w:ascii="Book Antiqua" w:hAnsi="Book Antiqua" w:cstheme="majorBidi"/>
          <w:i/>
          <w:sz w:val="24"/>
          <w:szCs w:val="24"/>
        </w:rPr>
        <w:t>de novo</w:t>
      </w:r>
      <w:r w:rsidRPr="00B727B0">
        <w:rPr>
          <w:rFonts w:ascii="Book Antiqua" w:hAnsi="Book Antiqua" w:cstheme="majorBidi"/>
          <w:sz w:val="24"/>
          <w:szCs w:val="24"/>
        </w:rPr>
        <w:t xml:space="preserve"> GN disease, which will be ultimately </w:t>
      </w:r>
      <w:r w:rsidR="00C93013" w:rsidRPr="00B727B0">
        <w:rPr>
          <w:rFonts w:ascii="Book Antiqua" w:hAnsi="Book Antiqua" w:cstheme="majorBidi"/>
          <w:sz w:val="24"/>
          <w:szCs w:val="24"/>
        </w:rPr>
        <w:t>resulted</w:t>
      </w:r>
      <w:r w:rsidRPr="00B727B0">
        <w:rPr>
          <w:rFonts w:ascii="Book Antiqua" w:hAnsi="Book Antiqua" w:cstheme="majorBidi"/>
          <w:sz w:val="24"/>
          <w:szCs w:val="24"/>
        </w:rPr>
        <w:t xml:space="preserve"> </w:t>
      </w:r>
      <w:r w:rsidR="00C93013" w:rsidRPr="00B727B0">
        <w:rPr>
          <w:rFonts w:ascii="Book Antiqua" w:hAnsi="Book Antiqua" w:cstheme="majorBidi"/>
          <w:sz w:val="24"/>
          <w:szCs w:val="24"/>
        </w:rPr>
        <w:t>i</w:t>
      </w:r>
      <w:r w:rsidRPr="00B727B0">
        <w:rPr>
          <w:rFonts w:ascii="Book Antiqua" w:hAnsi="Book Antiqua" w:cstheme="majorBidi"/>
          <w:sz w:val="24"/>
          <w:szCs w:val="24"/>
        </w:rPr>
        <w:t xml:space="preserve">n a difficulty on choosing the mode of </w:t>
      </w:r>
      <w:proofErr w:type="gramStart"/>
      <w:r w:rsidRPr="00B727B0">
        <w:rPr>
          <w:rFonts w:ascii="Book Antiqua" w:hAnsi="Book Antiqua" w:cstheme="majorBidi"/>
          <w:sz w:val="24"/>
          <w:szCs w:val="24"/>
        </w:rPr>
        <w:t>therapy</w:t>
      </w:r>
      <w:r w:rsidR="00102E47" w:rsidRPr="00B8002F">
        <w:rPr>
          <w:rFonts w:ascii="Book Antiqua" w:hAnsi="Book Antiqua" w:cstheme="majorBidi"/>
          <w:sz w:val="24"/>
          <w:szCs w:val="24"/>
          <w:vertAlign w:val="superscript"/>
        </w:rPr>
        <w:t>[</w:t>
      </w:r>
      <w:proofErr w:type="gramEnd"/>
      <w:r w:rsidR="00102E47" w:rsidRPr="00B8002F">
        <w:rPr>
          <w:rFonts w:ascii="Book Antiqua" w:hAnsi="Book Antiqua" w:cstheme="majorBidi"/>
          <w:sz w:val="24"/>
          <w:szCs w:val="24"/>
          <w:vertAlign w:val="superscript"/>
        </w:rPr>
        <w:t>30</w:t>
      </w:r>
      <w:r w:rsidR="00ED7FE7" w:rsidRPr="00B8002F">
        <w:rPr>
          <w:rFonts w:ascii="Book Antiqua" w:hAnsi="Book Antiqua" w:cstheme="majorBidi"/>
          <w:sz w:val="24"/>
          <w:szCs w:val="24"/>
          <w:vertAlign w:val="superscript"/>
        </w:rPr>
        <w:t>]</w:t>
      </w:r>
      <w:r w:rsidRPr="00B727B0">
        <w:rPr>
          <w:rFonts w:ascii="Book Antiqua" w:hAnsi="Book Antiqua" w:cstheme="majorBidi"/>
          <w:sz w:val="24"/>
          <w:szCs w:val="24"/>
        </w:rPr>
        <w:t>.</w:t>
      </w:r>
    </w:p>
    <w:p w14:paraId="5C6261CE" w14:textId="77777777" w:rsidR="00431F48" w:rsidRPr="00FA7145" w:rsidRDefault="00431F48" w:rsidP="00FA7145">
      <w:pPr>
        <w:adjustRightInd w:val="0"/>
        <w:snapToGrid w:val="0"/>
        <w:spacing w:after="0" w:line="360" w:lineRule="auto"/>
        <w:jc w:val="both"/>
        <w:rPr>
          <w:rFonts w:ascii="Book Antiqua" w:hAnsi="Book Antiqua" w:cstheme="majorBidi"/>
          <w:sz w:val="24"/>
          <w:szCs w:val="24"/>
        </w:rPr>
      </w:pPr>
    </w:p>
    <w:p w14:paraId="79BA4D52" w14:textId="3D032698" w:rsidR="00991F19" w:rsidRPr="00B727B0" w:rsidRDefault="00320946"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eastAsia="Times New Roman" w:hAnsi="Book Antiqua" w:cstheme="majorBidi"/>
          <w:b/>
          <w:i/>
          <w:sz w:val="24"/>
          <w:szCs w:val="24"/>
        </w:rPr>
        <w:t>Impact of the new classi</w:t>
      </w:r>
      <w:r w:rsidR="00ED7FE7" w:rsidRPr="00B727B0">
        <w:rPr>
          <w:rFonts w:ascii="Book Antiqua" w:eastAsia="Times New Roman" w:hAnsi="Book Antiqua" w:cstheme="majorBidi"/>
          <w:b/>
          <w:i/>
          <w:sz w:val="24"/>
          <w:szCs w:val="24"/>
        </w:rPr>
        <w:t>fication on therapeutic options</w:t>
      </w:r>
      <w:r w:rsidR="00F305E4">
        <w:rPr>
          <w:rFonts w:ascii="Book Antiqua" w:eastAsia="Times New Roman" w:hAnsi="Book Antiqua" w:cstheme="majorBidi"/>
          <w:b/>
          <w:i/>
          <w:sz w:val="24"/>
          <w:szCs w:val="24"/>
        </w:rPr>
        <w:t xml:space="preserve"> </w:t>
      </w:r>
    </w:p>
    <w:p w14:paraId="01FF8FAE" w14:textId="215D87C6" w:rsidR="00CD178F" w:rsidRPr="00B727B0" w:rsidRDefault="00AA6907"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宋体" w:hAnsi="Book Antiqua" w:cstheme="majorBidi"/>
          <w:b/>
          <w:sz w:val="24"/>
          <w:szCs w:val="24"/>
          <w:lang w:eastAsia="zh-CN"/>
        </w:rPr>
        <w:t>M</w:t>
      </w:r>
      <w:r w:rsidR="00860D2D" w:rsidRPr="00B727B0">
        <w:rPr>
          <w:rFonts w:ascii="Book Antiqua" w:eastAsia="Times New Roman" w:hAnsi="Book Antiqua" w:cstheme="majorBidi"/>
          <w:b/>
          <w:sz w:val="24"/>
          <w:szCs w:val="24"/>
        </w:rPr>
        <w:t>PGN with Ig deposits:</w:t>
      </w:r>
      <w:r w:rsidR="00860D2D" w:rsidRPr="00B727B0">
        <w:rPr>
          <w:rFonts w:ascii="Book Antiqua" w:eastAsia="Times New Roman" w:hAnsi="Book Antiqua" w:cstheme="majorBidi"/>
          <w:sz w:val="24"/>
          <w:szCs w:val="24"/>
        </w:rPr>
        <w:t xml:space="preserve"> </w:t>
      </w:r>
      <w:r w:rsidR="00991F19" w:rsidRPr="00B727B0">
        <w:rPr>
          <w:rFonts w:ascii="Book Antiqua" w:eastAsia="Times New Roman" w:hAnsi="Book Antiqua" w:cstheme="majorBidi"/>
          <w:sz w:val="24"/>
          <w:szCs w:val="24"/>
        </w:rPr>
        <w:t>W</w:t>
      </w:r>
      <w:r w:rsidR="00860D2D" w:rsidRPr="00B727B0">
        <w:rPr>
          <w:rFonts w:ascii="Book Antiqua" w:eastAsia="Times New Roman" w:hAnsi="Book Antiqua" w:cstheme="majorBidi"/>
          <w:sz w:val="24"/>
          <w:szCs w:val="24"/>
        </w:rPr>
        <w:t>e should focus in suppression of the antibody production, but</w:t>
      </w:r>
      <w:r w:rsidRPr="00B727B0">
        <w:rPr>
          <w:rFonts w:ascii="Book Antiqua" w:eastAsia="Times New Roman" w:hAnsi="Book Antiqua" w:cstheme="majorBidi"/>
          <w:sz w:val="24"/>
          <w:szCs w:val="24"/>
        </w:rPr>
        <w:t xml:space="preserve"> there are no controlled trial</w:t>
      </w:r>
      <w:r w:rsidR="00CD178F" w:rsidRPr="00B727B0">
        <w:rPr>
          <w:rFonts w:ascii="Book Antiqua" w:eastAsia="宋体" w:hAnsi="Book Antiqua" w:cstheme="majorBidi"/>
          <w:sz w:val="24"/>
          <w:szCs w:val="24"/>
          <w:lang w:eastAsia="zh-CN"/>
        </w:rPr>
        <w:t>s.</w:t>
      </w:r>
    </w:p>
    <w:p w14:paraId="3D61362F" w14:textId="77777777" w:rsidR="00CD178F" w:rsidRPr="00B727B0" w:rsidRDefault="00CD178F" w:rsidP="007312CD">
      <w:pPr>
        <w:adjustRightInd w:val="0"/>
        <w:snapToGrid w:val="0"/>
        <w:spacing w:after="0" w:line="360" w:lineRule="auto"/>
        <w:jc w:val="both"/>
        <w:rPr>
          <w:rFonts w:ascii="Book Antiqua" w:eastAsia="宋体" w:hAnsi="Book Antiqua" w:cstheme="majorBidi"/>
          <w:sz w:val="24"/>
          <w:szCs w:val="24"/>
          <w:lang w:eastAsia="zh-CN"/>
        </w:rPr>
      </w:pPr>
    </w:p>
    <w:p w14:paraId="27809602" w14:textId="25593DD8" w:rsidR="00860D2D" w:rsidRPr="00B727B0" w:rsidRDefault="00860D2D"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b/>
          <w:sz w:val="24"/>
          <w:szCs w:val="24"/>
        </w:rPr>
        <w:t>MPGN with monoclonal Ig deposits:</w:t>
      </w:r>
      <w:r w:rsidRPr="00B727B0">
        <w:rPr>
          <w:rFonts w:ascii="Book Antiqua" w:eastAsia="Times New Roman" w:hAnsi="Book Antiqua" w:cstheme="majorBidi"/>
          <w:sz w:val="24"/>
          <w:szCs w:val="24"/>
        </w:rPr>
        <w:t xml:space="preserve"> </w:t>
      </w:r>
      <w:r w:rsidR="00CD178F" w:rsidRPr="00B727B0">
        <w:rPr>
          <w:rFonts w:ascii="Book Antiqua" w:eastAsia="Times New Roman" w:hAnsi="Book Antiqua" w:cstheme="majorBidi"/>
          <w:sz w:val="24"/>
          <w:szCs w:val="24"/>
        </w:rPr>
        <w:t>T</w:t>
      </w:r>
      <w:r w:rsidR="00FA12B1" w:rsidRPr="00B727B0">
        <w:rPr>
          <w:rFonts w:ascii="Book Antiqua" w:eastAsia="Times New Roman" w:hAnsi="Book Antiqua" w:cstheme="majorBidi"/>
          <w:sz w:val="24"/>
          <w:szCs w:val="24"/>
        </w:rPr>
        <w:t>he anti-CD20 antibodies are</w:t>
      </w:r>
      <w:r w:rsidRPr="00B727B0">
        <w:rPr>
          <w:rFonts w:ascii="Book Antiqua" w:eastAsia="Times New Roman" w:hAnsi="Book Antiqua" w:cstheme="majorBidi"/>
          <w:sz w:val="24"/>
          <w:szCs w:val="24"/>
        </w:rPr>
        <w:t xml:space="preserve"> proved to be effective in uncontrolled trials in native as well as in allograft </w:t>
      </w:r>
      <w:proofErr w:type="gramStart"/>
      <w:r w:rsidRPr="00B727B0">
        <w:rPr>
          <w:rFonts w:ascii="Book Antiqua" w:eastAsia="Times New Roman" w:hAnsi="Book Antiqua" w:cstheme="majorBidi"/>
          <w:sz w:val="24"/>
          <w:szCs w:val="24"/>
        </w:rPr>
        <w:t>recurrence</w:t>
      </w:r>
      <w:r w:rsidR="003120A8" w:rsidRPr="00D56A03">
        <w:rPr>
          <w:rFonts w:ascii="Book Antiqua" w:hAnsi="Book Antiqua" w:cstheme="majorBidi"/>
          <w:sz w:val="24"/>
          <w:szCs w:val="24"/>
          <w:vertAlign w:val="superscript"/>
        </w:rPr>
        <w:t>[</w:t>
      </w:r>
      <w:proofErr w:type="gramEnd"/>
      <w:r w:rsidR="003120A8" w:rsidRPr="00D56A03">
        <w:rPr>
          <w:rFonts w:ascii="Book Antiqua" w:hAnsi="Book Antiqua" w:cstheme="majorBidi"/>
          <w:sz w:val="24"/>
          <w:szCs w:val="24"/>
          <w:vertAlign w:val="superscript"/>
        </w:rPr>
        <w:t>74]</w:t>
      </w:r>
      <w:r w:rsidRPr="00B727B0">
        <w:rPr>
          <w:rFonts w:ascii="Book Antiqua" w:eastAsia="Times New Roman" w:hAnsi="Book Antiqua" w:cstheme="majorBidi"/>
          <w:sz w:val="24"/>
          <w:szCs w:val="24"/>
        </w:rPr>
        <w:t xml:space="preserve">. </w:t>
      </w:r>
      <w:r w:rsidR="00FA12B1" w:rsidRPr="00B727B0">
        <w:rPr>
          <w:rFonts w:ascii="Book Antiqua" w:eastAsia="Times New Roman" w:hAnsi="Book Antiqua" w:cstheme="majorBidi"/>
          <w:sz w:val="24"/>
          <w:szCs w:val="24"/>
        </w:rPr>
        <w:t>Monoclonal deposits are</w:t>
      </w:r>
      <w:r w:rsidRPr="00B727B0">
        <w:rPr>
          <w:rFonts w:ascii="Book Antiqua" w:eastAsia="Times New Roman" w:hAnsi="Book Antiqua" w:cstheme="majorBidi"/>
          <w:sz w:val="24"/>
          <w:szCs w:val="24"/>
        </w:rPr>
        <w:t xml:space="preserve"> proved to be associated wit</w:t>
      </w:r>
      <w:r w:rsidR="00102E47" w:rsidRPr="00B727B0">
        <w:rPr>
          <w:rFonts w:ascii="Book Antiqua" w:eastAsia="Times New Roman" w:hAnsi="Book Antiqua" w:cstheme="majorBidi"/>
          <w:sz w:val="24"/>
          <w:szCs w:val="24"/>
        </w:rPr>
        <w:t xml:space="preserve">h a higher rate of </w:t>
      </w:r>
      <w:proofErr w:type="gramStart"/>
      <w:r w:rsidR="00102E47" w:rsidRPr="00B727B0">
        <w:rPr>
          <w:rFonts w:ascii="Book Antiqua" w:eastAsia="Times New Roman" w:hAnsi="Book Antiqua" w:cstheme="majorBidi"/>
          <w:sz w:val="24"/>
          <w:szCs w:val="24"/>
        </w:rPr>
        <w:t>recurrence</w:t>
      </w:r>
      <w:r w:rsidR="00102E47" w:rsidRPr="00FA7145">
        <w:rPr>
          <w:rFonts w:ascii="Book Antiqua" w:hAnsi="Book Antiqua" w:cstheme="majorBidi"/>
          <w:sz w:val="24"/>
          <w:szCs w:val="24"/>
          <w:vertAlign w:val="superscript"/>
        </w:rPr>
        <w:t>[</w:t>
      </w:r>
      <w:proofErr w:type="gramEnd"/>
      <w:r w:rsidR="00102E47" w:rsidRPr="00FA7145">
        <w:rPr>
          <w:rFonts w:ascii="Book Antiqua" w:hAnsi="Book Antiqua" w:cstheme="majorBidi"/>
          <w:sz w:val="24"/>
          <w:szCs w:val="24"/>
          <w:vertAlign w:val="superscript"/>
        </w:rPr>
        <w:t>75]</w:t>
      </w:r>
      <w:r w:rsidRPr="00B727B0">
        <w:rPr>
          <w:rFonts w:ascii="Book Antiqua" w:eastAsia="Times New Roman" w:hAnsi="Book Antiqua" w:cstheme="majorBidi"/>
          <w:sz w:val="24"/>
          <w:szCs w:val="24"/>
        </w:rPr>
        <w:t>. This association may suggest they have their role in the pathogenesis of MPGN, consequently, two important steps have been suggested:</w:t>
      </w:r>
      <w:r w:rsidR="00AA6907" w:rsidRPr="00B727B0">
        <w:rPr>
          <w:rFonts w:ascii="Book Antiqua" w:eastAsia="宋体" w:hAnsi="Book Antiqua" w:cstheme="majorBidi"/>
          <w:sz w:val="24"/>
          <w:szCs w:val="24"/>
          <w:lang w:eastAsia="zh-CN"/>
        </w:rPr>
        <w:t xml:space="preserve"> (1) m</w:t>
      </w:r>
      <w:r w:rsidRPr="00B727B0">
        <w:rPr>
          <w:rFonts w:ascii="Book Antiqua" w:eastAsia="Times New Roman" w:hAnsi="Book Antiqua" w:cstheme="majorBidi"/>
          <w:sz w:val="24"/>
          <w:szCs w:val="24"/>
        </w:rPr>
        <w:t xml:space="preserve">eticulous screening for </w:t>
      </w:r>
      <w:r w:rsidR="00E26BF2"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monoclonal gammopathy</w:t>
      </w:r>
      <w:r w:rsidR="00E26BF2"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during preparation of a patient with</w:t>
      </w:r>
      <w:r w:rsidR="00AA6907" w:rsidRPr="00B727B0">
        <w:rPr>
          <w:rFonts w:ascii="Book Antiqua" w:eastAsia="Times New Roman" w:hAnsi="Book Antiqua" w:cstheme="majorBidi"/>
          <w:sz w:val="24"/>
          <w:szCs w:val="24"/>
        </w:rPr>
        <w:t xml:space="preserve"> MPGN for renal transplantation</w:t>
      </w:r>
      <w:r w:rsidR="00AA6907" w:rsidRPr="00B727B0">
        <w:rPr>
          <w:rFonts w:ascii="Book Antiqua" w:eastAsia="宋体" w:hAnsi="Book Antiqua" w:cstheme="majorBidi"/>
          <w:sz w:val="24"/>
          <w:szCs w:val="24"/>
          <w:lang w:eastAsia="zh-CN"/>
        </w:rPr>
        <w:t>; and (2) a</w:t>
      </w:r>
      <w:r w:rsidRPr="00B727B0">
        <w:rPr>
          <w:rFonts w:ascii="Book Antiqua" w:eastAsia="Times New Roman" w:hAnsi="Book Antiqua" w:cstheme="majorBidi"/>
          <w:sz w:val="24"/>
          <w:szCs w:val="24"/>
        </w:rPr>
        <w:t xml:space="preserve"> </w:t>
      </w:r>
      <w:r w:rsidR="00E26BF2"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hematologist consultation</w:t>
      </w:r>
      <w:r w:rsidR="00E26BF2"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may be advised with strict follow up in such situation for long periods</w:t>
      </w:r>
      <w:r w:rsidR="00102E47" w:rsidRPr="00FA7145">
        <w:rPr>
          <w:rFonts w:ascii="Book Antiqua" w:eastAsia="Times New Roman" w:hAnsi="Book Antiqua" w:cstheme="majorBidi"/>
          <w:sz w:val="24"/>
          <w:szCs w:val="24"/>
          <w:vertAlign w:val="superscript"/>
        </w:rPr>
        <w:t>[30]</w:t>
      </w:r>
      <w:r w:rsidRPr="00B727B0">
        <w:rPr>
          <w:rFonts w:ascii="Book Antiqua" w:eastAsia="Times New Roman" w:hAnsi="Book Antiqua" w:cstheme="majorBidi"/>
          <w:sz w:val="24"/>
          <w:szCs w:val="24"/>
        </w:rPr>
        <w:t>.</w:t>
      </w:r>
    </w:p>
    <w:p w14:paraId="57F14CC7" w14:textId="77777777" w:rsidR="00CD178F" w:rsidRPr="00B727B0" w:rsidRDefault="00CD178F" w:rsidP="007312CD">
      <w:pPr>
        <w:adjustRightInd w:val="0"/>
        <w:snapToGrid w:val="0"/>
        <w:spacing w:after="0" w:line="360" w:lineRule="auto"/>
        <w:jc w:val="both"/>
        <w:rPr>
          <w:rFonts w:ascii="Book Antiqua" w:eastAsia="宋体" w:hAnsi="Book Antiqua" w:cstheme="majorBidi"/>
          <w:i/>
          <w:sz w:val="24"/>
          <w:szCs w:val="24"/>
          <w:lang w:eastAsia="zh-CN"/>
        </w:rPr>
      </w:pPr>
    </w:p>
    <w:p w14:paraId="0B0790B7" w14:textId="6BA65F95" w:rsidR="00860D2D" w:rsidRPr="00B727B0" w:rsidRDefault="00860D2D"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b/>
          <w:sz w:val="24"/>
          <w:szCs w:val="24"/>
        </w:rPr>
        <w:t>MPGN C3GN:</w:t>
      </w:r>
      <w:r w:rsidRPr="00B727B0">
        <w:rPr>
          <w:rFonts w:ascii="Book Antiqua" w:eastAsia="Times New Roman" w:hAnsi="Book Antiqua" w:cstheme="majorBidi"/>
          <w:i/>
          <w:sz w:val="24"/>
          <w:szCs w:val="24"/>
        </w:rPr>
        <w:t xml:space="preserve"> </w:t>
      </w:r>
      <w:r w:rsidR="00D6062A" w:rsidRPr="00B727B0">
        <w:rPr>
          <w:rFonts w:ascii="Book Antiqua" w:eastAsia="Times New Roman" w:hAnsi="Book Antiqua" w:cstheme="majorBidi"/>
          <w:sz w:val="24"/>
          <w:szCs w:val="24"/>
        </w:rPr>
        <w:t>T</w:t>
      </w:r>
      <w:r w:rsidRPr="00B727B0">
        <w:rPr>
          <w:rFonts w:ascii="Book Antiqua" w:eastAsia="Times New Roman" w:hAnsi="Book Antiqua" w:cstheme="majorBidi"/>
          <w:sz w:val="24"/>
          <w:szCs w:val="24"/>
        </w:rPr>
        <w:t>he use anti C5 monoclonal antibodies, eculizumab, is s</w:t>
      </w:r>
      <w:r w:rsidR="00E26BF2" w:rsidRPr="00B727B0">
        <w:rPr>
          <w:rFonts w:ascii="Book Antiqua" w:eastAsia="Times New Roman" w:hAnsi="Book Antiqua" w:cstheme="majorBidi"/>
          <w:sz w:val="24"/>
          <w:szCs w:val="24"/>
        </w:rPr>
        <w:t>h</w:t>
      </w:r>
      <w:r w:rsidRPr="00B727B0">
        <w:rPr>
          <w:rFonts w:ascii="Book Antiqua" w:eastAsia="Times New Roman" w:hAnsi="Book Antiqua" w:cstheme="majorBidi"/>
          <w:sz w:val="24"/>
          <w:szCs w:val="24"/>
        </w:rPr>
        <w:t xml:space="preserve">own to be effective with mixed </w:t>
      </w:r>
      <w:proofErr w:type="gramStart"/>
      <w:r w:rsidRPr="00B727B0">
        <w:rPr>
          <w:rFonts w:ascii="Book Antiqua" w:eastAsia="Times New Roman" w:hAnsi="Book Antiqua" w:cstheme="majorBidi"/>
          <w:sz w:val="24"/>
          <w:szCs w:val="24"/>
        </w:rPr>
        <w:t>results</w:t>
      </w:r>
      <w:r w:rsidR="003120A8" w:rsidRPr="00FA7145">
        <w:rPr>
          <w:rFonts w:ascii="Book Antiqua" w:eastAsia="Times New Roman" w:hAnsi="Book Antiqua" w:cstheme="majorBidi"/>
          <w:sz w:val="24"/>
          <w:szCs w:val="24"/>
          <w:vertAlign w:val="superscript"/>
        </w:rPr>
        <w:t>[</w:t>
      </w:r>
      <w:proofErr w:type="gramEnd"/>
      <w:r w:rsidR="003120A8" w:rsidRPr="00FA7145">
        <w:rPr>
          <w:rFonts w:ascii="Book Antiqua" w:eastAsia="Times New Roman" w:hAnsi="Book Antiqua" w:cstheme="majorBidi"/>
          <w:sz w:val="24"/>
          <w:szCs w:val="24"/>
          <w:vertAlign w:val="superscript"/>
        </w:rPr>
        <w:t>76</w:t>
      </w:r>
      <w:r w:rsidR="00AA6907" w:rsidRPr="00FA7145">
        <w:rPr>
          <w:rFonts w:ascii="Book Antiqua" w:eastAsia="宋体" w:hAnsi="Book Antiqua" w:cstheme="majorBidi"/>
          <w:sz w:val="24"/>
          <w:szCs w:val="24"/>
          <w:vertAlign w:val="superscript"/>
          <w:lang w:eastAsia="zh-CN"/>
        </w:rPr>
        <w:t>-80</w:t>
      </w:r>
      <w:r w:rsidR="003120A8" w:rsidRPr="00FA7145">
        <w:rPr>
          <w:rFonts w:ascii="Book Antiqua" w:eastAsia="Times New Roman" w:hAnsi="Book Antiqua" w:cstheme="majorBidi"/>
          <w:sz w:val="24"/>
          <w:szCs w:val="24"/>
          <w:vertAlign w:val="superscript"/>
        </w:rPr>
        <w:t>]</w:t>
      </w:r>
      <w:r w:rsidRPr="00B727B0">
        <w:rPr>
          <w:rFonts w:ascii="Book Antiqua" w:eastAsia="Times New Roman" w:hAnsi="Book Antiqua" w:cstheme="majorBidi"/>
          <w:sz w:val="24"/>
          <w:szCs w:val="24"/>
        </w:rPr>
        <w:t>, depending on the success of this drug in preventing the recurrence of atypical HUS, which own a similar pathogenesis</w:t>
      </w:r>
      <w:r w:rsidR="003120A8" w:rsidRPr="00FA7145">
        <w:rPr>
          <w:rFonts w:ascii="Book Antiqua" w:eastAsia="Times New Roman" w:hAnsi="Book Antiqua" w:cstheme="majorBidi"/>
          <w:sz w:val="24"/>
          <w:szCs w:val="24"/>
          <w:vertAlign w:val="superscript"/>
        </w:rPr>
        <w:t>[80</w:t>
      </w:r>
      <w:r w:rsidR="00AA6907" w:rsidRPr="00FA7145">
        <w:rPr>
          <w:rFonts w:ascii="Book Antiqua" w:eastAsia="宋体" w:hAnsi="Book Antiqua" w:cstheme="majorBidi"/>
          <w:sz w:val="24"/>
          <w:szCs w:val="24"/>
          <w:vertAlign w:val="superscript"/>
          <w:lang w:eastAsia="zh-CN"/>
        </w:rPr>
        <w:t>-</w:t>
      </w:r>
      <w:r w:rsidR="003120A8" w:rsidRPr="00FA7145">
        <w:rPr>
          <w:rFonts w:ascii="Book Antiqua" w:eastAsia="Times New Roman" w:hAnsi="Book Antiqua" w:cstheme="majorBidi"/>
          <w:sz w:val="24"/>
          <w:szCs w:val="24"/>
          <w:vertAlign w:val="superscript"/>
        </w:rPr>
        <w:t>83]</w:t>
      </w:r>
      <w:r w:rsidRPr="00B727B0">
        <w:rPr>
          <w:rFonts w:ascii="Book Antiqua" w:eastAsia="Times New Roman" w:hAnsi="Book Antiqua" w:cstheme="majorBidi"/>
          <w:sz w:val="24"/>
          <w:szCs w:val="24"/>
        </w:rPr>
        <w:t xml:space="preserve">. </w:t>
      </w:r>
    </w:p>
    <w:p w14:paraId="1CC07C87" w14:textId="77777777" w:rsidR="001B7A50" w:rsidRPr="00B727B0" w:rsidRDefault="001B7A50" w:rsidP="007312CD">
      <w:pPr>
        <w:adjustRightInd w:val="0"/>
        <w:snapToGrid w:val="0"/>
        <w:spacing w:after="0" w:line="360" w:lineRule="auto"/>
        <w:ind w:firstLine="720"/>
        <w:jc w:val="both"/>
        <w:rPr>
          <w:rFonts w:ascii="Book Antiqua" w:eastAsia="宋体" w:hAnsi="Book Antiqua" w:cstheme="majorBidi"/>
          <w:i/>
          <w:sz w:val="24"/>
          <w:szCs w:val="24"/>
          <w:u w:val="single"/>
          <w:lang w:eastAsia="zh-CN"/>
        </w:rPr>
      </w:pPr>
    </w:p>
    <w:p w14:paraId="0B68B4B4" w14:textId="5DD0EA38" w:rsidR="00320946" w:rsidRPr="00B727B0" w:rsidRDefault="00320946"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eastAsia="Times New Roman" w:hAnsi="Book Antiqua" w:cstheme="majorBidi"/>
          <w:b/>
          <w:i/>
          <w:sz w:val="24"/>
          <w:szCs w:val="24"/>
        </w:rPr>
        <w:t xml:space="preserve">Impact of subtype’s behavior on therapeutic options </w:t>
      </w:r>
      <w:r w:rsidR="005908AF" w:rsidRPr="00B727B0">
        <w:rPr>
          <w:rFonts w:ascii="Book Antiqua" w:eastAsia="Times New Roman" w:hAnsi="Book Antiqua" w:cstheme="majorBidi"/>
          <w:b/>
          <w:i/>
          <w:sz w:val="24"/>
          <w:szCs w:val="24"/>
        </w:rPr>
        <w:t>(Fig</w:t>
      </w:r>
      <w:r w:rsidR="0036559F" w:rsidRPr="00B727B0">
        <w:rPr>
          <w:rFonts w:ascii="Book Antiqua" w:eastAsia="Times New Roman" w:hAnsi="Book Antiqua" w:cstheme="majorBidi"/>
          <w:b/>
          <w:i/>
          <w:sz w:val="24"/>
          <w:szCs w:val="24"/>
        </w:rPr>
        <w:t xml:space="preserve">ure </w:t>
      </w:r>
      <w:r w:rsidR="00F739B5" w:rsidRPr="00B727B0">
        <w:rPr>
          <w:rFonts w:ascii="Book Antiqua" w:eastAsia="Times New Roman" w:hAnsi="Book Antiqua" w:cstheme="majorBidi"/>
          <w:b/>
          <w:i/>
          <w:sz w:val="24"/>
          <w:szCs w:val="24"/>
        </w:rPr>
        <w:t>7</w:t>
      </w:r>
      <w:r w:rsidR="00CD178F" w:rsidRPr="00B727B0">
        <w:rPr>
          <w:rFonts w:ascii="Book Antiqua" w:eastAsia="Times New Roman" w:hAnsi="Book Antiqua" w:cstheme="majorBidi"/>
          <w:b/>
          <w:i/>
          <w:sz w:val="24"/>
          <w:szCs w:val="24"/>
        </w:rPr>
        <w:t>)</w:t>
      </w:r>
    </w:p>
    <w:p w14:paraId="4AE90F4B" w14:textId="15E0C8C7" w:rsidR="00320946" w:rsidRDefault="00320946"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b/>
          <w:sz w:val="24"/>
          <w:szCs w:val="24"/>
        </w:rPr>
        <w:t>MPGN with polyclonal Ig deposits:</w:t>
      </w:r>
      <w:r w:rsidRPr="00B727B0">
        <w:rPr>
          <w:rFonts w:ascii="Book Antiqua" w:eastAsia="Times New Roman" w:hAnsi="Book Antiqua" w:cstheme="majorBidi"/>
          <w:sz w:val="24"/>
          <w:szCs w:val="24"/>
        </w:rPr>
        <w:t xml:space="preserve"> </w:t>
      </w:r>
      <w:r w:rsidR="00CD178F" w:rsidRPr="00B727B0">
        <w:rPr>
          <w:rFonts w:ascii="Book Antiqua" w:eastAsia="Times New Roman" w:hAnsi="Book Antiqua" w:cstheme="majorBidi"/>
          <w:sz w:val="24"/>
          <w:szCs w:val="24"/>
        </w:rPr>
        <w:t>U</w:t>
      </w:r>
      <w:r w:rsidRPr="00B727B0">
        <w:rPr>
          <w:rFonts w:ascii="Book Antiqua" w:eastAsia="Times New Roman" w:hAnsi="Book Antiqua" w:cstheme="majorBidi"/>
          <w:sz w:val="24"/>
          <w:szCs w:val="24"/>
        </w:rPr>
        <w:t xml:space="preserve">sually presented late, within the first 5 years, with a relatively </w:t>
      </w:r>
      <w:r w:rsidRPr="00B727B0">
        <w:rPr>
          <w:rFonts w:ascii="Book Antiqua" w:eastAsia="Times New Roman" w:hAnsi="Book Antiqua" w:cstheme="majorBidi"/>
          <w:iCs/>
          <w:sz w:val="24"/>
          <w:szCs w:val="24"/>
        </w:rPr>
        <w:t>benign course</w:t>
      </w:r>
      <w:r w:rsidRPr="00B727B0">
        <w:rPr>
          <w:rFonts w:ascii="Book Antiqua" w:eastAsia="Times New Roman" w:hAnsi="Book Antiqua" w:cstheme="majorBidi"/>
          <w:sz w:val="24"/>
          <w:szCs w:val="24"/>
        </w:rPr>
        <w:t xml:space="preserve"> as regard low risk of </w:t>
      </w:r>
      <w:r w:rsidR="00102E47" w:rsidRPr="00B727B0">
        <w:rPr>
          <w:rFonts w:ascii="Book Antiqua" w:eastAsia="Times New Roman" w:hAnsi="Book Antiqua" w:cstheme="majorBidi"/>
          <w:sz w:val="24"/>
          <w:szCs w:val="24"/>
        </w:rPr>
        <w:t>recurrence and slow progression</w:t>
      </w:r>
      <w:r w:rsidRPr="00B727B0">
        <w:rPr>
          <w:rFonts w:ascii="Book Antiqua" w:eastAsia="Times New Roman" w:hAnsi="Book Antiqua" w:cstheme="majorBidi"/>
          <w:sz w:val="24"/>
          <w:szCs w:val="24"/>
        </w:rPr>
        <w:t xml:space="preserve">. Interestingly, the morphology of the lately recurred MPGN with polyclonal Ig deposits is difficult to be differentiated from the </w:t>
      </w:r>
      <w:r w:rsidR="004C111A" w:rsidRPr="00B727B0">
        <w:rPr>
          <w:rFonts w:ascii="Book Antiqua" w:eastAsia="Times New Roman" w:hAnsi="Book Antiqua" w:cstheme="majorBidi"/>
          <w:i/>
          <w:sz w:val="24"/>
          <w:szCs w:val="24"/>
        </w:rPr>
        <w:t>de novo</w:t>
      </w:r>
      <w:r w:rsidRPr="00B727B0">
        <w:rPr>
          <w:rFonts w:ascii="Book Antiqua" w:eastAsia="Times New Roman" w:hAnsi="Book Antiqua" w:cstheme="majorBidi"/>
          <w:sz w:val="24"/>
          <w:szCs w:val="24"/>
        </w:rPr>
        <w:t xml:space="preserve"> GN which can behave similarly as regard the late presentation post transplantation as well as the pre</w:t>
      </w:r>
      <w:r w:rsidR="009F5F3E" w:rsidRPr="00B727B0">
        <w:rPr>
          <w:rFonts w:ascii="Book Antiqua" w:eastAsia="Times New Roman" w:hAnsi="Book Antiqua" w:cstheme="majorBidi"/>
          <w:sz w:val="24"/>
          <w:szCs w:val="24"/>
        </w:rPr>
        <w:t xml:space="preserve">sence of polyclonal Ig </w:t>
      </w:r>
      <w:proofErr w:type="gramStart"/>
      <w:r w:rsidR="009F5F3E" w:rsidRPr="00B727B0">
        <w:rPr>
          <w:rFonts w:ascii="Book Antiqua" w:eastAsia="Times New Roman" w:hAnsi="Book Antiqua" w:cstheme="majorBidi"/>
          <w:sz w:val="24"/>
          <w:szCs w:val="24"/>
        </w:rPr>
        <w:t>deposits</w:t>
      </w:r>
      <w:r w:rsidR="003E4226" w:rsidRPr="00FA7145">
        <w:rPr>
          <w:rFonts w:ascii="Book Antiqua" w:eastAsia="Times New Roman" w:hAnsi="Book Antiqua" w:cstheme="majorBidi"/>
          <w:sz w:val="24"/>
          <w:szCs w:val="24"/>
          <w:vertAlign w:val="superscript"/>
        </w:rPr>
        <w:t>[</w:t>
      </w:r>
      <w:proofErr w:type="gramEnd"/>
      <w:r w:rsidR="003E4226" w:rsidRPr="00FA7145">
        <w:rPr>
          <w:rFonts w:ascii="Book Antiqua" w:eastAsia="Times New Roman" w:hAnsi="Book Antiqua" w:cstheme="majorBidi"/>
          <w:sz w:val="24"/>
          <w:szCs w:val="24"/>
          <w:vertAlign w:val="superscript"/>
        </w:rPr>
        <w:t>18]</w:t>
      </w:r>
      <w:r w:rsidRPr="00B727B0">
        <w:rPr>
          <w:rFonts w:ascii="Book Antiqua" w:eastAsia="Times New Roman" w:hAnsi="Book Antiqua" w:cstheme="majorBidi"/>
          <w:sz w:val="24"/>
          <w:szCs w:val="24"/>
        </w:rPr>
        <w:t>. The former group has C4d deposits in their glomeruli, fortunately help in differential diagnosis. Also, a higher risk of recurrence could be expected with the presence of reduced complement (</w:t>
      </w:r>
      <w:r w:rsidR="0010282C" w:rsidRPr="00B727B0">
        <w:rPr>
          <w:rFonts w:ascii="Book Antiqua" w:eastAsia="Times New Roman" w:hAnsi="Book Antiqua" w:cstheme="majorBidi"/>
          <w:sz w:val="24"/>
          <w:szCs w:val="24"/>
        </w:rPr>
        <w:t>C</w:t>
      </w:r>
      <w:r w:rsidR="00102E47" w:rsidRPr="00B727B0">
        <w:rPr>
          <w:rFonts w:ascii="Book Antiqua" w:eastAsia="Times New Roman" w:hAnsi="Book Antiqua" w:cstheme="majorBidi"/>
          <w:sz w:val="24"/>
          <w:szCs w:val="24"/>
        </w:rPr>
        <w:t xml:space="preserve">3 </w:t>
      </w:r>
      <w:r w:rsidR="009F5F3E" w:rsidRPr="00B727B0">
        <w:rPr>
          <w:rFonts w:ascii="Book Antiqua" w:eastAsia="宋体" w:hAnsi="Book Antiqua" w:cstheme="majorBidi"/>
          <w:sz w:val="24"/>
          <w:szCs w:val="24"/>
          <w:lang w:eastAsia="zh-CN"/>
        </w:rPr>
        <w:t>and</w:t>
      </w:r>
      <w:r w:rsidR="00102E47" w:rsidRPr="00B727B0">
        <w:rPr>
          <w:rFonts w:ascii="Book Antiqua" w:eastAsia="Times New Roman" w:hAnsi="Book Antiqua" w:cstheme="majorBidi"/>
          <w:sz w:val="24"/>
          <w:szCs w:val="24"/>
        </w:rPr>
        <w:t xml:space="preserve"> C4) </w:t>
      </w:r>
      <w:proofErr w:type="gramStart"/>
      <w:r w:rsidR="00102E47" w:rsidRPr="00B727B0">
        <w:rPr>
          <w:rFonts w:ascii="Book Antiqua" w:eastAsia="Times New Roman" w:hAnsi="Book Antiqua" w:cstheme="majorBidi"/>
          <w:sz w:val="24"/>
          <w:szCs w:val="24"/>
        </w:rPr>
        <w:t>level</w:t>
      </w:r>
      <w:r w:rsidR="00102E47" w:rsidRPr="00FA7145">
        <w:rPr>
          <w:rFonts w:ascii="Book Antiqua" w:eastAsia="Times New Roman" w:hAnsi="Book Antiqua" w:cstheme="majorBidi"/>
          <w:sz w:val="24"/>
          <w:szCs w:val="24"/>
          <w:vertAlign w:val="superscript"/>
        </w:rPr>
        <w:t>[</w:t>
      </w:r>
      <w:proofErr w:type="gramEnd"/>
      <w:r w:rsidR="00102E47" w:rsidRPr="00FA7145">
        <w:rPr>
          <w:rFonts w:ascii="Book Antiqua" w:eastAsia="Times New Roman" w:hAnsi="Book Antiqua" w:cstheme="majorBidi"/>
          <w:sz w:val="24"/>
          <w:szCs w:val="24"/>
          <w:vertAlign w:val="superscript"/>
        </w:rPr>
        <w:t>74]</w:t>
      </w:r>
      <w:r w:rsidRPr="00B727B0">
        <w:rPr>
          <w:rFonts w:ascii="Book Antiqua" w:eastAsia="Times New Roman" w:hAnsi="Book Antiqua" w:cstheme="majorBidi"/>
          <w:sz w:val="24"/>
          <w:szCs w:val="24"/>
        </w:rPr>
        <w:t>.</w:t>
      </w:r>
    </w:p>
    <w:p w14:paraId="23C6E26F" w14:textId="77777777" w:rsidR="00FA7145" w:rsidRPr="00FA7145" w:rsidRDefault="00FA7145" w:rsidP="007312CD">
      <w:pPr>
        <w:adjustRightInd w:val="0"/>
        <w:snapToGrid w:val="0"/>
        <w:spacing w:after="0" w:line="360" w:lineRule="auto"/>
        <w:jc w:val="both"/>
        <w:rPr>
          <w:rFonts w:ascii="Book Antiqua" w:eastAsia="宋体" w:hAnsi="Book Antiqua" w:cstheme="majorBidi"/>
          <w:sz w:val="24"/>
          <w:szCs w:val="24"/>
          <w:lang w:eastAsia="zh-CN"/>
        </w:rPr>
      </w:pPr>
    </w:p>
    <w:p w14:paraId="69FC8909" w14:textId="315C6402" w:rsidR="00320946" w:rsidRPr="00B727B0" w:rsidRDefault="00320946" w:rsidP="007312CD">
      <w:pPr>
        <w:adjustRightInd w:val="0"/>
        <w:snapToGrid w:val="0"/>
        <w:spacing w:after="0" w:line="360" w:lineRule="auto"/>
        <w:jc w:val="both"/>
        <w:rPr>
          <w:rFonts w:ascii="Book Antiqua" w:eastAsia="宋体" w:hAnsi="Book Antiqua" w:cstheme="majorBidi"/>
          <w:sz w:val="24"/>
          <w:szCs w:val="24"/>
          <w:shd w:val="clear" w:color="auto" w:fill="FFFFFF" w:themeFill="background1"/>
          <w:lang w:eastAsia="zh-CN"/>
        </w:rPr>
      </w:pPr>
      <w:r w:rsidRPr="00B727B0">
        <w:rPr>
          <w:rFonts w:ascii="Book Antiqua" w:eastAsia="Times New Roman" w:hAnsi="Book Antiqua" w:cstheme="majorBidi"/>
          <w:b/>
          <w:sz w:val="24"/>
          <w:szCs w:val="24"/>
        </w:rPr>
        <w:t>C3GN:</w:t>
      </w:r>
      <w:r w:rsidRPr="00B727B0">
        <w:rPr>
          <w:rFonts w:ascii="Book Antiqua" w:eastAsia="Times New Roman" w:hAnsi="Book Antiqua" w:cstheme="majorBidi"/>
          <w:sz w:val="24"/>
          <w:szCs w:val="24"/>
        </w:rPr>
        <w:t xml:space="preserve"> C3 glomerular deposits are abundant with absence or minimal Ig </w:t>
      </w:r>
      <w:proofErr w:type="gramStart"/>
      <w:r w:rsidRPr="00B727B0">
        <w:rPr>
          <w:rFonts w:ascii="Book Antiqua" w:eastAsia="Times New Roman" w:hAnsi="Book Antiqua" w:cstheme="majorBidi"/>
          <w:sz w:val="24"/>
          <w:szCs w:val="24"/>
        </w:rPr>
        <w:t>deposits</w:t>
      </w:r>
      <w:r w:rsidR="009F5F3E" w:rsidRPr="00FA7145">
        <w:rPr>
          <w:rFonts w:ascii="Book Antiqua" w:eastAsia="Times New Roman" w:hAnsi="Book Antiqua" w:cstheme="majorBidi"/>
          <w:sz w:val="24"/>
          <w:szCs w:val="24"/>
          <w:vertAlign w:val="superscript"/>
        </w:rPr>
        <w:t>[</w:t>
      </w:r>
      <w:proofErr w:type="gramEnd"/>
      <w:r w:rsidR="009F5F3E" w:rsidRPr="00FA7145">
        <w:rPr>
          <w:rFonts w:ascii="Book Antiqua" w:eastAsia="Times New Roman" w:hAnsi="Book Antiqua" w:cstheme="majorBidi"/>
          <w:sz w:val="24"/>
          <w:szCs w:val="24"/>
          <w:vertAlign w:val="superscript"/>
        </w:rPr>
        <w:t>84,</w:t>
      </w:r>
      <w:r w:rsidR="003E4226" w:rsidRPr="00FA7145">
        <w:rPr>
          <w:rFonts w:ascii="Book Antiqua" w:eastAsia="Times New Roman" w:hAnsi="Book Antiqua" w:cstheme="majorBidi"/>
          <w:sz w:val="24"/>
          <w:szCs w:val="24"/>
          <w:vertAlign w:val="superscript"/>
        </w:rPr>
        <w:t>85]</w:t>
      </w:r>
      <w:r w:rsidRPr="00B727B0">
        <w:rPr>
          <w:rFonts w:ascii="Book Antiqua" w:eastAsia="Times New Roman" w:hAnsi="Book Antiqua" w:cstheme="majorBidi"/>
          <w:sz w:val="24"/>
          <w:szCs w:val="24"/>
        </w:rPr>
        <w:t xml:space="preserve">. The risk of recurrence in C3GN is very high, exceeding 70%, can be presented early with a very aggressive course </w:t>
      </w:r>
      <w:r w:rsidR="000066C7" w:rsidRPr="00B727B0">
        <w:rPr>
          <w:rFonts w:ascii="Book Antiqua" w:eastAsia="Times New Roman" w:hAnsi="Book Antiqua" w:cstheme="majorBidi"/>
          <w:sz w:val="24"/>
          <w:szCs w:val="24"/>
        </w:rPr>
        <w:t>that</w:t>
      </w:r>
      <w:r w:rsidRPr="00B727B0">
        <w:rPr>
          <w:rFonts w:ascii="Book Antiqua" w:eastAsia="Times New Roman" w:hAnsi="Book Antiqua" w:cstheme="majorBidi"/>
          <w:sz w:val="24"/>
          <w:szCs w:val="24"/>
        </w:rPr>
        <w:t xml:space="preserve"> ultimately ends by graft failure in nearly half of the patients</w:t>
      </w:r>
      <w:r w:rsidR="003E4226" w:rsidRPr="00FA7145">
        <w:rPr>
          <w:rFonts w:ascii="Book Antiqua" w:eastAsia="Times New Roman" w:hAnsi="Book Antiqua" w:cstheme="majorBidi"/>
          <w:sz w:val="24"/>
          <w:szCs w:val="24"/>
          <w:vertAlign w:val="superscript"/>
        </w:rPr>
        <w:t>[86]</w:t>
      </w:r>
      <w:r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shd w:val="clear" w:color="auto" w:fill="FFFFFF" w:themeFill="background1"/>
        </w:rPr>
        <w:t xml:space="preserve">There is no established treatment for C3GN. For complement dysregulation in the pathogenesis of this disease, a supply of “normal plasma” has been </w:t>
      </w:r>
      <w:proofErr w:type="gramStart"/>
      <w:r w:rsidRPr="00B727B0">
        <w:rPr>
          <w:rFonts w:ascii="Book Antiqua" w:eastAsia="Times New Roman" w:hAnsi="Book Antiqua" w:cstheme="majorBidi"/>
          <w:sz w:val="24"/>
          <w:szCs w:val="24"/>
          <w:shd w:val="clear" w:color="auto" w:fill="FFFFFF" w:themeFill="background1"/>
        </w:rPr>
        <w:t>suggested</w:t>
      </w:r>
      <w:r w:rsidR="003E4226" w:rsidRPr="00FA7145">
        <w:rPr>
          <w:rFonts w:ascii="Book Antiqua" w:eastAsia="Times New Roman" w:hAnsi="Book Antiqua" w:cstheme="majorBidi"/>
          <w:sz w:val="24"/>
          <w:szCs w:val="24"/>
          <w:shd w:val="clear" w:color="auto" w:fill="FFFFFF" w:themeFill="background1"/>
          <w:vertAlign w:val="superscript"/>
        </w:rPr>
        <w:t>[</w:t>
      </w:r>
      <w:proofErr w:type="gramEnd"/>
      <w:r w:rsidR="003E4226" w:rsidRPr="00FA7145">
        <w:rPr>
          <w:rFonts w:ascii="Book Antiqua" w:eastAsia="Times New Roman" w:hAnsi="Book Antiqua" w:cstheme="majorBidi"/>
          <w:sz w:val="24"/>
          <w:szCs w:val="24"/>
          <w:shd w:val="clear" w:color="auto" w:fill="FFFFFF" w:themeFill="background1"/>
          <w:vertAlign w:val="superscript"/>
        </w:rPr>
        <w:t>87]</w:t>
      </w:r>
      <w:r w:rsidRPr="00B727B0">
        <w:rPr>
          <w:rFonts w:ascii="Book Antiqua" w:eastAsia="Times New Roman" w:hAnsi="Book Antiqua" w:cstheme="majorBidi"/>
          <w:sz w:val="24"/>
          <w:szCs w:val="24"/>
          <w:shd w:val="clear" w:color="auto" w:fill="FFFFFF" w:themeFill="background1"/>
        </w:rPr>
        <w:t>. Recently, a new therapy targeting an alternative compleme</w:t>
      </w:r>
      <w:r w:rsidR="009F5F3E" w:rsidRPr="00B727B0">
        <w:rPr>
          <w:rFonts w:ascii="Book Antiqua" w:eastAsia="Times New Roman" w:hAnsi="Book Antiqua" w:cstheme="majorBidi"/>
          <w:sz w:val="24"/>
          <w:szCs w:val="24"/>
          <w:shd w:val="clear" w:color="auto" w:fill="FFFFFF" w:themeFill="background1"/>
        </w:rPr>
        <w:t xml:space="preserve">nt pathway using the anti-C5 </w:t>
      </w:r>
      <w:proofErr w:type="gramStart"/>
      <w:r w:rsidR="009F5F3E" w:rsidRPr="00B727B0">
        <w:rPr>
          <w:rFonts w:ascii="Book Antiqua" w:eastAsia="Times New Roman" w:hAnsi="Book Antiqua" w:cstheme="majorBidi"/>
          <w:sz w:val="24"/>
          <w:szCs w:val="24"/>
          <w:shd w:val="clear" w:color="auto" w:fill="FFFFFF" w:themeFill="background1"/>
        </w:rPr>
        <w:t>AB</w:t>
      </w:r>
      <w:r w:rsidR="00FC03A0" w:rsidRPr="00FA7145">
        <w:rPr>
          <w:rFonts w:ascii="Book Antiqua" w:eastAsia="Times New Roman" w:hAnsi="Book Antiqua" w:cstheme="majorBidi"/>
          <w:sz w:val="24"/>
          <w:szCs w:val="24"/>
          <w:shd w:val="clear" w:color="auto" w:fill="FFFFFF" w:themeFill="background1"/>
          <w:vertAlign w:val="superscript"/>
        </w:rPr>
        <w:t>[</w:t>
      </w:r>
      <w:proofErr w:type="gramEnd"/>
      <w:r w:rsidR="003E4226" w:rsidRPr="00FA7145">
        <w:rPr>
          <w:rFonts w:ascii="Book Antiqua" w:eastAsia="Times New Roman" w:hAnsi="Book Antiqua" w:cstheme="majorBidi"/>
          <w:sz w:val="24"/>
          <w:szCs w:val="24"/>
          <w:shd w:val="clear" w:color="auto" w:fill="FFFFFF" w:themeFill="background1"/>
          <w:vertAlign w:val="superscript"/>
        </w:rPr>
        <w:t>88</w:t>
      </w:r>
      <w:r w:rsidR="009F5F3E" w:rsidRPr="00FA7145">
        <w:rPr>
          <w:rFonts w:ascii="Book Antiqua" w:eastAsia="宋体" w:hAnsi="Book Antiqua" w:cstheme="majorBidi"/>
          <w:sz w:val="24"/>
          <w:szCs w:val="24"/>
          <w:shd w:val="clear" w:color="auto" w:fill="FFFFFF" w:themeFill="background1"/>
          <w:vertAlign w:val="superscript"/>
          <w:lang w:eastAsia="zh-CN"/>
        </w:rPr>
        <w:t>-</w:t>
      </w:r>
      <w:r w:rsidR="002E3F4D" w:rsidRPr="00FA7145">
        <w:rPr>
          <w:rFonts w:ascii="Book Antiqua" w:eastAsia="Times New Roman" w:hAnsi="Book Antiqua" w:cstheme="majorBidi"/>
          <w:sz w:val="24"/>
          <w:szCs w:val="24"/>
          <w:shd w:val="clear" w:color="auto" w:fill="FFFFFF" w:themeFill="background1"/>
          <w:vertAlign w:val="superscript"/>
        </w:rPr>
        <w:t>90]</w:t>
      </w:r>
      <w:r w:rsidR="002E3F4D" w:rsidRPr="00B727B0">
        <w:rPr>
          <w:rFonts w:ascii="Book Antiqua" w:eastAsia="Times New Roman" w:hAnsi="Book Antiqua" w:cstheme="majorBidi"/>
          <w:sz w:val="24"/>
          <w:szCs w:val="24"/>
          <w:shd w:val="clear" w:color="auto" w:fill="FFFFFF" w:themeFill="background1"/>
        </w:rPr>
        <w:t xml:space="preserve"> and</w:t>
      </w:r>
      <w:r w:rsidRPr="00B727B0">
        <w:rPr>
          <w:rFonts w:ascii="Book Antiqua" w:eastAsia="Times New Roman" w:hAnsi="Book Antiqua" w:cstheme="majorBidi"/>
          <w:sz w:val="24"/>
          <w:szCs w:val="24"/>
          <w:shd w:val="clear" w:color="auto" w:fill="FFFFFF" w:themeFill="background1"/>
        </w:rPr>
        <w:t xml:space="preserve"> soluble CR1</w:t>
      </w:r>
      <w:r w:rsidR="007C3320" w:rsidRPr="00B727B0">
        <w:rPr>
          <w:rFonts w:ascii="Book Antiqua" w:eastAsia="Times New Roman" w:hAnsi="Book Antiqua" w:cstheme="majorBidi"/>
          <w:sz w:val="24"/>
          <w:szCs w:val="24"/>
          <w:shd w:val="clear" w:color="auto" w:fill="FFFFFF" w:themeFill="background1"/>
        </w:rPr>
        <w:t xml:space="preserve"> (a potent </w:t>
      </w:r>
      <w:r w:rsidR="007C3320" w:rsidRPr="00D56A03">
        <w:rPr>
          <w:rFonts w:ascii="Book Antiqua" w:eastAsia="Times New Roman" w:hAnsi="Book Antiqua" w:cstheme="majorBidi"/>
          <w:iCs/>
          <w:sz w:val="24"/>
          <w:szCs w:val="24"/>
          <w:shd w:val="clear" w:color="auto" w:fill="FFFFFF" w:themeFill="background1"/>
        </w:rPr>
        <w:t>regulator</w:t>
      </w:r>
      <w:r w:rsidR="007C3320" w:rsidRPr="00D56A03">
        <w:rPr>
          <w:rFonts w:ascii="Book Antiqua" w:eastAsia="Times New Roman" w:hAnsi="Book Antiqua" w:cstheme="majorBidi"/>
          <w:sz w:val="24"/>
          <w:szCs w:val="24"/>
          <w:shd w:val="clear" w:color="auto" w:fill="FFFFFF" w:themeFill="background1"/>
        </w:rPr>
        <w:t xml:space="preserve"> o</w:t>
      </w:r>
      <w:r w:rsidR="007C3320" w:rsidRPr="00B727B0">
        <w:rPr>
          <w:rFonts w:ascii="Book Antiqua" w:eastAsia="Times New Roman" w:hAnsi="Book Antiqua" w:cstheme="majorBidi"/>
          <w:sz w:val="24"/>
          <w:szCs w:val="24"/>
          <w:shd w:val="clear" w:color="auto" w:fill="FFFFFF" w:themeFill="background1"/>
        </w:rPr>
        <w:t>f complement activity)</w:t>
      </w:r>
      <w:r w:rsidR="00431F48" w:rsidRPr="00B727B0">
        <w:rPr>
          <w:rFonts w:ascii="Book Antiqua" w:eastAsia="Times New Roman" w:hAnsi="Book Antiqua" w:cstheme="majorBidi"/>
          <w:sz w:val="24"/>
          <w:szCs w:val="24"/>
          <w:shd w:val="clear" w:color="auto" w:fill="FFFFFF" w:themeFill="background1"/>
        </w:rPr>
        <w:t xml:space="preserve"> </w:t>
      </w:r>
      <w:r w:rsidRPr="00B727B0">
        <w:rPr>
          <w:rFonts w:ascii="Book Antiqua" w:eastAsia="Times New Roman" w:hAnsi="Book Antiqua" w:cstheme="majorBidi"/>
          <w:sz w:val="24"/>
          <w:szCs w:val="24"/>
          <w:shd w:val="clear" w:color="auto" w:fill="FFFFFF" w:themeFill="background1"/>
        </w:rPr>
        <w:t>has been reported</w:t>
      </w:r>
      <w:r w:rsidR="000A761F" w:rsidRPr="00FA7145">
        <w:rPr>
          <w:rFonts w:ascii="Book Antiqua" w:eastAsia="Times New Roman" w:hAnsi="Book Antiqua" w:cstheme="majorBidi"/>
          <w:sz w:val="24"/>
          <w:szCs w:val="24"/>
          <w:shd w:val="clear" w:color="auto" w:fill="FFFFFF" w:themeFill="background1"/>
          <w:vertAlign w:val="superscript"/>
        </w:rPr>
        <w:t>[91]</w:t>
      </w:r>
      <w:r w:rsidRPr="00FA7145">
        <w:rPr>
          <w:rFonts w:ascii="Book Antiqua" w:eastAsia="Times New Roman" w:hAnsi="Book Antiqua" w:cstheme="majorBidi"/>
          <w:sz w:val="24"/>
          <w:szCs w:val="24"/>
          <w:shd w:val="clear" w:color="auto" w:fill="FFFFFF" w:themeFill="background1"/>
        </w:rPr>
        <w:t>.</w:t>
      </w:r>
      <w:r w:rsidRPr="00B727B0">
        <w:rPr>
          <w:rFonts w:ascii="Book Antiqua" w:eastAsia="Times New Roman" w:hAnsi="Book Antiqua" w:cstheme="majorBidi"/>
          <w:sz w:val="24"/>
          <w:szCs w:val="24"/>
          <w:shd w:val="clear" w:color="auto" w:fill="FFFFFF" w:themeFill="background1"/>
        </w:rPr>
        <w:t xml:space="preserve"> However, controlled trials regarding the efficacy of these therapies have not yet been conducted. </w:t>
      </w:r>
    </w:p>
    <w:p w14:paraId="513E7731" w14:textId="77777777" w:rsidR="00CD178F" w:rsidRPr="00FA7145" w:rsidRDefault="00CD178F" w:rsidP="007312CD">
      <w:pPr>
        <w:adjustRightInd w:val="0"/>
        <w:snapToGrid w:val="0"/>
        <w:spacing w:after="0" w:line="360" w:lineRule="auto"/>
        <w:jc w:val="both"/>
        <w:rPr>
          <w:rFonts w:ascii="Book Antiqua" w:eastAsia="宋体" w:hAnsi="Book Antiqua" w:cstheme="majorBidi"/>
          <w:sz w:val="24"/>
          <w:szCs w:val="24"/>
          <w:lang w:eastAsia="zh-CN"/>
        </w:rPr>
      </w:pPr>
    </w:p>
    <w:p w14:paraId="3E873044" w14:textId="399612BF" w:rsidR="00532C54" w:rsidRPr="00B727B0" w:rsidRDefault="00320946"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b/>
          <w:sz w:val="24"/>
          <w:szCs w:val="24"/>
        </w:rPr>
        <w:t>D</w:t>
      </w:r>
      <w:r w:rsidRPr="00B727B0">
        <w:rPr>
          <w:rFonts w:ascii="Book Antiqua" w:eastAsia="Times New Roman" w:hAnsi="Book Antiqua" w:cstheme="majorBidi"/>
          <w:b/>
          <w:sz w:val="24"/>
          <w:szCs w:val="24"/>
          <w:shd w:val="clear" w:color="auto" w:fill="FFFFFF" w:themeFill="background1"/>
        </w:rPr>
        <w:t xml:space="preserve">ense deposit disease </w:t>
      </w:r>
      <w:r w:rsidR="00CD178F" w:rsidRPr="00B727B0">
        <w:rPr>
          <w:rFonts w:ascii="Book Antiqua" w:eastAsia="宋体" w:hAnsi="Book Antiqua" w:cstheme="majorBidi"/>
          <w:b/>
          <w:sz w:val="24"/>
          <w:szCs w:val="24"/>
          <w:shd w:val="clear" w:color="auto" w:fill="FFFFFF" w:themeFill="background1"/>
          <w:lang w:eastAsia="zh-CN"/>
        </w:rPr>
        <w:t>s</w:t>
      </w:r>
      <w:r w:rsidRPr="00B727B0">
        <w:rPr>
          <w:rFonts w:ascii="Book Antiqua" w:eastAsia="Times New Roman" w:hAnsi="Book Antiqua" w:cstheme="majorBidi"/>
          <w:b/>
          <w:sz w:val="24"/>
          <w:szCs w:val="24"/>
        </w:rPr>
        <w:t>ubtype:</w:t>
      </w:r>
      <w:r w:rsidRPr="00B727B0">
        <w:rPr>
          <w:rFonts w:ascii="Book Antiqua" w:eastAsia="Times New Roman" w:hAnsi="Book Antiqua" w:cstheme="majorBidi"/>
          <w:sz w:val="24"/>
          <w:szCs w:val="24"/>
        </w:rPr>
        <w:t xml:space="preserve"> </w:t>
      </w:r>
      <w:r w:rsidR="00CD178F" w:rsidRPr="00B727B0">
        <w:rPr>
          <w:rFonts w:ascii="Book Antiqua" w:eastAsia="Times New Roman" w:hAnsi="Book Antiqua" w:cstheme="majorBidi"/>
          <w:sz w:val="24"/>
          <w:szCs w:val="24"/>
        </w:rPr>
        <w:t>T</w:t>
      </w:r>
      <w:r w:rsidRPr="00B727B0">
        <w:rPr>
          <w:rFonts w:ascii="Book Antiqua" w:eastAsia="Times New Roman" w:hAnsi="Book Antiqua" w:cstheme="majorBidi"/>
          <w:sz w:val="24"/>
          <w:szCs w:val="24"/>
        </w:rPr>
        <w:t>he rate of recurrence of this subtype is extremely high (80</w:t>
      </w:r>
      <w:r w:rsidR="009F5F3E" w:rsidRPr="00B727B0">
        <w:rPr>
          <w:rFonts w:ascii="Book Antiqua" w:eastAsia="宋体" w:hAnsi="Book Antiqua" w:cstheme="majorBidi"/>
          <w:sz w:val="24"/>
          <w:szCs w:val="24"/>
          <w:lang w:eastAsia="zh-CN"/>
        </w:rPr>
        <w:t>%</w:t>
      </w:r>
      <w:r w:rsidRPr="00B727B0">
        <w:rPr>
          <w:rFonts w:ascii="Book Antiqua" w:eastAsia="Times New Roman" w:hAnsi="Book Antiqua" w:cstheme="majorBidi"/>
          <w:sz w:val="24"/>
          <w:szCs w:val="24"/>
        </w:rPr>
        <w:t>-90%), le</w:t>
      </w:r>
      <w:r w:rsidR="009F5F3E" w:rsidRPr="00B727B0">
        <w:rPr>
          <w:rFonts w:ascii="Book Antiqua" w:eastAsia="Times New Roman" w:hAnsi="Book Antiqua" w:cstheme="majorBidi"/>
          <w:sz w:val="24"/>
          <w:szCs w:val="24"/>
        </w:rPr>
        <w:t xml:space="preserve">ading to reduced graft </w:t>
      </w:r>
      <w:proofErr w:type="gramStart"/>
      <w:r w:rsidR="009F5F3E" w:rsidRPr="00B727B0">
        <w:rPr>
          <w:rFonts w:ascii="Book Antiqua" w:eastAsia="Times New Roman" w:hAnsi="Book Antiqua" w:cstheme="majorBidi"/>
          <w:sz w:val="24"/>
          <w:szCs w:val="24"/>
        </w:rPr>
        <w:t>survival</w:t>
      </w:r>
      <w:r w:rsidR="009F5F3E" w:rsidRPr="00FA7145">
        <w:rPr>
          <w:rFonts w:ascii="Book Antiqua" w:eastAsia="Times New Roman" w:hAnsi="Book Antiqua" w:cstheme="majorBidi"/>
          <w:sz w:val="24"/>
          <w:szCs w:val="24"/>
          <w:vertAlign w:val="superscript"/>
        </w:rPr>
        <w:t>[</w:t>
      </w:r>
      <w:proofErr w:type="gramEnd"/>
      <w:r w:rsidR="009F5F3E" w:rsidRPr="00FA7145">
        <w:rPr>
          <w:rFonts w:ascii="Book Antiqua" w:eastAsia="Times New Roman" w:hAnsi="Book Antiqua" w:cstheme="majorBidi"/>
          <w:sz w:val="24"/>
          <w:szCs w:val="24"/>
          <w:vertAlign w:val="superscript"/>
        </w:rPr>
        <w:t>32,</w:t>
      </w:r>
      <w:r w:rsidR="003E4226" w:rsidRPr="00FA7145">
        <w:rPr>
          <w:rFonts w:ascii="Book Antiqua" w:eastAsia="Times New Roman" w:hAnsi="Book Antiqua" w:cstheme="majorBidi"/>
          <w:sz w:val="24"/>
          <w:szCs w:val="24"/>
          <w:vertAlign w:val="superscript"/>
        </w:rPr>
        <w:t>92]</w:t>
      </w:r>
      <w:r w:rsidRPr="00B727B0">
        <w:rPr>
          <w:rFonts w:ascii="Book Antiqua" w:eastAsia="Times New Roman" w:hAnsi="Book Antiqua" w:cstheme="majorBidi"/>
          <w:sz w:val="24"/>
          <w:szCs w:val="24"/>
        </w:rPr>
        <w:t>. Two criter</w:t>
      </w:r>
      <w:r w:rsidR="000066C7" w:rsidRPr="00B727B0">
        <w:rPr>
          <w:rFonts w:ascii="Book Antiqua" w:eastAsia="Times New Roman" w:hAnsi="Book Antiqua" w:cstheme="majorBidi"/>
          <w:sz w:val="24"/>
          <w:szCs w:val="24"/>
        </w:rPr>
        <w:t>ia</w:t>
      </w:r>
      <w:r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lastRenderedPageBreak/>
        <w:t xml:space="preserve">characterize this subtype: </w:t>
      </w:r>
      <w:r w:rsidR="009F5F3E" w:rsidRPr="00B727B0">
        <w:rPr>
          <w:rFonts w:ascii="Book Antiqua" w:eastAsia="Times New Roman" w:hAnsi="Book Antiqua" w:cstheme="majorBidi"/>
          <w:sz w:val="24"/>
          <w:szCs w:val="24"/>
        </w:rPr>
        <w:t>I</w:t>
      </w:r>
      <w:r w:rsidRPr="00B727B0">
        <w:rPr>
          <w:rFonts w:ascii="Book Antiqua" w:eastAsia="Times New Roman" w:hAnsi="Book Antiqua" w:cstheme="majorBidi"/>
          <w:sz w:val="24"/>
          <w:szCs w:val="24"/>
        </w:rPr>
        <w:t xml:space="preserve">t is usually slowly progressive with minimal or absent clinical manifestation, and the timing of recurrence is mostly </w:t>
      </w:r>
      <w:proofErr w:type="gramStart"/>
      <w:r w:rsidRPr="00B727B0">
        <w:rPr>
          <w:rFonts w:ascii="Book Antiqua" w:eastAsia="Times New Roman" w:hAnsi="Book Antiqua" w:cstheme="majorBidi"/>
          <w:sz w:val="24"/>
          <w:szCs w:val="24"/>
        </w:rPr>
        <w:t>delayed</w:t>
      </w:r>
      <w:r w:rsidR="009F5F3E" w:rsidRPr="00FA7145">
        <w:rPr>
          <w:rFonts w:ascii="Book Antiqua" w:eastAsia="Times New Roman" w:hAnsi="Book Antiqua" w:cstheme="majorBidi"/>
          <w:sz w:val="24"/>
          <w:szCs w:val="24"/>
          <w:vertAlign w:val="superscript"/>
        </w:rPr>
        <w:t>[</w:t>
      </w:r>
      <w:proofErr w:type="gramEnd"/>
      <w:r w:rsidR="009F5F3E" w:rsidRPr="00FA7145">
        <w:rPr>
          <w:rFonts w:ascii="Book Antiqua" w:eastAsia="Times New Roman" w:hAnsi="Book Antiqua" w:cstheme="majorBidi"/>
          <w:sz w:val="24"/>
          <w:szCs w:val="24"/>
          <w:vertAlign w:val="superscript"/>
        </w:rPr>
        <w:t>92,</w:t>
      </w:r>
      <w:r w:rsidR="003E4226" w:rsidRPr="00FA7145">
        <w:rPr>
          <w:rFonts w:ascii="Book Antiqua" w:eastAsia="Times New Roman" w:hAnsi="Book Antiqua" w:cstheme="majorBidi"/>
          <w:sz w:val="24"/>
          <w:szCs w:val="24"/>
          <w:vertAlign w:val="superscript"/>
        </w:rPr>
        <w:t>93]</w:t>
      </w:r>
      <w:r w:rsidRPr="00B727B0">
        <w:rPr>
          <w:rFonts w:ascii="Book Antiqua" w:eastAsia="Times New Roman" w:hAnsi="Book Antiqua" w:cstheme="majorBidi"/>
          <w:sz w:val="24"/>
          <w:szCs w:val="24"/>
        </w:rPr>
        <w:t xml:space="preserve">. Both </w:t>
      </w:r>
      <w:r w:rsidR="00CD178F" w:rsidRPr="00B727B0">
        <w:rPr>
          <w:rFonts w:ascii="Book Antiqua" w:eastAsia="Times New Roman" w:hAnsi="Book Antiqua" w:cstheme="majorBidi"/>
          <w:sz w:val="24"/>
          <w:szCs w:val="24"/>
        </w:rPr>
        <w:t>d</w:t>
      </w:r>
      <w:r w:rsidR="00CD178F" w:rsidRPr="00B727B0">
        <w:rPr>
          <w:rFonts w:ascii="Book Antiqua" w:eastAsia="Times New Roman" w:hAnsi="Book Antiqua" w:cstheme="majorBidi"/>
          <w:sz w:val="24"/>
          <w:szCs w:val="24"/>
          <w:shd w:val="clear" w:color="auto" w:fill="FFFFFF" w:themeFill="background1"/>
        </w:rPr>
        <w:t>ense deposit disease (</w:t>
      </w:r>
      <w:r w:rsidR="00CD178F" w:rsidRPr="00B727B0">
        <w:rPr>
          <w:rFonts w:ascii="Book Antiqua" w:eastAsia="Times New Roman" w:hAnsi="Book Antiqua" w:cstheme="majorBidi"/>
          <w:sz w:val="24"/>
          <w:szCs w:val="24"/>
        </w:rPr>
        <w:t>DDD)</w:t>
      </w:r>
      <w:r w:rsidRPr="00B727B0">
        <w:rPr>
          <w:rFonts w:ascii="Book Antiqua" w:eastAsia="Times New Roman" w:hAnsi="Book Antiqua" w:cstheme="majorBidi"/>
          <w:sz w:val="24"/>
          <w:szCs w:val="24"/>
        </w:rPr>
        <w:t xml:space="preserve"> and C3GN usually express an alteration in the alternative pathway with resultant overproduction of the activated C3</w:t>
      </w:r>
      <w:r w:rsidR="009F5F3E" w:rsidRPr="00FA7145">
        <w:rPr>
          <w:rFonts w:ascii="Book Antiqua" w:eastAsia="Times New Roman" w:hAnsi="Book Antiqua" w:cstheme="majorBidi"/>
          <w:sz w:val="24"/>
          <w:szCs w:val="24"/>
          <w:vertAlign w:val="superscript"/>
        </w:rPr>
        <w:t>[94,</w:t>
      </w:r>
      <w:r w:rsidR="003E4226" w:rsidRPr="00FA7145">
        <w:rPr>
          <w:rFonts w:ascii="Book Antiqua" w:eastAsia="Times New Roman" w:hAnsi="Book Antiqua" w:cstheme="majorBidi"/>
          <w:sz w:val="24"/>
          <w:szCs w:val="24"/>
          <w:vertAlign w:val="superscript"/>
        </w:rPr>
        <w:t>95]</w:t>
      </w:r>
      <w:r w:rsidRPr="00B727B0">
        <w:rPr>
          <w:rFonts w:ascii="Book Antiqua" w:eastAsia="Times New Roman" w:hAnsi="Book Antiqua" w:cstheme="majorBidi"/>
          <w:sz w:val="24"/>
          <w:szCs w:val="24"/>
        </w:rPr>
        <w:t>. Recently, polymorphism of the complement regulating proteins, especially in alternative pathway are found to be propagated</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mostly in all subtypes of MPGN, with a possible</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alterations related to renal outcome </w:t>
      </w:r>
      <w:r w:rsidR="000066C7" w:rsidRPr="00B727B0">
        <w:rPr>
          <w:rFonts w:ascii="Book Antiqua" w:eastAsia="Times New Roman" w:hAnsi="Book Antiqua" w:cstheme="majorBidi"/>
          <w:sz w:val="24"/>
          <w:szCs w:val="24"/>
        </w:rPr>
        <w:t>were</w:t>
      </w:r>
      <w:r w:rsidRPr="00B727B0">
        <w:rPr>
          <w:rFonts w:ascii="Book Antiqua" w:eastAsia="Times New Roman" w:hAnsi="Book Antiqua" w:cstheme="majorBidi"/>
          <w:sz w:val="24"/>
          <w:szCs w:val="24"/>
        </w:rPr>
        <w:t xml:space="preserve"> assumed</w:t>
      </w:r>
      <w:r w:rsidR="003E4226" w:rsidRPr="00FA7145">
        <w:rPr>
          <w:rFonts w:ascii="Book Antiqua" w:eastAsia="Times New Roman" w:hAnsi="Book Antiqua" w:cstheme="majorBidi"/>
          <w:sz w:val="24"/>
          <w:szCs w:val="24"/>
          <w:vertAlign w:val="superscript"/>
        </w:rPr>
        <w:t>[96]</w:t>
      </w:r>
      <w:r w:rsidRPr="00B727B0">
        <w:rPr>
          <w:rFonts w:ascii="Book Antiqua" w:eastAsia="Times New Roman" w:hAnsi="Book Antiqua" w:cstheme="majorBidi"/>
          <w:sz w:val="24"/>
          <w:szCs w:val="24"/>
        </w:rPr>
        <w:t xml:space="preserve">. In DDD </w:t>
      </w:r>
      <w:r w:rsidRPr="00B727B0">
        <w:rPr>
          <w:rFonts w:ascii="Book Antiqua" w:eastAsia="Times New Roman" w:hAnsi="Book Antiqua" w:cstheme="majorBidi"/>
          <w:sz w:val="24"/>
          <w:szCs w:val="24"/>
          <w:shd w:val="clear" w:color="auto" w:fill="FFFFFF" w:themeFill="background1"/>
        </w:rPr>
        <w:t xml:space="preserve">and other C3 glomerulopathies: </w:t>
      </w:r>
      <w:r w:rsidR="00CD178F" w:rsidRPr="00B727B0">
        <w:rPr>
          <w:rFonts w:ascii="Book Antiqua" w:eastAsia="Times New Roman" w:hAnsi="Book Antiqua" w:cstheme="majorBidi"/>
          <w:sz w:val="24"/>
          <w:szCs w:val="24"/>
          <w:shd w:val="clear" w:color="auto" w:fill="FFFFFF" w:themeFill="background1"/>
        </w:rPr>
        <w:t>E</w:t>
      </w:r>
      <w:r w:rsidRPr="00B727B0">
        <w:rPr>
          <w:rFonts w:ascii="Book Antiqua" w:eastAsia="Times New Roman" w:hAnsi="Book Antiqua" w:cstheme="majorBidi"/>
          <w:sz w:val="24"/>
          <w:szCs w:val="24"/>
          <w:shd w:val="clear" w:color="auto" w:fill="FFFFFF" w:themeFill="background1"/>
        </w:rPr>
        <w:t xml:space="preserve">culizumab or anti-auto antibodies activating </w:t>
      </w:r>
      <w:r w:rsidRPr="00B727B0">
        <w:rPr>
          <w:rFonts w:ascii="Book Antiqua" w:eastAsia="Times New Roman" w:hAnsi="Book Antiqua" w:cstheme="majorBidi"/>
          <w:iCs/>
          <w:sz w:val="24"/>
          <w:szCs w:val="24"/>
          <w:shd w:val="clear" w:color="auto" w:fill="FFFFFF" w:themeFill="background1"/>
        </w:rPr>
        <w:t>complement cascade</w:t>
      </w:r>
      <w:r w:rsidRPr="00B727B0">
        <w:rPr>
          <w:rFonts w:ascii="Book Antiqua" w:eastAsia="Times New Roman" w:hAnsi="Book Antiqua" w:cstheme="majorBidi"/>
          <w:sz w:val="24"/>
          <w:szCs w:val="24"/>
          <w:shd w:val="clear" w:color="auto" w:fill="FFFFFF" w:themeFill="background1"/>
        </w:rPr>
        <w:t xml:space="preserve"> therapy have been </w:t>
      </w:r>
      <w:proofErr w:type="gramStart"/>
      <w:r w:rsidRPr="00B727B0">
        <w:rPr>
          <w:rFonts w:ascii="Book Antiqua" w:eastAsia="Times New Roman" w:hAnsi="Book Antiqua" w:cstheme="majorBidi"/>
          <w:sz w:val="24"/>
          <w:szCs w:val="24"/>
          <w:shd w:val="clear" w:color="auto" w:fill="FFFFFF" w:themeFill="background1"/>
        </w:rPr>
        <w:t>suggested</w:t>
      </w:r>
      <w:r w:rsidR="003E4226" w:rsidRPr="00FA7145">
        <w:rPr>
          <w:rFonts w:ascii="Book Antiqua" w:eastAsia="Times New Roman" w:hAnsi="Book Antiqua" w:cstheme="majorBidi"/>
          <w:sz w:val="24"/>
          <w:szCs w:val="24"/>
          <w:shd w:val="clear" w:color="auto" w:fill="FFFFFF" w:themeFill="background1"/>
          <w:vertAlign w:val="superscript"/>
        </w:rPr>
        <w:t>[</w:t>
      </w:r>
      <w:proofErr w:type="gramEnd"/>
      <w:r w:rsidR="003E4226" w:rsidRPr="00FA7145">
        <w:rPr>
          <w:rFonts w:ascii="Book Antiqua" w:eastAsia="Times New Roman" w:hAnsi="Book Antiqua" w:cstheme="majorBidi"/>
          <w:sz w:val="24"/>
          <w:szCs w:val="24"/>
          <w:shd w:val="clear" w:color="auto" w:fill="FFFFFF" w:themeFill="background1"/>
          <w:vertAlign w:val="superscript"/>
        </w:rPr>
        <w:t>97]</w:t>
      </w:r>
      <w:r w:rsidRPr="00B727B0">
        <w:rPr>
          <w:rFonts w:ascii="Book Antiqua" w:eastAsia="Times New Roman" w:hAnsi="Book Antiqua" w:cstheme="majorBidi"/>
          <w:sz w:val="24"/>
          <w:szCs w:val="24"/>
          <w:shd w:val="clear" w:color="auto" w:fill="FFFFFF" w:themeFill="background1"/>
        </w:rPr>
        <w:t>.</w:t>
      </w:r>
    </w:p>
    <w:p w14:paraId="29F3FC32" w14:textId="77777777" w:rsidR="00CD178F" w:rsidRPr="00B727B0" w:rsidRDefault="00CD178F" w:rsidP="007312CD">
      <w:pPr>
        <w:adjustRightInd w:val="0"/>
        <w:snapToGrid w:val="0"/>
        <w:spacing w:after="0" w:line="360" w:lineRule="auto"/>
        <w:jc w:val="both"/>
        <w:rPr>
          <w:rFonts w:ascii="Book Antiqua" w:eastAsia="宋体" w:hAnsi="Book Antiqua" w:cstheme="majorBidi"/>
          <w:sz w:val="24"/>
          <w:szCs w:val="24"/>
          <w:lang w:eastAsia="zh-CN"/>
        </w:rPr>
      </w:pPr>
    </w:p>
    <w:p w14:paraId="473D40AA" w14:textId="77777777" w:rsidR="00AF3AE6" w:rsidRPr="00B727B0" w:rsidRDefault="00320946"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w:t>
      </w:r>
      <w:r w:rsidRPr="00B727B0">
        <w:rPr>
          <w:rFonts w:ascii="Book Antiqua" w:eastAsia="Times New Roman" w:hAnsi="Book Antiqua" w:cstheme="majorBidi"/>
          <w:b/>
          <w:sz w:val="24"/>
          <w:szCs w:val="24"/>
        </w:rPr>
        <w:t xml:space="preserve">Monoclonal gammopathy with renal significance”: </w:t>
      </w:r>
      <w:r w:rsidRPr="00B727B0">
        <w:rPr>
          <w:rFonts w:ascii="Book Antiqua" w:eastAsia="Times New Roman" w:hAnsi="Book Antiqua" w:cstheme="majorBidi"/>
          <w:sz w:val="24"/>
          <w:szCs w:val="24"/>
        </w:rPr>
        <w:t xml:space="preserve">Both C3 GN and DDD </w:t>
      </w:r>
      <w:r w:rsidR="00431F48" w:rsidRPr="00B727B0">
        <w:rPr>
          <w:rFonts w:ascii="Book Antiqua" w:eastAsia="Times New Roman" w:hAnsi="Book Antiqua" w:cstheme="majorBidi"/>
          <w:sz w:val="24"/>
          <w:szCs w:val="24"/>
        </w:rPr>
        <w:t xml:space="preserve">lack </w:t>
      </w:r>
      <w:r w:rsidRPr="00B727B0">
        <w:rPr>
          <w:rFonts w:ascii="Book Antiqua" w:eastAsia="Times New Roman" w:hAnsi="Book Antiqua" w:cstheme="majorBidi"/>
          <w:sz w:val="24"/>
          <w:szCs w:val="24"/>
        </w:rPr>
        <w:t xml:space="preserve">C4d, </w:t>
      </w:r>
      <w:r w:rsidR="00431F48" w:rsidRPr="00B727B0">
        <w:rPr>
          <w:rFonts w:ascii="Book Antiqua" w:eastAsia="Times New Roman" w:hAnsi="Book Antiqua" w:cstheme="majorBidi"/>
          <w:sz w:val="24"/>
          <w:szCs w:val="24"/>
        </w:rPr>
        <w:t>indicating</w:t>
      </w:r>
      <w:r w:rsidRPr="00B727B0">
        <w:rPr>
          <w:rFonts w:ascii="Book Antiqua" w:eastAsia="Times New Roman" w:hAnsi="Book Antiqua" w:cstheme="majorBidi"/>
          <w:sz w:val="24"/>
          <w:szCs w:val="24"/>
        </w:rPr>
        <w:t xml:space="preserve"> alternative pathway </w:t>
      </w:r>
      <w:proofErr w:type="gramStart"/>
      <w:r w:rsidRPr="00B727B0">
        <w:rPr>
          <w:rFonts w:ascii="Book Antiqua" w:eastAsia="Times New Roman" w:hAnsi="Book Antiqua" w:cstheme="majorBidi"/>
          <w:sz w:val="24"/>
          <w:szCs w:val="24"/>
        </w:rPr>
        <w:t>activation</w:t>
      </w:r>
      <w:r w:rsidR="003E4226" w:rsidRPr="00FA7145">
        <w:rPr>
          <w:rFonts w:ascii="Book Antiqua" w:eastAsia="Times New Roman" w:hAnsi="Book Antiqua" w:cstheme="majorBidi"/>
          <w:sz w:val="24"/>
          <w:szCs w:val="24"/>
          <w:vertAlign w:val="superscript"/>
        </w:rPr>
        <w:t>[</w:t>
      </w:r>
      <w:proofErr w:type="gramEnd"/>
      <w:r w:rsidR="003E4226" w:rsidRPr="00FA7145">
        <w:rPr>
          <w:rFonts w:ascii="Book Antiqua" w:eastAsia="Times New Roman" w:hAnsi="Book Antiqua" w:cstheme="majorBidi"/>
          <w:sz w:val="24"/>
          <w:szCs w:val="24"/>
          <w:vertAlign w:val="superscript"/>
        </w:rPr>
        <w:t>98]</w:t>
      </w:r>
      <w:r w:rsidRPr="00B727B0">
        <w:rPr>
          <w:rFonts w:ascii="Book Antiqua" w:eastAsia="Times New Roman" w:hAnsi="Book Antiqua" w:cstheme="majorBidi"/>
          <w:sz w:val="24"/>
          <w:szCs w:val="24"/>
        </w:rPr>
        <w:t xml:space="preserve">. Any MPGN subtype associated with monoclonal Ig deposits usually complicated by GN recurrence in 66% of cases and expressing a very aggressive course often complicated by allograft </w:t>
      </w:r>
      <w:proofErr w:type="gramStart"/>
      <w:r w:rsidRPr="00B727B0">
        <w:rPr>
          <w:rFonts w:ascii="Book Antiqua" w:eastAsia="Times New Roman" w:hAnsi="Book Antiqua" w:cstheme="majorBidi"/>
          <w:sz w:val="24"/>
          <w:szCs w:val="24"/>
        </w:rPr>
        <w:t>failure</w:t>
      </w:r>
      <w:r w:rsidR="00587C7D" w:rsidRPr="00FA7145">
        <w:rPr>
          <w:rFonts w:ascii="Book Antiqua" w:eastAsia="Times New Roman" w:hAnsi="Book Antiqua" w:cstheme="majorBidi"/>
          <w:sz w:val="24"/>
          <w:szCs w:val="24"/>
          <w:vertAlign w:val="superscript"/>
        </w:rPr>
        <w:t>[</w:t>
      </w:r>
      <w:proofErr w:type="gramEnd"/>
      <w:r w:rsidR="00587C7D" w:rsidRPr="00FA7145">
        <w:rPr>
          <w:rFonts w:ascii="Book Antiqua" w:eastAsia="Times New Roman" w:hAnsi="Book Antiqua" w:cstheme="majorBidi"/>
          <w:sz w:val="24"/>
          <w:szCs w:val="24"/>
          <w:vertAlign w:val="superscript"/>
        </w:rPr>
        <w:t>99]</w:t>
      </w:r>
      <w:r w:rsidRPr="00B727B0">
        <w:rPr>
          <w:rFonts w:ascii="Book Antiqua" w:eastAsia="Times New Roman" w:hAnsi="Book Antiqua" w:cstheme="majorBidi"/>
          <w:sz w:val="24"/>
          <w:szCs w:val="24"/>
        </w:rPr>
        <w:t>. Interestingly, 70% of these cases do not express monoclonal IG either in serum or in urine, without any evidence of plasma cell dyscrasia in bone marrow and with low risk of</w:t>
      </w:r>
      <w:r w:rsidR="009F5F3E" w:rsidRPr="00B727B0">
        <w:rPr>
          <w:rFonts w:ascii="Book Antiqua" w:eastAsia="Times New Roman" w:hAnsi="Book Antiqua" w:cstheme="majorBidi"/>
          <w:sz w:val="24"/>
          <w:szCs w:val="24"/>
        </w:rPr>
        <w:t xml:space="preserve"> progress into multiple </w:t>
      </w:r>
      <w:proofErr w:type="gramStart"/>
      <w:r w:rsidR="009F5F3E" w:rsidRPr="00B727B0">
        <w:rPr>
          <w:rFonts w:ascii="Book Antiqua" w:eastAsia="Times New Roman" w:hAnsi="Book Antiqua" w:cstheme="majorBidi"/>
          <w:sz w:val="24"/>
          <w:szCs w:val="24"/>
        </w:rPr>
        <w:t>myeloma</w:t>
      </w:r>
      <w:r w:rsidR="009F5F3E" w:rsidRPr="00FA7145">
        <w:rPr>
          <w:rFonts w:ascii="Book Antiqua" w:eastAsia="Times New Roman" w:hAnsi="Book Antiqua" w:cstheme="majorBidi"/>
          <w:sz w:val="24"/>
          <w:szCs w:val="24"/>
          <w:vertAlign w:val="superscript"/>
        </w:rPr>
        <w:t>[</w:t>
      </w:r>
      <w:proofErr w:type="gramEnd"/>
      <w:r w:rsidR="009F5F3E" w:rsidRPr="00FA7145">
        <w:rPr>
          <w:rFonts w:ascii="Book Antiqua" w:eastAsia="Times New Roman" w:hAnsi="Book Antiqua" w:cstheme="majorBidi"/>
          <w:sz w:val="24"/>
          <w:szCs w:val="24"/>
          <w:vertAlign w:val="superscript"/>
        </w:rPr>
        <w:t>100,</w:t>
      </w:r>
      <w:r w:rsidR="003E4226" w:rsidRPr="00FA7145">
        <w:rPr>
          <w:rFonts w:ascii="Book Antiqua" w:eastAsia="Times New Roman" w:hAnsi="Book Antiqua" w:cstheme="majorBidi"/>
          <w:sz w:val="24"/>
          <w:szCs w:val="24"/>
          <w:vertAlign w:val="superscript"/>
        </w:rPr>
        <w:t>101]</w:t>
      </w:r>
      <w:r w:rsidRPr="00B727B0">
        <w:rPr>
          <w:rFonts w:ascii="Book Antiqua" w:eastAsia="Times New Roman" w:hAnsi="Book Antiqua" w:cstheme="majorBidi"/>
          <w:sz w:val="24"/>
          <w:szCs w:val="24"/>
        </w:rPr>
        <w:t xml:space="preserve">. </w:t>
      </w:r>
    </w:p>
    <w:p w14:paraId="11AD4FC1" w14:textId="77777777" w:rsidR="00AF3AE6" w:rsidRPr="00B727B0" w:rsidRDefault="00AF3AE6" w:rsidP="007312CD">
      <w:pPr>
        <w:adjustRightInd w:val="0"/>
        <w:snapToGrid w:val="0"/>
        <w:spacing w:after="0" w:line="360" w:lineRule="auto"/>
        <w:jc w:val="both"/>
        <w:rPr>
          <w:rFonts w:ascii="Book Antiqua" w:eastAsia="宋体" w:hAnsi="Book Antiqua" w:cstheme="majorBidi"/>
          <w:sz w:val="24"/>
          <w:szCs w:val="24"/>
          <w:lang w:eastAsia="zh-CN"/>
        </w:rPr>
      </w:pPr>
    </w:p>
    <w:p w14:paraId="6B9F6BAD" w14:textId="1C8051A2" w:rsidR="00320946" w:rsidRPr="00B727B0" w:rsidRDefault="00320946"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b/>
          <w:iCs/>
          <w:sz w:val="24"/>
          <w:szCs w:val="24"/>
        </w:rPr>
        <w:t>Monoclonal proteins</w:t>
      </w:r>
      <w:r w:rsidR="00AF3AE6" w:rsidRPr="00B727B0">
        <w:rPr>
          <w:rFonts w:ascii="Book Antiqua" w:eastAsia="宋体" w:hAnsi="Book Antiqua" w:cstheme="majorBidi"/>
          <w:b/>
          <w:iCs/>
          <w:sz w:val="24"/>
          <w:szCs w:val="24"/>
          <w:lang w:eastAsia="zh-CN"/>
        </w:rPr>
        <w:t>:</w:t>
      </w:r>
      <w:r w:rsidRPr="00B727B0">
        <w:rPr>
          <w:rFonts w:ascii="Book Antiqua" w:eastAsia="Times New Roman" w:hAnsi="Book Antiqua" w:cstheme="majorBidi"/>
          <w:sz w:val="24"/>
          <w:szCs w:val="24"/>
        </w:rPr>
        <w:t xml:space="preserve"> </w:t>
      </w:r>
      <w:r w:rsidR="00AF3AE6" w:rsidRPr="00B727B0">
        <w:rPr>
          <w:rFonts w:ascii="Book Antiqua" w:eastAsia="Times New Roman" w:hAnsi="Book Antiqua" w:cstheme="majorBidi"/>
          <w:iCs/>
          <w:sz w:val="24"/>
          <w:szCs w:val="24"/>
        </w:rPr>
        <w:t>Monoclonal proteins</w:t>
      </w:r>
      <w:r w:rsidR="00AF3AE6"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are present in 30% of cases with MPGN with monoclonal Ig deposits have serum monoclonal </w:t>
      </w:r>
      <w:proofErr w:type="gramStart"/>
      <w:r w:rsidRPr="00B727B0">
        <w:rPr>
          <w:rFonts w:ascii="Book Antiqua" w:eastAsia="Times New Roman" w:hAnsi="Book Antiqua" w:cstheme="majorBidi"/>
          <w:sz w:val="24"/>
          <w:szCs w:val="24"/>
        </w:rPr>
        <w:t>proteins</w:t>
      </w:r>
      <w:r w:rsidR="003E4226" w:rsidRPr="00FA7145">
        <w:rPr>
          <w:rFonts w:ascii="Book Antiqua" w:eastAsia="Times New Roman" w:hAnsi="Book Antiqua" w:cstheme="majorBidi"/>
          <w:sz w:val="24"/>
          <w:szCs w:val="24"/>
          <w:vertAlign w:val="superscript"/>
        </w:rPr>
        <w:t>[</w:t>
      </w:r>
      <w:proofErr w:type="gramEnd"/>
      <w:r w:rsidR="003E4226" w:rsidRPr="00FA7145">
        <w:rPr>
          <w:rFonts w:ascii="Book Antiqua" w:eastAsia="Times New Roman" w:hAnsi="Book Antiqua" w:cstheme="majorBidi"/>
          <w:sz w:val="24"/>
          <w:szCs w:val="24"/>
          <w:vertAlign w:val="superscript"/>
        </w:rPr>
        <w:t>100]</w:t>
      </w:r>
      <w:r w:rsidRPr="00B727B0">
        <w:rPr>
          <w:rFonts w:ascii="Book Antiqua" w:eastAsia="Times New Roman" w:hAnsi="Book Antiqua" w:cstheme="majorBidi"/>
          <w:sz w:val="24"/>
          <w:szCs w:val="24"/>
        </w:rPr>
        <w:t xml:space="preserve"> despite absence of any evidence of multiple myeloma. A subtype name of this group of patients called “monoclonal gammopathy with renal </w:t>
      </w:r>
      <w:proofErr w:type="gramStart"/>
      <w:r w:rsidRPr="00B727B0">
        <w:rPr>
          <w:rFonts w:ascii="Book Antiqua" w:eastAsia="Times New Roman" w:hAnsi="Book Antiqua" w:cstheme="majorBidi"/>
          <w:sz w:val="24"/>
          <w:szCs w:val="24"/>
        </w:rPr>
        <w:t>significance”</w:t>
      </w:r>
      <w:r w:rsidR="009F5F3E" w:rsidRPr="00FA7145">
        <w:rPr>
          <w:rFonts w:ascii="Book Antiqua" w:eastAsia="Times New Roman" w:hAnsi="Book Antiqua" w:cstheme="majorBidi"/>
          <w:sz w:val="24"/>
          <w:szCs w:val="24"/>
          <w:vertAlign w:val="superscript"/>
        </w:rPr>
        <w:t>[</w:t>
      </w:r>
      <w:proofErr w:type="gramEnd"/>
      <w:r w:rsidR="009F5F3E" w:rsidRPr="00FA7145">
        <w:rPr>
          <w:rFonts w:ascii="Book Antiqua" w:eastAsia="Times New Roman" w:hAnsi="Book Antiqua" w:cstheme="majorBidi"/>
          <w:sz w:val="24"/>
          <w:szCs w:val="24"/>
          <w:vertAlign w:val="superscript"/>
        </w:rPr>
        <w:t>102,</w:t>
      </w:r>
      <w:r w:rsidR="003E4226" w:rsidRPr="00FA7145">
        <w:rPr>
          <w:rFonts w:ascii="Book Antiqua" w:eastAsia="Times New Roman" w:hAnsi="Book Antiqua" w:cstheme="majorBidi"/>
          <w:sz w:val="24"/>
          <w:szCs w:val="24"/>
          <w:vertAlign w:val="superscript"/>
        </w:rPr>
        <w:t>103]</w:t>
      </w:r>
      <w:r w:rsidRPr="00B727B0">
        <w:rPr>
          <w:rFonts w:ascii="Book Antiqua" w:eastAsia="Times New Roman" w:hAnsi="Book Antiqua" w:cstheme="majorBidi"/>
          <w:sz w:val="24"/>
          <w:szCs w:val="24"/>
        </w:rPr>
        <w:t>, which obviously will express</w:t>
      </w:r>
      <w:r w:rsidR="009F5F3E" w:rsidRPr="00B727B0">
        <w:rPr>
          <w:rFonts w:ascii="Book Antiqua" w:eastAsia="Times New Roman" w:hAnsi="Book Antiqua" w:cstheme="majorBidi"/>
          <w:sz w:val="24"/>
          <w:szCs w:val="24"/>
        </w:rPr>
        <w:t xml:space="preserve"> a very high risk of recurrence</w:t>
      </w:r>
      <w:r w:rsidR="003E4226" w:rsidRPr="00FA7145">
        <w:rPr>
          <w:rFonts w:ascii="Book Antiqua" w:eastAsia="Times New Roman" w:hAnsi="Book Antiqua" w:cstheme="majorBidi"/>
          <w:sz w:val="24"/>
          <w:szCs w:val="24"/>
          <w:vertAlign w:val="superscript"/>
        </w:rPr>
        <w:t>[104]</w:t>
      </w:r>
      <w:r w:rsidRPr="00B727B0">
        <w:rPr>
          <w:rFonts w:ascii="Book Antiqua" w:eastAsia="Times New Roman" w:hAnsi="Book Antiqua" w:cstheme="majorBidi"/>
          <w:sz w:val="24"/>
          <w:szCs w:val="24"/>
        </w:rPr>
        <w:t>.</w:t>
      </w:r>
    </w:p>
    <w:p w14:paraId="54A22ADB" w14:textId="77777777" w:rsidR="00C12D4B" w:rsidRPr="00B727B0" w:rsidRDefault="00C12D4B" w:rsidP="007312CD">
      <w:pPr>
        <w:shd w:val="clear" w:color="auto" w:fill="FFFFFF" w:themeFill="background1"/>
        <w:adjustRightInd w:val="0"/>
        <w:snapToGrid w:val="0"/>
        <w:spacing w:after="0" w:line="360" w:lineRule="auto"/>
        <w:jc w:val="both"/>
        <w:rPr>
          <w:rFonts w:ascii="Book Antiqua" w:eastAsia="宋体" w:hAnsi="Book Antiqua" w:cstheme="majorBidi"/>
          <w:sz w:val="24"/>
          <w:szCs w:val="24"/>
          <w:lang w:eastAsia="zh-CN"/>
        </w:rPr>
      </w:pPr>
    </w:p>
    <w:p w14:paraId="1C86B604" w14:textId="5F55331F" w:rsidR="00320946" w:rsidRPr="00B727B0" w:rsidRDefault="00320946" w:rsidP="007312CD">
      <w:pPr>
        <w:shd w:val="clear" w:color="auto" w:fill="FFFFFF" w:themeFill="background1"/>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b/>
          <w:sz w:val="24"/>
          <w:szCs w:val="24"/>
        </w:rPr>
        <w:t xml:space="preserve">Stem cell transplantation: </w:t>
      </w:r>
      <w:r w:rsidRPr="00B727B0">
        <w:rPr>
          <w:rFonts w:ascii="Book Antiqua" w:hAnsi="Book Antiqua" w:cstheme="majorBidi"/>
          <w:sz w:val="24"/>
          <w:szCs w:val="24"/>
        </w:rPr>
        <w:t xml:space="preserve">It is noteworthy to declare that in monoclonal gammopathy, stem cell transplantation can reverse the renal dysfunction through elimination of the light chain and immunoglobulins, with an expected general improvement. The observed link between C3GN and monoclonal and </w:t>
      </w:r>
      <w:r w:rsidRPr="00B727B0">
        <w:rPr>
          <w:rFonts w:ascii="Book Antiqua" w:hAnsi="Book Antiqua" w:cstheme="majorBidi"/>
          <w:sz w:val="24"/>
          <w:szCs w:val="24"/>
        </w:rPr>
        <w:lastRenderedPageBreak/>
        <w:t xml:space="preserve">the complement (alternative pathway) activation by λ-light chain has been recorded in previous </w:t>
      </w:r>
      <w:proofErr w:type="gramStart"/>
      <w:r w:rsidRPr="00B727B0">
        <w:rPr>
          <w:rFonts w:ascii="Book Antiqua" w:hAnsi="Book Antiqua" w:cstheme="majorBidi"/>
          <w:sz w:val="24"/>
          <w:szCs w:val="24"/>
        </w:rPr>
        <w:t>reports</w:t>
      </w:r>
      <w:r w:rsidR="003E4226" w:rsidRPr="00FA7145">
        <w:rPr>
          <w:rFonts w:ascii="Book Antiqua" w:hAnsi="Book Antiqua" w:cstheme="majorBidi"/>
          <w:sz w:val="24"/>
          <w:szCs w:val="24"/>
          <w:vertAlign w:val="superscript"/>
        </w:rPr>
        <w:t>[</w:t>
      </w:r>
      <w:proofErr w:type="gramEnd"/>
      <w:r w:rsidR="003E4226" w:rsidRPr="00FA7145">
        <w:rPr>
          <w:rFonts w:ascii="Book Antiqua" w:hAnsi="Book Antiqua" w:cstheme="majorBidi"/>
          <w:sz w:val="24"/>
          <w:szCs w:val="24"/>
          <w:vertAlign w:val="superscript"/>
        </w:rPr>
        <w:t>105</w:t>
      </w:r>
      <w:r w:rsidR="008169D9" w:rsidRPr="00FA7145">
        <w:rPr>
          <w:rFonts w:ascii="Book Antiqua" w:eastAsia="宋体" w:hAnsi="Book Antiqua" w:cstheme="majorBidi"/>
          <w:sz w:val="24"/>
          <w:szCs w:val="24"/>
          <w:vertAlign w:val="superscript"/>
          <w:lang w:eastAsia="zh-CN"/>
        </w:rPr>
        <w:t>-</w:t>
      </w:r>
      <w:r w:rsidR="003E4226" w:rsidRPr="00FA7145">
        <w:rPr>
          <w:rFonts w:ascii="Book Antiqua" w:hAnsi="Book Antiqua" w:cstheme="majorBidi"/>
          <w:sz w:val="24"/>
          <w:szCs w:val="24"/>
          <w:vertAlign w:val="superscript"/>
        </w:rPr>
        <w:t>107]</w:t>
      </w:r>
      <w:r w:rsidRPr="00B727B0">
        <w:rPr>
          <w:rFonts w:ascii="Book Antiqua" w:hAnsi="Book Antiqua" w:cstheme="majorBidi"/>
          <w:sz w:val="24"/>
          <w:szCs w:val="24"/>
        </w:rPr>
        <w:t>.</w:t>
      </w:r>
      <w:r w:rsidR="00F305E4">
        <w:rPr>
          <w:rFonts w:ascii="Book Antiqua" w:hAnsi="Book Antiqua" w:cstheme="majorBidi"/>
          <w:sz w:val="24"/>
          <w:szCs w:val="24"/>
        </w:rPr>
        <w:t xml:space="preserve"> </w:t>
      </w:r>
    </w:p>
    <w:p w14:paraId="47A41F06" w14:textId="77777777" w:rsidR="006B16AB" w:rsidRPr="00B727B0" w:rsidRDefault="006B16AB" w:rsidP="007312CD">
      <w:pPr>
        <w:adjustRightInd w:val="0"/>
        <w:snapToGrid w:val="0"/>
        <w:spacing w:after="0" w:line="360" w:lineRule="auto"/>
        <w:jc w:val="both"/>
        <w:rPr>
          <w:rFonts w:ascii="Book Antiqua" w:eastAsia="宋体" w:hAnsi="Book Antiqua" w:cstheme="majorBidi"/>
          <w:sz w:val="24"/>
          <w:szCs w:val="24"/>
          <w:lang w:eastAsia="zh-CN"/>
        </w:rPr>
      </w:pPr>
    </w:p>
    <w:p w14:paraId="7E46F12F" w14:textId="7018A270" w:rsidR="006B16AB" w:rsidRPr="00B727B0" w:rsidRDefault="00320946"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i/>
          <w:sz w:val="24"/>
          <w:szCs w:val="24"/>
        </w:rPr>
        <w:t xml:space="preserve">Recommendations for </w:t>
      </w:r>
      <w:r w:rsidR="00672F2A" w:rsidRPr="00B727B0">
        <w:rPr>
          <w:rFonts w:ascii="Book Antiqua" w:eastAsia="Times New Roman" w:hAnsi="Book Antiqua" w:cstheme="majorBidi"/>
          <w:b/>
          <w:i/>
          <w:sz w:val="24"/>
          <w:szCs w:val="24"/>
        </w:rPr>
        <w:t xml:space="preserve">a </w:t>
      </w:r>
      <w:r w:rsidRPr="00B727B0">
        <w:rPr>
          <w:rFonts w:ascii="Book Antiqua" w:eastAsia="Times New Roman" w:hAnsi="Book Antiqua" w:cstheme="majorBidi"/>
          <w:b/>
          <w:i/>
          <w:sz w:val="24"/>
          <w:szCs w:val="24"/>
        </w:rPr>
        <w:t>better management</w:t>
      </w:r>
    </w:p>
    <w:p w14:paraId="770176C4" w14:textId="34FC8A04" w:rsidR="00320946" w:rsidRPr="00B727B0" w:rsidRDefault="00320946"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Extrapolating the aggressive behavior of these recurrent diseases, especially in the presence of monoclonal deposits and C3GN, rigorous precautions should be considered to strive against its activity. A prophylactic protocol to guard against MPGN with monoclonal deposits recurrence utilizing an anti-CD20 AB </w:t>
      </w:r>
      <w:r w:rsidRPr="00B727B0">
        <w:rPr>
          <w:rFonts w:ascii="Book Antiqua" w:eastAsia="Times New Roman" w:hAnsi="Book Antiqua" w:cstheme="majorBidi"/>
          <w:iCs/>
          <w:sz w:val="24"/>
          <w:szCs w:val="24"/>
        </w:rPr>
        <w:t>before transplantation</w:t>
      </w:r>
      <w:r w:rsidRPr="00B727B0">
        <w:rPr>
          <w:rFonts w:ascii="Book Antiqua" w:eastAsia="Times New Roman" w:hAnsi="Book Antiqua" w:cstheme="majorBidi"/>
          <w:sz w:val="24"/>
          <w:szCs w:val="24"/>
        </w:rPr>
        <w:t xml:space="preserve"> is </w:t>
      </w:r>
      <w:r w:rsidRPr="00B727B0">
        <w:rPr>
          <w:rFonts w:ascii="Book Antiqua" w:eastAsia="Times New Roman" w:hAnsi="Book Antiqua" w:cstheme="majorBidi"/>
          <w:iCs/>
          <w:sz w:val="24"/>
          <w:szCs w:val="24"/>
        </w:rPr>
        <w:t>currently under evaluation</w:t>
      </w:r>
      <w:r w:rsidRPr="00B727B0">
        <w:rPr>
          <w:rFonts w:ascii="Book Antiqua" w:eastAsia="Times New Roman" w:hAnsi="Book Antiqua" w:cstheme="majorBidi"/>
          <w:sz w:val="24"/>
          <w:szCs w:val="24"/>
        </w:rPr>
        <w:t xml:space="preserve"> by Cosio </w:t>
      </w:r>
      <w:r w:rsidR="00FA7145" w:rsidRPr="00FA7145">
        <w:rPr>
          <w:rFonts w:ascii="Book Antiqua" w:eastAsia="宋体" w:hAnsi="Book Antiqua" w:cstheme="majorBidi" w:hint="eastAsia"/>
          <w:i/>
          <w:sz w:val="24"/>
          <w:szCs w:val="24"/>
          <w:lang w:eastAsia="zh-CN"/>
        </w:rPr>
        <w:t xml:space="preserve">et </w:t>
      </w:r>
      <w:proofErr w:type="gramStart"/>
      <w:r w:rsidR="00FA7145" w:rsidRPr="00FA7145">
        <w:rPr>
          <w:rFonts w:ascii="Book Antiqua" w:eastAsia="宋体" w:hAnsi="Book Antiqua" w:cstheme="majorBidi" w:hint="eastAsia"/>
          <w:i/>
          <w:sz w:val="24"/>
          <w:szCs w:val="24"/>
          <w:lang w:eastAsia="zh-CN"/>
        </w:rPr>
        <w:t>al</w:t>
      </w:r>
      <w:r w:rsidR="00FA7145" w:rsidRPr="00FA7145">
        <w:rPr>
          <w:rFonts w:ascii="Book Antiqua" w:eastAsia="宋体" w:hAnsi="Book Antiqua" w:cstheme="majorBidi" w:hint="eastAsia"/>
          <w:sz w:val="24"/>
          <w:szCs w:val="24"/>
          <w:vertAlign w:val="superscript"/>
          <w:lang w:eastAsia="zh-CN"/>
        </w:rPr>
        <w:t>[</w:t>
      </w:r>
      <w:proofErr w:type="gramEnd"/>
      <w:r w:rsidR="00FA7145" w:rsidRPr="00FA7145">
        <w:rPr>
          <w:rFonts w:ascii="Book Antiqua" w:eastAsia="宋体" w:hAnsi="Book Antiqua" w:cstheme="majorBidi" w:hint="eastAsia"/>
          <w:sz w:val="24"/>
          <w:szCs w:val="24"/>
          <w:vertAlign w:val="superscript"/>
          <w:lang w:eastAsia="zh-CN"/>
        </w:rPr>
        <w:t>2]</w:t>
      </w:r>
      <w:r w:rsidRPr="00B727B0">
        <w:rPr>
          <w:rFonts w:ascii="Book Antiqua" w:eastAsia="Times New Roman" w:hAnsi="Book Antiqua" w:cstheme="majorBidi"/>
          <w:sz w:val="24"/>
          <w:szCs w:val="24"/>
        </w:rPr>
        <w:t xml:space="preserve">, with </w:t>
      </w:r>
      <w:r w:rsidRPr="00B727B0">
        <w:rPr>
          <w:rFonts w:ascii="Book Antiqua" w:eastAsia="Times New Roman" w:hAnsi="Book Antiqua" w:cstheme="majorBidi"/>
          <w:iCs/>
          <w:sz w:val="24"/>
          <w:szCs w:val="24"/>
        </w:rPr>
        <w:t>promising preliminary</w:t>
      </w:r>
      <w:r w:rsidRPr="00B727B0">
        <w:rPr>
          <w:rFonts w:ascii="Book Antiqua" w:eastAsia="Times New Roman" w:hAnsi="Book Antiqua" w:cstheme="majorBidi"/>
          <w:sz w:val="24"/>
          <w:szCs w:val="24"/>
        </w:rPr>
        <w:t xml:space="preserve"> results.</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It is assumed that the C3GN remains silent until they exposed to a certain event</w:t>
      </w:r>
      <w:r w:rsidR="009218D1" w:rsidRPr="00B727B0">
        <w:rPr>
          <w:rFonts w:ascii="Book Antiqua" w:eastAsia="Times New Roman" w:hAnsi="Book Antiqua" w:cstheme="majorBidi"/>
          <w:i/>
          <w:sz w:val="24"/>
          <w:szCs w:val="24"/>
        </w:rPr>
        <w:t xml:space="preserve">, e.g., </w:t>
      </w:r>
      <w:r w:rsidRPr="00B727B0">
        <w:rPr>
          <w:rFonts w:ascii="Book Antiqua" w:eastAsia="Times New Roman" w:hAnsi="Book Antiqua" w:cstheme="majorBidi"/>
          <w:sz w:val="24"/>
          <w:szCs w:val="24"/>
        </w:rPr>
        <w:t xml:space="preserve">ischemia/reperfusion injury of transplantation that results in dysregulation of complement activation with evolution of the pathological events associated to its aggressive </w:t>
      </w:r>
      <w:proofErr w:type="gramStart"/>
      <w:r w:rsidRPr="00B727B0">
        <w:rPr>
          <w:rFonts w:ascii="Book Antiqua" w:eastAsia="Times New Roman" w:hAnsi="Book Antiqua" w:cstheme="majorBidi"/>
          <w:sz w:val="24"/>
          <w:szCs w:val="24"/>
        </w:rPr>
        <w:t>course</w:t>
      </w:r>
      <w:r w:rsidR="00587C7D" w:rsidRPr="00FA7145">
        <w:rPr>
          <w:rFonts w:ascii="Book Antiqua" w:eastAsia="Times New Roman" w:hAnsi="Book Antiqua" w:cstheme="majorBidi"/>
          <w:sz w:val="24"/>
          <w:szCs w:val="24"/>
          <w:vertAlign w:val="superscript"/>
        </w:rPr>
        <w:t>[</w:t>
      </w:r>
      <w:proofErr w:type="gramEnd"/>
      <w:r w:rsidR="00587C7D" w:rsidRPr="00FA7145">
        <w:rPr>
          <w:rFonts w:ascii="Book Antiqua" w:eastAsia="Times New Roman" w:hAnsi="Book Antiqua" w:cstheme="majorBidi"/>
          <w:sz w:val="24"/>
          <w:szCs w:val="24"/>
          <w:vertAlign w:val="superscript"/>
        </w:rPr>
        <w:t>108</w:t>
      </w:r>
      <w:r w:rsidR="008169D9" w:rsidRPr="00FA7145">
        <w:rPr>
          <w:rFonts w:ascii="Book Antiqua" w:eastAsia="宋体" w:hAnsi="Book Antiqua" w:cstheme="majorBidi"/>
          <w:sz w:val="24"/>
          <w:szCs w:val="24"/>
          <w:vertAlign w:val="superscript"/>
          <w:lang w:eastAsia="zh-CN"/>
        </w:rPr>
        <w:t>-</w:t>
      </w:r>
      <w:r w:rsidR="00587C7D" w:rsidRPr="00FA7145">
        <w:rPr>
          <w:rFonts w:ascii="Book Antiqua" w:eastAsia="Times New Roman" w:hAnsi="Book Antiqua" w:cstheme="majorBidi"/>
          <w:sz w:val="24"/>
          <w:szCs w:val="24"/>
          <w:vertAlign w:val="superscript"/>
        </w:rPr>
        <w:t>110]</w:t>
      </w:r>
      <w:r w:rsidR="006F19CE" w:rsidRPr="00B727B0">
        <w:rPr>
          <w:rFonts w:ascii="Book Antiqua" w:eastAsia="Times New Roman" w:hAnsi="Book Antiqua" w:cstheme="majorBidi"/>
          <w:sz w:val="24"/>
          <w:szCs w:val="24"/>
        </w:rPr>
        <w:t>.</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So, it is essential to </w:t>
      </w:r>
      <w:r w:rsidR="00435B52" w:rsidRPr="00B727B0">
        <w:rPr>
          <w:rFonts w:ascii="Book Antiqua" w:eastAsia="Times New Roman" w:hAnsi="Book Antiqua" w:cstheme="majorBidi"/>
          <w:sz w:val="24"/>
          <w:szCs w:val="24"/>
        </w:rPr>
        <w:t xml:space="preserve">reclassify the MPGN based on </w:t>
      </w:r>
      <w:r w:rsidRPr="00B727B0">
        <w:rPr>
          <w:rFonts w:ascii="Book Antiqua" w:eastAsia="Times New Roman" w:hAnsi="Book Antiqua" w:cstheme="majorBidi"/>
          <w:sz w:val="24"/>
          <w:szCs w:val="24"/>
        </w:rPr>
        <w:t xml:space="preserve">the recent MPGN classification, which will help not only in designing a therapeutic protocol, but also in instituting a prophylactic policy. It is noteworthy </w:t>
      </w:r>
      <w:r w:rsidR="008B3FBD" w:rsidRPr="00B727B0">
        <w:rPr>
          <w:rFonts w:ascii="Book Antiqua" w:eastAsia="Times New Roman" w:hAnsi="Book Antiqua" w:cstheme="majorBidi"/>
          <w:sz w:val="24"/>
          <w:szCs w:val="24"/>
        </w:rPr>
        <w:t xml:space="preserve">mentioning </w:t>
      </w:r>
      <w:r w:rsidRPr="00B727B0">
        <w:rPr>
          <w:rFonts w:ascii="Book Antiqua" w:eastAsia="Times New Roman" w:hAnsi="Book Antiqua" w:cstheme="majorBidi"/>
          <w:sz w:val="24"/>
          <w:szCs w:val="24"/>
        </w:rPr>
        <w:t xml:space="preserve">that the clinical course of MPGN pre- and post-transplantation are not </w:t>
      </w:r>
      <w:r w:rsidR="008B3FBD" w:rsidRPr="00B727B0">
        <w:rPr>
          <w:rFonts w:ascii="Book Antiqua" w:eastAsia="Times New Roman" w:hAnsi="Book Antiqua" w:cstheme="majorBidi"/>
          <w:sz w:val="24"/>
          <w:szCs w:val="24"/>
        </w:rPr>
        <w:t>the same</w:t>
      </w:r>
      <w:r w:rsidRPr="00B727B0">
        <w:rPr>
          <w:rFonts w:ascii="Book Antiqua" w:eastAsia="Times New Roman" w:hAnsi="Book Antiqua" w:cstheme="majorBidi"/>
          <w:sz w:val="24"/>
          <w:szCs w:val="24"/>
        </w:rPr>
        <w:t xml:space="preserve">, </w:t>
      </w:r>
      <w:r w:rsidR="00DF361A" w:rsidRPr="00B727B0">
        <w:rPr>
          <w:rFonts w:ascii="Book Antiqua" w:eastAsia="Times New Roman" w:hAnsi="Book Antiqua" w:cstheme="majorBidi"/>
          <w:i/>
          <w:sz w:val="24"/>
          <w:szCs w:val="24"/>
        </w:rPr>
        <w:t>i.e.</w:t>
      </w:r>
      <w:r w:rsidR="008169D9" w:rsidRPr="00B727B0">
        <w:rPr>
          <w:rFonts w:ascii="Book Antiqua" w:eastAsia="宋体" w:hAnsi="Book Antiqua" w:cstheme="majorBidi"/>
          <w:i/>
          <w:sz w:val="24"/>
          <w:szCs w:val="24"/>
          <w:lang w:eastAsia="zh-CN"/>
        </w:rPr>
        <w:t>,</w:t>
      </w:r>
      <w:r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iCs/>
          <w:sz w:val="24"/>
          <w:szCs w:val="24"/>
        </w:rPr>
        <w:t>slow</w:t>
      </w:r>
      <w:r w:rsidRPr="00B727B0">
        <w:rPr>
          <w:rFonts w:ascii="Book Antiqua" w:eastAsia="Times New Roman" w:hAnsi="Book Antiqua" w:cstheme="majorBidi"/>
          <w:sz w:val="24"/>
          <w:szCs w:val="24"/>
        </w:rPr>
        <w:t xml:space="preserve"> preoperative course is not necessarily applied to the post-transplantation </w:t>
      </w:r>
      <w:proofErr w:type="gramStart"/>
      <w:r w:rsidRPr="00B727B0">
        <w:rPr>
          <w:rFonts w:ascii="Book Antiqua" w:eastAsia="Times New Roman" w:hAnsi="Book Antiqua" w:cstheme="majorBidi"/>
          <w:sz w:val="24"/>
          <w:szCs w:val="24"/>
        </w:rPr>
        <w:t>behavior</w:t>
      </w:r>
      <w:r w:rsidR="006F19CE" w:rsidRPr="00D56A03">
        <w:rPr>
          <w:rFonts w:ascii="Book Antiqua" w:eastAsia="Times New Roman" w:hAnsi="Book Antiqua" w:cstheme="majorBidi"/>
          <w:sz w:val="24"/>
          <w:szCs w:val="24"/>
          <w:vertAlign w:val="superscript"/>
        </w:rPr>
        <w:t>[</w:t>
      </w:r>
      <w:proofErr w:type="gramEnd"/>
      <w:r w:rsidR="006F19CE" w:rsidRPr="00D56A03">
        <w:rPr>
          <w:rFonts w:ascii="Book Antiqua" w:eastAsia="Times New Roman" w:hAnsi="Book Antiqua" w:cstheme="majorBidi"/>
          <w:sz w:val="24"/>
          <w:szCs w:val="24"/>
          <w:vertAlign w:val="superscript"/>
        </w:rPr>
        <w:t>2]</w:t>
      </w:r>
      <w:r w:rsidRPr="00B727B0">
        <w:rPr>
          <w:rFonts w:ascii="Book Antiqua" w:eastAsia="Times New Roman" w:hAnsi="Book Antiqua" w:cstheme="majorBidi"/>
          <w:sz w:val="24"/>
          <w:szCs w:val="24"/>
        </w:rPr>
        <w:t xml:space="preserve">. </w:t>
      </w:r>
    </w:p>
    <w:p w14:paraId="7217B132" w14:textId="77777777" w:rsidR="006B16AB" w:rsidRPr="00B727B0" w:rsidRDefault="006B16AB" w:rsidP="007312CD">
      <w:pPr>
        <w:adjustRightInd w:val="0"/>
        <w:snapToGrid w:val="0"/>
        <w:spacing w:after="0" w:line="360" w:lineRule="auto"/>
        <w:jc w:val="both"/>
        <w:rPr>
          <w:rFonts w:ascii="Book Antiqua" w:eastAsia="宋体" w:hAnsi="Book Antiqua" w:cstheme="majorBidi"/>
          <w:sz w:val="24"/>
          <w:szCs w:val="24"/>
          <w:lang w:eastAsia="zh-CN" w:bidi="ar-EG"/>
        </w:rPr>
      </w:pPr>
    </w:p>
    <w:p w14:paraId="11F5BB7C" w14:textId="51065A53" w:rsidR="006B16AB" w:rsidRPr="00B727B0" w:rsidRDefault="006B16AB"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sz w:val="24"/>
          <w:szCs w:val="24"/>
        </w:rPr>
        <w:t>TREATMENT OF RECURRENT MN</w:t>
      </w:r>
    </w:p>
    <w:p w14:paraId="613AA976" w14:textId="35A6A606" w:rsidR="00DB7F6E" w:rsidRPr="00B727B0" w:rsidRDefault="009E7B44"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RTR with recurrent MN are better to be under RAAS-blockade as well as symptomatic therapy in the form of diuretics, statins and anticoagulants.</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Other lines include</w:t>
      </w:r>
      <w:r w:rsidR="00DB7F6E" w:rsidRPr="00B727B0">
        <w:rPr>
          <w:rFonts w:ascii="Book Antiqua" w:eastAsia="宋体" w:hAnsi="Book Antiqua" w:cstheme="majorBidi"/>
          <w:sz w:val="24"/>
          <w:szCs w:val="24"/>
          <w:lang w:eastAsia="zh-CN"/>
        </w:rPr>
        <w:t xml:space="preserve"> were listed below.</w:t>
      </w:r>
    </w:p>
    <w:p w14:paraId="3E6D7A72" w14:textId="77777777"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p>
    <w:p w14:paraId="4A6C5659" w14:textId="3BF35B8C"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eastAsia="Times New Roman" w:hAnsi="Book Antiqua" w:cstheme="majorBidi"/>
          <w:b/>
          <w:i/>
          <w:sz w:val="24"/>
          <w:szCs w:val="24"/>
        </w:rPr>
        <w:t>CNI</w:t>
      </w:r>
    </w:p>
    <w:p w14:paraId="4EEA9277" w14:textId="393965B4" w:rsidR="00672F2A" w:rsidRPr="00B727B0" w:rsidRDefault="009E7B44"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Referring to its efficacy in MN in the native kidney disease, many RTR with recurrent MN are utilizing CNI therapy </w:t>
      </w:r>
      <w:r w:rsidR="00AA7429" w:rsidRPr="00B727B0">
        <w:rPr>
          <w:rFonts w:ascii="Book Antiqua" w:eastAsia="Times New Roman" w:hAnsi="Book Antiqua" w:cstheme="majorBidi"/>
          <w:sz w:val="24"/>
          <w:szCs w:val="24"/>
        </w:rPr>
        <w:t>relevant</w:t>
      </w:r>
      <w:r w:rsidRPr="00B727B0">
        <w:rPr>
          <w:rFonts w:ascii="Book Antiqua" w:eastAsia="Times New Roman" w:hAnsi="Book Antiqua" w:cstheme="majorBidi"/>
          <w:sz w:val="24"/>
          <w:szCs w:val="24"/>
        </w:rPr>
        <w:t xml:space="preserve"> to the recent advances in understanding the pathogenesis of MN </w:t>
      </w:r>
      <w:proofErr w:type="gramStart"/>
      <w:r w:rsidRPr="00B727B0">
        <w:rPr>
          <w:rFonts w:ascii="Book Antiqua" w:eastAsia="Times New Roman" w:hAnsi="Book Antiqua" w:cstheme="majorBidi"/>
          <w:sz w:val="24"/>
          <w:szCs w:val="24"/>
        </w:rPr>
        <w:t>recurrence</w:t>
      </w:r>
      <w:r w:rsidR="003E4226" w:rsidRPr="00D56A03">
        <w:rPr>
          <w:rFonts w:ascii="Book Antiqua" w:eastAsia="Times New Roman" w:hAnsi="Book Antiqua" w:cstheme="majorBidi"/>
          <w:sz w:val="24"/>
          <w:szCs w:val="24"/>
          <w:vertAlign w:val="superscript"/>
        </w:rPr>
        <w:t>[</w:t>
      </w:r>
      <w:proofErr w:type="gramEnd"/>
      <w:r w:rsidR="003E4226" w:rsidRPr="00D56A03">
        <w:rPr>
          <w:rFonts w:ascii="Book Antiqua" w:eastAsia="Times New Roman" w:hAnsi="Book Antiqua" w:cstheme="majorBidi"/>
          <w:sz w:val="24"/>
          <w:szCs w:val="24"/>
          <w:vertAlign w:val="superscript"/>
        </w:rPr>
        <w:t>111]</w:t>
      </w:r>
      <w:r w:rsidR="00DB7F6E" w:rsidRPr="00B727B0">
        <w:rPr>
          <w:rFonts w:ascii="Book Antiqua" w:eastAsia="宋体" w:hAnsi="Book Antiqua" w:cstheme="majorBidi"/>
          <w:sz w:val="24"/>
          <w:szCs w:val="24"/>
          <w:lang w:eastAsia="zh-CN"/>
        </w:rPr>
        <w:t>.</w:t>
      </w:r>
    </w:p>
    <w:p w14:paraId="1EB1FE31" w14:textId="77777777"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p>
    <w:p w14:paraId="020BE3ED" w14:textId="43DB373D" w:rsidR="00DB7F6E" w:rsidRPr="00B727B0" w:rsidRDefault="009E7B44"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eastAsia="Times New Roman" w:hAnsi="Book Antiqua" w:cstheme="majorBidi"/>
          <w:b/>
          <w:i/>
          <w:sz w:val="24"/>
          <w:szCs w:val="24"/>
        </w:rPr>
        <w:lastRenderedPageBreak/>
        <w:t>Corticosteroid/alkylating agents (cyclophosphamide or chloram</w:t>
      </w:r>
      <w:r w:rsidR="00DB7F6E" w:rsidRPr="00B727B0">
        <w:rPr>
          <w:rFonts w:ascii="Book Antiqua" w:eastAsia="Times New Roman" w:hAnsi="Book Antiqua" w:cstheme="majorBidi"/>
          <w:b/>
          <w:i/>
          <w:sz w:val="24"/>
          <w:szCs w:val="24"/>
        </w:rPr>
        <w:t>bucil) combination</w:t>
      </w:r>
    </w:p>
    <w:p w14:paraId="39056330" w14:textId="1D33BB50"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A</w:t>
      </w:r>
      <w:r w:rsidR="009E7B44" w:rsidRPr="00B727B0">
        <w:rPr>
          <w:rFonts w:ascii="Book Antiqua" w:eastAsia="Times New Roman" w:hAnsi="Book Antiqua" w:cstheme="majorBidi"/>
          <w:sz w:val="24"/>
          <w:szCs w:val="24"/>
        </w:rPr>
        <w:t>gain effective in both native a</w:t>
      </w:r>
      <w:r w:rsidR="008169D9" w:rsidRPr="00B727B0">
        <w:rPr>
          <w:rFonts w:ascii="Book Antiqua" w:eastAsia="Times New Roman" w:hAnsi="Book Antiqua" w:cstheme="majorBidi"/>
          <w:sz w:val="24"/>
          <w:szCs w:val="24"/>
        </w:rPr>
        <w:t xml:space="preserve">nd recurrent MN </w:t>
      </w:r>
      <w:proofErr w:type="gramStart"/>
      <w:r w:rsidR="008169D9" w:rsidRPr="00B727B0">
        <w:rPr>
          <w:rFonts w:ascii="Book Antiqua" w:eastAsia="Times New Roman" w:hAnsi="Book Antiqua" w:cstheme="majorBidi"/>
          <w:sz w:val="24"/>
          <w:szCs w:val="24"/>
        </w:rPr>
        <w:t>disease</w:t>
      </w:r>
      <w:r w:rsidR="003E4226" w:rsidRPr="00D56A03">
        <w:rPr>
          <w:rFonts w:ascii="Book Antiqua" w:eastAsia="Times New Roman" w:hAnsi="Book Antiqua" w:cstheme="majorBidi"/>
          <w:sz w:val="24"/>
          <w:szCs w:val="24"/>
          <w:vertAlign w:val="superscript"/>
        </w:rPr>
        <w:t>[</w:t>
      </w:r>
      <w:proofErr w:type="gramEnd"/>
      <w:r w:rsidR="003E4226" w:rsidRPr="00D56A03">
        <w:rPr>
          <w:rFonts w:ascii="Book Antiqua" w:eastAsia="Times New Roman" w:hAnsi="Book Antiqua" w:cstheme="majorBidi"/>
          <w:sz w:val="24"/>
          <w:szCs w:val="24"/>
          <w:vertAlign w:val="superscript"/>
        </w:rPr>
        <w:t>112]</w:t>
      </w:r>
      <w:r w:rsidR="009E7B44" w:rsidRPr="00B727B0">
        <w:rPr>
          <w:rFonts w:ascii="Book Antiqua" w:eastAsia="Times New Roman" w:hAnsi="Book Antiqua" w:cstheme="majorBidi"/>
          <w:sz w:val="24"/>
          <w:szCs w:val="24"/>
        </w:rPr>
        <w:t xml:space="preserve">. Unfortunately, leukopenia could be quite troublesome, so, holding MMF while commencing the alkylating agents’ therapy is </w:t>
      </w:r>
      <w:proofErr w:type="gramStart"/>
      <w:r w:rsidR="009E7B44" w:rsidRPr="00B727B0">
        <w:rPr>
          <w:rFonts w:ascii="Book Antiqua" w:eastAsia="Times New Roman" w:hAnsi="Book Antiqua" w:cstheme="majorBidi"/>
          <w:sz w:val="24"/>
          <w:szCs w:val="24"/>
        </w:rPr>
        <w:t>advised</w:t>
      </w:r>
      <w:r w:rsidR="00587C7D" w:rsidRPr="00D56A03">
        <w:rPr>
          <w:rFonts w:ascii="Book Antiqua" w:eastAsia="Times New Roman" w:hAnsi="Book Antiqua" w:cstheme="majorBidi"/>
          <w:sz w:val="24"/>
          <w:szCs w:val="24"/>
          <w:vertAlign w:val="superscript"/>
        </w:rPr>
        <w:t>[</w:t>
      </w:r>
      <w:proofErr w:type="gramEnd"/>
      <w:r w:rsidR="00587C7D" w:rsidRPr="00D56A03">
        <w:rPr>
          <w:rFonts w:ascii="Book Antiqua" w:eastAsia="Times New Roman" w:hAnsi="Book Antiqua" w:cstheme="majorBidi"/>
          <w:sz w:val="24"/>
          <w:szCs w:val="24"/>
          <w:vertAlign w:val="superscript"/>
        </w:rPr>
        <w:t>112]</w:t>
      </w:r>
      <w:r w:rsidR="009E7B44" w:rsidRPr="00B727B0">
        <w:rPr>
          <w:rFonts w:ascii="Book Antiqua" w:eastAsia="Times New Roman" w:hAnsi="Book Antiqua" w:cstheme="majorBidi"/>
          <w:sz w:val="24"/>
          <w:szCs w:val="24"/>
        </w:rPr>
        <w:t>.</w:t>
      </w:r>
    </w:p>
    <w:p w14:paraId="046AB0F7" w14:textId="77777777"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p>
    <w:p w14:paraId="61541D1B" w14:textId="1B1A1CFE"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eastAsia="Times New Roman" w:hAnsi="Book Antiqua" w:cstheme="majorBidi"/>
          <w:b/>
          <w:i/>
          <w:sz w:val="24"/>
          <w:szCs w:val="24"/>
        </w:rPr>
        <w:t>Anti-CD20 antibody</w:t>
      </w:r>
    </w:p>
    <w:p w14:paraId="49459D70" w14:textId="4BBC0BF4" w:rsidR="00DB7F6E" w:rsidRPr="00B727B0" w:rsidRDefault="009E7B44"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Rituximab is also successful in treating the native as well as the recurrent MN </w:t>
      </w:r>
      <w:proofErr w:type="gramStart"/>
      <w:r w:rsidRPr="00B727B0">
        <w:rPr>
          <w:rFonts w:ascii="Book Antiqua" w:eastAsia="Times New Roman" w:hAnsi="Book Antiqua" w:cstheme="majorBidi"/>
          <w:sz w:val="24"/>
          <w:szCs w:val="24"/>
        </w:rPr>
        <w:t>disease</w:t>
      </w:r>
      <w:r w:rsidR="00846B1B" w:rsidRPr="00D56A03">
        <w:rPr>
          <w:rFonts w:ascii="Book Antiqua" w:eastAsia="Times New Roman" w:hAnsi="Book Antiqua" w:cstheme="majorBidi"/>
          <w:sz w:val="24"/>
          <w:szCs w:val="24"/>
          <w:vertAlign w:val="superscript"/>
        </w:rPr>
        <w:t>[</w:t>
      </w:r>
      <w:proofErr w:type="gramEnd"/>
      <w:r w:rsidR="00846B1B" w:rsidRPr="00D56A03">
        <w:rPr>
          <w:rFonts w:ascii="Book Antiqua" w:eastAsia="Times New Roman" w:hAnsi="Book Antiqua" w:cstheme="majorBidi"/>
          <w:sz w:val="24"/>
          <w:szCs w:val="24"/>
          <w:vertAlign w:val="superscript"/>
        </w:rPr>
        <w:t>113</w:t>
      </w:r>
      <w:r w:rsidR="00D56A03" w:rsidRPr="00D56A03">
        <w:rPr>
          <w:rFonts w:ascii="Book Antiqua" w:eastAsia="宋体" w:hAnsi="Book Antiqua" w:cstheme="majorBidi" w:hint="eastAsia"/>
          <w:sz w:val="24"/>
          <w:szCs w:val="24"/>
          <w:vertAlign w:val="superscript"/>
          <w:lang w:eastAsia="zh-CN"/>
        </w:rPr>
        <w:t>-</w:t>
      </w:r>
      <w:r w:rsidR="00587C7D" w:rsidRPr="00D56A03">
        <w:rPr>
          <w:rFonts w:ascii="Book Antiqua" w:eastAsia="Times New Roman" w:hAnsi="Book Antiqua" w:cstheme="majorBidi"/>
          <w:sz w:val="24"/>
          <w:szCs w:val="24"/>
          <w:vertAlign w:val="superscript"/>
        </w:rPr>
        <w:t>117]</w:t>
      </w:r>
      <w:r w:rsidRPr="00B727B0">
        <w:rPr>
          <w:rFonts w:ascii="Book Antiqua" w:eastAsia="Times New Roman" w:hAnsi="Book Antiqua" w:cstheme="majorBidi"/>
          <w:sz w:val="24"/>
          <w:szCs w:val="24"/>
        </w:rPr>
        <w:t xml:space="preserve">. More than 80% of cases could achieve partial or complete remission, while 40% of cases could express subendothelial deposits </w:t>
      </w:r>
      <w:proofErr w:type="gramStart"/>
      <w:r w:rsidRPr="00B727B0">
        <w:rPr>
          <w:rFonts w:ascii="Book Antiqua" w:eastAsia="Times New Roman" w:hAnsi="Book Antiqua" w:cstheme="majorBidi"/>
          <w:sz w:val="24"/>
          <w:szCs w:val="24"/>
        </w:rPr>
        <w:t>resolution</w:t>
      </w:r>
      <w:r w:rsidR="00D56A03" w:rsidRPr="00D56A03">
        <w:rPr>
          <w:rFonts w:ascii="Book Antiqua" w:eastAsia="Times New Roman" w:hAnsi="Book Antiqua" w:cstheme="majorBidi"/>
          <w:sz w:val="24"/>
          <w:szCs w:val="24"/>
          <w:vertAlign w:val="superscript"/>
        </w:rPr>
        <w:t>[</w:t>
      </w:r>
      <w:proofErr w:type="gramEnd"/>
      <w:r w:rsidR="00D56A03" w:rsidRPr="00D56A03">
        <w:rPr>
          <w:rFonts w:ascii="Book Antiqua" w:eastAsia="Times New Roman" w:hAnsi="Book Antiqua" w:cstheme="majorBidi"/>
          <w:sz w:val="24"/>
          <w:szCs w:val="24"/>
          <w:vertAlign w:val="superscript"/>
        </w:rPr>
        <w:t>17,</w:t>
      </w:r>
      <w:r w:rsidR="00846B1B" w:rsidRPr="00D56A03">
        <w:rPr>
          <w:rFonts w:ascii="Book Antiqua" w:eastAsia="Times New Roman" w:hAnsi="Book Antiqua" w:cstheme="majorBidi"/>
          <w:sz w:val="24"/>
          <w:szCs w:val="24"/>
          <w:vertAlign w:val="superscript"/>
        </w:rPr>
        <w:t>117]</w:t>
      </w:r>
      <w:r w:rsidRPr="00B727B0">
        <w:rPr>
          <w:rFonts w:ascii="Book Antiqua" w:eastAsia="Times New Roman" w:hAnsi="Book Antiqua" w:cstheme="majorBidi"/>
          <w:sz w:val="24"/>
          <w:szCs w:val="24"/>
        </w:rPr>
        <w:t xml:space="preserve">. Despite the increased risk of infection with anti-CD20 </w:t>
      </w:r>
      <w:proofErr w:type="gramStart"/>
      <w:r w:rsidR="00D56A03">
        <w:rPr>
          <w:rFonts w:ascii="Book Antiqua" w:eastAsia="Times New Roman" w:hAnsi="Book Antiqua" w:cstheme="majorBidi"/>
          <w:sz w:val="24"/>
          <w:szCs w:val="24"/>
        </w:rPr>
        <w:t>therapy</w:t>
      </w:r>
      <w:r w:rsidR="00587C7D" w:rsidRPr="00D56A03">
        <w:rPr>
          <w:rFonts w:ascii="Book Antiqua" w:eastAsia="Times New Roman" w:hAnsi="Book Antiqua" w:cstheme="majorBidi"/>
          <w:sz w:val="24"/>
          <w:szCs w:val="24"/>
          <w:vertAlign w:val="superscript"/>
        </w:rPr>
        <w:t>[</w:t>
      </w:r>
      <w:proofErr w:type="gramEnd"/>
      <w:r w:rsidR="00587C7D" w:rsidRPr="00D56A03">
        <w:rPr>
          <w:rFonts w:ascii="Book Antiqua" w:eastAsia="Times New Roman" w:hAnsi="Book Antiqua" w:cstheme="majorBidi"/>
          <w:sz w:val="24"/>
          <w:szCs w:val="24"/>
          <w:vertAlign w:val="superscript"/>
        </w:rPr>
        <w:t>17,</w:t>
      </w:r>
      <w:r w:rsidR="00846B1B" w:rsidRPr="00D56A03">
        <w:rPr>
          <w:rFonts w:ascii="Book Antiqua" w:eastAsia="Times New Roman" w:hAnsi="Book Antiqua" w:cstheme="majorBidi"/>
          <w:sz w:val="24"/>
          <w:szCs w:val="24"/>
          <w:vertAlign w:val="superscript"/>
        </w:rPr>
        <w:t>113]</w:t>
      </w:r>
      <w:r w:rsidRPr="00B727B0">
        <w:rPr>
          <w:rFonts w:ascii="Book Antiqua" w:eastAsia="Times New Roman" w:hAnsi="Book Antiqua" w:cstheme="majorBidi"/>
          <w:sz w:val="24"/>
          <w:szCs w:val="24"/>
        </w:rPr>
        <w:t>, rituximab is generally safe, effective, simpler to utilize and more tolerated as compared to alkylating agents. So, the anti-CD20, rituximab</w:t>
      </w:r>
      <w:r w:rsidR="00631637"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is recommended as a primary line </w:t>
      </w:r>
      <w:r w:rsidR="00631637" w:rsidRPr="00B727B0">
        <w:rPr>
          <w:rFonts w:ascii="Book Antiqua" w:eastAsia="Times New Roman" w:hAnsi="Book Antiqua" w:cstheme="majorBidi"/>
          <w:sz w:val="24"/>
          <w:szCs w:val="24"/>
        </w:rPr>
        <w:t>in treating MN recurrence</w:t>
      </w:r>
      <w:r w:rsidRPr="00B727B0">
        <w:rPr>
          <w:rFonts w:ascii="Book Antiqua" w:eastAsia="Times New Roman" w:hAnsi="Book Antiqua" w:cstheme="majorBidi"/>
          <w:sz w:val="24"/>
          <w:szCs w:val="24"/>
        </w:rPr>
        <w:t>, without alteration</w:t>
      </w:r>
      <w:r w:rsidR="00631637" w:rsidRPr="00B727B0">
        <w:rPr>
          <w:rFonts w:ascii="Book Antiqua" w:eastAsia="Times New Roman" w:hAnsi="Book Antiqua" w:cstheme="majorBidi"/>
          <w:sz w:val="24"/>
          <w:szCs w:val="24"/>
        </w:rPr>
        <w:t>s</w:t>
      </w:r>
      <w:r w:rsidRPr="00B727B0">
        <w:rPr>
          <w:rFonts w:ascii="Book Antiqua" w:eastAsia="Times New Roman" w:hAnsi="Book Antiqua" w:cstheme="majorBidi"/>
          <w:sz w:val="24"/>
          <w:szCs w:val="24"/>
        </w:rPr>
        <w:t xml:space="preserve"> in the immunosuppression protocol and regardless the anti-PLA2R antibody </w:t>
      </w:r>
      <w:proofErr w:type="gramStart"/>
      <w:r w:rsidRPr="00B727B0">
        <w:rPr>
          <w:rFonts w:ascii="Book Antiqua" w:eastAsia="Times New Roman" w:hAnsi="Book Antiqua" w:cstheme="majorBidi"/>
          <w:sz w:val="24"/>
          <w:szCs w:val="24"/>
        </w:rPr>
        <w:t>level</w:t>
      </w:r>
      <w:r w:rsidR="000E0C47" w:rsidRPr="00D56A03">
        <w:rPr>
          <w:rFonts w:ascii="Book Antiqua" w:eastAsia="Times New Roman" w:hAnsi="Book Antiqua" w:cstheme="majorBidi"/>
          <w:sz w:val="24"/>
          <w:szCs w:val="24"/>
          <w:vertAlign w:val="superscript"/>
        </w:rPr>
        <w:t>[</w:t>
      </w:r>
      <w:proofErr w:type="gramEnd"/>
      <w:r w:rsidR="000E0C47" w:rsidRPr="00D56A03">
        <w:rPr>
          <w:rFonts w:ascii="Book Antiqua" w:eastAsia="Times New Roman" w:hAnsi="Book Antiqua" w:cstheme="majorBidi"/>
          <w:sz w:val="24"/>
          <w:szCs w:val="24"/>
          <w:vertAlign w:val="superscript"/>
        </w:rPr>
        <w:t>2]</w:t>
      </w:r>
      <w:r w:rsidRPr="00B727B0">
        <w:rPr>
          <w:rFonts w:ascii="Book Antiqua" w:eastAsia="Times New Roman" w:hAnsi="Book Antiqua" w:cstheme="majorBidi"/>
          <w:sz w:val="24"/>
          <w:szCs w:val="24"/>
        </w:rPr>
        <w:t xml:space="preserve">. </w:t>
      </w:r>
    </w:p>
    <w:p w14:paraId="53D70148" w14:textId="77777777"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p>
    <w:p w14:paraId="7A590C28" w14:textId="23A87BC1"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eastAsia="Times New Roman" w:hAnsi="Book Antiqua" w:cstheme="majorBidi"/>
          <w:b/>
          <w:i/>
          <w:sz w:val="24"/>
          <w:szCs w:val="24"/>
        </w:rPr>
        <w:t>Resistant cases</w:t>
      </w:r>
    </w:p>
    <w:p w14:paraId="5F14068E" w14:textId="1E854F8F" w:rsidR="00672F2A" w:rsidRPr="00B727B0" w:rsidRDefault="00DB7F6E"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sz w:val="24"/>
          <w:szCs w:val="24"/>
        </w:rPr>
        <w:t>A</w:t>
      </w:r>
      <w:r w:rsidR="009E7B44" w:rsidRPr="00B727B0">
        <w:rPr>
          <w:rFonts w:ascii="Book Antiqua" w:eastAsia="Times New Roman" w:hAnsi="Book Antiqua" w:cstheme="majorBidi"/>
          <w:sz w:val="24"/>
          <w:szCs w:val="24"/>
        </w:rPr>
        <w:t>lternative therapy between rituximab and alkylating agents is suggested, once one of them failed</w:t>
      </w:r>
      <w:r w:rsidR="0099527E" w:rsidRPr="00B727B0">
        <w:rPr>
          <w:rFonts w:ascii="Book Antiqua" w:eastAsia="Times New Roman" w:hAnsi="Book Antiqua" w:cstheme="majorBidi"/>
          <w:sz w:val="24"/>
          <w:szCs w:val="24"/>
        </w:rPr>
        <w:t>,</w:t>
      </w:r>
      <w:r w:rsidR="009E7B44" w:rsidRPr="00B727B0">
        <w:rPr>
          <w:rFonts w:ascii="Book Antiqua" w:eastAsia="Times New Roman" w:hAnsi="Book Antiqua" w:cstheme="majorBidi"/>
          <w:sz w:val="24"/>
          <w:szCs w:val="24"/>
        </w:rPr>
        <w:t xml:space="preserve"> then shift to the other </w:t>
      </w:r>
      <w:proofErr w:type="gramStart"/>
      <w:r w:rsidR="00D56A03">
        <w:rPr>
          <w:rFonts w:ascii="Book Antiqua" w:eastAsia="Times New Roman" w:hAnsi="Book Antiqua" w:cstheme="majorBidi"/>
          <w:sz w:val="24"/>
          <w:szCs w:val="24"/>
        </w:rPr>
        <w:t>line</w:t>
      </w:r>
      <w:r w:rsidR="00D56A03" w:rsidRPr="00D56A03">
        <w:rPr>
          <w:rFonts w:ascii="Book Antiqua" w:eastAsia="Times New Roman" w:hAnsi="Book Antiqua" w:cstheme="majorBidi"/>
          <w:sz w:val="24"/>
          <w:szCs w:val="24"/>
          <w:vertAlign w:val="superscript"/>
        </w:rPr>
        <w:t>[</w:t>
      </w:r>
      <w:proofErr w:type="gramEnd"/>
      <w:r w:rsidR="00D56A03" w:rsidRPr="00D56A03">
        <w:rPr>
          <w:rFonts w:ascii="Book Antiqua" w:eastAsia="Times New Roman" w:hAnsi="Book Antiqua" w:cstheme="majorBidi"/>
          <w:sz w:val="24"/>
          <w:szCs w:val="24"/>
          <w:vertAlign w:val="superscript"/>
        </w:rPr>
        <w:t>17,</w:t>
      </w:r>
      <w:r w:rsidR="00846B1B" w:rsidRPr="00D56A03">
        <w:rPr>
          <w:rFonts w:ascii="Book Antiqua" w:eastAsia="Times New Roman" w:hAnsi="Book Antiqua" w:cstheme="majorBidi"/>
          <w:sz w:val="24"/>
          <w:szCs w:val="24"/>
          <w:vertAlign w:val="superscript"/>
        </w:rPr>
        <w:t>115]</w:t>
      </w:r>
      <w:r w:rsidR="009E7B44" w:rsidRPr="00B727B0">
        <w:rPr>
          <w:rFonts w:ascii="Book Antiqua" w:eastAsia="Times New Roman" w:hAnsi="Book Antiqua" w:cstheme="majorBidi"/>
          <w:sz w:val="24"/>
          <w:szCs w:val="24"/>
        </w:rPr>
        <w:t xml:space="preserve">. As the level </w:t>
      </w:r>
      <w:r w:rsidR="00E90654" w:rsidRPr="00B727B0">
        <w:rPr>
          <w:rFonts w:ascii="Book Antiqua" w:eastAsia="Times New Roman" w:hAnsi="Book Antiqua" w:cstheme="majorBidi"/>
          <w:sz w:val="24"/>
          <w:szCs w:val="24"/>
        </w:rPr>
        <w:t xml:space="preserve">change </w:t>
      </w:r>
      <w:r w:rsidR="009E7B44" w:rsidRPr="00B727B0">
        <w:rPr>
          <w:rFonts w:ascii="Book Antiqua" w:eastAsia="Times New Roman" w:hAnsi="Book Antiqua" w:cstheme="majorBidi"/>
          <w:sz w:val="24"/>
          <w:szCs w:val="24"/>
        </w:rPr>
        <w:t xml:space="preserve">of anti-PLA2R antibodies titre </w:t>
      </w:r>
      <w:r w:rsidR="00FA12B1" w:rsidRPr="00B727B0">
        <w:rPr>
          <w:rFonts w:ascii="Book Antiqua" w:eastAsia="Times New Roman" w:hAnsi="Book Antiqua" w:cstheme="majorBidi"/>
          <w:sz w:val="24"/>
          <w:szCs w:val="24"/>
        </w:rPr>
        <w:t>precedes</w:t>
      </w:r>
      <w:r w:rsidR="009E7B44" w:rsidRPr="00B727B0">
        <w:rPr>
          <w:rFonts w:ascii="Book Antiqua" w:eastAsia="Times New Roman" w:hAnsi="Book Antiqua" w:cstheme="majorBidi"/>
          <w:sz w:val="24"/>
          <w:szCs w:val="24"/>
        </w:rPr>
        <w:t xml:space="preserve"> the decline of proteinuria after rituximab therapy, serial follow up of the antibody titre can be used to anticipate the magnitude of response to </w:t>
      </w:r>
      <w:r w:rsidR="00E90654" w:rsidRPr="00B727B0">
        <w:rPr>
          <w:rFonts w:ascii="Book Antiqua" w:eastAsia="Times New Roman" w:hAnsi="Book Antiqua" w:cstheme="majorBidi"/>
          <w:sz w:val="24"/>
          <w:szCs w:val="24"/>
        </w:rPr>
        <w:t>therapy</w:t>
      </w:r>
      <w:r w:rsidR="009E7B44" w:rsidRPr="00B727B0">
        <w:rPr>
          <w:rFonts w:ascii="Book Antiqua" w:eastAsia="Times New Roman" w:hAnsi="Book Antiqua" w:cstheme="majorBidi"/>
          <w:sz w:val="24"/>
          <w:szCs w:val="24"/>
        </w:rPr>
        <w:t xml:space="preserve"> as well as the possibility of </w:t>
      </w:r>
      <w:proofErr w:type="gramStart"/>
      <w:r w:rsidR="009E7B44" w:rsidRPr="00B727B0">
        <w:rPr>
          <w:rFonts w:ascii="Book Antiqua" w:eastAsia="Times New Roman" w:hAnsi="Book Antiqua" w:cstheme="majorBidi"/>
          <w:sz w:val="24"/>
          <w:szCs w:val="24"/>
        </w:rPr>
        <w:t>relapse</w:t>
      </w:r>
      <w:r w:rsidR="004F4D06" w:rsidRPr="00D56A03">
        <w:rPr>
          <w:rFonts w:ascii="Book Antiqua" w:eastAsia="Times New Roman" w:hAnsi="Book Antiqua" w:cstheme="majorBidi"/>
          <w:sz w:val="24"/>
          <w:szCs w:val="24"/>
          <w:vertAlign w:val="superscript"/>
        </w:rPr>
        <w:t>[</w:t>
      </w:r>
      <w:proofErr w:type="gramEnd"/>
      <w:r w:rsidR="004F4D06" w:rsidRPr="00D56A03">
        <w:rPr>
          <w:rFonts w:ascii="Book Antiqua" w:eastAsia="Times New Roman" w:hAnsi="Book Antiqua" w:cstheme="majorBidi"/>
          <w:sz w:val="24"/>
          <w:szCs w:val="24"/>
          <w:vertAlign w:val="superscript"/>
        </w:rPr>
        <w:t>113]</w:t>
      </w:r>
      <w:r w:rsidR="000E0C47" w:rsidRPr="00B727B0">
        <w:rPr>
          <w:rFonts w:ascii="Book Antiqua" w:eastAsia="Times New Roman" w:hAnsi="Book Antiqua" w:cstheme="majorBidi"/>
          <w:sz w:val="24"/>
          <w:szCs w:val="24"/>
        </w:rPr>
        <w:t>.</w:t>
      </w:r>
    </w:p>
    <w:p w14:paraId="617ABF9B" w14:textId="77777777"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p>
    <w:p w14:paraId="11A0666B" w14:textId="05FEC052" w:rsidR="00DB7F6E" w:rsidRPr="00B727B0" w:rsidRDefault="00DB7F6E"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eastAsia="Times New Roman" w:hAnsi="Book Antiqua" w:cstheme="majorBidi"/>
          <w:b/>
          <w:i/>
          <w:sz w:val="24"/>
          <w:szCs w:val="24"/>
        </w:rPr>
        <w:t>Timing of therapy</w:t>
      </w:r>
    </w:p>
    <w:p w14:paraId="1E4C71E5" w14:textId="4E3E0ACE" w:rsidR="00672F2A" w:rsidRPr="00B727B0" w:rsidRDefault="009E7B44"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sz w:val="24"/>
          <w:szCs w:val="24"/>
        </w:rPr>
        <w:t xml:space="preserve">Early intervention-in contrary to native </w:t>
      </w:r>
      <w:proofErr w:type="gramStart"/>
      <w:r w:rsidRPr="00B727B0">
        <w:rPr>
          <w:rFonts w:ascii="Book Antiqua" w:eastAsia="Times New Roman" w:hAnsi="Book Antiqua" w:cstheme="majorBidi"/>
          <w:sz w:val="24"/>
          <w:szCs w:val="24"/>
        </w:rPr>
        <w:t>MN</w:t>
      </w:r>
      <w:r w:rsidR="004F4D06" w:rsidRPr="00D56A03">
        <w:rPr>
          <w:rFonts w:ascii="Book Antiqua" w:eastAsia="Times New Roman" w:hAnsi="Book Antiqua" w:cstheme="majorBidi"/>
          <w:sz w:val="24"/>
          <w:szCs w:val="24"/>
          <w:vertAlign w:val="superscript"/>
        </w:rPr>
        <w:t>[</w:t>
      </w:r>
      <w:proofErr w:type="gramEnd"/>
      <w:r w:rsidR="004F4D06" w:rsidRPr="00D56A03">
        <w:rPr>
          <w:rFonts w:ascii="Book Antiqua" w:eastAsia="Times New Roman" w:hAnsi="Book Antiqua" w:cstheme="majorBidi"/>
          <w:sz w:val="24"/>
          <w:szCs w:val="24"/>
          <w:vertAlign w:val="superscript"/>
        </w:rPr>
        <w:t>116]</w:t>
      </w:r>
      <w:r w:rsidR="005C6475"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 with anti-CD20 therapy is recommended, exactly when the </w:t>
      </w:r>
      <w:r w:rsidRPr="00D56A03">
        <w:rPr>
          <w:rFonts w:ascii="Book Antiqua" w:eastAsia="Times New Roman" w:hAnsi="Book Antiqua" w:cstheme="majorBidi"/>
          <w:iCs/>
          <w:sz w:val="24"/>
          <w:szCs w:val="24"/>
        </w:rPr>
        <w:t>proteinuria</w:t>
      </w:r>
      <w:r w:rsidRPr="00D56A03">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approaching one g</w:t>
      </w:r>
      <w:r w:rsidR="008B3FBD" w:rsidRPr="00B727B0">
        <w:rPr>
          <w:rFonts w:ascii="Book Antiqua" w:eastAsia="Times New Roman" w:hAnsi="Book Antiqua" w:cstheme="majorBidi"/>
          <w:sz w:val="24"/>
          <w:szCs w:val="24"/>
        </w:rPr>
        <w:t>ram</w:t>
      </w:r>
      <w:r w:rsidRPr="00B727B0">
        <w:rPr>
          <w:rFonts w:ascii="Book Antiqua" w:eastAsia="Times New Roman" w:hAnsi="Book Antiqua" w:cstheme="majorBidi"/>
          <w:sz w:val="24"/>
          <w:szCs w:val="24"/>
        </w:rPr>
        <w:t xml:space="preserve"> per 24 h. A very high rate of success </w:t>
      </w:r>
      <w:r w:rsidR="008B3FBD" w:rsidRPr="00B727B0">
        <w:rPr>
          <w:rFonts w:ascii="Book Antiqua" w:eastAsia="Times New Roman" w:hAnsi="Book Antiqua" w:cstheme="majorBidi"/>
          <w:sz w:val="24"/>
          <w:szCs w:val="24"/>
        </w:rPr>
        <w:t>would</w:t>
      </w:r>
      <w:r w:rsidRPr="00B727B0">
        <w:rPr>
          <w:rFonts w:ascii="Book Antiqua" w:eastAsia="Times New Roman" w:hAnsi="Book Antiqua" w:cstheme="majorBidi"/>
          <w:sz w:val="24"/>
          <w:szCs w:val="24"/>
        </w:rPr>
        <w:t xml:space="preserve"> be </w:t>
      </w:r>
      <w:proofErr w:type="gramStart"/>
      <w:r w:rsidRPr="00B727B0">
        <w:rPr>
          <w:rFonts w:ascii="Book Antiqua" w:eastAsia="Times New Roman" w:hAnsi="Book Antiqua" w:cstheme="majorBidi"/>
          <w:sz w:val="24"/>
          <w:szCs w:val="24"/>
        </w:rPr>
        <w:t>expected</w:t>
      </w:r>
      <w:r w:rsidR="00A20E2C" w:rsidRPr="00D56A03">
        <w:rPr>
          <w:rFonts w:ascii="Book Antiqua" w:eastAsia="Times New Roman" w:hAnsi="Book Antiqua" w:cstheme="majorBidi"/>
          <w:sz w:val="24"/>
          <w:szCs w:val="24"/>
          <w:vertAlign w:val="superscript"/>
        </w:rPr>
        <w:t>[</w:t>
      </w:r>
      <w:proofErr w:type="gramEnd"/>
      <w:r w:rsidR="00A20E2C" w:rsidRPr="00D56A03">
        <w:rPr>
          <w:rFonts w:ascii="Book Antiqua" w:eastAsia="Times New Roman" w:hAnsi="Book Antiqua" w:cstheme="majorBidi"/>
          <w:sz w:val="24"/>
          <w:szCs w:val="24"/>
          <w:vertAlign w:val="superscript"/>
        </w:rPr>
        <w:t>17]</w:t>
      </w:r>
      <w:r w:rsidRPr="00B727B0">
        <w:rPr>
          <w:rFonts w:ascii="Book Antiqua" w:eastAsia="Times New Roman" w:hAnsi="Book Antiqua" w:cstheme="majorBidi"/>
          <w:sz w:val="24"/>
          <w:szCs w:val="24"/>
        </w:rPr>
        <w:t>, which will be ultimately reflected on reduction of the rate of death censored allograft failure related to MN recurrence (45%).</w:t>
      </w:r>
    </w:p>
    <w:p w14:paraId="674A9FE0" w14:textId="77777777"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p>
    <w:p w14:paraId="1924B70C" w14:textId="73D35BA9"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eastAsia="Times New Roman" w:hAnsi="Book Antiqua" w:cstheme="majorBidi"/>
          <w:b/>
          <w:i/>
          <w:sz w:val="24"/>
          <w:szCs w:val="24"/>
        </w:rPr>
        <w:t>Prophylaxis history</w:t>
      </w:r>
    </w:p>
    <w:p w14:paraId="75BA1EC7" w14:textId="4C3BC238" w:rsidR="00672F2A" w:rsidRPr="00B727B0" w:rsidRDefault="009E7B44"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sz w:val="24"/>
          <w:szCs w:val="24"/>
        </w:rPr>
        <w:t xml:space="preserve">The anti-CD20 </w:t>
      </w:r>
      <w:r w:rsidR="008B3FBD" w:rsidRPr="00B727B0">
        <w:rPr>
          <w:rFonts w:ascii="Book Antiqua" w:eastAsia="Times New Roman" w:hAnsi="Book Antiqua" w:cstheme="majorBidi"/>
          <w:sz w:val="24"/>
          <w:szCs w:val="24"/>
        </w:rPr>
        <w:t>was</w:t>
      </w:r>
      <w:r w:rsidRPr="00B727B0">
        <w:rPr>
          <w:rFonts w:ascii="Book Antiqua" w:eastAsia="Times New Roman" w:hAnsi="Book Antiqua" w:cstheme="majorBidi"/>
          <w:sz w:val="24"/>
          <w:szCs w:val="24"/>
        </w:rPr>
        <w:t xml:space="preserve"> used effectively by </w:t>
      </w:r>
      <w:r w:rsidR="00D56A03" w:rsidRPr="00B727B0">
        <w:rPr>
          <w:rFonts w:ascii="Book Antiqua" w:eastAsia="Times New Roman" w:hAnsi="Book Antiqua" w:cstheme="majorBidi"/>
          <w:sz w:val="24"/>
          <w:szCs w:val="24"/>
        </w:rPr>
        <w:t xml:space="preserve">Cosio </w:t>
      </w:r>
      <w:r w:rsidR="00D56A03" w:rsidRPr="00FA7145">
        <w:rPr>
          <w:rFonts w:ascii="Book Antiqua" w:eastAsia="宋体" w:hAnsi="Book Antiqua" w:cstheme="majorBidi" w:hint="eastAsia"/>
          <w:i/>
          <w:sz w:val="24"/>
          <w:szCs w:val="24"/>
          <w:lang w:eastAsia="zh-CN"/>
        </w:rPr>
        <w:t xml:space="preserve">et </w:t>
      </w:r>
      <w:proofErr w:type="gramStart"/>
      <w:r w:rsidR="00D56A03" w:rsidRPr="00FA7145">
        <w:rPr>
          <w:rFonts w:ascii="Book Antiqua" w:eastAsia="宋体" w:hAnsi="Book Antiqua" w:cstheme="majorBidi" w:hint="eastAsia"/>
          <w:i/>
          <w:sz w:val="24"/>
          <w:szCs w:val="24"/>
          <w:lang w:eastAsia="zh-CN"/>
        </w:rPr>
        <w:t>al</w:t>
      </w:r>
      <w:r w:rsidR="00D56A03" w:rsidRPr="00FA7145">
        <w:rPr>
          <w:rFonts w:ascii="Book Antiqua" w:eastAsia="宋体" w:hAnsi="Book Antiqua" w:cstheme="majorBidi" w:hint="eastAsia"/>
          <w:sz w:val="24"/>
          <w:szCs w:val="24"/>
          <w:vertAlign w:val="superscript"/>
          <w:lang w:eastAsia="zh-CN"/>
        </w:rPr>
        <w:t>[</w:t>
      </w:r>
      <w:proofErr w:type="gramEnd"/>
      <w:r w:rsidR="00D56A03" w:rsidRPr="00FA7145">
        <w:rPr>
          <w:rFonts w:ascii="Book Antiqua" w:eastAsia="宋体" w:hAnsi="Book Antiqua" w:cstheme="majorBidi" w:hint="eastAsia"/>
          <w:sz w:val="24"/>
          <w:szCs w:val="24"/>
          <w:vertAlign w:val="superscript"/>
          <w:lang w:eastAsia="zh-CN"/>
        </w:rPr>
        <w:t>2]</w:t>
      </w:r>
      <w:r w:rsidRPr="00B727B0">
        <w:rPr>
          <w:rFonts w:ascii="Book Antiqua" w:eastAsia="Times New Roman" w:hAnsi="Book Antiqua" w:cstheme="majorBidi"/>
          <w:sz w:val="24"/>
          <w:szCs w:val="24"/>
        </w:rPr>
        <w:t>, to prevent MN recurrence in two patients with a previous allograft loss due to MN recurrence, with serial follow up through a protocol biopsy.</w:t>
      </w:r>
    </w:p>
    <w:p w14:paraId="15FF55A9" w14:textId="77777777"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p>
    <w:p w14:paraId="0E704B99" w14:textId="267E1667" w:rsidR="00DB7F6E" w:rsidRPr="00B727B0" w:rsidRDefault="00DB7F6E"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eastAsia="Times New Roman" w:hAnsi="Book Antiqua" w:cstheme="majorBidi"/>
          <w:b/>
          <w:i/>
          <w:sz w:val="24"/>
          <w:szCs w:val="24"/>
        </w:rPr>
        <w:t>Prevention</w:t>
      </w:r>
    </w:p>
    <w:p w14:paraId="003BA82A" w14:textId="6C085179" w:rsidR="009E7B44"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T</w:t>
      </w:r>
      <w:r w:rsidR="009E7B44" w:rsidRPr="00B727B0">
        <w:rPr>
          <w:rFonts w:ascii="Book Antiqua" w:eastAsia="Times New Roman" w:hAnsi="Book Antiqua" w:cstheme="majorBidi"/>
          <w:sz w:val="24"/>
          <w:szCs w:val="24"/>
        </w:rPr>
        <w:t xml:space="preserve">he use of ant-CD20 few months pre-transplantation may be applied in an attempt to prevent recurrence through the reduction of the ant-PLA2R antibody </w:t>
      </w:r>
      <w:r w:rsidR="00293861" w:rsidRPr="00B727B0">
        <w:rPr>
          <w:rFonts w:ascii="Book Antiqua" w:eastAsia="Times New Roman" w:hAnsi="Book Antiqua" w:cstheme="majorBidi"/>
          <w:sz w:val="24"/>
          <w:szCs w:val="24"/>
        </w:rPr>
        <w:t>titer</w:t>
      </w:r>
      <w:r w:rsidR="009E7B44" w:rsidRPr="00B727B0">
        <w:rPr>
          <w:rFonts w:ascii="Book Antiqua" w:eastAsia="Times New Roman" w:hAnsi="Book Antiqua" w:cstheme="majorBidi"/>
          <w:sz w:val="24"/>
          <w:szCs w:val="24"/>
        </w:rPr>
        <w:t xml:space="preserve">. However, two reasons </w:t>
      </w:r>
      <w:r w:rsidR="00631637" w:rsidRPr="00B727B0">
        <w:rPr>
          <w:rFonts w:ascii="Book Antiqua" w:eastAsia="Times New Roman" w:hAnsi="Book Antiqua" w:cstheme="majorBidi"/>
          <w:sz w:val="24"/>
          <w:szCs w:val="24"/>
        </w:rPr>
        <w:t>may</w:t>
      </w:r>
      <w:r w:rsidR="009E7B44" w:rsidRPr="00B727B0">
        <w:rPr>
          <w:rFonts w:ascii="Book Antiqua" w:eastAsia="Times New Roman" w:hAnsi="Book Antiqua" w:cstheme="majorBidi"/>
          <w:sz w:val="24"/>
          <w:szCs w:val="24"/>
        </w:rPr>
        <w:t xml:space="preserve"> prevent the application of this maneuver in a wide</w:t>
      </w:r>
      <w:r w:rsidR="00631637" w:rsidRPr="00B727B0">
        <w:rPr>
          <w:rFonts w:ascii="Book Antiqua" w:eastAsia="Times New Roman" w:hAnsi="Book Antiqua" w:cstheme="majorBidi"/>
          <w:sz w:val="24"/>
          <w:szCs w:val="24"/>
        </w:rPr>
        <w:t>r</w:t>
      </w:r>
      <w:r w:rsidR="009E7B44" w:rsidRPr="00B727B0">
        <w:rPr>
          <w:rFonts w:ascii="Book Antiqua" w:eastAsia="Times New Roman" w:hAnsi="Book Antiqua" w:cstheme="majorBidi"/>
          <w:sz w:val="24"/>
          <w:szCs w:val="24"/>
        </w:rPr>
        <w:t xml:space="preserve"> scale</w:t>
      </w:r>
      <w:r w:rsidR="006074A2">
        <w:rPr>
          <w:rFonts w:ascii="Book Antiqua" w:eastAsia="宋体" w:hAnsi="Book Antiqua" w:cstheme="majorBidi" w:hint="eastAsia"/>
          <w:sz w:val="24"/>
          <w:szCs w:val="24"/>
          <w:lang w:eastAsia="zh-CN"/>
        </w:rPr>
        <w:t>: (1)</w:t>
      </w:r>
      <w:r w:rsidR="009E7B44" w:rsidRPr="00B727B0">
        <w:rPr>
          <w:rFonts w:ascii="Book Antiqua" w:eastAsia="Times New Roman" w:hAnsi="Book Antiqua" w:cstheme="majorBidi"/>
          <w:sz w:val="24"/>
          <w:szCs w:val="24"/>
        </w:rPr>
        <w:t xml:space="preserve"> the ant-PLA2R antibody </w:t>
      </w:r>
      <w:r w:rsidR="00293861" w:rsidRPr="00B727B0">
        <w:rPr>
          <w:rFonts w:ascii="Book Antiqua" w:eastAsia="Times New Roman" w:hAnsi="Book Antiqua" w:cstheme="majorBidi"/>
          <w:sz w:val="24"/>
          <w:szCs w:val="24"/>
        </w:rPr>
        <w:t>titer</w:t>
      </w:r>
      <w:r w:rsidR="009E7B44" w:rsidRPr="00B727B0">
        <w:rPr>
          <w:rFonts w:ascii="Book Antiqua" w:eastAsia="Times New Roman" w:hAnsi="Book Antiqua" w:cstheme="majorBidi"/>
          <w:sz w:val="24"/>
          <w:szCs w:val="24"/>
        </w:rPr>
        <w:t xml:space="preserve"> already declines soon after transplantation, which will decrease the chance of </w:t>
      </w:r>
      <w:proofErr w:type="gramStart"/>
      <w:r w:rsidR="009E7B44" w:rsidRPr="00B727B0">
        <w:rPr>
          <w:rFonts w:ascii="Book Antiqua" w:eastAsia="Times New Roman" w:hAnsi="Book Antiqua" w:cstheme="majorBidi"/>
          <w:sz w:val="24"/>
          <w:szCs w:val="24"/>
        </w:rPr>
        <w:t>recurrence</w:t>
      </w:r>
      <w:r w:rsidR="00846B1B" w:rsidRPr="006074A2">
        <w:rPr>
          <w:rFonts w:ascii="Book Antiqua" w:eastAsia="Times New Roman" w:hAnsi="Book Antiqua" w:cstheme="majorBidi"/>
          <w:sz w:val="24"/>
          <w:szCs w:val="24"/>
          <w:vertAlign w:val="superscript"/>
        </w:rPr>
        <w:t>[</w:t>
      </w:r>
      <w:proofErr w:type="gramEnd"/>
      <w:r w:rsidR="00846B1B" w:rsidRPr="006074A2">
        <w:rPr>
          <w:rFonts w:ascii="Book Antiqua" w:eastAsia="Times New Roman" w:hAnsi="Book Antiqua" w:cstheme="majorBidi"/>
          <w:sz w:val="24"/>
          <w:szCs w:val="24"/>
          <w:vertAlign w:val="superscript"/>
        </w:rPr>
        <w:t>36]</w:t>
      </w:r>
      <w:r w:rsidR="006074A2">
        <w:rPr>
          <w:rFonts w:ascii="Book Antiqua" w:eastAsia="宋体" w:hAnsi="Book Antiqua" w:cstheme="majorBidi" w:hint="eastAsia"/>
          <w:sz w:val="24"/>
          <w:szCs w:val="24"/>
          <w:lang w:eastAsia="zh-CN"/>
        </w:rPr>
        <w:t>; (2)</w:t>
      </w:r>
      <w:r w:rsidR="009E7B44" w:rsidRPr="00B727B0">
        <w:rPr>
          <w:rFonts w:ascii="Book Antiqua" w:eastAsia="Times New Roman" w:hAnsi="Book Antiqua" w:cstheme="majorBidi"/>
          <w:sz w:val="24"/>
          <w:szCs w:val="24"/>
        </w:rPr>
        <w:t xml:space="preserve"> the expected high rate of success achieved by the anti-CD20 in case of early recurrence has been </w:t>
      </w:r>
      <w:r w:rsidR="005B73FC" w:rsidRPr="00B727B0">
        <w:rPr>
          <w:rFonts w:ascii="Book Antiqua" w:eastAsia="Times New Roman" w:hAnsi="Book Antiqua" w:cstheme="majorBidi"/>
          <w:sz w:val="24"/>
          <w:szCs w:val="24"/>
        </w:rPr>
        <w:t>documented</w:t>
      </w:r>
      <w:r w:rsidR="00A20E2C" w:rsidRPr="006074A2">
        <w:rPr>
          <w:rFonts w:ascii="Book Antiqua" w:eastAsia="Times New Roman" w:hAnsi="Book Antiqua" w:cstheme="majorBidi"/>
          <w:sz w:val="24"/>
          <w:szCs w:val="24"/>
          <w:vertAlign w:val="superscript"/>
        </w:rPr>
        <w:t>[17,</w:t>
      </w:r>
      <w:r w:rsidR="006074A2" w:rsidRPr="006074A2">
        <w:rPr>
          <w:rFonts w:ascii="Book Antiqua" w:eastAsia="Times New Roman" w:hAnsi="Book Antiqua" w:cstheme="majorBidi"/>
          <w:sz w:val="24"/>
          <w:szCs w:val="24"/>
          <w:vertAlign w:val="superscript"/>
        </w:rPr>
        <w:t>117,</w:t>
      </w:r>
      <w:r w:rsidR="00846B1B" w:rsidRPr="006074A2">
        <w:rPr>
          <w:rFonts w:ascii="Book Antiqua" w:eastAsia="Times New Roman" w:hAnsi="Book Antiqua" w:cstheme="majorBidi"/>
          <w:sz w:val="24"/>
          <w:szCs w:val="24"/>
          <w:vertAlign w:val="superscript"/>
        </w:rPr>
        <w:t>118]</w:t>
      </w:r>
      <w:r w:rsidR="009E7B44" w:rsidRPr="00B727B0">
        <w:rPr>
          <w:rFonts w:ascii="Book Antiqua" w:eastAsia="Times New Roman" w:hAnsi="Book Antiqua" w:cstheme="majorBidi"/>
          <w:sz w:val="24"/>
          <w:szCs w:val="24"/>
        </w:rPr>
        <w:t>.</w:t>
      </w:r>
    </w:p>
    <w:p w14:paraId="37EEA6AE" w14:textId="77777777"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p>
    <w:p w14:paraId="0BAF0E14" w14:textId="76DA7763" w:rsidR="00B06D1C" w:rsidRPr="00B727B0" w:rsidRDefault="00DB7F6E"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hAnsi="Book Antiqua" w:cstheme="majorBidi"/>
          <w:b/>
          <w:sz w:val="24"/>
          <w:szCs w:val="24"/>
        </w:rPr>
        <w:t>TREATMENT OF RECURRENT FSGS</w:t>
      </w:r>
    </w:p>
    <w:p w14:paraId="55BBDF4C" w14:textId="4AF36D0F" w:rsidR="00B06D1C" w:rsidRPr="00B727B0" w:rsidRDefault="00B06D1C"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 xml:space="preserve">The recent progress in understanding the pathogenesis of FSGS recurrence </w:t>
      </w:r>
      <w:r w:rsidR="00365419" w:rsidRPr="00B727B0">
        <w:rPr>
          <w:rFonts w:ascii="Book Antiqua" w:hAnsi="Book Antiqua" w:cstheme="majorBidi"/>
          <w:sz w:val="24"/>
          <w:szCs w:val="24"/>
        </w:rPr>
        <w:t>was</w:t>
      </w:r>
      <w:r w:rsidRPr="00B727B0">
        <w:rPr>
          <w:rFonts w:ascii="Book Antiqua" w:hAnsi="Book Antiqua" w:cstheme="majorBidi"/>
          <w:sz w:val="24"/>
          <w:szCs w:val="24"/>
        </w:rPr>
        <w:t xml:space="preserve"> unfortunately not supported by evidence-based controlled trials.</w:t>
      </w:r>
    </w:p>
    <w:p w14:paraId="4C789EAE" w14:textId="77777777"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p>
    <w:p w14:paraId="74187AAA" w14:textId="6AD33E26" w:rsidR="00DB7F6E" w:rsidRPr="00B727B0" w:rsidRDefault="00880111" w:rsidP="007312CD">
      <w:pPr>
        <w:adjustRightInd w:val="0"/>
        <w:snapToGrid w:val="0"/>
        <w:spacing w:after="0" w:line="360" w:lineRule="auto"/>
        <w:jc w:val="both"/>
        <w:rPr>
          <w:rFonts w:ascii="Book Antiqua" w:eastAsia="宋体" w:hAnsi="Book Antiqua" w:cstheme="majorBidi"/>
          <w:i/>
          <w:sz w:val="24"/>
          <w:szCs w:val="24"/>
          <w:lang w:eastAsia="zh-CN"/>
        </w:rPr>
      </w:pPr>
      <w:r w:rsidRPr="00B727B0">
        <w:rPr>
          <w:rFonts w:ascii="Book Antiqua" w:hAnsi="Book Antiqua" w:cstheme="majorBidi"/>
          <w:b/>
          <w:i/>
          <w:sz w:val="24"/>
          <w:szCs w:val="24"/>
        </w:rPr>
        <w:t>Plasmapheresis</w:t>
      </w:r>
    </w:p>
    <w:p w14:paraId="23723A26" w14:textId="162A8D37" w:rsidR="0084049E" w:rsidRPr="00B727B0" w:rsidRDefault="00B06D1C"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In 1985 treating FSGS with </w:t>
      </w:r>
      <w:r w:rsidR="00DB7F6E" w:rsidRPr="00B727B0">
        <w:rPr>
          <w:rFonts w:ascii="Book Antiqua" w:hAnsi="Book Antiqua" w:cstheme="majorBidi"/>
          <w:sz w:val="24"/>
          <w:szCs w:val="24"/>
        </w:rPr>
        <w:t>plasmapheresis (PE)</w:t>
      </w:r>
      <w:r w:rsidR="00DB7F6E" w:rsidRPr="00B727B0">
        <w:rPr>
          <w:rFonts w:ascii="Book Antiqua" w:eastAsia="宋体" w:hAnsi="Book Antiqua" w:cstheme="majorBidi"/>
          <w:b/>
          <w:sz w:val="24"/>
          <w:szCs w:val="24"/>
          <w:lang w:eastAsia="zh-CN"/>
        </w:rPr>
        <w:t xml:space="preserve"> </w:t>
      </w:r>
      <w:r w:rsidRPr="00B727B0">
        <w:rPr>
          <w:rFonts w:ascii="Book Antiqua" w:hAnsi="Book Antiqua" w:cstheme="majorBidi"/>
          <w:sz w:val="24"/>
          <w:szCs w:val="24"/>
        </w:rPr>
        <w:t xml:space="preserve">sessions has been commenced with variable </w:t>
      </w:r>
      <w:proofErr w:type="gramStart"/>
      <w:r w:rsidRPr="00B727B0">
        <w:rPr>
          <w:rFonts w:ascii="Book Antiqua" w:hAnsi="Book Antiqua" w:cstheme="majorBidi"/>
          <w:sz w:val="24"/>
          <w:szCs w:val="24"/>
        </w:rPr>
        <w:t>success</w:t>
      </w:r>
      <w:r w:rsidR="00E84B97" w:rsidRPr="00D56A03">
        <w:rPr>
          <w:rFonts w:ascii="Book Antiqua" w:hAnsi="Book Antiqua" w:cstheme="majorBidi"/>
          <w:sz w:val="24"/>
          <w:szCs w:val="24"/>
          <w:vertAlign w:val="superscript"/>
        </w:rPr>
        <w:t>[</w:t>
      </w:r>
      <w:proofErr w:type="gramEnd"/>
      <w:r w:rsidR="00E84B97" w:rsidRPr="00D56A03">
        <w:rPr>
          <w:rFonts w:ascii="Book Antiqua" w:hAnsi="Book Antiqua" w:cstheme="majorBidi"/>
          <w:sz w:val="24"/>
          <w:szCs w:val="24"/>
          <w:vertAlign w:val="superscript"/>
        </w:rPr>
        <w:t>119]</w:t>
      </w:r>
      <w:r w:rsidRPr="00B727B0">
        <w:rPr>
          <w:rFonts w:ascii="Book Antiqua" w:hAnsi="Book Antiqua" w:cstheme="majorBidi"/>
          <w:sz w:val="24"/>
          <w:szCs w:val="24"/>
        </w:rPr>
        <w:t xml:space="preserve">. Plasmapheresis has the ability to induce remission in 70% of children and 63% of adults as reported by Ponticelli </w:t>
      </w:r>
      <w:r w:rsidR="00D56A03" w:rsidRPr="00D56A03">
        <w:rPr>
          <w:rFonts w:ascii="Book Antiqua" w:eastAsia="宋体" w:hAnsi="Book Antiqua" w:cstheme="majorBidi" w:hint="eastAsia"/>
          <w:i/>
          <w:sz w:val="24"/>
          <w:szCs w:val="24"/>
          <w:lang w:eastAsia="zh-CN"/>
        </w:rPr>
        <w:t xml:space="preserve">et </w:t>
      </w:r>
      <w:proofErr w:type="gramStart"/>
      <w:r w:rsidR="00D56A03" w:rsidRPr="00D56A03">
        <w:rPr>
          <w:rFonts w:ascii="Book Antiqua" w:eastAsia="宋体" w:hAnsi="Book Antiqua" w:cstheme="majorBidi" w:hint="eastAsia"/>
          <w:i/>
          <w:sz w:val="24"/>
          <w:szCs w:val="24"/>
          <w:lang w:eastAsia="zh-CN"/>
        </w:rPr>
        <w:t>al</w:t>
      </w:r>
      <w:r w:rsidR="00E84B97" w:rsidRPr="00D56A03">
        <w:rPr>
          <w:rFonts w:ascii="Book Antiqua" w:hAnsi="Book Antiqua" w:cstheme="majorBidi"/>
          <w:sz w:val="24"/>
          <w:szCs w:val="24"/>
          <w:vertAlign w:val="superscript"/>
        </w:rPr>
        <w:t>[</w:t>
      </w:r>
      <w:proofErr w:type="gramEnd"/>
      <w:r w:rsidR="00E84B97" w:rsidRPr="00D56A03">
        <w:rPr>
          <w:rFonts w:ascii="Book Antiqua" w:hAnsi="Book Antiqua" w:cstheme="majorBidi"/>
          <w:sz w:val="24"/>
          <w:szCs w:val="24"/>
          <w:vertAlign w:val="superscript"/>
        </w:rPr>
        <w:t>120]</w:t>
      </w:r>
      <w:r w:rsidRPr="00B727B0">
        <w:rPr>
          <w:rFonts w:ascii="Book Antiqua" w:hAnsi="Book Antiqua" w:cstheme="majorBidi"/>
          <w:sz w:val="24"/>
          <w:szCs w:val="24"/>
        </w:rPr>
        <w:t xml:space="preserve">. An overestimation of these reports is postulated due to retrospective nature of the study, short follow up period and lack of controlled design. Once the disease recurrence become clinically evident, we can extrapolate a </w:t>
      </w:r>
      <w:r w:rsidR="008B3FBD" w:rsidRPr="00B727B0">
        <w:rPr>
          <w:rFonts w:ascii="Book Antiqua" w:hAnsi="Book Antiqua" w:cstheme="majorBidi"/>
          <w:sz w:val="24"/>
          <w:szCs w:val="24"/>
        </w:rPr>
        <w:t>satisfactory</w:t>
      </w:r>
      <w:r w:rsidRPr="00B727B0">
        <w:rPr>
          <w:rFonts w:ascii="Book Antiqua" w:hAnsi="Book Antiqua" w:cstheme="majorBidi"/>
          <w:sz w:val="24"/>
          <w:szCs w:val="24"/>
        </w:rPr>
        <w:t xml:space="preserve"> response with commencing the PE sessions early after transplantation. PE is usually prescribed as one to two times plasma volume exchanges, three times per week, with total 8-12 treatments until remission has </w:t>
      </w:r>
      <w:r w:rsidR="004F4D06" w:rsidRPr="00B727B0">
        <w:rPr>
          <w:rFonts w:ascii="Book Antiqua" w:hAnsi="Book Antiqua" w:cstheme="majorBidi"/>
          <w:sz w:val="24"/>
          <w:szCs w:val="24"/>
        </w:rPr>
        <w:t>been established</w:t>
      </w:r>
      <w:r w:rsidRPr="00B727B0">
        <w:rPr>
          <w:rFonts w:ascii="Book Antiqua" w:hAnsi="Book Antiqua" w:cstheme="majorBidi"/>
          <w:sz w:val="24"/>
          <w:szCs w:val="24"/>
        </w:rPr>
        <w:t xml:space="preserve">. An intensified course for </w:t>
      </w:r>
      <w:r w:rsidR="00221381" w:rsidRPr="00B727B0">
        <w:rPr>
          <w:rFonts w:ascii="Book Antiqua" w:hAnsi="Book Antiqua" w:cstheme="majorBidi"/>
          <w:sz w:val="24"/>
          <w:szCs w:val="24"/>
        </w:rPr>
        <w:t xml:space="preserve">longer period </w:t>
      </w:r>
      <w:r w:rsidRPr="00B727B0">
        <w:rPr>
          <w:rFonts w:ascii="Book Antiqua" w:hAnsi="Book Antiqua" w:cstheme="majorBidi"/>
          <w:sz w:val="24"/>
          <w:szCs w:val="24"/>
        </w:rPr>
        <w:t xml:space="preserve">was </w:t>
      </w:r>
      <w:r w:rsidR="00221381" w:rsidRPr="00B727B0">
        <w:rPr>
          <w:rFonts w:ascii="Book Antiqua" w:hAnsi="Book Antiqua" w:cstheme="majorBidi"/>
          <w:sz w:val="24"/>
          <w:szCs w:val="24"/>
        </w:rPr>
        <w:t>suggested</w:t>
      </w:r>
      <w:r w:rsidRPr="00B727B0">
        <w:rPr>
          <w:rFonts w:ascii="Book Antiqua" w:hAnsi="Book Antiqua" w:cstheme="majorBidi"/>
          <w:sz w:val="24"/>
          <w:szCs w:val="24"/>
        </w:rPr>
        <w:t xml:space="preserve"> by other </w:t>
      </w:r>
      <w:proofErr w:type="gramStart"/>
      <w:r w:rsidR="00221381" w:rsidRPr="00B727B0">
        <w:rPr>
          <w:rFonts w:ascii="Book Antiqua" w:hAnsi="Book Antiqua" w:cstheme="majorBidi"/>
          <w:sz w:val="24"/>
          <w:szCs w:val="24"/>
        </w:rPr>
        <w:t>researchers</w:t>
      </w:r>
      <w:r w:rsidR="004F4D06" w:rsidRPr="006074A2">
        <w:rPr>
          <w:rFonts w:ascii="Book Antiqua" w:hAnsi="Book Antiqua" w:cstheme="majorBidi"/>
          <w:sz w:val="24"/>
          <w:szCs w:val="24"/>
          <w:vertAlign w:val="superscript"/>
        </w:rPr>
        <w:t>[</w:t>
      </w:r>
      <w:proofErr w:type="gramEnd"/>
      <w:r w:rsidR="004F4D06" w:rsidRPr="006074A2">
        <w:rPr>
          <w:rFonts w:ascii="Book Antiqua" w:hAnsi="Book Antiqua" w:cstheme="majorBidi"/>
          <w:sz w:val="24"/>
          <w:szCs w:val="24"/>
          <w:vertAlign w:val="superscript"/>
        </w:rPr>
        <w:t>121]</w:t>
      </w:r>
      <w:r w:rsidRPr="00B727B0">
        <w:rPr>
          <w:rFonts w:ascii="Book Antiqua" w:hAnsi="Book Antiqua" w:cstheme="majorBidi"/>
          <w:sz w:val="24"/>
          <w:szCs w:val="24"/>
        </w:rPr>
        <w:t>.</w:t>
      </w:r>
    </w:p>
    <w:p w14:paraId="7833B474" w14:textId="77777777" w:rsidR="00DB7F6E" w:rsidRPr="00B727B0" w:rsidRDefault="00DB7F6E" w:rsidP="007312CD">
      <w:pPr>
        <w:adjustRightInd w:val="0"/>
        <w:snapToGrid w:val="0"/>
        <w:spacing w:after="0" w:line="360" w:lineRule="auto"/>
        <w:jc w:val="both"/>
        <w:rPr>
          <w:rFonts w:ascii="Book Antiqua" w:eastAsia="宋体" w:hAnsi="Book Antiqua" w:cstheme="majorBidi"/>
          <w:sz w:val="24"/>
          <w:szCs w:val="24"/>
          <w:lang w:eastAsia="zh-CN"/>
        </w:rPr>
      </w:pPr>
    </w:p>
    <w:p w14:paraId="729EB329" w14:textId="1D7D002D" w:rsidR="00DB7F6E" w:rsidRPr="00B727B0" w:rsidRDefault="00DB7F6E"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Prophylactic PE</w:t>
      </w:r>
    </w:p>
    <w:p w14:paraId="702D7C4C" w14:textId="6BBE5C71" w:rsidR="0084049E" w:rsidRPr="00B727B0" w:rsidRDefault="00B06D1C"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 xml:space="preserve">Gohh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6074A2" w:rsidRPr="006074A2">
        <w:rPr>
          <w:rFonts w:ascii="Book Antiqua" w:hAnsi="Book Antiqua" w:cstheme="majorBidi"/>
          <w:sz w:val="24"/>
          <w:szCs w:val="24"/>
          <w:vertAlign w:val="superscript"/>
        </w:rPr>
        <w:t>[</w:t>
      </w:r>
      <w:proofErr w:type="gramEnd"/>
      <w:r w:rsidR="006074A2" w:rsidRPr="006074A2">
        <w:rPr>
          <w:rFonts w:ascii="Book Antiqua" w:hAnsi="Book Antiqua" w:cstheme="majorBidi"/>
          <w:sz w:val="24"/>
          <w:szCs w:val="24"/>
          <w:vertAlign w:val="superscript"/>
        </w:rPr>
        <w:t>122]</w:t>
      </w:r>
      <w:r w:rsidRPr="00B727B0">
        <w:rPr>
          <w:rFonts w:ascii="Book Antiqua" w:hAnsi="Book Antiqua" w:cstheme="majorBidi"/>
          <w:sz w:val="24"/>
          <w:szCs w:val="24"/>
        </w:rPr>
        <w:t xml:space="preserve"> has admitted preoperative PE for eight sessions in ten patients. In case of living donation, the recipient receive</w:t>
      </w:r>
      <w:r w:rsidR="00221381" w:rsidRPr="00B727B0">
        <w:rPr>
          <w:rFonts w:ascii="Book Antiqua" w:hAnsi="Book Antiqua" w:cstheme="majorBidi"/>
          <w:sz w:val="24"/>
          <w:szCs w:val="24"/>
        </w:rPr>
        <w:t>d</w:t>
      </w:r>
      <w:r w:rsidRPr="00B727B0">
        <w:rPr>
          <w:rFonts w:ascii="Book Antiqua" w:hAnsi="Book Antiqua" w:cstheme="majorBidi"/>
          <w:sz w:val="24"/>
          <w:szCs w:val="24"/>
        </w:rPr>
        <w:t xml:space="preserve"> PE one week before and one week after the operation. In case of deceased donation, PE </w:t>
      </w:r>
      <w:r w:rsidR="00221381" w:rsidRPr="00B727B0">
        <w:rPr>
          <w:rFonts w:ascii="Book Antiqua" w:hAnsi="Book Antiqua" w:cstheme="majorBidi"/>
          <w:sz w:val="24"/>
          <w:szCs w:val="24"/>
        </w:rPr>
        <w:t>was</w:t>
      </w:r>
      <w:r w:rsidRPr="00B727B0">
        <w:rPr>
          <w:rFonts w:ascii="Book Antiqua" w:hAnsi="Book Antiqua" w:cstheme="majorBidi"/>
          <w:sz w:val="24"/>
          <w:szCs w:val="24"/>
        </w:rPr>
        <w:t xml:space="preserve"> only given 24 </w:t>
      </w:r>
      <w:r w:rsidR="006074A2">
        <w:rPr>
          <w:rFonts w:ascii="Book Antiqua" w:hAnsi="Book Antiqua" w:cstheme="majorBidi"/>
          <w:sz w:val="24"/>
          <w:szCs w:val="24"/>
        </w:rPr>
        <w:t>h</w:t>
      </w:r>
      <w:r w:rsidRPr="00B727B0">
        <w:rPr>
          <w:rFonts w:ascii="Book Antiqua" w:hAnsi="Book Antiqua" w:cstheme="majorBidi"/>
          <w:sz w:val="24"/>
          <w:szCs w:val="24"/>
        </w:rPr>
        <w:t xml:space="preserve"> preoperatively.</w:t>
      </w:r>
      <w:r w:rsidRPr="00B727B0">
        <w:rPr>
          <w:rFonts w:ascii="Book Antiqua" w:hAnsi="Book Antiqua" w:cstheme="majorBidi"/>
          <w:sz w:val="24"/>
          <w:szCs w:val="24"/>
          <w:lang w:bidi="ar-EG"/>
        </w:rPr>
        <w:t xml:space="preserve"> No one case of FSGS recurrence has been diagnosed in the high risk group and only half of his patients has had their allograft failed.</w:t>
      </w:r>
      <w:r w:rsidRPr="00B727B0">
        <w:rPr>
          <w:rFonts w:ascii="Book Antiqua" w:hAnsi="Book Antiqua" w:cstheme="majorBidi"/>
          <w:sz w:val="24"/>
          <w:szCs w:val="24"/>
        </w:rPr>
        <w:t xml:space="preserve"> They concluded these results were less than previous </w:t>
      </w:r>
      <w:proofErr w:type="gramStart"/>
      <w:r w:rsidRPr="00B727B0">
        <w:rPr>
          <w:rFonts w:ascii="Book Antiqua" w:hAnsi="Book Antiqua" w:cstheme="majorBidi"/>
          <w:sz w:val="24"/>
          <w:szCs w:val="24"/>
        </w:rPr>
        <w:t>reports</w:t>
      </w:r>
      <w:r w:rsidR="004F4D06" w:rsidRPr="006074A2">
        <w:rPr>
          <w:rFonts w:ascii="Book Antiqua" w:hAnsi="Book Antiqua" w:cstheme="majorBidi"/>
          <w:sz w:val="24"/>
          <w:szCs w:val="24"/>
          <w:vertAlign w:val="superscript"/>
        </w:rPr>
        <w:t>[</w:t>
      </w:r>
      <w:proofErr w:type="gramEnd"/>
      <w:r w:rsidR="004F4D06" w:rsidRPr="006074A2">
        <w:rPr>
          <w:rFonts w:ascii="Book Antiqua" w:hAnsi="Book Antiqua" w:cstheme="majorBidi"/>
          <w:sz w:val="24"/>
          <w:szCs w:val="24"/>
          <w:vertAlign w:val="superscript"/>
        </w:rPr>
        <w:t>122]</w:t>
      </w:r>
      <w:r w:rsidRPr="00B727B0">
        <w:rPr>
          <w:rFonts w:ascii="Book Antiqua" w:hAnsi="Book Antiqua" w:cstheme="majorBidi"/>
          <w:sz w:val="24"/>
          <w:szCs w:val="24"/>
        </w:rPr>
        <w:t>, while others denied any b</w:t>
      </w:r>
      <w:r w:rsidR="006074A2">
        <w:rPr>
          <w:rFonts w:ascii="Book Antiqua" w:hAnsi="Book Antiqua" w:cstheme="majorBidi"/>
          <w:sz w:val="24"/>
          <w:szCs w:val="24"/>
        </w:rPr>
        <w:t>enefits for the prophylactic PE</w:t>
      </w:r>
      <w:r w:rsidR="006074A2" w:rsidRPr="006074A2">
        <w:rPr>
          <w:rFonts w:ascii="Book Antiqua" w:hAnsi="Book Antiqua" w:cstheme="majorBidi"/>
          <w:sz w:val="24"/>
          <w:szCs w:val="24"/>
          <w:vertAlign w:val="superscript"/>
        </w:rPr>
        <w:t>[121,</w:t>
      </w:r>
      <w:r w:rsidR="00E84B97" w:rsidRPr="006074A2">
        <w:rPr>
          <w:rFonts w:ascii="Book Antiqua" w:hAnsi="Book Antiqua" w:cstheme="majorBidi"/>
          <w:sz w:val="24"/>
          <w:szCs w:val="24"/>
          <w:vertAlign w:val="superscript"/>
        </w:rPr>
        <w:t>123]</w:t>
      </w:r>
      <w:r w:rsidRPr="00B727B0">
        <w:rPr>
          <w:rFonts w:ascii="Book Antiqua" w:hAnsi="Book Antiqua" w:cstheme="majorBidi"/>
          <w:sz w:val="24"/>
          <w:szCs w:val="24"/>
        </w:rPr>
        <w:t xml:space="preserve">. A combination of PE and immunosuppressive agents has </w:t>
      </w:r>
      <w:r w:rsidR="006074A2">
        <w:rPr>
          <w:rFonts w:ascii="Book Antiqua" w:hAnsi="Book Antiqua" w:cstheme="majorBidi"/>
          <w:sz w:val="24"/>
          <w:szCs w:val="24"/>
        </w:rPr>
        <w:t xml:space="preserve">been proposed with limited </w:t>
      </w:r>
      <w:proofErr w:type="gramStart"/>
      <w:r w:rsidR="006074A2">
        <w:rPr>
          <w:rFonts w:ascii="Book Antiqua" w:hAnsi="Book Antiqua" w:cstheme="majorBidi"/>
          <w:sz w:val="24"/>
          <w:szCs w:val="24"/>
        </w:rPr>
        <w:t>data</w:t>
      </w:r>
      <w:r w:rsidR="006074A2">
        <w:rPr>
          <w:rFonts w:ascii="Book Antiqua" w:hAnsi="Book Antiqua" w:cstheme="majorBidi"/>
          <w:sz w:val="24"/>
          <w:szCs w:val="24"/>
          <w:vertAlign w:val="superscript"/>
        </w:rPr>
        <w:t>[</w:t>
      </w:r>
      <w:proofErr w:type="gramEnd"/>
      <w:r w:rsidR="006074A2">
        <w:rPr>
          <w:rFonts w:ascii="Book Antiqua" w:hAnsi="Book Antiqua" w:cstheme="majorBidi"/>
          <w:sz w:val="24"/>
          <w:szCs w:val="24"/>
          <w:vertAlign w:val="superscript"/>
        </w:rPr>
        <w:t>124,</w:t>
      </w:r>
      <w:r w:rsidR="00E84B97" w:rsidRPr="006074A2">
        <w:rPr>
          <w:rFonts w:ascii="Book Antiqua" w:hAnsi="Book Antiqua" w:cstheme="majorBidi"/>
          <w:sz w:val="24"/>
          <w:szCs w:val="24"/>
          <w:vertAlign w:val="superscript"/>
        </w:rPr>
        <w:t>125]</w:t>
      </w:r>
      <w:r w:rsidRPr="00B727B0">
        <w:rPr>
          <w:rFonts w:ascii="Book Antiqua" w:hAnsi="Book Antiqua" w:cstheme="majorBidi"/>
          <w:sz w:val="24"/>
          <w:szCs w:val="24"/>
        </w:rPr>
        <w:t>.</w:t>
      </w:r>
      <w:r w:rsidR="00F305E4">
        <w:rPr>
          <w:rFonts w:ascii="Book Antiqua" w:hAnsi="Book Antiqua" w:cstheme="majorBidi"/>
          <w:sz w:val="24"/>
          <w:szCs w:val="24"/>
        </w:rPr>
        <w:t xml:space="preserve"> </w:t>
      </w:r>
    </w:p>
    <w:p w14:paraId="54584CCF" w14:textId="77777777" w:rsidR="00CF30B0" w:rsidRPr="00B727B0" w:rsidRDefault="00CF30B0" w:rsidP="007312CD">
      <w:pPr>
        <w:adjustRightInd w:val="0"/>
        <w:snapToGrid w:val="0"/>
        <w:spacing w:after="0" w:line="360" w:lineRule="auto"/>
        <w:jc w:val="both"/>
        <w:rPr>
          <w:rFonts w:ascii="Book Antiqua" w:eastAsia="宋体" w:hAnsi="Book Antiqua" w:cstheme="majorBidi"/>
          <w:i/>
          <w:sz w:val="24"/>
          <w:szCs w:val="24"/>
          <w:lang w:eastAsia="zh-CN"/>
        </w:rPr>
      </w:pPr>
    </w:p>
    <w:p w14:paraId="5A879676" w14:textId="5BA4B0EA" w:rsidR="00CF30B0" w:rsidRPr="00B727B0" w:rsidRDefault="00CF30B0"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Higher dose of CyA</w:t>
      </w:r>
    </w:p>
    <w:p w14:paraId="1C066E2A" w14:textId="229B9BE0" w:rsidR="0084049E" w:rsidRPr="00B727B0" w:rsidRDefault="00B06D1C"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 xml:space="preserve">Only the intensified dose of CyA can reduce the proteinuria level, in contrary to the standard dose that can do nothing for FSGS </w:t>
      </w:r>
      <w:proofErr w:type="gramStart"/>
      <w:r w:rsidRPr="00B727B0">
        <w:rPr>
          <w:rFonts w:ascii="Book Antiqua" w:hAnsi="Book Antiqua" w:cstheme="majorBidi"/>
          <w:sz w:val="24"/>
          <w:szCs w:val="24"/>
        </w:rPr>
        <w:t>recurrence</w:t>
      </w:r>
      <w:r w:rsidR="00E84B97" w:rsidRPr="006074A2">
        <w:rPr>
          <w:rFonts w:ascii="Book Antiqua" w:hAnsi="Book Antiqua" w:cstheme="majorBidi"/>
          <w:sz w:val="24"/>
          <w:szCs w:val="24"/>
          <w:vertAlign w:val="superscript"/>
        </w:rPr>
        <w:t>[</w:t>
      </w:r>
      <w:proofErr w:type="gramEnd"/>
      <w:r w:rsidR="00E84B97" w:rsidRPr="006074A2">
        <w:rPr>
          <w:rFonts w:ascii="Book Antiqua" w:hAnsi="Book Antiqua" w:cstheme="majorBidi"/>
          <w:sz w:val="24"/>
          <w:szCs w:val="24"/>
          <w:vertAlign w:val="superscript"/>
        </w:rPr>
        <w:t>126]</w:t>
      </w:r>
      <w:r w:rsidRPr="00B727B0">
        <w:rPr>
          <w:rFonts w:ascii="Book Antiqua" w:hAnsi="Book Antiqua" w:cstheme="majorBidi"/>
          <w:sz w:val="24"/>
          <w:szCs w:val="24"/>
        </w:rPr>
        <w:t xml:space="preserve">. </w:t>
      </w:r>
      <w:r w:rsidR="008135B5" w:rsidRPr="00B727B0">
        <w:rPr>
          <w:rFonts w:ascii="Book Antiqua" w:hAnsi="Book Antiqua" w:cstheme="majorBidi"/>
          <w:sz w:val="24"/>
          <w:szCs w:val="24"/>
        </w:rPr>
        <w:t>Relevant</w:t>
      </w:r>
      <w:r w:rsidRPr="00B727B0">
        <w:rPr>
          <w:rFonts w:ascii="Book Antiqua" w:hAnsi="Book Antiqua" w:cstheme="majorBidi"/>
          <w:sz w:val="24"/>
          <w:szCs w:val="24"/>
        </w:rPr>
        <w:t xml:space="preserve"> to its lipophilic criteria, CyA has the ability to bind the LDL receptors on the cell surface of the peripheral lymphocytes. As a result of the rich lipid content (LDL cholesterol) in the nervous system, blood level of the drug </w:t>
      </w:r>
      <w:r w:rsidR="00221381" w:rsidRPr="00B727B0">
        <w:rPr>
          <w:rFonts w:ascii="Book Antiqua" w:hAnsi="Book Antiqua" w:cstheme="majorBidi"/>
          <w:sz w:val="24"/>
          <w:szCs w:val="24"/>
        </w:rPr>
        <w:t>is reduced</w:t>
      </w:r>
      <w:r w:rsidRPr="00B727B0">
        <w:rPr>
          <w:rFonts w:ascii="Book Antiqua" w:hAnsi="Book Antiqua" w:cstheme="majorBidi"/>
          <w:sz w:val="24"/>
          <w:szCs w:val="24"/>
        </w:rPr>
        <w:t xml:space="preserve">, which could only be overcome through a higher dose augmentation. At this base, </w:t>
      </w:r>
      <w:r w:rsidRPr="006074A2">
        <w:rPr>
          <w:rFonts w:ascii="Book Antiqua" w:hAnsi="Book Antiqua" w:cstheme="majorBidi"/>
          <w:i/>
          <w:sz w:val="24"/>
          <w:szCs w:val="24"/>
        </w:rPr>
        <w:t>i.v.</w:t>
      </w:r>
      <w:r w:rsidRPr="00B727B0">
        <w:rPr>
          <w:rFonts w:ascii="Book Antiqua" w:hAnsi="Book Antiqua" w:cstheme="majorBidi"/>
          <w:sz w:val="24"/>
          <w:szCs w:val="24"/>
        </w:rPr>
        <w:t xml:space="preserve"> CyA 3 mg/kg/d for 3-4 wk, followed by oral route aiming at preserving the blood level at 250-350 ng/m</w:t>
      </w:r>
      <w:r w:rsidR="006074A2" w:rsidRPr="00B727B0">
        <w:rPr>
          <w:rFonts w:ascii="Book Antiqua" w:hAnsi="Book Antiqua" w:cstheme="majorBidi"/>
          <w:sz w:val="24"/>
          <w:szCs w:val="24"/>
        </w:rPr>
        <w:t>L</w:t>
      </w:r>
      <w:r w:rsidRPr="00B727B0">
        <w:rPr>
          <w:rFonts w:ascii="Book Antiqua" w:hAnsi="Book Antiqua" w:cstheme="majorBidi"/>
          <w:sz w:val="24"/>
          <w:szCs w:val="24"/>
        </w:rPr>
        <w:t>, have been succe</w:t>
      </w:r>
      <w:r w:rsidR="006074A2">
        <w:rPr>
          <w:rFonts w:ascii="Book Antiqua" w:hAnsi="Book Antiqua" w:cstheme="majorBidi"/>
          <w:sz w:val="24"/>
          <w:szCs w:val="24"/>
        </w:rPr>
        <w:t>ssful in induction of remission</w:t>
      </w:r>
      <w:r w:rsidR="00E84B97" w:rsidRPr="006074A2">
        <w:rPr>
          <w:rFonts w:ascii="Book Antiqua" w:hAnsi="Book Antiqua" w:cstheme="majorBidi"/>
          <w:sz w:val="24"/>
          <w:szCs w:val="24"/>
          <w:vertAlign w:val="superscript"/>
        </w:rPr>
        <w:t>[127]</w:t>
      </w:r>
      <w:r w:rsidRPr="00B727B0">
        <w:rPr>
          <w:rFonts w:ascii="Book Antiqua" w:hAnsi="Book Antiqua" w:cstheme="majorBidi"/>
          <w:sz w:val="24"/>
          <w:szCs w:val="24"/>
        </w:rPr>
        <w:t>. However, this policy has been hampered by the multiple untow</w:t>
      </w:r>
      <w:r w:rsidR="00CF30B0" w:rsidRPr="00B727B0">
        <w:rPr>
          <w:rFonts w:ascii="Book Antiqua" w:hAnsi="Book Antiqua" w:cstheme="majorBidi"/>
          <w:sz w:val="24"/>
          <w:szCs w:val="24"/>
        </w:rPr>
        <w:t>ard effects of the high dosage.</w:t>
      </w:r>
    </w:p>
    <w:p w14:paraId="056E9516"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3C35871C" w14:textId="7A9D29D4" w:rsidR="00CF30B0" w:rsidRPr="00B727B0" w:rsidRDefault="00CF30B0"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Rituximab</w:t>
      </w:r>
    </w:p>
    <w:p w14:paraId="3DBD1328" w14:textId="2614F66D" w:rsidR="0084049E" w:rsidRPr="00B727B0" w:rsidRDefault="00B06D1C"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An anti-CD20 chimeric monoclonal antibody depleting the B cells with a direct protective effect on the podocytes. It has the ability to abort the downregulation of sphingomyelin phosphodiesterase acid-like 3b (</w:t>
      </w:r>
      <w:r w:rsidRPr="00B727B0">
        <w:rPr>
          <w:rFonts w:ascii="Book Antiqua" w:hAnsi="Book Antiqua" w:cstheme="majorBidi"/>
          <w:i/>
          <w:iCs/>
          <w:sz w:val="24"/>
          <w:szCs w:val="24"/>
        </w:rPr>
        <w:t>SMPDL-3b</w:t>
      </w:r>
      <w:r w:rsidRPr="00B727B0">
        <w:rPr>
          <w:rFonts w:ascii="Book Antiqua" w:hAnsi="Book Antiqua" w:cstheme="majorBidi"/>
          <w:sz w:val="24"/>
          <w:szCs w:val="24"/>
        </w:rPr>
        <w:t xml:space="preserve">) protein and the acid sphingomyelinase (ASMase), both of them were documented to be present in the podocyte exposed to the sera of recipients with recurrent </w:t>
      </w:r>
      <w:proofErr w:type="gramStart"/>
      <w:r w:rsidRPr="00B727B0">
        <w:rPr>
          <w:rFonts w:ascii="Book Antiqua" w:hAnsi="Book Antiqua" w:cstheme="majorBidi"/>
          <w:sz w:val="24"/>
          <w:szCs w:val="24"/>
        </w:rPr>
        <w:t>FSGS</w:t>
      </w:r>
      <w:r w:rsidR="00E84B97" w:rsidRPr="006074A2">
        <w:rPr>
          <w:rFonts w:ascii="Book Antiqua" w:hAnsi="Book Antiqua" w:cstheme="majorBidi"/>
          <w:sz w:val="24"/>
          <w:szCs w:val="24"/>
          <w:vertAlign w:val="superscript"/>
        </w:rPr>
        <w:t>[</w:t>
      </w:r>
      <w:proofErr w:type="gramEnd"/>
      <w:r w:rsidR="00E84B97" w:rsidRPr="006074A2">
        <w:rPr>
          <w:rFonts w:ascii="Book Antiqua" w:hAnsi="Book Antiqua" w:cstheme="majorBidi"/>
          <w:sz w:val="24"/>
          <w:szCs w:val="24"/>
          <w:vertAlign w:val="superscript"/>
        </w:rPr>
        <w:t>128]</w:t>
      </w:r>
      <w:r w:rsidRPr="00B727B0">
        <w:rPr>
          <w:rFonts w:ascii="Book Antiqua" w:hAnsi="Book Antiqua" w:cstheme="majorBidi"/>
          <w:sz w:val="24"/>
          <w:szCs w:val="24"/>
        </w:rPr>
        <w:t xml:space="preserve">. In 2006, beneficial benefits of rituximab in treating the recurrent FSGS post </w:t>
      </w:r>
      <w:r w:rsidRPr="00B727B0">
        <w:rPr>
          <w:rFonts w:ascii="Book Antiqua" w:hAnsi="Book Antiqua" w:cstheme="majorBidi"/>
          <w:sz w:val="24"/>
          <w:szCs w:val="24"/>
        </w:rPr>
        <w:lastRenderedPageBreak/>
        <w:t xml:space="preserve">transplantation was </w:t>
      </w:r>
      <w:proofErr w:type="gramStart"/>
      <w:r w:rsidR="00EE4138" w:rsidRPr="00B727B0">
        <w:rPr>
          <w:rFonts w:ascii="Book Antiqua" w:hAnsi="Book Antiqua" w:cstheme="majorBidi"/>
          <w:sz w:val="24"/>
          <w:szCs w:val="24"/>
        </w:rPr>
        <w:t>suggested</w:t>
      </w:r>
      <w:r w:rsidR="00E84B97" w:rsidRPr="006074A2">
        <w:rPr>
          <w:rFonts w:ascii="Book Antiqua" w:hAnsi="Book Antiqua" w:cstheme="majorBidi"/>
          <w:sz w:val="24"/>
          <w:szCs w:val="24"/>
          <w:vertAlign w:val="superscript"/>
        </w:rPr>
        <w:t>[</w:t>
      </w:r>
      <w:proofErr w:type="gramEnd"/>
      <w:r w:rsidR="00E84B97" w:rsidRPr="006074A2">
        <w:rPr>
          <w:rFonts w:ascii="Book Antiqua" w:hAnsi="Book Antiqua" w:cstheme="majorBidi"/>
          <w:sz w:val="24"/>
          <w:szCs w:val="24"/>
          <w:vertAlign w:val="superscript"/>
        </w:rPr>
        <w:t>126]</w:t>
      </w:r>
      <w:r w:rsidRPr="00B727B0">
        <w:rPr>
          <w:rFonts w:ascii="Book Antiqua" w:hAnsi="Book Antiqua" w:cstheme="majorBidi"/>
          <w:sz w:val="24"/>
          <w:szCs w:val="24"/>
        </w:rPr>
        <w:t>.</w:t>
      </w:r>
      <w:r w:rsidR="00F305E4">
        <w:rPr>
          <w:rFonts w:ascii="Book Antiqua" w:hAnsi="Book Antiqua" w:cstheme="majorBidi"/>
          <w:sz w:val="24"/>
          <w:szCs w:val="24"/>
        </w:rPr>
        <w:t xml:space="preserve"> </w:t>
      </w:r>
      <w:r w:rsidRPr="00B727B0">
        <w:rPr>
          <w:rFonts w:ascii="Book Antiqua" w:hAnsi="Book Antiqua" w:cstheme="majorBidi"/>
          <w:sz w:val="24"/>
          <w:szCs w:val="24"/>
        </w:rPr>
        <w:t xml:space="preserve">A remission rate of 64%, either partial or complete, has been reported with rituximab </w:t>
      </w:r>
      <w:proofErr w:type="gramStart"/>
      <w:r w:rsidRPr="00B727B0">
        <w:rPr>
          <w:rFonts w:ascii="Book Antiqua" w:hAnsi="Book Antiqua" w:cstheme="majorBidi"/>
          <w:sz w:val="24"/>
          <w:szCs w:val="24"/>
        </w:rPr>
        <w:t>therapy</w:t>
      </w:r>
      <w:r w:rsidR="004F4D06" w:rsidRPr="006074A2">
        <w:rPr>
          <w:rFonts w:ascii="Book Antiqua" w:hAnsi="Book Antiqua" w:cstheme="majorBidi"/>
          <w:sz w:val="24"/>
          <w:szCs w:val="24"/>
          <w:vertAlign w:val="superscript"/>
        </w:rPr>
        <w:t>[</w:t>
      </w:r>
      <w:proofErr w:type="gramEnd"/>
      <w:r w:rsidR="004F4D06" w:rsidRPr="006074A2">
        <w:rPr>
          <w:rFonts w:ascii="Book Antiqua" w:hAnsi="Book Antiqua" w:cstheme="majorBidi"/>
          <w:sz w:val="24"/>
          <w:szCs w:val="24"/>
          <w:vertAlign w:val="superscript"/>
        </w:rPr>
        <w:t>129]</w:t>
      </w:r>
      <w:r w:rsidRPr="00B727B0">
        <w:rPr>
          <w:rFonts w:ascii="Book Antiqua" w:hAnsi="Book Antiqua" w:cstheme="majorBidi"/>
          <w:sz w:val="24"/>
          <w:szCs w:val="24"/>
        </w:rPr>
        <w:t xml:space="preserve">. A better response is expected with a normal albumin serum level, </w:t>
      </w:r>
      <w:r w:rsidR="00EE4138" w:rsidRPr="00B727B0">
        <w:rPr>
          <w:rFonts w:ascii="Book Antiqua" w:hAnsi="Book Antiqua" w:cstheme="majorBidi"/>
          <w:sz w:val="24"/>
          <w:szCs w:val="24"/>
        </w:rPr>
        <w:t>and fewer</w:t>
      </w:r>
      <w:r w:rsidRPr="00B727B0">
        <w:rPr>
          <w:rFonts w:ascii="Book Antiqua" w:hAnsi="Book Antiqua" w:cstheme="majorBidi"/>
          <w:sz w:val="24"/>
          <w:szCs w:val="24"/>
        </w:rPr>
        <w:t xml:space="preserve"> administered infusions as </w:t>
      </w:r>
      <w:r w:rsidR="006074A2">
        <w:rPr>
          <w:rFonts w:ascii="Book Antiqua" w:hAnsi="Book Antiqua" w:cstheme="majorBidi"/>
          <w:sz w:val="24"/>
          <w:szCs w:val="24"/>
        </w:rPr>
        <w:t xml:space="preserve">well as in young age </w:t>
      </w:r>
      <w:proofErr w:type="gramStart"/>
      <w:r w:rsidR="006074A2">
        <w:rPr>
          <w:rFonts w:ascii="Book Antiqua" w:hAnsi="Book Antiqua" w:cstheme="majorBidi"/>
          <w:sz w:val="24"/>
          <w:szCs w:val="24"/>
        </w:rPr>
        <w:t>recipients</w:t>
      </w:r>
      <w:r w:rsidR="004F4D06" w:rsidRPr="006074A2">
        <w:rPr>
          <w:rFonts w:ascii="Book Antiqua" w:hAnsi="Book Antiqua" w:cstheme="majorBidi"/>
          <w:sz w:val="24"/>
          <w:szCs w:val="24"/>
          <w:vertAlign w:val="superscript"/>
        </w:rPr>
        <w:t>[</w:t>
      </w:r>
      <w:proofErr w:type="gramEnd"/>
      <w:r w:rsidR="004F4D06" w:rsidRPr="006074A2">
        <w:rPr>
          <w:rFonts w:ascii="Book Antiqua" w:hAnsi="Book Antiqua" w:cstheme="majorBidi"/>
          <w:sz w:val="24"/>
          <w:szCs w:val="24"/>
          <w:vertAlign w:val="superscript"/>
        </w:rPr>
        <w:t>130]</w:t>
      </w:r>
      <w:r w:rsidRPr="00B727B0">
        <w:rPr>
          <w:rFonts w:ascii="Book Antiqua" w:hAnsi="Book Antiqua" w:cstheme="majorBidi"/>
          <w:sz w:val="24"/>
          <w:szCs w:val="24"/>
        </w:rPr>
        <w:t>. It is not well-proved if titrating rituximab dosage will be the best policy to deplete the B-cell or not. The typical published dosage of rituximab is 375 mg/m</w:t>
      </w:r>
      <w:r w:rsidRPr="006074A2">
        <w:rPr>
          <w:rFonts w:ascii="Book Antiqua" w:hAnsi="Book Antiqua" w:cstheme="majorBidi"/>
          <w:bCs/>
          <w:sz w:val="24"/>
          <w:szCs w:val="24"/>
          <w:vertAlign w:val="superscript"/>
        </w:rPr>
        <w:t>2</w:t>
      </w:r>
      <w:r w:rsidRPr="00B727B0">
        <w:rPr>
          <w:rFonts w:ascii="Book Antiqua" w:hAnsi="Book Antiqua" w:cstheme="majorBidi"/>
          <w:sz w:val="24"/>
          <w:szCs w:val="24"/>
        </w:rPr>
        <w:t xml:space="preserve">/dose/2-6 doses, with 1-2 </w:t>
      </w:r>
      <w:r w:rsidR="006074A2">
        <w:rPr>
          <w:rFonts w:ascii="Book Antiqua" w:hAnsi="Book Antiqua" w:cstheme="majorBidi"/>
          <w:sz w:val="24"/>
          <w:szCs w:val="24"/>
        </w:rPr>
        <w:t>wk</w:t>
      </w:r>
      <w:r w:rsidRPr="00B727B0">
        <w:rPr>
          <w:rFonts w:ascii="Book Antiqua" w:hAnsi="Book Antiqua" w:cstheme="majorBidi"/>
          <w:sz w:val="24"/>
          <w:szCs w:val="24"/>
        </w:rPr>
        <w:t xml:space="preserve"> apart.</w:t>
      </w:r>
    </w:p>
    <w:p w14:paraId="31EA58C2" w14:textId="77777777" w:rsidR="00CF30B0" w:rsidRPr="00B727B0" w:rsidRDefault="00CF30B0" w:rsidP="007312CD">
      <w:pPr>
        <w:adjustRightInd w:val="0"/>
        <w:snapToGrid w:val="0"/>
        <w:spacing w:after="0" w:line="360" w:lineRule="auto"/>
        <w:jc w:val="both"/>
        <w:rPr>
          <w:rFonts w:ascii="Book Antiqua" w:eastAsia="宋体" w:hAnsi="Book Antiqua" w:cstheme="majorBidi"/>
          <w:i/>
          <w:sz w:val="24"/>
          <w:szCs w:val="24"/>
          <w:lang w:eastAsia="zh-CN"/>
        </w:rPr>
      </w:pPr>
    </w:p>
    <w:p w14:paraId="065BC573" w14:textId="0900C465" w:rsidR="00CF30B0" w:rsidRPr="00B727B0" w:rsidRDefault="00CF30B0"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hAnsi="Book Antiqua" w:cstheme="majorBidi"/>
          <w:b/>
          <w:i/>
          <w:sz w:val="24"/>
          <w:szCs w:val="24"/>
        </w:rPr>
        <w:t>PE and rituximab combination</w:t>
      </w:r>
    </w:p>
    <w:p w14:paraId="736D2EDC" w14:textId="59B63010"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A</w:t>
      </w:r>
      <w:r w:rsidR="00B06D1C" w:rsidRPr="00B727B0">
        <w:rPr>
          <w:rFonts w:ascii="Book Antiqua" w:hAnsi="Book Antiqua" w:cstheme="majorBidi"/>
          <w:sz w:val="24"/>
          <w:szCs w:val="24"/>
        </w:rPr>
        <w:t>n augmented benefit was assumed to be expected with the combined therapy including PE in a</w:t>
      </w:r>
      <w:r w:rsidR="006074A2">
        <w:rPr>
          <w:rFonts w:ascii="Book Antiqua" w:hAnsi="Book Antiqua" w:cstheme="majorBidi"/>
          <w:sz w:val="24"/>
          <w:szCs w:val="24"/>
        </w:rPr>
        <w:t xml:space="preserve">ddition to </w:t>
      </w:r>
      <w:proofErr w:type="gramStart"/>
      <w:r w:rsidR="006074A2">
        <w:rPr>
          <w:rFonts w:ascii="Book Antiqua" w:hAnsi="Book Antiqua" w:cstheme="majorBidi"/>
          <w:sz w:val="24"/>
          <w:szCs w:val="24"/>
        </w:rPr>
        <w:t>rituximab</w:t>
      </w:r>
      <w:r w:rsidR="006074A2" w:rsidRPr="006074A2">
        <w:rPr>
          <w:rFonts w:ascii="Book Antiqua" w:hAnsi="Book Antiqua" w:cstheme="majorBidi"/>
          <w:sz w:val="24"/>
          <w:szCs w:val="24"/>
          <w:vertAlign w:val="superscript"/>
        </w:rPr>
        <w:t>[</w:t>
      </w:r>
      <w:proofErr w:type="gramEnd"/>
      <w:r w:rsidR="006074A2" w:rsidRPr="006074A2">
        <w:rPr>
          <w:rFonts w:ascii="Book Antiqua" w:hAnsi="Book Antiqua" w:cstheme="majorBidi"/>
          <w:sz w:val="24"/>
          <w:szCs w:val="24"/>
          <w:vertAlign w:val="superscript"/>
        </w:rPr>
        <w:t>131,</w:t>
      </w:r>
      <w:r w:rsidR="00E84B97" w:rsidRPr="006074A2">
        <w:rPr>
          <w:rFonts w:ascii="Book Antiqua" w:hAnsi="Book Antiqua" w:cstheme="majorBidi"/>
          <w:sz w:val="24"/>
          <w:szCs w:val="24"/>
          <w:vertAlign w:val="superscript"/>
        </w:rPr>
        <w:t>132]</w:t>
      </w:r>
      <w:r w:rsidR="000E0C47" w:rsidRPr="00B727B0">
        <w:rPr>
          <w:rFonts w:ascii="Book Antiqua" w:hAnsi="Book Antiqua" w:cstheme="majorBidi"/>
          <w:sz w:val="24"/>
          <w:szCs w:val="24"/>
        </w:rPr>
        <w:t>.</w:t>
      </w:r>
      <w:r w:rsidR="008C1549" w:rsidRPr="00B727B0">
        <w:rPr>
          <w:rFonts w:ascii="Book Antiqua" w:hAnsi="Book Antiqua" w:cstheme="majorBidi"/>
          <w:sz w:val="24"/>
          <w:szCs w:val="24"/>
        </w:rPr>
        <w:t xml:space="preserve"> </w:t>
      </w:r>
      <w:r w:rsidR="00B06D1C" w:rsidRPr="00B727B0">
        <w:rPr>
          <w:rFonts w:ascii="Book Antiqua" w:hAnsi="Book Antiqua" w:cstheme="majorBidi"/>
          <w:sz w:val="24"/>
          <w:szCs w:val="24"/>
        </w:rPr>
        <w:t xml:space="preserve">Tsagalis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6074A2">
        <w:rPr>
          <w:rFonts w:ascii="Book Antiqua" w:eastAsia="宋体" w:hAnsi="Book Antiqua" w:cstheme="majorBidi" w:hint="eastAsia"/>
          <w:sz w:val="24"/>
          <w:szCs w:val="24"/>
          <w:vertAlign w:val="superscript"/>
          <w:lang w:eastAsia="zh-CN"/>
        </w:rPr>
        <w:t>[</w:t>
      </w:r>
      <w:proofErr w:type="gramEnd"/>
      <w:r w:rsidR="006074A2">
        <w:rPr>
          <w:rFonts w:ascii="Book Antiqua" w:eastAsia="宋体" w:hAnsi="Book Antiqua" w:cstheme="majorBidi" w:hint="eastAsia"/>
          <w:sz w:val="24"/>
          <w:szCs w:val="24"/>
          <w:vertAlign w:val="superscript"/>
          <w:lang w:eastAsia="zh-CN"/>
        </w:rPr>
        <w:t>131]</w:t>
      </w:r>
      <w:r w:rsidR="0041530B" w:rsidRPr="00B727B0">
        <w:rPr>
          <w:rFonts w:ascii="Book Antiqua" w:hAnsi="Book Antiqua" w:cstheme="majorBidi"/>
          <w:sz w:val="24"/>
          <w:szCs w:val="24"/>
        </w:rPr>
        <w:t xml:space="preserve"> </w:t>
      </w:r>
      <w:r w:rsidR="00B06D1C" w:rsidRPr="00B727B0">
        <w:rPr>
          <w:rFonts w:ascii="Book Antiqua" w:hAnsi="Book Antiqua" w:cstheme="majorBidi"/>
          <w:sz w:val="24"/>
          <w:szCs w:val="24"/>
        </w:rPr>
        <w:t xml:space="preserve">utilized one gram rituximab per dose, in two doses with two </w:t>
      </w:r>
      <w:r w:rsidR="006074A2">
        <w:rPr>
          <w:rFonts w:ascii="Book Antiqua" w:hAnsi="Book Antiqua" w:cstheme="majorBidi"/>
          <w:sz w:val="24"/>
          <w:szCs w:val="24"/>
        </w:rPr>
        <w:t>wk</w:t>
      </w:r>
      <w:r w:rsidR="00B06D1C" w:rsidRPr="00B727B0">
        <w:rPr>
          <w:rFonts w:ascii="Book Antiqua" w:hAnsi="Book Antiqua" w:cstheme="majorBidi"/>
          <w:sz w:val="24"/>
          <w:szCs w:val="24"/>
        </w:rPr>
        <w:t xml:space="preserve"> apart with PE not performed before 72 </w:t>
      </w:r>
      <w:r w:rsidR="006074A2">
        <w:rPr>
          <w:rFonts w:ascii="Book Antiqua" w:hAnsi="Book Antiqua" w:cstheme="majorBidi"/>
          <w:sz w:val="24"/>
          <w:szCs w:val="24"/>
        </w:rPr>
        <w:t>h</w:t>
      </w:r>
      <w:r w:rsidR="00B06D1C" w:rsidRPr="00B727B0">
        <w:rPr>
          <w:rFonts w:ascii="Book Antiqua" w:hAnsi="Book Antiqua" w:cstheme="majorBidi"/>
          <w:sz w:val="24"/>
          <w:szCs w:val="24"/>
        </w:rPr>
        <w:t xml:space="preserve">. Two of his patients commenced complete remission and the other two have a partial remission with a stable renal profile and absence of severe complications for 18-60 </w:t>
      </w:r>
      <w:r w:rsidR="00B8002F">
        <w:rPr>
          <w:rFonts w:ascii="Book Antiqua" w:hAnsi="Book Antiqua" w:cstheme="majorBidi"/>
          <w:sz w:val="24"/>
          <w:szCs w:val="24"/>
        </w:rPr>
        <w:t>mo</w:t>
      </w:r>
      <w:r w:rsidR="00B06D1C" w:rsidRPr="00B727B0">
        <w:rPr>
          <w:rFonts w:ascii="Book Antiqua" w:hAnsi="Book Antiqua" w:cstheme="majorBidi"/>
          <w:sz w:val="24"/>
          <w:szCs w:val="24"/>
        </w:rPr>
        <w:t xml:space="preserve"> of follow up. </w:t>
      </w:r>
    </w:p>
    <w:p w14:paraId="77CF7017" w14:textId="4A9AB502" w:rsidR="0084049E" w:rsidRPr="00B727B0" w:rsidRDefault="00B06D1C" w:rsidP="007312CD">
      <w:pPr>
        <w:adjustRightInd w:val="0"/>
        <w:snapToGrid w:val="0"/>
        <w:spacing w:after="0" w:line="360" w:lineRule="auto"/>
        <w:ind w:firstLine="720"/>
        <w:jc w:val="both"/>
        <w:rPr>
          <w:rFonts w:ascii="Book Antiqua" w:hAnsi="Book Antiqua" w:cstheme="majorBidi"/>
          <w:sz w:val="24"/>
          <w:szCs w:val="24"/>
        </w:rPr>
      </w:pPr>
      <w:r w:rsidRPr="00B727B0">
        <w:rPr>
          <w:rFonts w:ascii="Book Antiqua" w:eastAsia="Times New Roman" w:hAnsi="Book Antiqua" w:cstheme="majorBidi"/>
          <w:sz w:val="24"/>
          <w:szCs w:val="24"/>
        </w:rPr>
        <w:t>While the resolution of recurrent FSGS was assumed to be possible</w:t>
      </w:r>
      <w:r w:rsidR="000E0C47" w:rsidRPr="006074A2">
        <w:rPr>
          <w:rFonts w:ascii="Book Antiqua" w:eastAsia="Times New Roman" w:hAnsi="Book Antiqua" w:cstheme="majorBidi"/>
          <w:sz w:val="24"/>
          <w:szCs w:val="24"/>
          <w:vertAlign w:val="superscript"/>
        </w:rPr>
        <w:t>[2]</w:t>
      </w:r>
      <w:r w:rsidR="008C1549" w:rsidRPr="00B727B0">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through the use of the </w:t>
      </w:r>
      <w:r w:rsidR="00293861" w:rsidRPr="00B727B0">
        <w:rPr>
          <w:rFonts w:ascii="Book Antiqua" w:eastAsia="Times New Roman" w:hAnsi="Book Antiqua" w:cstheme="majorBidi"/>
          <w:sz w:val="24"/>
          <w:szCs w:val="24"/>
        </w:rPr>
        <w:t>anti-CD</w:t>
      </w:r>
      <w:r w:rsidRPr="00B727B0">
        <w:rPr>
          <w:rFonts w:ascii="Book Antiqua" w:eastAsia="Times New Roman" w:hAnsi="Book Antiqua" w:cstheme="majorBidi"/>
          <w:sz w:val="24"/>
          <w:szCs w:val="24"/>
        </w:rPr>
        <w:t xml:space="preserve"> 20 AB, rituximab</w:t>
      </w:r>
      <w:r w:rsidR="00E84B97" w:rsidRPr="006074A2">
        <w:rPr>
          <w:rFonts w:ascii="Book Antiqua" w:eastAsia="Times New Roman" w:hAnsi="Book Antiqua" w:cstheme="majorBidi"/>
          <w:sz w:val="24"/>
          <w:szCs w:val="24"/>
          <w:vertAlign w:val="superscript"/>
        </w:rPr>
        <w:t>[133]</w:t>
      </w:r>
      <w:r w:rsidRPr="00B727B0">
        <w:rPr>
          <w:rFonts w:ascii="Book Antiqua" w:eastAsia="Times New Roman" w:hAnsi="Book Antiqua" w:cstheme="majorBidi"/>
          <w:sz w:val="24"/>
          <w:szCs w:val="24"/>
        </w:rPr>
        <w:t xml:space="preserve">, this efficacy, unfortunately, is not </w:t>
      </w:r>
      <w:r w:rsidR="00EE4138" w:rsidRPr="00B727B0">
        <w:rPr>
          <w:rFonts w:ascii="Book Antiqua" w:eastAsia="Times New Roman" w:hAnsi="Book Antiqua" w:cstheme="majorBidi"/>
          <w:sz w:val="24"/>
          <w:szCs w:val="24"/>
        </w:rPr>
        <w:t xml:space="preserve">consistent </w:t>
      </w:r>
      <w:r w:rsidRPr="00B727B0">
        <w:rPr>
          <w:rFonts w:ascii="Book Antiqua" w:eastAsia="Times New Roman" w:hAnsi="Book Antiqua" w:cstheme="majorBidi"/>
          <w:sz w:val="24"/>
          <w:szCs w:val="24"/>
        </w:rPr>
        <w:t>but rat</w:t>
      </w:r>
      <w:r w:rsidR="004F4D06" w:rsidRPr="00B727B0">
        <w:rPr>
          <w:rFonts w:ascii="Book Antiqua" w:eastAsia="Times New Roman" w:hAnsi="Book Antiqua" w:cstheme="majorBidi"/>
          <w:sz w:val="24"/>
          <w:szCs w:val="24"/>
        </w:rPr>
        <w:t>her limited to certain subtypes</w:t>
      </w:r>
      <w:r w:rsidRPr="00B727B0">
        <w:rPr>
          <w:rFonts w:ascii="Book Antiqua" w:eastAsia="Times New Roman" w:hAnsi="Book Antiqua" w:cstheme="majorBidi"/>
          <w:sz w:val="24"/>
          <w:szCs w:val="24"/>
        </w:rPr>
        <w:t xml:space="preserve">. The use PE proved to be effective in removing the circulating permeability </w:t>
      </w:r>
      <w:proofErr w:type="gramStart"/>
      <w:r w:rsidRPr="00B727B0">
        <w:rPr>
          <w:rFonts w:ascii="Book Antiqua" w:eastAsia="Times New Roman" w:hAnsi="Book Antiqua" w:cstheme="majorBidi"/>
          <w:sz w:val="24"/>
          <w:szCs w:val="24"/>
        </w:rPr>
        <w:t>factors</w:t>
      </w:r>
      <w:r w:rsidR="00E84B97" w:rsidRPr="006074A2">
        <w:rPr>
          <w:rFonts w:ascii="Book Antiqua" w:eastAsia="Times New Roman" w:hAnsi="Book Antiqua" w:cstheme="majorBidi"/>
          <w:sz w:val="24"/>
          <w:szCs w:val="24"/>
          <w:vertAlign w:val="superscript"/>
        </w:rPr>
        <w:t>[</w:t>
      </w:r>
      <w:proofErr w:type="gramEnd"/>
      <w:r w:rsidR="00E84B97" w:rsidRPr="006074A2">
        <w:rPr>
          <w:rFonts w:ascii="Book Antiqua" w:eastAsia="Times New Roman" w:hAnsi="Book Antiqua" w:cstheme="majorBidi"/>
          <w:sz w:val="24"/>
          <w:szCs w:val="24"/>
          <w:vertAlign w:val="superscript"/>
        </w:rPr>
        <w:t>134]</w:t>
      </w:r>
      <w:r w:rsidRPr="00B727B0">
        <w:rPr>
          <w:rFonts w:ascii="Book Antiqua" w:eastAsia="Times New Roman" w:hAnsi="Book Antiqua" w:cstheme="majorBidi"/>
          <w:sz w:val="24"/>
          <w:szCs w:val="24"/>
        </w:rPr>
        <w:t xml:space="preserve">. For instance, we cannot </w:t>
      </w:r>
      <w:r w:rsidR="00EE4138" w:rsidRPr="00B727B0">
        <w:rPr>
          <w:rFonts w:ascii="Book Antiqua" w:eastAsia="Times New Roman" w:hAnsi="Book Antiqua" w:cstheme="majorBidi"/>
          <w:sz w:val="24"/>
          <w:szCs w:val="24"/>
        </w:rPr>
        <w:t>rely</w:t>
      </w:r>
      <w:r w:rsidRPr="00B727B0">
        <w:rPr>
          <w:rFonts w:ascii="Book Antiqua" w:eastAsia="Times New Roman" w:hAnsi="Book Antiqua" w:cstheme="majorBidi"/>
          <w:sz w:val="24"/>
          <w:szCs w:val="24"/>
        </w:rPr>
        <w:t xml:space="preserve"> only on this effect in case of recurrent FSGS disease</w:t>
      </w:r>
      <w:r w:rsidR="00EE4138"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On the other hand, rituximab </w:t>
      </w:r>
      <w:r w:rsidR="008135B5" w:rsidRPr="00B727B0">
        <w:rPr>
          <w:rFonts w:ascii="Book Antiqua" w:eastAsia="Times New Roman" w:hAnsi="Book Antiqua" w:cstheme="majorBidi"/>
          <w:sz w:val="24"/>
          <w:szCs w:val="24"/>
        </w:rPr>
        <w:t xml:space="preserve">was </w:t>
      </w:r>
      <w:r w:rsidRPr="00B727B0">
        <w:rPr>
          <w:rFonts w:ascii="Book Antiqua" w:eastAsia="Times New Roman" w:hAnsi="Book Antiqua" w:cstheme="majorBidi"/>
          <w:sz w:val="24"/>
          <w:szCs w:val="24"/>
        </w:rPr>
        <w:t>proved in a small pediatric group with recurrent FSGS to be effective in achievi</w:t>
      </w:r>
      <w:r w:rsidR="004F4D06" w:rsidRPr="00B727B0">
        <w:rPr>
          <w:rFonts w:ascii="Book Antiqua" w:eastAsia="Times New Roman" w:hAnsi="Book Antiqua" w:cstheme="majorBidi"/>
          <w:sz w:val="24"/>
          <w:szCs w:val="24"/>
        </w:rPr>
        <w:t>ng PE independence successfully</w:t>
      </w:r>
      <w:r w:rsidRPr="00B727B0">
        <w:rPr>
          <w:rFonts w:ascii="Book Antiqua" w:eastAsia="Times New Roman" w:hAnsi="Book Antiqua" w:cstheme="majorBidi"/>
          <w:sz w:val="24"/>
          <w:szCs w:val="24"/>
        </w:rPr>
        <w:t xml:space="preserve">. The variability in response of recurrent FSGS to both PE as well as </w:t>
      </w:r>
      <w:r w:rsidR="00293861" w:rsidRPr="00B727B0">
        <w:rPr>
          <w:rFonts w:ascii="Book Antiqua" w:eastAsia="Times New Roman" w:hAnsi="Book Antiqua" w:cstheme="majorBidi"/>
          <w:sz w:val="24"/>
          <w:szCs w:val="24"/>
        </w:rPr>
        <w:t>anti-CD</w:t>
      </w:r>
      <w:r w:rsidRPr="00B727B0">
        <w:rPr>
          <w:rFonts w:ascii="Book Antiqua" w:eastAsia="Times New Roman" w:hAnsi="Book Antiqua" w:cstheme="majorBidi"/>
          <w:sz w:val="24"/>
          <w:szCs w:val="24"/>
        </w:rPr>
        <w:t xml:space="preserve"> 20 AB (rituximab) therapy is widely </w:t>
      </w:r>
      <w:proofErr w:type="gramStart"/>
      <w:r w:rsidRPr="00B727B0">
        <w:rPr>
          <w:rFonts w:ascii="Book Antiqua" w:eastAsia="Times New Roman" w:hAnsi="Book Antiqua" w:cstheme="majorBidi"/>
          <w:sz w:val="24"/>
          <w:szCs w:val="24"/>
        </w:rPr>
        <w:t>spread</w:t>
      </w:r>
      <w:r w:rsidR="00633CEA" w:rsidRPr="006074A2">
        <w:rPr>
          <w:rFonts w:ascii="Book Antiqua" w:eastAsia="Times New Roman" w:hAnsi="Book Antiqua" w:cstheme="majorBidi"/>
          <w:sz w:val="24"/>
          <w:szCs w:val="24"/>
          <w:vertAlign w:val="superscript"/>
        </w:rPr>
        <w:t>[</w:t>
      </w:r>
      <w:proofErr w:type="gramEnd"/>
      <w:r w:rsidR="00633CEA" w:rsidRPr="006074A2">
        <w:rPr>
          <w:rFonts w:ascii="Book Antiqua" w:eastAsia="Times New Roman" w:hAnsi="Book Antiqua" w:cstheme="majorBidi"/>
          <w:sz w:val="24"/>
          <w:szCs w:val="24"/>
          <w:vertAlign w:val="superscript"/>
        </w:rPr>
        <w:t>135</w:t>
      </w:r>
      <w:r w:rsidR="006074A2" w:rsidRPr="006074A2">
        <w:rPr>
          <w:rFonts w:ascii="Book Antiqua" w:eastAsia="宋体" w:hAnsi="Book Antiqua" w:cstheme="majorBidi" w:hint="eastAsia"/>
          <w:sz w:val="24"/>
          <w:szCs w:val="24"/>
          <w:vertAlign w:val="superscript"/>
          <w:lang w:eastAsia="zh-CN"/>
        </w:rPr>
        <w:t>-</w:t>
      </w:r>
      <w:r w:rsidR="00633CEA" w:rsidRPr="006074A2">
        <w:rPr>
          <w:rFonts w:ascii="Book Antiqua" w:eastAsia="Times New Roman" w:hAnsi="Book Antiqua" w:cstheme="majorBidi"/>
          <w:sz w:val="24"/>
          <w:szCs w:val="24"/>
          <w:vertAlign w:val="superscript"/>
        </w:rPr>
        <w:t>137]</w:t>
      </w:r>
      <w:r w:rsidRPr="00B727B0">
        <w:rPr>
          <w:rFonts w:ascii="Book Antiqua" w:eastAsia="Times New Roman" w:hAnsi="Book Antiqua" w:cstheme="majorBidi"/>
          <w:sz w:val="24"/>
          <w:szCs w:val="24"/>
        </w:rPr>
        <w:t xml:space="preserve">, which </w:t>
      </w:r>
      <w:r w:rsidR="00EE4138" w:rsidRPr="00B727B0">
        <w:rPr>
          <w:rFonts w:ascii="Book Antiqua" w:eastAsia="Times New Roman" w:hAnsi="Book Antiqua" w:cstheme="majorBidi"/>
          <w:sz w:val="24"/>
          <w:szCs w:val="24"/>
        </w:rPr>
        <w:t>indicates</w:t>
      </w:r>
      <w:r w:rsidRPr="00B727B0">
        <w:rPr>
          <w:rFonts w:ascii="Book Antiqua" w:eastAsia="Times New Roman" w:hAnsi="Book Antiqua" w:cstheme="majorBidi"/>
          <w:sz w:val="24"/>
          <w:szCs w:val="24"/>
        </w:rPr>
        <w:t xml:space="preserve"> a variable response that varied according to different subtypes. Despite the absence of well-designed randomized prospective</w:t>
      </w:r>
      <w:r w:rsidR="00EE4138" w:rsidRPr="00B727B0">
        <w:rPr>
          <w:rFonts w:ascii="Book Antiqua" w:eastAsia="Times New Roman" w:hAnsi="Book Antiqua" w:cstheme="majorBidi"/>
          <w:sz w:val="24"/>
          <w:szCs w:val="24"/>
        </w:rPr>
        <w:t xml:space="preserve"> studies, some trials attempted</w:t>
      </w:r>
      <w:r w:rsidRPr="00B727B0">
        <w:rPr>
          <w:rFonts w:ascii="Book Antiqua" w:eastAsia="Times New Roman" w:hAnsi="Book Antiqua" w:cstheme="majorBidi"/>
          <w:sz w:val="24"/>
          <w:szCs w:val="24"/>
        </w:rPr>
        <w:t xml:space="preserve"> to prove an effective response of removing a putative permeability factor through PE sessions to </w:t>
      </w:r>
      <w:r w:rsidR="008135B5" w:rsidRPr="00B727B0">
        <w:rPr>
          <w:rFonts w:ascii="Book Antiqua" w:eastAsia="Times New Roman" w:hAnsi="Book Antiqua" w:cstheme="majorBidi"/>
          <w:sz w:val="24"/>
          <w:szCs w:val="24"/>
        </w:rPr>
        <w:t>guard</w:t>
      </w:r>
      <w:r w:rsidRPr="00B727B0">
        <w:rPr>
          <w:rFonts w:ascii="Book Antiqua" w:eastAsia="Times New Roman" w:hAnsi="Book Antiqua" w:cstheme="majorBidi"/>
          <w:sz w:val="24"/>
          <w:szCs w:val="24"/>
        </w:rPr>
        <w:t xml:space="preserve"> against </w:t>
      </w:r>
      <w:r w:rsidR="008135B5" w:rsidRPr="00B727B0">
        <w:rPr>
          <w:rFonts w:ascii="Book Antiqua" w:eastAsia="Times New Roman" w:hAnsi="Book Antiqua" w:cstheme="majorBidi"/>
          <w:sz w:val="24"/>
          <w:szCs w:val="24"/>
        </w:rPr>
        <w:t xml:space="preserve">FSGS </w:t>
      </w:r>
      <w:r w:rsidR="004F4D06" w:rsidRPr="00B727B0">
        <w:rPr>
          <w:rFonts w:ascii="Book Antiqua" w:eastAsia="Times New Roman" w:hAnsi="Book Antiqua" w:cstheme="majorBidi"/>
          <w:sz w:val="24"/>
          <w:szCs w:val="24"/>
        </w:rPr>
        <w:t>recurrence</w:t>
      </w:r>
      <w:r w:rsidRPr="00B727B0">
        <w:rPr>
          <w:rFonts w:ascii="Book Antiqua" w:eastAsia="Times New Roman" w:hAnsi="Book Antiqua" w:cstheme="majorBidi"/>
          <w:sz w:val="24"/>
          <w:szCs w:val="24"/>
        </w:rPr>
        <w:t xml:space="preserve">, </w:t>
      </w:r>
      <w:r w:rsidR="008135B5" w:rsidRPr="00B727B0">
        <w:rPr>
          <w:rFonts w:ascii="Book Antiqua" w:eastAsia="Times New Roman" w:hAnsi="Book Antiqua" w:cstheme="majorBidi"/>
          <w:sz w:val="24"/>
          <w:szCs w:val="24"/>
        </w:rPr>
        <w:t>which was</w:t>
      </w:r>
      <w:r w:rsidR="00633CEA" w:rsidRPr="00B727B0">
        <w:rPr>
          <w:rFonts w:ascii="Book Antiqua" w:eastAsia="Times New Roman" w:hAnsi="Book Antiqua" w:cstheme="majorBidi"/>
          <w:sz w:val="24"/>
          <w:szCs w:val="24"/>
        </w:rPr>
        <w:t xml:space="preserve"> not confirmed by others</w:t>
      </w:r>
      <w:r w:rsidRPr="00B727B0">
        <w:rPr>
          <w:rFonts w:ascii="Book Antiqua" w:eastAsia="Times New Roman" w:hAnsi="Book Antiqua" w:cstheme="majorBidi"/>
          <w:sz w:val="24"/>
          <w:szCs w:val="24"/>
        </w:rPr>
        <w:t>.</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 xml:space="preserve">A new strategy has been tailored by </w:t>
      </w:r>
      <w:r w:rsidR="00D56A03" w:rsidRPr="00B727B0">
        <w:rPr>
          <w:rFonts w:ascii="Book Antiqua" w:eastAsia="Times New Roman" w:hAnsi="Book Antiqua" w:cstheme="majorBidi"/>
          <w:sz w:val="24"/>
          <w:szCs w:val="24"/>
        </w:rPr>
        <w:t xml:space="preserve">Cosio </w:t>
      </w:r>
      <w:r w:rsidR="00D56A03" w:rsidRPr="00FA7145">
        <w:rPr>
          <w:rFonts w:ascii="Book Antiqua" w:eastAsia="宋体" w:hAnsi="Book Antiqua" w:cstheme="majorBidi" w:hint="eastAsia"/>
          <w:i/>
          <w:sz w:val="24"/>
          <w:szCs w:val="24"/>
          <w:lang w:eastAsia="zh-CN"/>
        </w:rPr>
        <w:t xml:space="preserve">et </w:t>
      </w:r>
      <w:proofErr w:type="gramStart"/>
      <w:r w:rsidR="00D56A03" w:rsidRPr="00FA7145">
        <w:rPr>
          <w:rFonts w:ascii="Book Antiqua" w:eastAsia="宋体" w:hAnsi="Book Antiqua" w:cstheme="majorBidi" w:hint="eastAsia"/>
          <w:i/>
          <w:sz w:val="24"/>
          <w:szCs w:val="24"/>
          <w:lang w:eastAsia="zh-CN"/>
        </w:rPr>
        <w:t>al</w:t>
      </w:r>
      <w:r w:rsidR="00D56A03" w:rsidRPr="00FA7145">
        <w:rPr>
          <w:rFonts w:ascii="Book Antiqua" w:eastAsia="宋体" w:hAnsi="Book Antiqua" w:cstheme="majorBidi" w:hint="eastAsia"/>
          <w:sz w:val="24"/>
          <w:szCs w:val="24"/>
          <w:vertAlign w:val="superscript"/>
          <w:lang w:eastAsia="zh-CN"/>
        </w:rPr>
        <w:t>[</w:t>
      </w:r>
      <w:proofErr w:type="gramEnd"/>
      <w:r w:rsidR="00D56A03" w:rsidRPr="00FA7145">
        <w:rPr>
          <w:rFonts w:ascii="Book Antiqua" w:eastAsia="宋体" w:hAnsi="Book Antiqua" w:cstheme="majorBidi" w:hint="eastAsia"/>
          <w:sz w:val="24"/>
          <w:szCs w:val="24"/>
          <w:vertAlign w:val="superscript"/>
          <w:lang w:eastAsia="zh-CN"/>
        </w:rPr>
        <w:t>2]</w:t>
      </w:r>
      <w:r w:rsidRPr="00B727B0">
        <w:rPr>
          <w:rFonts w:ascii="Book Antiqua" w:eastAsia="Times New Roman" w:hAnsi="Book Antiqua" w:cstheme="majorBidi"/>
          <w:sz w:val="24"/>
          <w:szCs w:val="24"/>
        </w:rPr>
        <w:t xml:space="preserve"> to evaluate the ability of the anti-CD25, rituximab</w:t>
      </w:r>
      <w:r w:rsidR="008135B5" w:rsidRPr="00B727B0">
        <w:rPr>
          <w:rFonts w:ascii="Book Antiqua" w:eastAsia="Times New Roman" w:hAnsi="Book Antiqua" w:cstheme="majorBidi"/>
          <w:sz w:val="24"/>
          <w:szCs w:val="24"/>
        </w:rPr>
        <w:t>,</w:t>
      </w:r>
      <w:r w:rsidRPr="00B727B0">
        <w:rPr>
          <w:rFonts w:ascii="Book Antiqua" w:eastAsia="Times New Roman" w:hAnsi="Book Antiqua" w:cstheme="majorBidi"/>
          <w:sz w:val="24"/>
          <w:szCs w:val="24"/>
        </w:rPr>
        <w:t xml:space="preserve"> before transplantation to prevent/decrease FSGS recurrence </w:t>
      </w:r>
      <w:r w:rsidR="008135B5" w:rsidRPr="00B727B0">
        <w:rPr>
          <w:rFonts w:ascii="Book Antiqua" w:eastAsia="Times New Roman" w:hAnsi="Book Antiqua" w:cstheme="majorBidi"/>
          <w:sz w:val="24"/>
          <w:szCs w:val="24"/>
        </w:rPr>
        <w:t xml:space="preserve">rate </w:t>
      </w:r>
      <w:r w:rsidRPr="00B727B0">
        <w:rPr>
          <w:rFonts w:ascii="Book Antiqua" w:eastAsia="Times New Roman" w:hAnsi="Book Antiqua" w:cstheme="majorBidi"/>
          <w:sz w:val="24"/>
          <w:szCs w:val="24"/>
        </w:rPr>
        <w:t xml:space="preserve">has been commenced </w:t>
      </w:r>
      <w:r w:rsidR="007E74F8" w:rsidRPr="00B727B0">
        <w:rPr>
          <w:rFonts w:ascii="Book Antiqua" w:eastAsia="Times New Roman" w:hAnsi="Book Antiqua" w:cstheme="majorBidi"/>
          <w:sz w:val="24"/>
          <w:szCs w:val="24"/>
        </w:rPr>
        <w:t>with encouraging early results</w:t>
      </w:r>
      <w:r w:rsidRPr="00B727B0">
        <w:rPr>
          <w:rFonts w:ascii="Book Antiqua" w:eastAsia="Times New Roman" w:hAnsi="Book Antiqua" w:cstheme="majorBidi"/>
          <w:sz w:val="24"/>
          <w:szCs w:val="24"/>
        </w:rPr>
        <w:t>.</w:t>
      </w:r>
    </w:p>
    <w:p w14:paraId="07C6C23F" w14:textId="77777777" w:rsidR="00CF30B0" w:rsidRPr="00B727B0" w:rsidRDefault="00CF30B0" w:rsidP="007312CD">
      <w:pPr>
        <w:adjustRightInd w:val="0"/>
        <w:snapToGrid w:val="0"/>
        <w:spacing w:after="0" w:line="360" w:lineRule="auto"/>
        <w:jc w:val="both"/>
        <w:rPr>
          <w:rFonts w:ascii="Book Antiqua" w:eastAsia="宋体" w:hAnsi="Book Antiqua" w:cstheme="majorBidi"/>
          <w:i/>
          <w:sz w:val="24"/>
          <w:szCs w:val="24"/>
          <w:lang w:eastAsia="zh-CN"/>
        </w:rPr>
      </w:pPr>
    </w:p>
    <w:p w14:paraId="0C3CABF9" w14:textId="051F994D"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hAnsi="Book Antiqua" w:cstheme="majorBidi"/>
          <w:b/>
          <w:i/>
          <w:sz w:val="24"/>
          <w:szCs w:val="24"/>
        </w:rPr>
        <w:t xml:space="preserve">Renin-angiotensin system </w:t>
      </w:r>
      <w:r w:rsidR="00B06D1C" w:rsidRPr="00B727B0">
        <w:rPr>
          <w:rFonts w:ascii="Book Antiqua" w:hAnsi="Book Antiqua" w:cstheme="majorBidi"/>
          <w:b/>
          <w:i/>
          <w:sz w:val="24"/>
          <w:szCs w:val="24"/>
        </w:rPr>
        <w:t>blockade</w:t>
      </w:r>
    </w:p>
    <w:p w14:paraId="6C0C1598" w14:textId="07473C22" w:rsidR="00FC468B"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F</w:t>
      </w:r>
      <w:r w:rsidR="00B06D1C" w:rsidRPr="00B727B0">
        <w:rPr>
          <w:rFonts w:ascii="Book Antiqua" w:hAnsi="Book Antiqua" w:cstheme="majorBidi"/>
          <w:sz w:val="24"/>
          <w:szCs w:val="24"/>
        </w:rPr>
        <w:t xml:space="preserve">ew case reports have proved the </w:t>
      </w:r>
      <w:r w:rsidR="00EE4138" w:rsidRPr="00B727B0">
        <w:rPr>
          <w:rFonts w:ascii="Book Antiqua" w:hAnsi="Book Antiqua" w:cstheme="majorBidi"/>
          <w:sz w:val="24"/>
          <w:szCs w:val="24"/>
        </w:rPr>
        <w:t>efficacy</w:t>
      </w:r>
      <w:r w:rsidR="00B06D1C" w:rsidRPr="00B727B0">
        <w:rPr>
          <w:rFonts w:ascii="Book Antiqua" w:hAnsi="Book Antiqua" w:cstheme="majorBidi"/>
          <w:sz w:val="24"/>
          <w:szCs w:val="24"/>
        </w:rPr>
        <w:t xml:space="preserve"> of </w:t>
      </w:r>
      <w:r w:rsidRPr="00B727B0">
        <w:rPr>
          <w:rFonts w:ascii="Book Antiqua" w:hAnsi="Book Antiqua" w:cstheme="majorBidi"/>
          <w:sz w:val="24"/>
          <w:szCs w:val="24"/>
        </w:rPr>
        <w:t>renin-angiotensin system (RAS)</w:t>
      </w:r>
      <w:r w:rsidR="00F305E4">
        <w:rPr>
          <w:rFonts w:ascii="Book Antiqua" w:hAnsi="Book Antiqua" w:cstheme="majorBidi"/>
          <w:b/>
          <w:i/>
          <w:sz w:val="24"/>
          <w:szCs w:val="24"/>
        </w:rPr>
        <w:t xml:space="preserve"> </w:t>
      </w:r>
      <w:r w:rsidR="00B06D1C" w:rsidRPr="00B727B0">
        <w:rPr>
          <w:rFonts w:ascii="Book Antiqua" w:hAnsi="Book Antiqua" w:cstheme="majorBidi"/>
          <w:sz w:val="24"/>
          <w:szCs w:val="24"/>
        </w:rPr>
        <w:t xml:space="preserve">blockade on </w:t>
      </w:r>
      <w:r w:rsidR="00C518A8" w:rsidRPr="00B727B0">
        <w:rPr>
          <w:rFonts w:ascii="Book Antiqua" w:hAnsi="Book Antiqua" w:cstheme="majorBidi"/>
          <w:sz w:val="24"/>
          <w:szCs w:val="24"/>
        </w:rPr>
        <w:t>reducing</w:t>
      </w:r>
      <w:r w:rsidR="00B06D1C" w:rsidRPr="00B727B0">
        <w:rPr>
          <w:rFonts w:ascii="Book Antiqua" w:hAnsi="Book Antiqua" w:cstheme="majorBidi"/>
          <w:sz w:val="24"/>
          <w:szCs w:val="24"/>
        </w:rPr>
        <w:t xml:space="preserve"> proteinuria in recurrent FSGS</w:t>
      </w:r>
      <w:r w:rsidR="00D56A03" w:rsidRPr="00D56A03">
        <w:rPr>
          <w:rFonts w:ascii="Book Antiqua" w:hAnsi="Book Antiqua" w:cstheme="majorBidi"/>
          <w:sz w:val="24"/>
          <w:szCs w:val="24"/>
          <w:vertAlign w:val="superscript"/>
        </w:rPr>
        <w:t>[138,</w:t>
      </w:r>
      <w:r w:rsidR="00633CEA" w:rsidRPr="00D56A03">
        <w:rPr>
          <w:rFonts w:ascii="Book Antiqua" w:hAnsi="Book Antiqua" w:cstheme="majorBidi"/>
          <w:sz w:val="24"/>
          <w:szCs w:val="24"/>
          <w:vertAlign w:val="superscript"/>
        </w:rPr>
        <w:t>139]</w:t>
      </w:r>
      <w:r w:rsidR="00B06D1C" w:rsidRPr="00B727B0">
        <w:rPr>
          <w:rFonts w:ascii="Book Antiqua" w:hAnsi="Book Antiqua" w:cstheme="majorBidi"/>
          <w:sz w:val="24"/>
          <w:szCs w:val="24"/>
        </w:rPr>
        <w:t>, which shed the light on the fact that the recurrent FSGS is not completely pure immunological in origin, but additional factors including the primary as well as the adaptive form of FSGS have been incorporated.</w:t>
      </w:r>
    </w:p>
    <w:p w14:paraId="2848C21E"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700063CD" w14:textId="3F47F9CF" w:rsidR="00CF30B0" w:rsidRPr="00B727B0" w:rsidRDefault="00CF30B0"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eastAsia="宋体" w:hAnsi="Book Antiqua" w:cstheme="majorBidi"/>
          <w:b/>
          <w:i/>
          <w:sz w:val="24"/>
          <w:szCs w:val="24"/>
          <w:lang w:eastAsia="zh-CN"/>
        </w:rPr>
        <w:t>A</w:t>
      </w:r>
      <w:r w:rsidR="00B06D1C" w:rsidRPr="00B727B0">
        <w:rPr>
          <w:rFonts w:ascii="Book Antiqua" w:hAnsi="Book Antiqua" w:cstheme="majorBidi"/>
          <w:b/>
          <w:i/>
          <w:sz w:val="24"/>
          <w:szCs w:val="24"/>
        </w:rPr>
        <w:t xml:space="preserve">bility of </w:t>
      </w:r>
      <w:r w:rsidR="00FC468B" w:rsidRPr="00B727B0">
        <w:rPr>
          <w:rFonts w:ascii="Book Antiqua" w:hAnsi="Book Antiqua" w:cstheme="majorBidi"/>
          <w:b/>
          <w:i/>
          <w:sz w:val="24"/>
          <w:szCs w:val="24"/>
        </w:rPr>
        <w:t>“</w:t>
      </w:r>
      <w:r w:rsidR="00B06D1C" w:rsidRPr="00B727B0">
        <w:rPr>
          <w:rFonts w:ascii="Book Antiqua" w:hAnsi="Book Antiqua" w:cstheme="majorBidi"/>
          <w:b/>
          <w:i/>
          <w:sz w:val="24"/>
          <w:szCs w:val="24"/>
        </w:rPr>
        <w:t>galactose infusion</w:t>
      </w:r>
      <w:r w:rsidR="00FC468B" w:rsidRPr="00B727B0">
        <w:rPr>
          <w:rFonts w:ascii="Book Antiqua" w:hAnsi="Book Antiqua" w:cstheme="majorBidi"/>
          <w:b/>
          <w:i/>
          <w:sz w:val="24"/>
          <w:szCs w:val="24"/>
        </w:rPr>
        <w:t>”</w:t>
      </w:r>
      <w:r w:rsidR="00B06D1C" w:rsidRPr="00B727B0">
        <w:rPr>
          <w:rFonts w:ascii="Book Antiqua" w:hAnsi="Book Antiqua" w:cstheme="majorBidi"/>
          <w:b/>
          <w:i/>
          <w:sz w:val="24"/>
          <w:szCs w:val="24"/>
        </w:rPr>
        <w:t xml:space="preserve"> therapy</w:t>
      </w:r>
    </w:p>
    <w:p w14:paraId="26A55025" w14:textId="40A9148F" w:rsidR="00503135" w:rsidRPr="00B727B0" w:rsidRDefault="00CF30B0"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t>I</w:t>
      </w:r>
      <w:r w:rsidR="00B06D1C" w:rsidRPr="00B727B0">
        <w:rPr>
          <w:rFonts w:ascii="Book Antiqua" w:hAnsi="Book Antiqua" w:cstheme="majorBidi"/>
          <w:sz w:val="24"/>
          <w:szCs w:val="24"/>
        </w:rPr>
        <w:t xml:space="preserve">n </w:t>
      </w:r>
      <w:r w:rsidR="00C518A8" w:rsidRPr="00B727B0">
        <w:rPr>
          <w:rFonts w:ascii="Book Antiqua" w:hAnsi="Book Antiqua" w:cstheme="majorBidi"/>
          <w:sz w:val="24"/>
          <w:szCs w:val="24"/>
        </w:rPr>
        <w:t>ameliorating</w:t>
      </w:r>
      <w:r w:rsidR="00B06D1C" w:rsidRPr="00B727B0">
        <w:rPr>
          <w:rFonts w:ascii="Book Antiqua" w:hAnsi="Book Antiqua" w:cstheme="majorBidi"/>
          <w:sz w:val="24"/>
          <w:szCs w:val="24"/>
        </w:rPr>
        <w:t xml:space="preserve"> the toxicity of the circulating permeability factor has been shown in one case series</w:t>
      </w:r>
      <w:r w:rsidR="00FC468B" w:rsidRPr="00B727B0">
        <w:rPr>
          <w:rFonts w:ascii="Book Antiqua" w:hAnsi="Book Antiqua" w:cstheme="majorBidi"/>
          <w:sz w:val="24"/>
          <w:szCs w:val="24"/>
        </w:rPr>
        <w:t>.</w:t>
      </w:r>
      <w:r w:rsidR="00F305E4">
        <w:rPr>
          <w:rFonts w:ascii="Book Antiqua" w:hAnsi="Book Antiqua" w:cstheme="majorBidi"/>
          <w:color w:val="C00000"/>
          <w:sz w:val="24"/>
          <w:szCs w:val="24"/>
        </w:rPr>
        <w:t xml:space="preserve"> </w:t>
      </w:r>
      <w:r w:rsidR="00FC468B" w:rsidRPr="00B727B0">
        <w:rPr>
          <w:rFonts w:ascii="Book Antiqua" w:hAnsi="Book Antiqua" w:cstheme="majorBidi"/>
          <w:sz w:val="24"/>
          <w:szCs w:val="24"/>
        </w:rPr>
        <w:t xml:space="preserve">Galactose </w:t>
      </w:r>
      <w:r w:rsidR="00FA12B1" w:rsidRPr="00B727B0">
        <w:rPr>
          <w:rFonts w:ascii="Book Antiqua" w:hAnsi="Book Antiqua" w:cstheme="majorBidi"/>
          <w:sz w:val="24"/>
          <w:szCs w:val="24"/>
        </w:rPr>
        <w:t>therapy has</w:t>
      </w:r>
      <w:r w:rsidR="00FC468B" w:rsidRPr="00B727B0">
        <w:rPr>
          <w:rFonts w:ascii="Book Antiqua" w:hAnsi="Book Antiqua" w:cstheme="majorBidi"/>
          <w:sz w:val="24"/>
          <w:szCs w:val="24"/>
        </w:rPr>
        <w:t xml:space="preserve"> been proposed by </w:t>
      </w:r>
      <w:hyperlink r:id="rId13" w:history="1">
        <w:r w:rsidR="00D56A03">
          <w:rPr>
            <w:rStyle w:val="Hyperlink"/>
            <w:rFonts w:ascii="Book Antiqua" w:hAnsi="Book Antiqua" w:cstheme="majorBidi"/>
            <w:color w:val="auto"/>
            <w:sz w:val="24"/>
            <w:szCs w:val="24"/>
            <w:u w:val="none"/>
          </w:rPr>
          <w:t>Savin</w:t>
        </w:r>
        <w:r w:rsidR="00D56A03">
          <w:rPr>
            <w:rStyle w:val="Hyperlink"/>
            <w:rFonts w:ascii="Book Antiqua" w:eastAsia="宋体" w:hAnsi="Book Antiqua" w:cstheme="majorBidi" w:hint="eastAsia"/>
            <w:color w:val="auto"/>
            <w:sz w:val="24"/>
            <w:szCs w:val="24"/>
            <w:u w:val="none"/>
            <w:lang w:eastAsia="zh-CN"/>
          </w:rPr>
          <w:t xml:space="preserve"> </w:t>
        </w:r>
        <w:r w:rsidR="00D56A03" w:rsidRPr="00D56A03">
          <w:rPr>
            <w:rStyle w:val="Hyperlink"/>
            <w:rFonts w:ascii="Book Antiqua" w:eastAsia="宋体" w:hAnsi="Book Antiqua" w:cstheme="majorBidi" w:hint="eastAsia"/>
            <w:i/>
            <w:color w:val="auto"/>
            <w:sz w:val="24"/>
            <w:szCs w:val="24"/>
            <w:u w:val="none"/>
            <w:lang w:eastAsia="zh-CN"/>
          </w:rPr>
          <w:t xml:space="preserve">et </w:t>
        </w:r>
        <w:proofErr w:type="gramStart"/>
        <w:r w:rsidR="00D56A03" w:rsidRPr="00D56A03">
          <w:rPr>
            <w:rStyle w:val="Hyperlink"/>
            <w:rFonts w:ascii="Book Antiqua" w:eastAsia="宋体" w:hAnsi="Book Antiqua" w:cstheme="majorBidi" w:hint="eastAsia"/>
            <w:i/>
            <w:color w:val="auto"/>
            <w:sz w:val="24"/>
            <w:szCs w:val="24"/>
            <w:u w:val="none"/>
            <w:lang w:eastAsia="zh-CN"/>
          </w:rPr>
          <w:t>al</w:t>
        </w:r>
        <w:r w:rsidR="00D56A03">
          <w:rPr>
            <w:rStyle w:val="Hyperlink"/>
            <w:rFonts w:ascii="Book Antiqua" w:eastAsia="宋体" w:hAnsi="Book Antiqua" w:cstheme="majorBidi" w:hint="eastAsia"/>
            <w:color w:val="auto"/>
            <w:sz w:val="24"/>
            <w:szCs w:val="24"/>
            <w:u w:val="none"/>
            <w:vertAlign w:val="superscript"/>
            <w:lang w:eastAsia="zh-CN"/>
          </w:rPr>
          <w:t>[</w:t>
        </w:r>
        <w:proofErr w:type="gramEnd"/>
        <w:r w:rsidR="00D56A03">
          <w:rPr>
            <w:rStyle w:val="Hyperlink"/>
            <w:rFonts w:ascii="Book Antiqua" w:eastAsia="宋体" w:hAnsi="Book Antiqua" w:cstheme="majorBidi" w:hint="eastAsia"/>
            <w:color w:val="auto"/>
            <w:sz w:val="24"/>
            <w:szCs w:val="24"/>
            <w:u w:val="none"/>
            <w:vertAlign w:val="superscript"/>
            <w:lang w:eastAsia="zh-CN"/>
          </w:rPr>
          <w:t>139]</w:t>
        </w:r>
      </w:hyperlink>
      <w:r w:rsidR="00FC468B" w:rsidRPr="00B727B0">
        <w:rPr>
          <w:rFonts w:ascii="Book Antiqua" w:hAnsi="Book Antiqua" w:cstheme="majorBidi"/>
          <w:sz w:val="24"/>
          <w:szCs w:val="24"/>
        </w:rPr>
        <w:t xml:space="preserve">  as a non-toxic agent for treatment of the FSGS-associated nephrotic syndrome. The focal segmental permeability factor (FSPF) has a high affinity to galactose. The latter has the ability to inactivate and clear FSPF from the circulation. In addition, the FSPF-galactose complex has a high liability to uptake and </w:t>
      </w:r>
      <w:proofErr w:type="gramStart"/>
      <w:r w:rsidR="00FC468B" w:rsidRPr="00B727B0">
        <w:rPr>
          <w:rFonts w:ascii="Book Antiqua" w:hAnsi="Book Antiqua" w:cstheme="majorBidi"/>
          <w:sz w:val="24"/>
          <w:szCs w:val="24"/>
        </w:rPr>
        <w:t>catabolism</w:t>
      </w:r>
      <w:r w:rsidR="00633CEA" w:rsidRPr="00D56A03">
        <w:rPr>
          <w:rFonts w:ascii="Book Antiqua" w:hAnsi="Book Antiqua" w:cstheme="majorBidi"/>
          <w:sz w:val="24"/>
          <w:szCs w:val="24"/>
          <w:vertAlign w:val="superscript"/>
        </w:rPr>
        <w:t>[</w:t>
      </w:r>
      <w:proofErr w:type="gramEnd"/>
      <w:r w:rsidR="00633CEA" w:rsidRPr="00D56A03">
        <w:rPr>
          <w:rFonts w:ascii="Book Antiqua" w:hAnsi="Book Antiqua" w:cstheme="majorBidi"/>
          <w:sz w:val="24"/>
          <w:szCs w:val="24"/>
          <w:vertAlign w:val="superscript"/>
        </w:rPr>
        <w:t>139]</w:t>
      </w:r>
      <w:r w:rsidR="00B06D1C" w:rsidRPr="00B727B0">
        <w:rPr>
          <w:rFonts w:ascii="Book Antiqua" w:hAnsi="Book Antiqua" w:cstheme="majorBidi"/>
          <w:sz w:val="24"/>
          <w:szCs w:val="24"/>
        </w:rPr>
        <w:t>.</w:t>
      </w:r>
      <w:r w:rsidR="00F305E4">
        <w:rPr>
          <w:rFonts w:ascii="Book Antiqua" w:hAnsi="Book Antiqua" w:cstheme="majorBidi"/>
          <w:sz w:val="24"/>
          <w:szCs w:val="24"/>
        </w:rPr>
        <w:t xml:space="preserve"> </w:t>
      </w:r>
    </w:p>
    <w:p w14:paraId="3EAE60D6" w14:textId="77777777" w:rsidR="00CF30B0" w:rsidRPr="00B727B0" w:rsidRDefault="00CF30B0" w:rsidP="007312CD">
      <w:pPr>
        <w:adjustRightInd w:val="0"/>
        <w:snapToGrid w:val="0"/>
        <w:spacing w:after="0" w:line="360" w:lineRule="auto"/>
        <w:jc w:val="both"/>
        <w:rPr>
          <w:rFonts w:ascii="Book Antiqua" w:eastAsia="宋体" w:hAnsi="Book Antiqua" w:cstheme="majorBidi"/>
          <w:i/>
          <w:sz w:val="24"/>
          <w:szCs w:val="24"/>
          <w:lang w:eastAsia="zh-CN"/>
        </w:rPr>
      </w:pPr>
    </w:p>
    <w:p w14:paraId="42C5D7DF" w14:textId="2CE26EDC"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hAnsi="Book Antiqua" w:cstheme="majorBidi"/>
          <w:b/>
          <w:i/>
          <w:sz w:val="24"/>
          <w:szCs w:val="24"/>
        </w:rPr>
        <w:t>Cyclophosphamide</w:t>
      </w:r>
    </w:p>
    <w:p w14:paraId="2AC365B9" w14:textId="47B717C0"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I</w:t>
      </w:r>
      <w:r w:rsidR="00B06D1C" w:rsidRPr="00B727B0">
        <w:rPr>
          <w:rFonts w:ascii="Book Antiqua" w:hAnsi="Book Antiqua" w:cstheme="majorBidi"/>
          <w:sz w:val="24"/>
          <w:szCs w:val="24"/>
        </w:rPr>
        <w:t xml:space="preserve">n addition to its untoward toxic manifestations with prolonged use, conflicting results have been </w:t>
      </w:r>
      <w:r w:rsidR="00503135" w:rsidRPr="00B727B0">
        <w:rPr>
          <w:rFonts w:ascii="Book Antiqua" w:hAnsi="Book Antiqua" w:cstheme="majorBidi"/>
          <w:sz w:val="24"/>
          <w:szCs w:val="24"/>
        </w:rPr>
        <w:t>determined</w:t>
      </w:r>
      <w:r w:rsidR="00B06D1C" w:rsidRPr="00B727B0">
        <w:rPr>
          <w:rFonts w:ascii="Book Antiqua" w:hAnsi="Book Antiqua" w:cstheme="majorBidi"/>
          <w:sz w:val="24"/>
          <w:szCs w:val="24"/>
        </w:rPr>
        <w:t xml:space="preserve"> with cyclophosphamide therapy.</w:t>
      </w:r>
      <w:r w:rsidR="00F305E4">
        <w:rPr>
          <w:rFonts w:ascii="Book Antiqua" w:hAnsi="Book Antiqua" w:cstheme="majorBidi"/>
          <w:sz w:val="24"/>
          <w:szCs w:val="24"/>
        </w:rPr>
        <w:t xml:space="preserve"> </w:t>
      </w:r>
      <w:r w:rsidR="00101C0C" w:rsidRPr="00B727B0">
        <w:rPr>
          <w:rFonts w:ascii="Book Antiqua" w:hAnsi="Book Antiqua" w:cstheme="majorBidi"/>
          <w:sz w:val="24"/>
          <w:szCs w:val="24"/>
        </w:rPr>
        <w:t xml:space="preserve">Kershaw </w:t>
      </w:r>
      <w:r w:rsidR="00DF361A" w:rsidRPr="00B727B0">
        <w:rPr>
          <w:rFonts w:ascii="Book Antiqua" w:hAnsi="Book Antiqua" w:cstheme="majorBidi"/>
          <w:i/>
          <w:sz w:val="24"/>
          <w:szCs w:val="24"/>
        </w:rPr>
        <w:t>et al</w:t>
      </w:r>
      <w:r w:rsidR="006074A2" w:rsidRPr="006074A2">
        <w:rPr>
          <w:rFonts w:ascii="Book Antiqua" w:hAnsi="Book Antiqua" w:cstheme="majorBidi"/>
          <w:sz w:val="24"/>
          <w:szCs w:val="24"/>
          <w:vertAlign w:val="superscript"/>
        </w:rPr>
        <w:t>[140]</w:t>
      </w:r>
      <w:r w:rsidR="006074A2" w:rsidRPr="00B727B0">
        <w:rPr>
          <w:rFonts w:ascii="Book Antiqua" w:hAnsi="Book Antiqua" w:cstheme="majorBidi"/>
          <w:sz w:val="24"/>
          <w:szCs w:val="24"/>
        </w:rPr>
        <w:t xml:space="preserve"> </w:t>
      </w:r>
      <w:r w:rsidR="00101C0C" w:rsidRPr="00B727B0">
        <w:rPr>
          <w:rFonts w:ascii="Book Antiqua" w:hAnsi="Book Antiqua" w:cstheme="majorBidi"/>
          <w:sz w:val="24"/>
          <w:szCs w:val="24"/>
        </w:rPr>
        <w:t xml:space="preserve">used a high dose of cyclophosphamide in three pediatric patients with recurrent FSGS, two achieved complete remission and the third one have had partial response. Cochat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6074A2" w:rsidRPr="006074A2">
        <w:rPr>
          <w:rFonts w:ascii="Book Antiqua" w:hAnsi="Book Antiqua" w:cstheme="majorBidi"/>
          <w:sz w:val="24"/>
          <w:szCs w:val="24"/>
          <w:vertAlign w:val="superscript"/>
        </w:rPr>
        <w:t>[</w:t>
      </w:r>
      <w:proofErr w:type="gramEnd"/>
      <w:r w:rsidR="006074A2" w:rsidRPr="006074A2">
        <w:rPr>
          <w:rFonts w:ascii="Book Antiqua" w:hAnsi="Book Antiqua" w:cstheme="majorBidi"/>
          <w:sz w:val="24"/>
          <w:szCs w:val="24"/>
          <w:vertAlign w:val="superscript"/>
        </w:rPr>
        <w:t>141]</w:t>
      </w:r>
      <w:r w:rsidR="00101C0C" w:rsidRPr="00B727B0">
        <w:rPr>
          <w:rFonts w:ascii="Book Antiqua" w:hAnsi="Book Antiqua" w:cstheme="majorBidi"/>
          <w:sz w:val="24"/>
          <w:szCs w:val="24"/>
        </w:rPr>
        <w:t xml:space="preserve"> reported sustained remission through a regimen composed of pulse steroid, cyclophosphamide and plasmapheresis (PE). Cheong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6074A2" w:rsidRPr="006074A2">
        <w:rPr>
          <w:rFonts w:ascii="Book Antiqua" w:hAnsi="Book Antiqua" w:cstheme="majorBidi"/>
          <w:sz w:val="24"/>
          <w:szCs w:val="24"/>
          <w:vertAlign w:val="superscript"/>
        </w:rPr>
        <w:t>[</w:t>
      </w:r>
      <w:proofErr w:type="gramEnd"/>
      <w:r w:rsidR="006074A2" w:rsidRPr="006074A2">
        <w:rPr>
          <w:rFonts w:ascii="Book Antiqua" w:hAnsi="Book Antiqua" w:cstheme="majorBidi"/>
          <w:sz w:val="24"/>
          <w:szCs w:val="24"/>
          <w:vertAlign w:val="superscript"/>
        </w:rPr>
        <w:t>142]</w:t>
      </w:r>
      <w:r w:rsidR="00101C0C" w:rsidRPr="00B727B0">
        <w:rPr>
          <w:rFonts w:ascii="Book Antiqua" w:hAnsi="Book Antiqua" w:cstheme="majorBidi"/>
          <w:sz w:val="24"/>
          <w:szCs w:val="24"/>
        </w:rPr>
        <w:t xml:space="preserve"> reported sustained remission only in two of six patients with recurrent FSGS through a similar protocol. Dall</w:t>
      </w:r>
      <w:r w:rsidR="006074A2">
        <w:rPr>
          <w:rFonts w:ascii="Book Antiqua" w:eastAsia="宋体" w:hAnsi="Book Antiqua" w:cstheme="majorBidi"/>
          <w:sz w:val="24"/>
          <w:szCs w:val="24"/>
          <w:lang w:eastAsia="zh-CN"/>
        </w:rPr>
        <w:t>’</w:t>
      </w:r>
      <w:r w:rsidR="00101C0C" w:rsidRPr="00B727B0">
        <w:rPr>
          <w:rFonts w:ascii="Book Antiqua" w:hAnsi="Book Antiqua" w:cstheme="majorBidi"/>
          <w:sz w:val="24"/>
          <w:szCs w:val="24"/>
        </w:rPr>
        <w:t xml:space="preserve">Amico </w:t>
      </w:r>
      <w:r w:rsidR="00DF361A" w:rsidRPr="00B727B0">
        <w:rPr>
          <w:rFonts w:ascii="Book Antiqua" w:hAnsi="Book Antiqua" w:cstheme="majorBidi"/>
          <w:i/>
          <w:sz w:val="24"/>
          <w:szCs w:val="24"/>
        </w:rPr>
        <w:t xml:space="preserve">et </w:t>
      </w:r>
      <w:proofErr w:type="gramStart"/>
      <w:r w:rsidR="00DF361A" w:rsidRPr="00B727B0">
        <w:rPr>
          <w:rFonts w:ascii="Book Antiqua" w:hAnsi="Book Antiqua" w:cstheme="majorBidi"/>
          <w:i/>
          <w:sz w:val="24"/>
          <w:szCs w:val="24"/>
        </w:rPr>
        <w:t>al</w:t>
      </w:r>
      <w:r w:rsidR="006074A2" w:rsidRPr="006074A2">
        <w:rPr>
          <w:rFonts w:ascii="Book Antiqua" w:hAnsi="Book Antiqua" w:cstheme="majorBidi"/>
          <w:sz w:val="24"/>
          <w:szCs w:val="24"/>
          <w:vertAlign w:val="superscript"/>
        </w:rPr>
        <w:t>[</w:t>
      </w:r>
      <w:proofErr w:type="gramEnd"/>
      <w:r w:rsidR="006074A2" w:rsidRPr="006074A2">
        <w:rPr>
          <w:rFonts w:ascii="Book Antiqua" w:hAnsi="Book Antiqua" w:cstheme="majorBidi"/>
          <w:sz w:val="24"/>
          <w:szCs w:val="24"/>
          <w:vertAlign w:val="superscript"/>
        </w:rPr>
        <w:t>143]</w:t>
      </w:r>
      <w:r w:rsidR="00101C0C" w:rsidRPr="00B727B0">
        <w:rPr>
          <w:rFonts w:ascii="Book Antiqua" w:hAnsi="Book Antiqua" w:cstheme="majorBidi"/>
          <w:sz w:val="24"/>
          <w:szCs w:val="24"/>
        </w:rPr>
        <w:t xml:space="preserve"> achieved sustained remission in seven of eleven pediatric patients through utilization of steroid pulse-free protocol composed of cyclophosphamide and PE only. Three major toxicities hampered the widespread use of cyclophosphamide, the immunosuppression burden, gonadal toxicities and the risk of </w:t>
      </w:r>
      <w:proofErr w:type="gramStart"/>
      <w:r w:rsidR="00101C0C" w:rsidRPr="00B727B0">
        <w:rPr>
          <w:rFonts w:ascii="Book Antiqua" w:hAnsi="Book Antiqua" w:cstheme="majorBidi"/>
          <w:sz w:val="24"/>
          <w:szCs w:val="24"/>
        </w:rPr>
        <w:t>malignancy</w:t>
      </w:r>
      <w:r w:rsidR="00633CEA" w:rsidRPr="006074A2">
        <w:rPr>
          <w:rFonts w:ascii="Book Antiqua" w:hAnsi="Book Antiqua" w:cstheme="majorBidi"/>
          <w:sz w:val="24"/>
          <w:szCs w:val="24"/>
          <w:vertAlign w:val="superscript"/>
        </w:rPr>
        <w:t>[</w:t>
      </w:r>
      <w:proofErr w:type="gramEnd"/>
      <w:r w:rsidR="00633CEA" w:rsidRPr="006074A2">
        <w:rPr>
          <w:rFonts w:ascii="Book Antiqua" w:hAnsi="Book Antiqua" w:cstheme="majorBidi"/>
          <w:sz w:val="24"/>
          <w:szCs w:val="24"/>
          <w:vertAlign w:val="superscript"/>
        </w:rPr>
        <w:t>144]</w:t>
      </w:r>
      <w:r w:rsidR="00101C0C" w:rsidRPr="00B727B0">
        <w:rPr>
          <w:rFonts w:ascii="Book Antiqua" w:hAnsi="Book Antiqua" w:cstheme="majorBidi"/>
          <w:sz w:val="24"/>
          <w:szCs w:val="24"/>
        </w:rPr>
        <w:t xml:space="preserve">. </w:t>
      </w:r>
    </w:p>
    <w:p w14:paraId="2AAB586A"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2D12639F" w14:textId="3DE238D7" w:rsidR="00CF30B0" w:rsidRPr="00B727B0" w:rsidRDefault="00B06D1C"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hAnsi="Book Antiqua" w:cstheme="majorBidi"/>
          <w:b/>
          <w:i/>
          <w:sz w:val="24"/>
          <w:szCs w:val="24"/>
        </w:rPr>
        <w:t>Resistant recurrent F</w:t>
      </w:r>
      <w:r w:rsidR="00CF30B0" w:rsidRPr="00B727B0">
        <w:rPr>
          <w:rFonts w:ascii="Book Antiqua" w:hAnsi="Book Antiqua" w:cstheme="majorBidi"/>
          <w:b/>
          <w:i/>
          <w:sz w:val="24"/>
          <w:szCs w:val="24"/>
        </w:rPr>
        <w:t>SGS to PE and rituximab therapy</w:t>
      </w:r>
    </w:p>
    <w:p w14:paraId="3F4420F8" w14:textId="17953F26" w:rsidR="00B06D1C"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sz w:val="24"/>
          <w:szCs w:val="24"/>
        </w:rPr>
        <w:t>A</w:t>
      </w:r>
      <w:r w:rsidR="00B06D1C" w:rsidRPr="00B727B0">
        <w:rPr>
          <w:rFonts w:ascii="Book Antiqua" w:hAnsi="Book Antiqua" w:cstheme="majorBidi"/>
          <w:sz w:val="24"/>
          <w:szCs w:val="24"/>
        </w:rPr>
        <w:t xml:space="preserve"> case report recorded a complete remission using the T-cell costimulatory</w:t>
      </w:r>
      <w:r w:rsidR="004F4D06" w:rsidRPr="00B727B0">
        <w:rPr>
          <w:rFonts w:ascii="Book Antiqua" w:hAnsi="Book Antiqua" w:cstheme="majorBidi"/>
          <w:sz w:val="24"/>
          <w:szCs w:val="24"/>
        </w:rPr>
        <w:t xml:space="preserve"> protein B7-1 blocker abatacept</w:t>
      </w:r>
      <w:r w:rsidR="00B06D1C" w:rsidRPr="00B727B0">
        <w:rPr>
          <w:rFonts w:ascii="Book Antiqua" w:hAnsi="Book Antiqua" w:cstheme="majorBidi"/>
          <w:sz w:val="24"/>
          <w:szCs w:val="24"/>
        </w:rPr>
        <w:t xml:space="preserve">, which was not </w:t>
      </w:r>
      <w:r w:rsidR="00C518A8" w:rsidRPr="00B727B0">
        <w:rPr>
          <w:rFonts w:ascii="Book Antiqua" w:hAnsi="Book Antiqua" w:cstheme="majorBidi"/>
          <w:sz w:val="24"/>
          <w:szCs w:val="24"/>
        </w:rPr>
        <w:t>confirmed</w:t>
      </w:r>
      <w:r w:rsidR="00B06D1C" w:rsidRPr="00B727B0">
        <w:rPr>
          <w:rFonts w:ascii="Book Antiqua" w:hAnsi="Book Antiqua" w:cstheme="majorBidi"/>
          <w:sz w:val="24"/>
          <w:szCs w:val="24"/>
        </w:rPr>
        <w:t xml:space="preserve"> by </w:t>
      </w:r>
      <w:proofErr w:type="gramStart"/>
      <w:r w:rsidR="00B06D1C" w:rsidRPr="00B727B0">
        <w:rPr>
          <w:rFonts w:ascii="Book Antiqua" w:hAnsi="Book Antiqua" w:cstheme="majorBidi"/>
          <w:sz w:val="24"/>
          <w:szCs w:val="24"/>
        </w:rPr>
        <w:t>others</w:t>
      </w:r>
      <w:r w:rsidR="00633CEA" w:rsidRPr="006074A2">
        <w:rPr>
          <w:rFonts w:ascii="Book Antiqua" w:hAnsi="Book Antiqua" w:cstheme="majorBidi"/>
          <w:sz w:val="24"/>
          <w:szCs w:val="24"/>
          <w:vertAlign w:val="superscript"/>
        </w:rPr>
        <w:t>[</w:t>
      </w:r>
      <w:proofErr w:type="gramEnd"/>
      <w:r w:rsidR="00633CEA" w:rsidRPr="006074A2">
        <w:rPr>
          <w:rFonts w:ascii="Book Antiqua" w:hAnsi="Book Antiqua" w:cstheme="majorBidi"/>
          <w:sz w:val="24"/>
          <w:szCs w:val="24"/>
          <w:vertAlign w:val="superscript"/>
        </w:rPr>
        <w:t>145</w:t>
      </w:r>
      <w:r w:rsidR="006074A2" w:rsidRPr="006074A2">
        <w:rPr>
          <w:rFonts w:ascii="Book Antiqua" w:eastAsia="宋体" w:hAnsi="Book Antiqua" w:cstheme="majorBidi" w:hint="eastAsia"/>
          <w:sz w:val="24"/>
          <w:szCs w:val="24"/>
          <w:vertAlign w:val="superscript"/>
          <w:lang w:eastAsia="zh-CN"/>
        </w:rPr>
        <w:t>-</w:t>
      </w:r>
      <w:r w:rsidR="00633CEA" w:rsidRPr="006074A2">
        <w:rPr>
          <w:rFonts w:ascii="Book Antiqua" w:hAnsi="Book Antiqua" w:cstheme="majorBidi"/>
          <w:sz w:val="24"/>
          <w:szCs w:val="24"/>
          <w:vertAlign w:val="superscript"/>
        </w:rPr>
        <w:t>147]</w:t>
      </w:r>
      <w:r w:rsidR="004F4D06" w:rsidRPr="00B727B0">
        <w:rPr>
          <w:rFonts w:ascii="Book Antiqua" w:hAnsi="Book Antiqua" w:cstheme="majorBidi"/>
          <w:sz w:val="24"/>
          <w:szCs w:val="24"/>
        </w:rPr>
        <w:t>.</w:t>
      </w:r>
    </w:p>
    <w:p w14:paraId="3D000DE1"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u w:val="single"/>
          <w:lang w:eastAsia="zh-CN"/>
        </w:rPr>
      </w:pPr>
    </w:p>
    <w:p w14:paraId="46214EEC" w14:textId="7E679BC6"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sz w:val="24"/>
          <w:szCs w:val="24"/>
        </w:rPr>
        <w:t>TREATMENT OF IGAN</w:t>
      </w:r>
    </w:p>
    <w:p w14:paraId="198A9813" w14:textId="53A464AD" w:rsidR="00CF30B0" w:rsidRPr="00B727B0" w:rsidRDefault="00B06D1C"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There is no recommended specific therapy in treating the recurrent IgAN. Treatment of recurrent IgAN is similar to that in native disease in non-transplant </w:t>
      </w:r>
      <w:proofErr w:type="gramStart"/>
      <w:r w:rsidRPr="00B727B0">
        <w:rPr>
          <w:rFonts w:ascii="Book Antiqua" w:eastAsia="Times New Roman" w:hAnsi="Book Antiqua" w:cstheme="majorBidi"/>
          <w:sz w:val="24"/>
          <w:szCs w:val="24"/>
        </w:rPr>
        <w:t>patient</w:t>
      </w:r>
      <w:r w:rsidR="00633CEA" w:rsidRPr="006074A2">
        <w:rPr>
          <w:rFonts w:ascii="Book Antiqua" w:eastAsia="Times New Roman" w:hAnsi="Book Antiqua" w:cstheme="majorBidi"/>
          <w:sz w:val="24"/>
          <w:szCs w:val="24"/>
          <w:vertAlign w:val="superscript"/>
        </w:rPr>
        <w:t>[</w:t>
      </w:r>
      <w:proofErr w:type="gramEnd"/>
      <w:r w:rsidR="00F23082" w:rsidRPr="006074A2">
        <w:rPr>
          <w:rFonts w:ascii="Book Antiqua" w:eastAsia="Times New Roman" w:hAnsi="Book Antiqua" w:cstheme="majorBidi"/>
          <w:sz w:val="24"/>
          <w:szCs w:val="24"/>
          <w:vertAlign w:val="superscript"/>
        </w:rPr>
        <w:t>1</w:t>
      </w:r>
      <w:r w:rsidR="004F28C4" w:rsidRPr="006074A2">
        <w:rPr>
          <w:rFonts w:ascii="Book Antiqua" w:eastAsia="Times New Roman" w:hAnsi="Book Antiqua" w:cstheme="majorBidi"/>
          <w:sz w:val="24"/>
          <w:szCs w:val="24"/>
          <w:vertAlign w:val="superscript"/>
        </w:rPr>
        <w:t>]</w:t>
      </w:r>
      <w:r w:rsidRPr="00B727B0">
        <w:rPr>
          <w:rFonts w:ascii="Book Antiqua" w:eastAsia="Times New Roman" w:hAnsi="Book Antiqua" w:cstheme="majorBidi"/>
          <w:sz w:val="24"/>
          <w:szCs w:val="24"/>
        </w:rPr>
        <w:t xml:space="preserve">. However, the following maneuvers </w:t>
      </w:r>
      <w:r w:rsidR="008135B5" w:rsidRPr="00B727B0">
        <w:rPr>
          <w:rFonts w:ascii="Book Antiqua" w:eastAsia="Times New Roman" w:hAnsi="Book Antiqua" w:cstheme="majorBidi"/>
          <w:sz w:val="24"/>
          <w:szCs w:val="24"/>
        </w:rPr>
        <w:t>have been</w:t>
      </w:r>
      <w:r w:rsidR="00CF30B0" w:rsidRPr="00B727B0">
        <w:rPr>
          <w:rFonts w:ascii="Book Antiqua" w:eastAsia="Times New Roman" w:hAnsi="Book Antiqua" w:cstheme="majorBidi"/>
          <w:sz w:val="24"/>
          <w:szCs w:val="24"/>
        </w:rPr>
        <w:t xml:space="preserve"> reported</w:t>
      </w:r>
      <w:r w:rsidR="00CF30B0" w:rsidRPr="00B727B0">
        <w:rPr>
          <w:rFonts w:ascii="Book Antiqua" w:eastAsia="宋体" w:hAnsi="Book Antiqua" w:cstheme="majorBidi"/>
          <w:sz w:val="24"/>
          <w:szCs w:val="24"/>
          <w:lang w:eastAsia="zh-CN"/>
        </w:rPr>
        <w:t xml:space="preserve">. </w:t>
      </w:r>
    </w:p>
    <w:p w14:paraId="0878590F"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0BFD41A2" w14:textId="62EE9175" w:rsidR="00CF30B0" w:rsidRPr="00B727B0" w:rsidRDefault="00CF30B0"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eastAsia="Times New Roman" w:hAnsi="Book Antiqua" w:cstheme="majorBidi"/>
          <w:b/>
          <w:i/>
          <w:sz w:val="24"/>
          <w:szCs w:val="24"/>
        </w:rPr>
        <w:t>ATG induction</w:t>
      </w:r>
    </w:p>
    <w:p w14:paraId="3D9DBF85" w14:textId="64B732D0" w:rsidR="00B06D1C"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Th</w:t>
      </w:r>
      <w:r w:rsidR="00B06D1C" w:rsidRPr="00B727B0">
        <w:rPr>
          <w:rFonts w:ascii="Book Antiqua" w:eastAsia="Times New Roman" w:hAnsi="Book Antiqua" w:cstheme="majorBidi"/>
          <w:sz w:val="24"/>
          <w:szCs w:val="24"/>
        </w:rPr>
        <w:t xml:space="preserve">e use of ATG as induction therapy is shown to be associated with less risk of IgA </w:t>
      </w:r>
      <w:proofErr w:type="gramStart"/>
      <w:r w:rsidR="00B06D1C" w:rsidRPr="00B727B0">
        <w:rPr>
          <w:rFonts w:ascii="Book Antiqua" w:eastAsia="Times New Roman" w:hAnsi="Book Antiqua" w:cstheme="majorBidi"/>
          <w:sz w:val="24"/>
          <w:szCs w:val="24"/>
        </w:rPr>
        <w:t>recurrence</w:t>
      </w:r>
      <w:r w:rsidR="00633CEA" w:rsidRPr="006074A2">
        <w:rPr>
          <w:rFonts w:ascii="Book Antiqua" w:eastAsia="Times New Roman" w:hAnsi="Book Antiqua" w:cstheme="majorBidi"/>
          <w:sz w:val="24"/>
          <w:szCs w:val="24"/>
          <w:vertAlign w:val="superscript"/>
        </w:rPr>
        <w:t>[</w:t>
      </w:r>
      <w:proofErr w:type="gramEnd"/>
      <w:r w:rsidR="00633CEA" w:rsidRPr="006074A2">
        <w:rPr>
          <w:rFonts w:ascii="Book Antiqua" w:eastAsia="Times New Roman" w:hAnsi="Book Antiqua" w:cstheme="majorBidi"/>
          <w:sz w:val="24"/>
          <w:szCs w:val="24"/>
          <w:vertAlign w:val="superscript"/>
        </w:rPr>
        <w:t>148]</w:t>
      </w:r>
      <w:r w:rsidR="00B06D1C" w:rsidRPr="00B727B0">
        <w:rPr>
          <w:rFonts w:ascii="Book Antiqua" w:eastAsia="Times New Roman" w:hAnsi="Book Antiqua" w:cstheme="majorBidi"/>
          <w:sz w:val="24"/>
          <w:szCs w:val="24"/>
        </w:rPr>
        <w:t>.</w:t>
      </w:r>
    </w:p>
    <w:p w14:paraId="754F1376"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66BE0CC8" w14:textId="7C6E00A1" w:rsidR="00CF30B0" w:rsidRPr="00B727B0" w:rsidRDefault="00B06D1C"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i/>
          <w:sz w:val="24"/>
          <w:szCs w:val="24"/>
        </w:rPr>
        <w:t>Low-dose</w:t>
      </w:r>
      <w:r w:rsidR="00CF30B0" w:rsidRPr="00B727B0">
        <w:rPr>
          <w:rFonts w:ascii="Book Antiqua" w:eastAsia="Times New Roman" w:hAnsi="Book Antiqua" w:cstheme="majorBidi"/>
          <w:b/>
          <w:i/>
          <w:sz w:val="24"/>
          <w:szCs w:val="24"/>
        </w:rPr>
        <w:t xml:space="preserve"> steroids after transplantation</w:t>
      </w:r>
    </w:p>
    <w:p w14:paraId="67C91AAB" w14:textId="09DCCD35" w:rsidR="00B06D1C"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A</w:t>
      </w:r>
      <w:r w:rsidR="00B06D1C" w:rsidRPr="00B727B0">
        <w:rPr>
          <w:rFonts w:ascii="Book Antiqua" w:eastAsia="Times New Roman" w:hAnsi="Book Antiqua" w:cstheme="majorBidi"/>
          <w:sz w:val="24"/>
          <w:szCs w:val="24"/>
        </w:rPr>
        <w:t xml:space="preserve"> protective impact again</w:t>
      </w:r>
      <w:r w:rsidR="006074A2">
        <w:rPr>
          <w:rFonts w:ascii="Book Antiqua" w:eastAsia="Times New Roman" w:hAnsi="Book Antiqua" w:cstheme="majorBidi"/>
          <w:sz w:val="24"/>
          <w:szCs w:val="24"/>
        </w:rPr>
        <w:t xml:space="preserve">st IgAN recurrence was </w:t>
      </w:r>
      <w:proofErr w:type="gramStart"/>
      <w:r w:rsidR="006074A2">
        <w:rPr>
          <w:rFonts w:ascii="Book Antiqua" w:eastAsia="Times New Roman" w:hAnsi="Book Antiqua" w:cstheme="majorBidi"/>
          <w:sz w:val="24"/>
          <w:szCs w:val="24"/>
        </w:rPr>
        <w:t>reported</w:t>
      </w:r>
      <w:r w:rsidR="006074A2" w:rsidRPr="006074A2">
        <w:rPr>
          <w:rFonts w:ascii="Book Antiqua" w:eastAsia="Times New Roman" w:hAnsi="Book Antiqua" w:cstheme="majorBidi"/>
          <w:sz w:val="24"/>
          <w:szCs w:val="24"/>
          <w:vertAlign w:val="superscript"/>
        </w:rPr>
        <w:t>[</w:t>
      </w:r>
      <w:proofErr w:type="gramEnd"/>
      <w:r w:rsidR="006074A2" w:rsidRPr="006074A2">
        <w:rPr>
          <w:rFonts w:ascii="Book Antiqua" w:eastAsia="Times New Roman" w:hAnsi="Book Antiqua" w:cstheme="majorBidi"/>
          <w:sz w:val="24"/>
          <w:szCs w:val="24"/>
          <w:vertAlign w:val="superscript"/>
        </w:rPr>
        <w:t>57,</w:t>
      </w:r>
      <w:r w:rsidR="0054194F" w:rsidRPr="006074A2">
        <w:rPr>
          <w:rFonts w:ascii="Book Antiqua" w:eastAsia="Times New Roman" w:hAnsi="Book Antiqua" w:cstheme="majorBidi"/>
          <w:sz w:val="24"/>
          <w:szCs w:val="24"/>
          <w:vertAlign w:val="superscript"/>
        </w:rPr>
        <w:t>58]</w:t>
      </w:r>
      <w:r w:rsidR="004F28C4" w:rsidRPr="00B727B0">
        <w:rPr>
          <w:rFonts w:ascii="Book Antiqua" w:eastAsia="Times New Roman" w:hAnsi="Book Antiqua" w:cstheme="majorBidi"/>
          <w:sz w:val="24"/>
          <w:szCs w:val="24"/>
        </w:rPr>
        <w:t>.</w:t>
      </w:r>
    </w:p>
    <w:p w14:paraId="231B2E41"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31A9E57D" w14:textId="2A31A49F"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i/>
          <w:sz w:val="24"/>
          <w:szCs w:val="24"/>
        </w:rPr>
        <w:t>“Tonsillectomy”</w:t>
      </w:r>
    </w:p>
    <w:p w14:paraId="29110BA8" w14:textId="7FC2F7E1" w:rsidR="00B06D1C"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A</w:t>
      </w:r>
      <w:r w:rsidR="00B06D1C" w:rsidRPr="00B727B0">
        <w:rPr>
          <w:rFonts w:ascii="Book Antiqua" w:eastAsia="Times New Roman" w:hAnsi="Book Antiqua" w:cstheme="majorBidi"/>
          <w:sz w:val="24"/>
          <w:szCs w:val="24"/>
        </w:rPr>
        <w:t xml:space="preserve">s advocated by </w:t>
      </w:r>
      <w:r w:rsidR="00AD7370" w:rsidRPr="00B727B0">
        <w:rPr>
          <w:rFonts w:ascii="Book Antiqua" w:eastAsia="Times New Roman" w:hAnsi="Book Antiqua" w:cstheme="majorBidi"/>
          <w:sz w:val="24"/>
          <w:szCs w:val="24"/>
        </w:rPr>
        <w:t xml:space="preserve">the </w:t>
      </w:r>
      <w:r w:rsidR="00B06D1C" w:rsidRPr="00B727B0">
        <w:rPr>
          <w:rFonts w:ascii="Book Antiqua" w:eastAsia="Times New Roman" w:hAnsi="Book Antiqua" w:cstheme="majorBidi"/>
          <w:sz w:val="24"/>
          <w:szCs w:val="24"/>
        </w:rPr>
        <w:t xml:space="preserve">Japanese, a better prognosis </w:t>
      </w:r>
      <w:r w:rsidR="00B06D1C" w:rsidRPr="00B727B0">
        <w:rPr>
          <w:rFonts w:ascii="Book Antiqua" w:eastAsia="Times New Roman" w:hAnsi="Book Antiqua" w:cstheme="majorBidi"/>
          <w:sz w:val="24"/>
          <w:szCs w:val="24"/>
          <w:lang w:bidi="ar-EG"/>
        </w:rPr>
        <w:t xml:space="preserve">post- </w:t>
      </w:r>
      <w:r w:rsidR="00B06D1C" w:rsidRPr="00B727B0">
        <w:rPr>
          <w:rFonts w:ascii="Book Antiqua" w:eastAsia="Times New Roman" w:hAnsi="Book Antiqua" w:cstheme="majorBidi"/>
          <w:sz w:val="24"/>
          <w:szCs w:val="24"/>
        </w:rPr>
        <w:t xml:space="preserve">tonsillectomy could be </w:t>
      </w:r>
      <w:proofErr w:type="gramStart"/>
      <w:r w:rsidR="00B06D1C" w:rsidRPr="00B727B0">
        <w:rPr>
          <w:rFonts w:ascii="Book Antiqua" w:eastAsia="Times New Roman" w:hAnsi="Book Antiqua" w:cstheme="majorBidi"/>
          <w:sz w:val="24"/>
          <w:szCs w:val="24"/>
        </w:rPr>
        <w:t>expected</w:t>
      </w:r>
      <w:r w:rsidR="0054194F" w:rsidRPr="006074A2">
        <w:rPr>
          <w:rFonts w:ascii="Book Antiqua" w:eastAsia="Times New Roman" w:hAnsi="Book Antiqua" w:cstheme="majorBidi"/>
          <w:sz w:val="24"/>
          <w:szCs w:val="24"/>
          <w:vertAlign w:val="superscript"/>
        </w:rPr>
        <w:t>[</w:t>
      </w:r>
      <w:proofErr w:type="gramEnd"/>
      <w:r w:rsidR="0054194F" w:rsidRPr="006074A2">
        <w:rPr>
          <w:rFonts w:ascii="Book Antiqua" w:eastAsia="Times New Roman" w:hAnsi="Book Antiqua" w:cstheme="majorBidi"/>
          <w:sz w:val="24"/>
          <w:szCs w:val="24"/>
          <w:vertAlign w:val="superscript"/>
        </w:rPr>
        <w:t>149</w:t>
      </w:r>
      <w:r w:rsidR="006074A2" w:rsidRPr="006074A2">
        <w:rPr>
          <w:rFonts w:ascii="Book Antiqua" w:eastAsia="宋体" w:hAnsi="Book Antiqua" w:cstheme="majorBidi" w:hint="eastAsia"/>
          <w:sz w:val="24"/>
          <w:szCs w:val="24"/>
          <w:vertAlign w:val="superscript"/>
          <w:lang w:eastAsia="zh-CN"/>
        </w:rPr>
        <w:t>-</w:t>
      </w:r>
      <w:r w:rsidR="0054194F" w:rsidRPr="006074A2">
        <w:rPr>
          <w:rFonts w:ascii="Book Antiqua" w:eastAsia="Times New Roman" w:hAnsi="Book Antiqua" w:cstheme="majorBidi"/>
          <w:sz w:val="24"/>
          <w:szCs w:val="24"/>
          <w:vertAlign w:val="superscript"/>
        </w:rPr>
        <w:t>151]</w:t>
      </w:r>
      <w:r w:rsidR="004F28C4" w:rsidRPr="00B727B0">
        <w:rPr>
          <w:rFonts w:ascii="Book Antiqua" w:eastAsia="Times New Roman" w:hAnsi="Book Antiqua" w:cstheme="majorBidi"/>
          <w:sz w:val="24"/>
          <w:szCs w:val="24"/>
        </w:rPr>
        <w:t>.</w:t>
      </w:r>
    </w:p>
    <w:p w14:paraId="4A689160"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289DDB7B" w14:textId="2148E5FE"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i/>
          <w:sz w:val="24"/>
          <w:szCs w:val="24"/>
        </w:rPr>
        <w:t>ACE inhibitors</w:t>
      </w:r>
    </w:p>
    <w:p w14:paraId="0DF8F756" w14:textId="2D6983CC" w:rsidR="00B06D1C" w:rsidRPr="00B727B0" w:rsidRDefault="00B06D1C"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The use of ACEi is proved to be of no benefit </w:t>
      </w:r>
      <w:r w:rsidR="00C518A8" w:rsidRPr="00B727B0">
        <w:rPr>
          <w:rFonts w:ascii="Book Antiqua" w:eastAsia="Times New Roman" w:hAnsi="Book Antiqua" w:cstheme="majorBidi"/>
          <w:sz w:val="24"/>
          <w:szCs w:val="24"/>
        </w:rPr>
        <w:t>in</w:t>
      </w:r>
      <w:r w:rsidRPr="00B727B0">
        <w:rPr>
          <w:rFonts w:ascii="Book Antiqua" w:eastAsia="Times New Roman" w:hAnsi="Book Antiqua" w:cstheme="majorBidi"/>
          <w:sz w:val="24"/>
          <w:szCs w:val="24"/>
        </w:rPr>
        <w:t xml:space="preserve"> i</w:t>
      </w:r>
      <w:r w:rsidR="006074A2">
        <w:rPr>
          <w:rFonts w:ascii="Book Antiqua" w:eastAsia="Times New Roman" w:hAnsi="Book Antiqua" w:cstheme="majorBidi"/>
          <w:sz w:val="24"/>
          <w:szCs w:val="24"/>
        </w:rPr>
        <w:t xml:space="preserve">mproving the allograft </w:t>
      </w:r>
      <w:proofErr w:type="gramStart"/>
      <w:r w:rsidR="006074A2">
        <w:rPr>
          <w:rFonts w:ascii="Book Antiqua" w:eastAsia="Times New Roman" w:hAnsi="Book Antiqua" w:cstheme="majorBidi"/>
          <w:sz w:val="24"/>
          <w:szCs w:val="24"/>
        </w:rPr>
        <w:t>survival</w:t>
      </w:r>
      <w:r w:rsidR="0054194F" w:rsidRPr="006074A2">
        <w:rPr>
          <w:rFonts w:ascii="Book Antiqua" w:eastAsia="Times New Roman" w:hAnsi="Book Antiqua" w:cstheme="majorBidi"/>
          <w:sz w:val="24"/>
          <w:szCs w:val="24"/>
          <w:vertAlign w:val="superscript"/>
        </w:rPr>
        <w:t>[</w:t>
      </w:r>
      <w:proofErr w:type="gramEnd"/>
      <w:r w:rsidR="0054194F" w:rsidRPr="006074A2">
        <w:rPr>
          <w:rFonts w:ascii="Book Antiqua" w:eastAsia="Times New Roman" w:hAnsi="Book Antiqua" w:cstheme="majorBidi"/>
          <w:sz w:val="24"/>
          <w:szCs w:val="24"/>
          <w:vertAlign w:val="superscript"/>
        </w:rPr>
        <w:t>152]</w:t>
      </w:r>
      <w:r w:rsidRPr="00B727B0">
        <w:rPr>
          <w:rFonts w:ascii="Book Antiqua" w:eastAsia="Times New Roman" w:hAnsi="Book Antiqua" w:cstheme="majorBidi"/>
          <w:sz w:val="24"/>
          <w:szCs w:val="24"/>
        </w:rPr>
        <w:t>.</w:t>
      </w:r>
      <w:r w:rsidR="00F305E4">
        <w:rPr>
          <w:rFonts w:ascii="Book Antiqua" w:eastAsia="Times New Roman" w:hAnsi="Book Antiqua" w:cstheme="majorBidi"/>
          <w:sz w:val="24"/>
          <w:szCs w:val="24"/>
        </w:rPr>
        <w:t xml:space="preserve"> </w:t>
      </w:r>
      <w:r w:rsidRPr="00B727B0">
        <w:rPr>
          <w:rFonts w:ascii="Book Antiqua" w:eastAsia="Times New Roman" w:hAnsi="Book Antiqua" w:cstheme="majorBidi"/>
          <w:sz w:val="24"/>
          <w:szCs w:val="24"/>
        </w:rPr>
        <w:t>Only the anti-proteinuric effect could be beneficial to the</w:t>
      </w:r>
      <w:r w:rsidR="006074A2">
        <w:rPr>
          <w:rFonts w:ascii="Book Antiqua" w:eastAsia="Times New Roman" w:hAnsi="Book Antiqua" w:cstheme="majorBidi"/>
          <w:sz w:val="24"/>
          <w:szCs w:val="24"/>
        </w:rPr>
        <w:t xml:space="preserve"> </w:t>
      </w:r>
      <w:proofErr w:type="gramStart"/>
      <w:r w:rsidR="006074A2">
        <w:rPr>
          <w:rFonts w:ascii="Book Antiqua" w:eastAsia="Times New Roman" w:hAnsi="Book Antiqua" w:cstheme="majorBidi"/>
          <w:sz w:val="24"/>
          <w:szCs w:val="24"/>
        </w:rPr>
        <w:t>allograft</w:t>
      </w:r>
      <w:r w:rsidR="006074A2" w:rsidRPr="006074A2">
        <w:rPr>
          <w:rFonts w:ascii="Book Antiqua" w:eastAsia="Times New Roman" w:hAnsi="Book Antiqua" w:cstheme="majorBidi"/>
          <w:sz w:val="24"/>
          <w:szCs w:val="24"/>
          <w:vertAlign w:val="superscript"/>
        </w:rPr>
        <w:t>[</w:t>
      </w:r>
      <w:proofErr w:type="gramEnd"/>
      <w:r w:rsidR="006074A2" w:rsidRPr="006074A2">
        <w:rPr>
          <w:rFonts w:ascii="Book Antiqua" w:eastAsia="Times New Roman" w:hAnsi="Book Antiqua" w:cstheme="majorBidi"/>
          <w:sz w:val="24"/>
          <w:szCs w:val="24"/>
          <w:vertAlign w:val="superscript"/>
        </w:rPr>
        <w:t>153,</w:t>
      </w:r>
      <w:r w:rsidR="0054194F" w:rsidRPr="006074A2">
        <w:rPr>
          <w:rFonts w:ascii="Book Antiqua" w:eastAsia="Times New Roman" w:hAnsi="Book Antiqua" w:cstheme="majorBidi"/>
          <w:sz w:val="24"/>
          <w:szCs w:val="24"/>
          <w:vertAlign w:val="superscript"/>
        </w:rPr>
        <w:t>154]</w:t>
      </w:r>
      <w:r w:rsidR="00C518A8" w:rsidRPr="00B727B0">
        <w:rPr>
          <w:rFonts w:ascii="Book Antiqua" w:eastAsia="Times New Roman" w:hAnsi="Book Antiqua" w:cstheme="majorBidi"/>
          <w:sz w:val="24"/>
          <w:szCs w:val="24"/>
        </w:rPr>
        <w:t>. A</w:t>
      </w:r>
      <w:r w:rsidRPr="00B727B0">
        <w:rPr>
          <w:rFonts w:ascii="Book Antiqua" w:eastAsia="Times New Roman" w:hAnsi="Book Antiqua" w:cstheme="majorBidi"/>
          <w:sz w:val="24"/>
          <w:szCs w:val="24"/>
        </w:rPr>
        <w:t xml:space="preserve">ll patients of </w:t>
      </w:r>
      <w:r w:rsidR="00982701">
        <w:rPr>
          <w:rFonts w:ascii="Book Antiqua" w:eastAsia="宋体" w:hAnsi="Book Antiqua" w:cstheme="majorBidi" w:hint="eastAsia"/>
          <w:sz w:val="24"/>
          <w:szCs w:val="24"/>
          <w:lang w:eastAsia="zh-CN"/>
        </w:rPr>
        <w:t xml:space="preserve">the </w:t>
      </w:r>
      <w:r w:rsidR="00982701" w:rsidRPr="00B727B0">
        <w:rPr>
          <w:rFonts w:ascii="Book Antiqua" w:eastAsia="Times New Roman" w:hAnsi="Book Antiqua" w:cstheme="majorBidi"/>
          <w:sz w:val="24"/>
          <w:szCs w:val="24"/>
        </w:rPr>
        <w:t xml:space="preserve">study </w:t>
      </w:r>
      <w:r w:rsidR="00982701">
        <w:rPr>
          <w:rFonts w:ascii="Book Antiqua" w:eastAsia="宋体" w:hAnsi="Book Antiqua" w:cstheme="majorBidi" w:hint="eastAsia"/>
          <w:sz w:val="24"/>
          <w:szCs w:val="24"/>
          <w:lang w:eastAsia="zh-CN"/>
        </w:rPr>
        <w:t xml:space="preserve">of </w:t>
      </w:r>
      <w:r w:rsidRPr="00B727B0">
        <w:rPr>
          <w:rFonts w:ascii="Book Antiqua" w:eastAsia="Times New Roman" w:hAnsi="Book Antiqua" w:cstheme="majorBidi"/>
          <w:sz w:val="24"/>
          <w:szCs w:val="24"/>
        </w:rPr>
        <w:t xml:space="preserve">Floege </w:t>
      </w:r>
      <w:r w:rsidR="00982701" w:rsidRPr="00982701">
        <w:rPr>
          <w:rFonts w:ascii="Book Antiqua" w:eastAsia="宋体" w:hAnsi="Book Antiqua" w:cstheme="majorBidi" w:hint="eastAsia"/>
          <w:i/>
          <w:sz w:val="24"/>
          <w:szCs w:val="24"/>
          <w:lang w:eastAsia="zh-CN"/>
        </w:rPr>
        <w:t xml:space="preserve">et </w:t>
      </w:r>
      <w:proofErr w:type="gramStart"/>
      <w:r w:rsidR="00982701" w:rsidRPr="00982701">
        <w:rPr>
          <w:rFonts w:ascii="Book Antiqua" w:eastAsia="宋体" w:hAnsi="Book Antiqua" w:cstheme="majorBidi" w:hint="eastAsia"/>
          <w:i/>
          <w:sz w:val="24"/>
          <w:szCs w:val="24"/>
          <w:lang w:eastAsia="zh-CN"/>
        </w:rPr>
        <w:t>al</w:t>
      </w:r>
      <w:r w:rsidR="00982701" w:rsidRPr="006074A2">
        <w:rPr>
          <w:rFonts w:ascii="Book Antiqua" w:eastAsia="Times New Roman" w:hAnsi="Book Antiqua" w:cstheme="majorBidi"/>
          <w:sz w:val="24"/>
          <w:szCs w:val="24"/>
          <w:vertAlign w:val="superscript"/>
        </w:rPr>
        <w:t>[</w:t>
      </w:r>
      <w:proofErr w:type="gramEnd"/>
      <w:r w:rsidR="00982701" w:rsidRPr="006074A2">
        <w:rPr>
          <w:rFonts w:ascii="Book Antiqua" w:eastAsia="Times New Roman" w:hAnsi="Book Antiqua" w:cstheme="majorBidi"/>
          <w:sz w:val="24"/>
          <w:szCs w:val="24"/>
          <w:vertAlign w:val="superscript"/>
        </w:rPr>
        <w:t>152]</w:t>
      </w:r>
      <w:r w:rsidR="00982701">
        <w:rPr>
          <w:rFonts w:ascii="Book Antiqua" w:eastAsia="宋体" w:hAnsi="Book Antiqua" w:cstheme="majorBidi" w:hint="eastAsia"/>
          <w:sz w:val="24"/>
          <w:szCs w:val="24"/>
          <w:lang w:eastAsia="zh-CN"/>
        </w:rPr>
        <w:t xml:space="preserve"> </w:t>
      </w:r>
      <w:r w:rsidRPr="00B727B0">
        <w:rPr>
          <w:rFonts w:ascii="Book Antiqua" w:eastAsia="Times New Roman" w:hAnsi="Book Antiqua" w:cstheme="majorBidi"/>
          <w:sz w:val="24"/>
          <w:szCs w:val="24"/>
        </w:rPr>
        <w:t xml:space="preserve">received ACEi with graft failure </w:t>
      </w:r>
      <w:r w:rsidR="00C518A8" w:rsidRPr="00B727B0">
        <w:rPr>
          <w:rFonts w:ascii="Book Antiqua" w:eastAsia="Times New Roman" w:hAnsi="Book Antiqua" w:cstheme="majorBidi"/>
          <w:sz w:val="24"/>
          <w:szCs w:val="24"/>
        </w:rPr>
        <w:t>occurred in</w:t>
      </w:r>
      <w:r w:rsidRPr="00B727B0">
        <w:rPr>
          <w:rFonts w:ascii="Book Antiqua" w:eastAsia="Times New Roman" w:hAnsi="Book Antiqua" w:cstheme="majorBidi"/>
          <w:sz w:val="24"/>
          <w:szCs w:val="24"/>
        </w:rPr>
        <w:t xml:space="preserve"> more the half of them.</w:t>
      </w:r>
    </w:p>
    <w:p w14:paraId="04AC0F34" w14:textId="77777777" w:rsidR="00CF30B0" w:rsidRPr="00B727B0" w:rsidRDefault="00CF30B0" w:rsidP="007312CD">
      <w:pPr>
        <w:adjustRightInd w:val="0"/>
        <w:snapToGrid w:val="0"/>
        <w:spacing w:after="0" w:line="360" w:lineRule="auto"/>
        <w:jc w:val="both"/>
        <w:rPr>
          <w:rFonts w:ascii="Book Antiqua" w:eastAsia="宋体" w:hAnsi="Book Antiqua" w:cstheme="majorBidi"/>
          <w:sz w:val="24"/>
          <w:szCs w:val="24"/>
          <w:lang w:eastAsia="zh-CN"/>
        </w:rPr>
      </w:pPr>
    </w:p>
    <w:p w14:paraId="36D6E585" w14:textId="204AA8C2"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i/>
          <w:sz w:val="24"/>
          <w:szCs w:val="24"/>
        </w:rPr>
        <w:t>Methylprednisolone pulse</w:t>
      </w:r>
    </w:p>
    <w:p w14:paraId="233566C6" w14:textId="744F854D" w:rsidR="00B06D1C" w:rsidRPr="00B727B0" w:rsidRDefault="00B06D1C" w:rsidP="007312CD">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eastAsia="Times New Roman" w:hAnsi="Book Antiqua" w:cstheme="majorBidi"/>
          <w:sz w:val="24"/>
          <w:szCs w:val="24"/>
        </w:rPr>
        <w:t xml:space="preserve">In </w:t>
      </w:r>
      <w:r w:rsidR="00982701" w:rsidRPr="00B727B0">
        <w:rPr>
          <w:rFonts w:ascii="Book Antiqua" w:eastAsia="Times New Roman" w:hAnsi="Book Antiqua" w:cstheme="majorBidi"/>
          <w:sz w:val="24"/>
          <w:szCs w:val="24"/>
        </w:rPr>
        <w:t xml:space="preserve">of </w:t>
      </w:r>
      <w:r w:rsidR="00982701">
        <w:rPr>
          <w:rFonts w:ascii="Book Antiqua" w:eastAsia="宋体" w:hAnsi="Book Antiqua" w:cstheme="majorBidi" w:hint="eastAsia"/>
          <w:sz w:val="24"/>
          <w:szCs w:val="24"/>
          <w:lang w:eastAsia="zh-CN"/>
        </w:rPr>
        <w:t xml:space="preserve">the </w:t>
      </w:r>
      <w:r w:rsidR="00982701" w:rsidRPr="00B727B0">
        <w:rPr>
          <w:rFonts w:ascii="Book Antiqua" w:eastAsia="Times New Roman" w:hAnsi="Book Antiqua" w:cstheme="majorBidi"/>
          <w:sz w:val="24"/>
          <w:szCs w:val="24"/>
        </w:rPr>
        <w:t xml:space="preserve">study </w:t>
      </w:r>
      <w:r w:rsidR="00982701">
        <w:rPr>
          <w:rFonts w:ascii="Book Antiqua" w:eastAsia="宋体" w:hAnsi="Book Antiqua" w:cstheme="majorBidi" w:hint="eastAsia"/>
          <w:sz w:val="24"/>
          <w:szCs w:val="24"/>
          <w:lang w:eastAsia="zh-CN"/>
        </w:rPr>
        <w:t xml:space="preserve">of </w:t>
      </w:r>
      <w:r w:rsidR="00982701" w:rsidRPr="00B727B0">
        <w:rPr>
          <w:rFonts w:ascii="Book Antiqua" w:eastAsia="Times New Roman" w:hAnsi="Book Antiqua" w:cstheme="majorBidi"/>
          <w:sz w:val="24"/>
          <w:szCs w:val="24"/>
        </w:rPr>
        <w:t xml:space="preserve">Floege </w:t>
      </w:r>
      <w:r w:rsidR="00982701" w:rsidRPr="00982701">
        <w:rPr>
          <w:rFonts w:ascii="Book Antiqua" w:eastAsia="宋体" w:hAnsi="Book Antiqua" w:cstheme="majorBidi" w:hint="eastAsia"/>
          <w:i/>
          <w:sz w:val="24"/>
          <w:szCs w:val="24"/>
          <w:lang w:eastAsia="zh-CN"/>
        </w:rPr>
        <w:t xml:space="preserve">et </w:t>
      </w:r>
      <w:proofErr w:type="gramStart"/>
      <w:r w:rsidR="00982701" w:rsidRPr="00982701">
        <w:rPr>
          <w:rFonts w:ascii="Book Antiqua" w:eastAsia="宋体" w:hAnsi="Book Antiqua" w:cstheme="majorBidi" w:hint="eastAsia"/>
          <w:i/>
          <w:sz w:val="24"/>
          <w:szCs w:val="24"/>
          <w:lang w:eastAsia="zh-CN"/>
        </w:rPr>
        <w:t>al</w:t>
      </w:r>
      <w:r w:rsidR="00982701" w:rsidRPr="006074A2">
        <w:rPr>
          <w:rFonts w:ascii="Book Antiqua" w:eastAsia="Times New Roman" w:hAnsi="Book Antiqua" w:cstheme="majorBidi"/>
          <w:sz w:val="24"/>
          <w:szCs w:val="24"/>
          <w:vertAlign w:val="superscript"/>
        </w:rPr>
        <w:t>[</w:t>
      </w:r>
      <w:proofErr w:type="gramEnd"/>
      <w:r w:rsidR="00982701" w:rsidRPr="006074A2">
        <w:rPr>
          <w:rFonts w:ascii="Book Antiqua" w:eastAsia="Times New Roman" w:hAnsi="Book Antiqua" w:cstheme="majorBidi"/>
          <w:sz w:val="24"/>
          <w:szCs w:val="24"/>
          <w:vertAlign w:val="superscript"/>
        </w:rPr>
        <w:t>152]</w:t>
      </w:r>
      <w:r w:rsidR="00982701" w:rsidRPr="00982701">
        <w:rPr>
          <w:rFonts w:ascii="Book Antiqua" w:eastAsia="宋体" w:hAnsi="Book Antiqua" w:cstheme="majorBidi" w:hint="eastAsia"/>
          <w:sz w:val="24"/>
          <w:szCs w:val="24"/>
          <w:lang w:eastAsia="zh-CN"/>
        </w:rPr>
        <w:t xml:space="preserve">, </w:t>
      </w:r>
      <w:r w:rsidRPr="00B727B0">
        <w:rPr>
          <w:rFonts w:ascii="Book Antiqua" w:eastAsia="Times New Roman" w:hAnsi="Book Antiqua" w:cstheme="majorBidi"/>
          <w:sz w:val="24"/>
          <w:szCs w:val="24"/>
        </w:rPr>
        <w:t>only 20% of patients received steroid pulses; again more than half have had their graft lost.</w:t>
      </w:r>
    </w:p>
    <w:p w14:paraId="6711A81D" w14:textId="50D08F57" w:rsidR="00CF30B0" w:rsidRPr="00B727B0" w:rsidRDefault="00CF30B0" w:rsidP="007312CD">
      <w:pPr>
        <w:adjustRightInd w:val="0"/>
        <w:snapToGrid w:val="0"/>
        <w:spacing w:after="0" w:line="360" w:lineRule="auto"/>
        <w:jc w:val="both"/>
        <w:rPr>
          <w:rFonts w:ascii="Book Antiqua" w:eastAsia="宋体" w:hAnsi="Book Antiqua" w:cstheme="majorBidi"/>
          <w:b/>
          <w:i/>
          <w:sz w:val="24"/>
          <w:szCs w:val="24"/>
          <w:lang w:eastAsia="zh-CN"/>
        </w:rPr>
      </w:pPr>
      <w:r w:rsidRPr="00B727B0">
        <w:rPr>
          <w:rFonts w:ascii="Book Antiqua" w:eastAsia="Times New Roman" w:hAnsi="Book Antiqua" w:cstheme="majorBidi"/>
          <w:b/>
          <w:i/>
          <w:sz w:val="24"/>
          <w:szCs w:val="24"/>
        </w:rPr>
        <w:lastRenderedPageBreak/>
        <w:t>Maintenance immunosuppression</w:t>
      </w:r>
    </w:p>
    <w:p w14:paraId="6C17E56E" w14:textId="5CB4D03A" w:rsidR="00CF30B0" w:rsidRPr="00B727B0" w:rsidRDefault="00B06D1C"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sz w:val="24"/>
          <w:szCs w:val="24"/>
        </w:rPr>
        <w:t xml:space="preserve">No benefit </w:t>
      </w:r>
      <w:r w:rsidR="00AD7370" w:rsidRPr="00B727B0">
        <w:rPr>
          <w:rFonts w:ascii="Book Antiqua" w:eastAsia="Times New Roman" w:hAnsi="Book Antiqua" w:cstheme="majorBidi"/>
          <w:sz w:val="24"/>
          <w:szCs w:val="24"/>
        </w:rPr>
        <w:t>could</w:t>
      </w:r>
      <w:r w:rsidRPr="00B727B0">
        <w:rPr>
          <w:rFonts w:ascii="Book Antiqua" w:eastAsia="Times New Roman" w:hAnsi="Book Antiqua" w:cstheme="majorBidi"/>
          <w:sz w:val="24"/>
          <w:szCs w:val="24"/>
        </w:rPr>
        <w:t xml:space="preserve"> be expected with any alterations on the immunosuppressive policy in regard t</w:t>
      </w:r>
      <w:r w:rsidR="00982701">
        <w:rPr>
          <w:rFonts w:ascii="Book Antiqua" w:eastAsia="Times New Roman" w:hAnsi="Book Antiqua" w:cstheme="majorBidi"/>
          <w:sz w:val="24"/>
          <w:szCs w:val="24"/>
        </w:rPr>
        <w:t xml:space="preserve">o improvement of graft </w:t>
      </w:r>
      <w:proofErr w:type="gramStart"/>
      <w:r w:rsidR="00982701">
        <w:rPr>
          <w:rFonts w:ascii="Book Antiqua" w:eastAsia="Times New Roman" w:hAnsi="Book Antiqua" w:cstheme="majorBidi"/>
          <w:sz w:val="24"/>
          <w:szCs w:val="24"/>
        </w:rPr>
        <w:t>survival</w:t>
      </w:r>
      <w:r w:rsidR="00977E3F" w:rsidRPr="00982701">
        <w:rPr>
          <w:rFonts w:ascii="Book Antiqua" w:eastAsia="Times New Roman" w:hAnsi="Book Antiqua" w:cstheme="majorBidi"/>
          <w:sz w:val="24"/>
          <w:szCs w:val="24"/>
          <w:vertAlign w:val="superscript"/>
        </w:rPr>
        <w:t>[</w:t>
      </w:r>
      <w:proofErr w:type="gramEnd"/>
      <w:r w:rsidR="00977E3F" w:rsidRPr="00982701">
        <w:rPr>
          <w:rFonts w:ascii="Book Antiqua" w:eastAsia="Times New Roman" w:hAnsi="Book Antiqua" w:cstheme="majorBidi"/>
          <w:sz w:val="24"/>
          <w:szCs w:val="24"/>
          <w:vertAlign w:val="superscript"/>
        </w:rPr>
        <w:t>155]</w:t>
      </w:r>
      <w:r w:rsidRPr="00B727B0">
        <w:rPr>
          <w:rFonts w:ascii="Book Antiqua" w:eastAsia="Times New Roman" w:hAnsi="Book Antiqua" w:cstheme="majorBidi"/>
          <w:sz w:val="24"/>
          <w:szCs w:val="24"/>
        </w:rPr>
        <w:t xml:space="preserve">. However, Moroni </w:t>
      </w:r>
      <w:r w:rsidR="00DF361A" w:rsidRPr="00B727B0">
        <w:rPr>
          <w:rFonts w:ascii="Book Antiqua" w:eastAsia="Times New Roman" w:hAnsi="Book Antiqua" w:cstheme="majorBidi"/>
          <w:i/>
          <w:sz w:val="24"/>
          <w:szCs w:val="24"/>
        </w:rPr>
        <w:t xml:space="preserve">et </w:t>
      </w:r>
      <w:proofErr w:type="gramStart"/>
      <w:r w:rsidR="00DF361A" w:rsidRPr="00B727B0">
        <w:rPr>
          <w:rFonts w:ascii="Book Antiqua" w:eastAsia="Times New Roman" w:hAnsi="Book Antiqua" w:cstheme="majorBidi"/>
          <w:i/>
          <w:sz w:val="24"/>
          <w:szCs w:val="24"/>
        </w:rPr>
        <w:t>al</w:t>
      </w:r>
      <w:r w:rsidR="00982701" w:rsidRPr="00982701">
        <w:rPr>
          <w:rFonts w:ascii="Book Antiqua" w:eastAsia="Times New Roman" w:hAnsi="Book Antiqua" w:cstheme="majorBidi"/>
          <w:sz w:val="24"/>
          <w:szCs w:val="24"/>
          <w:vertAlign w:val="superscript"/>
        </w:rPr>
        <w:t>[</w:t>
      </w:r>
      <w:proofErr w:type="gramEnd"/>
      <w:r w:rsidR="00982701" w:rsidRPr="00982701">
        <w:rPr>
          <w:rFonts w:ascii="Book Antiqua" w:eastAsia="Times New Roman" w:hAnsi="Book Antiqua" w:cstheme="majorBidi"/>
          <w:sz w:val="24"/>
          <w:szCs w:val="24"/>
          <w:vertAlign w:val="superscript"/>
        </w:rPr>
        <w:t>12]</w:t>
      </w:r>
      <w:r w:rsidRPr="00B727B0">
        <w:rPr>
          <w:rFonts w:ascii="Book Antiqua" w:eastAsia="Times New Roman" w:hAnsi="Book Antiqua" w:cstheme="majorBidi"/>
          <w:sz w:val="24"/>
          <w:szCs w:val="24"/>
        </w:rPr>
        <w:t xml:space="preserve"> assumed that immunosuppressive protocols including less than three agents is an independent ri</w:t>
      </w:r>
      <w:r w:rsidR="000D0B26" w:rsidRPr="00B727B0">
        <w:rPr>
          <w:rFonts w:ascii="Book Antiqua" w:eastAsia="Times New Roman" w:hAnsi="Book Antiqua" w:cstheme="majorBidi"/>
          <w:sz w:val="24"/>
          <w:szCs w:val="24"/>
        </w:rPr>
        <w:t>sk factor of recurrence</w:t>
      </w:r>
      <w:r w:rsidR="000D0B26" w:rsidRPr="00982701">
        <w:rPr>
          <w:rFonts w:ascii="Book Antiqua" w:eastAsia="Times New Roman" w:hAnsi="Book Antiqua" w:cstheme="majorBidi"/>
          <w:sz w:val="24"/>
          <w:szCs w:val="24"/>
        </w:rPr>
        <w:t>,</w:t>
      </w:r>
      <w:r w:rsidR="000D0B26" w:rsidRPr="00B727B0">
        <w:rPr>
          <w:rFonts w:ascii="Book Antiqua" w:eastAsia="Times New Roman" w:hAnsi="Book Antiqua" w:cstheme="majorBidi"/>
          <w:sz w:val="24"/>
          <w:szCs w:val="24"/>
        </w:rPr>
        <w:t xml:space="preserve"> </w:t>
      </w:r>
      <w:r w:rsidR="00C518A8" w:rsidRPr="00B727B0">
        <w:rPr>
          <w:rFonts w:ascii="Book Antiqua" w:eastAsia="Times New Roman" w:hAnsi="Book Antiqua" w:cstheme="majorBidi"/>
          <w:sz w:val="24"/>
          <w:szCs w:val="24"/>
        </w:rPr>
        <w:t>however</w:t>
      </w:r>
      <w:r w:rsidR="000D0B26" w:rsidRPr="00B727B0">
        <w:rPr>
          <w:rFonts w:ascii="Book Antiqua" w:eastAsia="Times New Roman" w:hAnsi="Book Antiqua" w:cstheme="majorBidi"/>
          <w:sz w:val="24"/>
          <w:szCs w:val="24"/>
        </w:rPr>
        <w:t>, this theory is still debatable</w:t>
      </w:r>
      <w:r w:rsidRPr="00B727B0">
        <w:rPr>
          <w:rFonts w:ascii="Book Antiqua" w:eastAsia="Times New Roman" w:hAnsi="Book Antiqua" w:cstheme="majorBidi"/>
          <w:sz w:val="24"/>
          <w:szCs w:val="24"/>
        </w:rPr>
        <w:t xml:space="preserve">. </w:t>
      </w:r>
      <w:r w:rsidR="00C518A8" w:rsidRPr="00B727B0">
        <w:rPr>
          <w:rFonts w:ascii="Book Antiqua" w:eastAsia="Times New Roman" w:hAnsi="Book Antiqua" w:cstheme="majorBidi"/>
          <w:sz w:val="24"/>
          <w:szCs w:val="24"/>
        </w:rPr>
        <w:t>The c</w:t>
      </w:r>
      <w:r w:rsidRPr="00B727B0">
        <w:rPr>
          <w:rFonts w:ascii="Book Antiqua" w:eastAsia="Times New Roman" w:hAnsi="Book Antiqua" w:cstheme="majorBidi"/>
          <w:sz w:val="24"/>
          <w:szCs w:val="24"/>
        </w:rPr>
        <w:t xml:space="preserve">hoice of immunosuppressive strategy members has nothing to do with IgAN recurrence after renal </w:t>
      </w:r>
      <w:proofErr w:type="gramStart"/>
      <w:r w:rsidRPr="00B727B0">
        <w:rPr>
          <w:rFonts w:ascii="Book Antiqua" w:eastAsia="Times New Roman" w:hAnsi="Book Antiqua" w:cstheme="majorBidi"/>
          <w:sz w:val="24"/>
          <w:szCs w:val="24"/>
        </w:rPr>
        <w:t>transplantation</w:t>
      </w:r>
      <w:r w:rsidR="00977E3F" w:rsidRPr="00982701">
        <w:rPr>
          <w:rFonts w:ascii="Book Antiqua" w:eastAsia="Times New Roman" w:hAnsi="Book Antiqua" w:cstheme="majorBidi"/>
          <w:sz w:val="24"/>
          <w:szCs w:val="24"/>
          <w:vertAlign w:val="superscript"/>
        </w:rPr>
        <w:t>[</w:t>
      </w:r>
      <w:proofErr w:type="gramEnd"/>
      <w:r w:rsidR="00977E3F" w:rsidRPr="00982701">
        <w:rPr>
          <w:rFonts w:ascii="Book Antiqua" w:eastAsia="Times New Roman" w:hAnsi="Book Antiqua" w:cstheme="majorBidi"/>
          <w:sz w:val="24"/>
          <w:szCs w:val="24"/>
          <w:vertAlign w:val="superscript"/>
        </w:rPr>
        <w:t>152]</w:t>
      </w:r>
      <w:r w:rsidRPr="00B727B0">
        <w:rPr>
          <w:rFonts w:ascii="Book Antiqua" w:eastAsia="Times New Roman" w:hAnsi="Book Antiqua" w:cstheme="majorBidi"/>
          <w:sz w:val="24"/>
          <w:szCs w:val="24"/>
        </w:rPr>
        <w:t>.</w:t>
      </w:r>
    </w:p>
    <w:p w14:paraId="3DC22475" w14:textId="77777777" w:rsidR="00CF30B0" w:rsidRPr="00B727B0" w:rsidRDefault="00CF30B0" w:rsidP="007312CD">
      <w:pPr>
        <w:adjustRightInd w:val="0"/>
        <w:snapToGrid w:val="0"/>
        <w:spacing w:after="0" w:line="360" w:lineRule="auto"/>
        <w:jc w:val="both"/>
        <w:rPr>
          <w:rFonts w:ascii="Book Antiqua" w:eastAsia="宋体" w:hAnsi="Book Antiqua" w:cstheme="majorBidi"/>
          <w:b/>
          <w:sz w:val="24"/>
          <w:szCs w:val="24"/>
          <w:lang w:eastAsia="zh-CN"/>
        </w:rPr>
      </w:pPr>
    </w:p>
    <w:p w14:paraId="7398C99E" w14:textId="0FD5ABC0" w:rsidR="00C86435" w:rsidRPr="00B727B0" w:rsidRDefault="00CF30B0" w:rsidP="007312CD">
      <w:pPr>
        <w:adjustRightInd w:val="0"/>
        <w:snapToGrid w:val="0"/>
        <w:spacing w:after="0" w:line="360" w:lineRule="auto"/>
        <w:jc w:val="both"/>
        <w:rPr>
          <w:rFonts w:ascii="Book Antiqua" w:eastAsia="宋体" w:hAnsi="Book Antiqua" w:cstheme="majorBidi"/>
          <w:b/>
          <w:sz w:val="24"/>
          <w:szCs w:val="24"/>
          <w:shd w:val="clear" w:color="auto" w:fill="FFFFFF" w:themeFill="background1"/>
          <w:lang w:eastAsia="zh-CN"/>
        </w:rPr>
      </w:pPr>
      <w:r w:rsidRPr="00B727B0">
        <w:rPr>
          <w:rFonts w:ascii="Book Antiqua" w:eastAsia="Times New Roman" w:hAnsi="Book Antiqua" w:cstheme="majorBidi"/>
          <w:b/>
          <w:sz w:val="24"/>
          <w:szCs w:val="24"/>
        </w:rPr>
        <w:t>CONCLUSION</w:t>
      </w:r>
    </w:p>
    <w:p w14:paraId="477B9D2C" w14:textId="3E94D7EB" w:rsidR="009411B6" w:rsidRPr="00B727B0" w:rsidRDefault="009411B6" w:rsidP="007312CD">
      <w:pPr>
        <w:adjustRightInd w:val="0"/>
        <w:snapToGrid w:val="0"/>
        <w:spacing w:after="0" w:line="360" w:lineRule="auto"/>
        <w:jc w:val="both"/>
        <w:rPr>
          <w:rFonts w:ascii="Book Antiqua" w:eastAsia="Times New Roman" w:hAnsi="Book Antiqua" w:cstheme="majorBidi"/>
          <w:bCs/>
          <w:sz w:val="24"/>
          <w:szCs w:val="24"/>
          <w:shd w:val="clear" w:color="auto" w:fill="FFFFFF" w:themeFill="background1"/>
        </w:rPr>
      </w:pPr>
      <w:r w:rsidRPr="00B727B0">
        <w:rPr>
          <w:rFonts w:ascii="Book Antiqua" w:eastAsia="Times New Roman" w:hAnsi="Book Antiqua" w:cstheme="majorBidi"/>
          <w:bCs/>
          <w:sz w:val="24"/>
          <w:szCs w:val="24"/>
          <w:shd w:val="clear" w:color="auto" w:fill="FFFFFF" w:themeFill="background1"/>
        </w:rPr>
        <w:t xml:space="preserve">One of the most challenges for renal allograft survival is the GN recurrence after renal transplantation. </w:t>
      </w:r>
      <w:r w:rsidR="005D3DC2" w:rsidRPr="00B727B0">
        <w:rPr>
          <w:rFonts w:ascii="Book Antiqua" w:hAnsi="Book Antiqua" w:cstheme="majorBidi"/>
          <w:sz w:val="24"/>
          <w:szCs w:val="24"/>
        </w:rPr>
        <w:t xml:space="preserve">With improving long-term renal allograft survival, recurrent disease has increased prominence as a significant contributor to late graft loss. Knowledge on the risk factors for recurrence, onset time and impact on graft function is prerequisite to informed decisions. There are minimal data on the risk of recurrent disease with new immunosuppressive agents. </w:t>
      </w:r>
      <w:r w:rsidR="005D3DC2" w:rsidRPr="00B727B0">
        <w:rPr>
          <w:rFonts w:ascii="Book Antiqua" w:eastAsia="Times New Roman" w:hAnsi="Book Antiqua" w:cstheme="majorBidi"/>
          <w:bCs/>
          <w:sz w:val="24"/>
          <w:szCs w:val="24"/>
          <w:shd w:val="clear" w:color="auto" w:fill="FFFFFF" w:themeFill="background1"/>
        </w:rPr>
        <w:t>T</w:t>
      </w:r>
      <w:r w:rsidRPr="00B727B0">
        <w:rPr>
          <w:rFonts w:ascii="Book Antiqua" w:eastAsia="Times New Roman" w:hAnsi="Book Antiqua" w:cstheme="majorBidi"/>
          <w:bCs/>
          <w:sz w:val="24"/>
          <w:szCs w:val="24"/>
          <w:shd w:val="clear" w:color="auto" w:fill="FFFFFF" w:themeFill="background1"/>
        </w:rPr>
        <w:t xml:space="preserve">he early recognition </w:t>
      </w:r>
      <w:r w:rsidR="00CE573F" w:rsidRPr="00B727B0">
        <w:rPr>
          <w:rFonts w:ascii="Book Antiqua" w:eastAsia="Times New Roman" w:hAnsi="Book Antiqua" w:cstheme="majorBidi"/>
          <w:bCs/>
          <w:sz w:val="24"/>
          <w:szCs w:val="24"/>
          <w:shd w:val="clear" w:color="auto" w:fill="FFFFFF" w:themeFill="background1"/>
        </w:rPr>
        <w:t>would</w:t>
      </w:r>
      <w:r w:rsidR="006D3EDE" w:rsidRPr="00B727B0">
        <w:rPr>
          <w:rFonts w:ascii="Book Antiqua" w:eastAsia="Times New Roman" w:hAnsi="Book Antiqua" w:cstheme="majorBidi"/>
          <w:bCs/>
          <w:sz w:val="24"/>
          <w:szCs w:val="24"/>
          <w:shd w:val="clear" w:color="auto" w:fill="FFFFFF" w:themeFill="background1"/>
        </w:rPr>
        <w:t xml:space="preserve"> </w:t>
      </w:r>
      <w:r w:rsidRPr="00B727B0">
        <w:rPr>
          <w:rFonts w:ascii="Book Antiqua" w:eastAsia="Times New Roman" w:hAnsi="Book Antiqua" w:cstheme="majorBidi"/>
          <w:bCs/>
          <w:sz w:val="24"/>
          <w:szCs w:val="24"/>
          <w:shd w:val="clear" w:color="auto" w:fill="FFFFFF" w:themeFill="background1"/>
        </w:rPr>
        <w:t xml:space="preserve">slow </w:t>
      </w:r>
      <w:r w:rsidR="00AD7370" w:rsidRPr="00B727B0">
        <w:rPr>
          <w:rFonts w:ascii="Book Antiqua" w:eastAsia="Times New Roman" w:hAnsi="Book Antiqua" w:cstheme="majorBidi"/>
          <w:bCs/>
          <w:sz w:val="24"/>
          <w:szCs w:val="24"/>
          <w:shd w:val="clear" w:color="auto" w:fill="FFFFFF" w:themeFill="background1"/>
        </w:rPr>
        <w:t xml:space="preserve">down </w:t>
      </w:r>
      <w:r w:rsidR="006D3EDE" w:rsidRPr="00B727B0">
        <w:rPr>
          <w:rFonts w:ascii="Book Antiqua" w:eastAsia="Times New Roman" w:hAnsi="Book Antiqua" w:cstheme="majorBidi"/>
          <w:bCs/>
          <w:sz w:val="24"/>
          <w:szCs w:val="24"/>
          <w:shd w:val="clear" w:color="auto" w:fill="FFFFFF" w:themeFill="background1"/>
        </w:rPr>
        <w:t xml:space="preserve">deterioration </w:t>
      </w:r>
      <w:r w:rsidR="00293861" w:rsidRPr="00B727B0">
        <w:rPr>
          <w:rFonts w:ascii="Book Antiqua" w:eastAsia="Times New Roman" w:hAnsi="Book Antiqua" w:cstheme="majorBidi"/>
          <w:bCs/>
          <w:sz w:val="24"/>
          <w:szCs w:val="24"/>
          <w:shd w:val="clear" w:color="auto" w:fill="FFFFFF" w:themeFill="background1"/>
        </w:rPr>
        <w:t>of renal function even if it ma</w:t>
      </w:r>
      <w:r w:rsidR="006D3EDE" w:rsidRPr="00B727B0">
        <w:rPr>
          <w:rFonts w:ascii="Book Antiqua" w:eastAsia="Times New Roman" w:hAnsi="Book Antiqua" w:cstheme="majorBidi"/>
          <w:bCs/>
          <w:sz w:val="24"/>
          <w:szCs w:val="24"/>
          <w:shd w:val="clear" w:color="auto" w:fill="FFFFFF" w:themeFill="background1"/>
        </w:rPr>
        <w:t xml:space="preserve">y not slow down the </w:t>
      </w:r>
      <w:r w:rsidRPr="00B727B0">
        <w:rPr>
          <w:rFonts w:ascii="Book Antiqua" w:eastAsia="Times New Roman" w:hAnsi="Book Antiqua" w:cstheme="majorBidi"/>
          <w:bCs/>
          <w:sz w:val="24"/>
          <w:szCs w:val="24"/>
          <w:shd w:val="clear" w:color="auto" w:fill="FFFFFF" w:themeFill="background1"/>
        </w:rPr>
        <w:t>course of progression</w:t>
      </w:r>
      <w:r w:rsidR="006D3EDE" w:rsidRPr="00B727B0">
        <w:rPr>
          <w:rFonts w:ascii="Book Antiqua" w:eastAsia="Times New Roman" w:hAnsi="Book Antiqua" w:cstheme="majorBidi"/>
          <w:bCs/>
          <w:sz w:val="24"/>
          <w:szCs w:val="24"/>
          <w:shd w:val="clear" w:color="auto" w:fill="FFFFFF" w:themeFill="background1"/>
        </w:rPr>
        <w:t xml:space="preserve"> of GN</w:t>
      </w:r>
      <w:r w:rsidRPr="00B727B0">
        <w:rPr>
          <w:rFonts w:ascii="Book Antiqua" w:eastAsia="Times New Roman" w:hAnsi="Book Antiqua" w:cstheme="majorBidi"/>
          <w:bCs/>
          <w:sz w:val="24"/>
          <w:szCs w:val="24"/>
          <w:shd w:val="clear" w:color="auto" w:fill="FFFFFF" w:themeFill="background1"/>
        </w:rPr>
        <w:t xml:space="preserve">. </w:t>
      </w:r>
      <w:r w:rsidR="00CE138B" w:rsidRPr="00B727B0">
        <w:rPr>
          <w:rFonts w:ascii="Book Antiqua" w:eastAsia="Times New Roman" w:hAnsi="Book Antiqua" w:cstheme="majorBidi"/>
          <w:bCs/>
          <w:sz w:val="24"/>
          <w:szCs w:val="24"/>
          <w:shd w:val="clear" w:color="auto" w:fill="FFFFFF" w:themeFill="background1"/>
        </w:rPr>
        <w:t xml:space="preserve">Each of </w:t>
      </w:r>
      <w:r w:rsidR="004D7001" w:rsidRPr="00B727B0">
        <w:rPr>
          <w:rFonts w:ascii="Book Antiqua" w:eastAsia="Times New Roman" w:hAnsi="Book Antiqua" w:cstheme="majorBidi"/>
          <w:bCs/>
          <w:sz w:val="24"/>
          <w:szCs w:val="24"/>
          <w:shd w:val="clear" w:color="auto" w:fill="FFFFFF" w:themeFill="background1"/>
        </w:rPr>
        <w:t xml:space="preserve">the </w:t>
      </w:r>
      <w:r w:rsidR="00CE138B" w:rsidRPr="00B727B0">
        <w:rPr>
          <w:rFonts w:ascii="Book Antiqua" w:eastAsia="Times New Roman" w:hAnsi="Book Antiqua" w:cstheme="majorBidi"/>
          <w:bCs/>
          <w:sz w:val="24"/>
          <w:szCs w:val="24"/>
          <w:shd w:val="clear" w:color="auto" w:fill="FFFFFF" w:themeFill="background1"/>
        </w:rPr>
        <w:t xml:space="preserve">GN </w:t>
      </w:r>
      <w:r w:rsidR="004D7001" w:rsidRPr="00B727B0">
        <w:rPr>
          <w:rFonts w:ascii="Book Antiqua" w:eastAsia="Times New Roman" w:hAnsi="Book Antiqua" w:cstheme="majorBidi"/>
          <w:bCs/>
          <w:sz w:val="24"/>
          <w:szCs w:val="24"/>
          <w:shd w:val="clear" w:color="auto" w:fill="FFFFFF" w:themeFill="background1"/>
        </w:rPr>
        <w:t xml:space="preserve">types </w:t>
      </w:r>
      <w:r w:rsidR="00CE138B" w:rsidRPr="00B727B0">
        <w:rPr>
          <w:rFonts w:ascii="Book Antiqua" w:eastAsia="Times New Roman" w:hAnsi="Book Antiqua" w:cstheme="majorBidi"/>
          <w:bCs/>
          <w:sz w:val="24"/>
          <w:szCs w:val="24"/>
          <w:shd w:val="clear" w:color="auto" w:fill="FFFFFF" w:themeFill="background1"/>
        </w:rPr>
        <w:t xml:space="preserve">has a very unique natural history in renal allograft. </w:t>
      </w:r>
      <w:r w:rsidRPr="00B727B0">
        <w:rPr>
          <w:rFonts w:ascii="Book Antiqua" w:eastAsia="Times New Roman" w:hAnsi="Book Antiqua" w:cstheme="majorBidi"/>
          <w:bCs/>
          <w:sz w:val="24"/>
          <w:szCs w:val="24"/>
          <w:shd w:val="clear" w:color="auto" w:fill="FFFFFF" w:themeFill="background1"/>
        </w:rPr>
        <w:t xml:space="preserve">With more </w:t>
      </w:r>
      <w:r w:rsidR="004F28C4" w:rsidRPr="00B727B0">
        <w:rPr>
          <w:rFonts w:ascii="Book Antiqua" w:eastAsia="Times New Roman" w:hAnsi="Book Antiqua" w:cstheme="majorBidi"/>
          <w:bCs/>
          <w:sz w:val="24"/>
          <w:szCs w:val="24"/>
          <w:shd w:val="clear" w:color="auto" w:fill="FFFFFF" w:themeFill="background1"/>
        </w:rPr>
        <w:t>advancement</w:t>
      </w:r>
      <w:r w:rsidRPr="00B727B0">
        <w:rPr>
          <w:rFonts w:ascii="Book Antiqua" w:eastAsia="Times New Roman" w:hAnsi="Book Antiqua" w:cstheme="majorBidi"/>
          <w:bCs/>
          <w:sz w:val="24"/>
          <w:szCs w:val="24"/>
          <w:shd w:val="clear" w:color="auto" w:fill="FFFFFF" w:themeFill="background1"/>
        </w:rPr>
        <w:t xml:space="preserve"> in understanding its pathogenesis in the future, prophylactic </w:t>
      </w:r>
      <w:r w:rsidR="005D3DC2" w:rsidRPr="00B727B0">
        <w:rPr>
          <w:rFonts w:ascii="Book Antiqua" w:eastAsia="Times New Roman" w:hAnsi="Book Antiqua" w:cstheme="majorBidi"/>
          <w:bCs/>
          <w:sz w:val="24"/>
          <w:szCs w:val="24"/>
          <w:shd w:val="clear" w:color="auto" w:fill="FFFFFF" w:themeFill="background1"/>
        </w:rPr>
        <w:t>treatment</w:t>
      </w:r>
      <w:r w:rsidRPr="00B727B0">
        <w:rPr>
          <w:rFonts w:ascii="Book Antiqua" w:eastAsia="Times New Roman" w:hAnsi="Book Antiqua" w:cstheme="majorBidi"/>
          <w:bCs/>
          <w:sz w:val="24"/>
          <w:szCs w:val="24"/>
          <w:shd w:val="clear" w:color="auto" w:fill="FFFFFF" w:themeFill="background1"/>
        </w:rPr>
        <w:t xml:space="preserve"> for prevention of </w:t>
      </w:r>
      <w:r w:rsidR="00EE7FFE" w:rsidRPr="00B727B0">
        <w:rPr>
          <w:rFonts w:ascii="Book Antiqua" w:eastAsia="Times New Roman" w:hAnsi="Book Antiqua" w:cstheme="majorBidi"/>
          <w:bCs/>
          <w:sz w:val="24"/>
          <w:szCs w:val="24"/>
          <w:shd w:val="clear" w:color="auto" w:fill="FFFFFF" w:themeFill="background1"/>
        </w:rPr>
        <w:t xml:space="preserve">GN </w:t>
      </w:r>
      <w:r w:rsidR="00CE573F" w:rsidRPr="00B727B0">
        <w:rPr>
          <w:rFonts w:ascii="Book Antiqua" w:eastAsia="Times New Roman" w:hAnsi="Book Antiqua" w:cstheme="majorBidi"/>
          <w:bCs/>
          <w:sz w:val="24"/>
          <w:szCs w:val="24"/>
          <w:shd w:val="clear" w:color="auto" w:fill="FFFFFF" w:themeFill="background1"/>
        </w:rPr>
        <w:t>recurrence might be</w:t>
      </w:r>
      <w:r w:rsidR="006D3EDE" w:rsidRPr="00B727B0">
        <w:rPr>
          <w:rFonts w:ascii="Book Antiqua" w:eastAsia="Times New Roman" w:hAnsi="Book Antiqua" w:cstheme="majorBidi"/>
          <w:bCs/>
          <w:sz w:val="24"/>
          <w:szCs w:val="24"/>
          <w:shd w:val="clear" w:color="auto" w:fill="FFFFFF" w:themeFill="background1"/>
        </w:rPr>
        <w:t xml:space="preserve"> effective</w:t>
      </w:r>
      <w:r w:rsidR="00CE573F" w:rsidRPr="00B727B0">
        <w:rPr>
          <w:rFonts w:ascii="Book Antiqua" w:eastAsia="Times New Roman" w:hAnsi="Book Antiqua" w:cstheme="majorBidi"/>
          <w:bCs/>
          <w:sz w:val="24"/>
          <w:szCs w:val="24"/>
          <w:shd w:val="clear" w:color="auto" w:fill="FFFFFF" w:themeFill="background1"/>
        </w:rPr>
        <w:t xml:space="preserve">. </w:t>
      </w:r>
    </w:p>
    <w:p w14:paraId="2577EE70" w14:textId="77777777" w:rsidR="00916F2F" w:rsidRPr="00B727B0" w:rsidRDefault="00916F2F" w:rsidP="007312CD">
      <w:pPr>
        <w:adjustRightInd w:val="0"/>
        <w:snapToGrid w:val="0"/>
        <w:spacing w:after="0" w:line="360" w:lineRule="auto"/>
        <w:jc w:val="both"/>
        <w:rPr>
          <w:rFonts w:ascii="Book Antiqua" w:eastAsia="宋体" w:hAnsi="Book Antiqua" w:cstheme="majorBidi"/>
          <w:bCs/>
          <w:iCs/>
          <w:sz w:val="24"/>
          <w:szCs w:val="24"/>
          <w:shd w:val="clear" w:color="auto" w:fill="FFFFFF" w:themeFill="background1"/>
          <w:lang w:eastAsia="zh-CN"/>
        </w:rPr>
      </w:pPr>
    </w:p>
    <w:p w14:paraId="6414C991" w14:textId="1CFCA474" w:rsidR="00916F2F" w:rsidRPr="00B727B0" w:rsidRDefault="00916F2F" w:rsidP="007312CD">
      <w:pPr>
        <w:adjustRightInd w:val="0"/>
        <w:snapToGrid w:val="0"/>
        <w:spacing w:after="0" w:line="360" w:lineRule="auto"/>
        <w:jc w:val="both"/>
        <w:rPr>
          <w:rFonts w:ascii="Book Antiqua" w:eastAsia="宋体" w:hAnsi="Book Antiqua" w:cstheme="majorBidi"/>
          <w:b/>
          <w:bCs/>
          <w:iCs/>
          <w:sz w:val="24"/>
          <w:szCs w:val="24"/>
          <w:shd w:val="clear" w:color="auto" w:fill="FFFFFF" w:themeFill="background1"/>
          <w:lang w:eastAsia="zh-CN"/>
        </w:rPr>
      </w:pPr>
      <w:r w:rsidRPr="00B727B0">
        <w:rPr>
          <w:rFonts w:ascii="Book Antiqua" w:eastAsia="Times New Roman" w:hAnsi="Book Antiqua" w:cstheme="majorBidi"/>
          <w:b/>
          <w:bCs/>
          <w:iCs/>
          <w:sz w:val="24"/>
          <w:szCs w:val="24"/>
          <w:shd w:val="clear" w:color="auto" w:fill="FFFFFF" w:themeFill="background1"/>
        </w:rPr>
        <w:t>ACKNOWLEDGMENT</w:t>
      </w:r>
      <w:r w:rsidRPr="00B727B0">
        <w:rPr>
          <w:rFonts w:ascii="Book Antiqua" w:eastAsia="宋体" w:hAnsi="Book Antiqua" w:cstheme="majorBidi"/>
          <w:b/>
          <w:bCs/>
          <w:iCs/>
          <w:sz w:val="24"/>
          <w:szCs w:val="24"/>
          <w:shd w:val="clear" w:color="auto" w:fill="FFFFFF" w:themeFill="background1"/>
          <w:lang w:eastAsia="zh-CN"/>
        </w:rPr>
        <w:t>S</w:t>
      </w:r>
      <w:r w:rsidRPr="00B727B0">
        <w:rPr>
          <w:rFonts w:ascii="Book Antiqua" w:eastAsia="Times New Roman" w:hAnsi="Book Antiqua" w:cstheme="majorBidi"/>
          <w:b/>
          <w:bCs/>
          <w:iCs/>
          <w:sz w:val="24"/>
          <w:szCs w:val="24"/>
          <w:shd w:val="clear" w:color="auto" w:fill="FFFFFF" w:themeFill="background1"/>
        </w:rPr>
        <w:t xml:space="preserve"> </w:t>
      </w:r>
    </w:p>
    <w:p w14:paraId="21AF3C12" w14:textId="0C85A5E2" w:rsidR="00AB0A08" w:rsidRPr="00B727B0" w:rsidRDefault="00916F2F" w:rsidP="007312CD">
      <w:pPr>
        <w:adjustRightInd w:val="0"/>
        <w:snapToGrid w:val="0"/>
        <w:spacing w:after="0" w:line="360" w:lineRule="auto"/>
        <w:jc w:val="both"/>
        <w:rPr>
          <w:rFonts w:ascii="Book Antiqua" w:eastAsia="Times New Roman" w:hAnsi="Book Antiqua" w:cstheme="majorBidi"/>
          <w:bCs/>
          <w:iCs/>
          <w:sz w:val="24"/>
          <w:szCs w:val="24"/>
          <w:shd w:val="clear" w:color="auto" w:fill="FFFFFF" w:themeFill="background1"/>
        </w:rPr>
      </w:pPr>
      <w:r w:rsidRPr="00B727B0">
        <w:rPr>
          <w:rFonts w:ascii="Book Antiqua" w:eastAsia="Times New Roman" w:hAnsi="Book Antiqua" w:cstheme="majorBidi"/>
          <w:bCs/>
          <w:iCs/>
          <w:sz w:val="24"/>
          <w:szCs w:val="24"/>
          <w:shd w:val="clear" w:color="auto" w:fill="FFFFFF" w:themeFill="background1"/>
        </w:rPr>
        <w:t>A</w:t>
      </w:r>
      <w:r w:rsidR="00AB0A08" w:rsidRPr="00B727B0">
        <w:rPr>
          <w:rFonts w:ascii="Book Antiqua" w:eastAsia="Times New Roman" w:hAnsi="Book Antiqua" w:cstheme="majorBidi"/>
          <w:bCs/>
          <w:iCs/>
          <w:sz w:val="24"/>
          <w:szCs w:val="24"/>
          <w:shd w:val="clear" w:color="auto" w:fill="FFFFFF" w:themeFill="background1"/>
        </w:rPr>
        <w:t xml:space="preserve">uthors do acknowledging Dr. Sami Alasfar </w:t>
      </w:r>
      <w:r w:rsidR="00DF361A" w:rsidRPr="00B727B0">
        <w:rPr>
          <w:rFonts w:ascii="Book Antiqua" w:eastAsia="Times New Roman" w:hAnsi="Book Antiqua" w:cstheme="majorBidi"/>
          <w:bCs/>
          <w:iCs/>
          <w:sz w:val="24"/>
          <w:szCs w:val="24"/>
          <w:shd w:val="clear" w:color="auto" w:fill="FFFFFF" w:themeFill="background1"/>
        </w:rPr>
        <w:t>et al</w:t>
      </w:r>
      <w:r w:rsidR="005D3DC2" w:rsidRPr="00B727B0">
        <w:rPr>
          <w:rFonts w:ascii="Book Antiqua" w:eastAsia="Times New Roman" w:hAnsi="Book Antiqua" w:cstheme="majorBidi"/>
          <w:bCs/>
          <w:iCs/>
          <w:sz w:val="24"/>
          <w:szCs w:val="24"/>
          <w:shd w:val="clear" w:color="auto" w:fill="FFFFFF" w:themeFill="background1"/>
        </w:rPr>
        <w:t>,</w:t>
      </w:r>
      <w:r w:rsidR="00AB0A08" w:rsidRPr="00B727B0">
        <w:rPr>
          <w:rFonts w:ascii="Book Antiqua" w:eastAsia="Times New Roman" w:hAnsi="Book Antiqua" w:cstheme="majorBidi"/>
          <w:bCs/>
          <w:iCs/>
          <w:sz w:val="24"/>
          <w:szCs w:val="24"/>
          <w:shd w:val="clear" w:color="auto" w:fill="FFFFFF" w:themeFill="background1"/>
        </w:rPr>
        <w:t xml:space="preserve"> as well as Dr. Mohamed E. Mashaly </w:t>
      </w:r>
      <w:r w:rsidR="00DF361A" w:rsidRPr="00B727B0">
        <w:rPr>
          <w:rFonts w:ascii="Book Antiqua" w:eastAsia="Times New Roman" w:hAnsi="Book Antiqua" w:cstheme="majorBidi"/>
          <w:bCs/>
          <w:iCs/>
          <w:sz w:val="24"/>
          <w:szCs w:val="24"/>
          <w:shd w:val="clear" w:color="auto" w:fill="FFFFFF" w:themeFill="background1"/>
        </w:rPr>
        <w:t>et al</w:t>
      </w:r>
      <w:r w:rsidR="00AB0A08" w:rsidRPr="00B727B0">
        <w:rPr>
          <w:rFonts w:ascii="Book Antiqua" w:eastAsia="Times New Roman" w:hAnsi="Book Antiqua" w:cstheme="majorBidi"/>
          <w:bCs/>
          <w:iCs/>
          <w:sz w:val="24"/>
          <w:szCs w:val="24"/>
          <w:shd w:val="clear" w:color="auto" w:fill="FFFFFF" w:themeFill="background1"/>
        </w:rPr>
        <w:t xml:space="preserve">, El Mansoura center for permitting us adapting their graphs. </w:t>
      </w:r>
    </w:p>
    <w:p w14:paraId="26025F46" w14:textId="77777777" w:rsidR="00873E7B" w:rsidRPr="00B727B0" w:rsidRDefault="00873E7B" w:rsidP="007312CD">
      <w:pPr>
        <w:shd w:val="clear" w:color="auto" w:fill="FFFFFF" w:themeFill="background1"/>
        <w:adjustRightInd w:val="0"/>
        <w:snapToGrid w:val="0"/>
        <w:spacing w:after="0" w:line="360" w:lineRule="auto"/>
        <w:jc w:val="both"/>
        <w:rPr>
          <w:rFonts w:ascii="Book Antiqua" w:eastAsia="宋体" w:hAnsi="Book Antiqua" w:cstheme="majorBidi"/>
          <w:b/>
          <w:sz w:val="24"/>
          <w:szCs w:val="24"/>
          <w:lang w:eastAsia="zh-CN"/>
        </w:rPr>
      </w:pPr>
    </w:p>
    <w:p w14:paraId="6C7486C8" w14:textId="77777777" w:rsidR="00873E7B" w:rsidRPr="00B727B0" w:rsidRDefault="00873E7B" w:rsidP="007312CD">
      <w:pPr>
        <w:spacing w:after="160" w:line="259" w:lineRule="auto"/>
        <w:jc w:val="both"/>
        <w:rPr>
          <w:rFonts w:ascii="Book Antiqua" w:eastAsia="Times New Roman" w:hAnsi="Book Antiqua" w:cstheme="majorBidi"/>
          <w:b/>
          <w:sz w:val="24"/>
          <w:szCs w:val="24"/>
        </w:rPr>
      </w:pPr>
      <w:r w:rsidRPr="00B727B0">
        <w:rPr>
          <w:rFonts w:ascii="Book Antiqua" w:eastAsia="Times New Roman" w:hAnsi="Book Antiqua" w:cstheme="majorBidi"/>
          <w:b/>
          <w:sz w:val="24"/>
          <w:szCs w:val="24"/>
        </w:rPr>
        <w:br w:type="page"/>
      </w:r>
    </w:p>
    <w:p w14:paraId="7FA19E20" w14:textId="33439804" w:rsidR="00C95E27" w:rsidRPr="00B727B0" w:rsidRDefault="00C95E27" w:rsidP="007312CD">
      <w:pPr>
        <w:shd w:val="clear" w:color="auto" w:fill="FFFFFF" w:themeFill="background1"/>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sz w:val="24"/>
          <w:szCs w:val="24"/>
        </w:rPr>
        <w:lastRenderedPageBreak/>
        <w:t>REFERENCES</w:t>
      </w:r>
      <w:bookmarkStart w:id="149" w:name="OLE_LINK5"/>
      <w:bookmarkStart w:id="150" w:name="OLE_LINK6"/>
      <w:bookmarkStart w:id="151" w:name="OLE_LINK23"/>
      <w:bookmarkStart w:id="152" w:name="OLE_LINK24"/>
    </w:p>
    <w:p w14:paraId="763C209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Sprangers B</w:t>
      </w:r>
      <w:r w:rsidRPr="00B727B0">
        <w:rPr>
          <w:rFonts w:ascii="Book Antiqua" w:hAnsi="Book Antiqua"/>
          <w:bCs/>
          <w:sz w:val="24"/>
          <w:szCs w:val="24"/>
        </w:rPr>
        <w:t>,</w:t>
      </w:r>
      <w:r w:rsidRPr="00B727B0">
        <w:rPr>
          <w:rFonts w:ascii="Book Antiqua" w:hAnsi="Book Antiqua"/>
          <w:sz w:val="24"/>
          <w:szCs w:val="24"/>
        </w:rPr>
        <w:t xml:space="preserve"> Kuypers DR. Recurrence of glomerulonephritis after renal transplantation. </w:t>
      </w:r>
      <w:r w:rsidRPr="00B727B0">
        <w:rPr>
          <w:rFonts w:ascii="Book Antiqua" w:hAnsi="Book Antiqua"/>
          <w:i/>
          <w:sz w:val="24"/>
          <w:szCs w:val="24"/>
        </w:rPr>
        <w:t>Transplantation Reviews</w:t>
      </w:r>
      <w:r w:rsidRPr="00B727B0">
        <w:rPr>
          <w:rFonts w:ascii="Book Antiqua" w:hAnsi="Book Antiqua"/>
          <w:sz w:val="24"/>
          <w:szCs w:val="24"/>
        </w:rPr>
        <w:t xml:space="preserve"> 2013; 27: 126-134 [PMID: 23954034 DOI: 10.1016/j.trre.2013.07.004]</w:t>
      </w:r>
    </w:p>
    <w:bookmarkEnd w:id="149"/>
    <w:bookmarkEnd w:id="150"/>
    <w:p w14:paraId="7BBB418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Cosio FG</w:t>
      </w:r>
      <w:r w:rsidRPr="00B727B0">
        <w:rPr>
          <w:rFonts w:ascii="Book Antiqua" w:hAnsi="Book Antiqua"/>
          <w:bCs/>
          <w:sz w:val="24"/>
          <w:szCs w:val="24"/>
        </w:rPr>
        <w:t>,</w:t>
      </w:r>
      <w:r w:rsidRPr="00B727B0">
        <w:rPr>
          <w:rFonts w:ascii="Book Antiqua" w:hAnsi="Book Antiqua"/>
          <w:sz w:val="24"/>
          <w:szCs w:val="24"/>
        </w:rPr>
        <w:t xml:space="preserve"> Cattran DC. Recent advances in our understanding of recurrent primary GN after kidney transplantation. </w:t>
      </w:r>
      <w:r w:rsidRPr="00B727B0">
        <w:rPr>
          <w:rFonts w:ascii="Book Antiqua" w:hAnsi="Book Antiqua"/>
          <w:i/>
          <w:sz w:val="24"/>
          <w:szCs w:val="24"/>
        </w:rPr>
        <w:t>Kidney Int</w:t>
      </w:r>
      <w:r w:rsidRPr="00B727B0">
        <w:rPr>
          <w:rFonts w:ascii="Book Antiqua" w:hAnsi="Book Antiqua"/>
          <w:sz w:val="24"/>
          <w:szCs w:val="24"/>
        </w:rPr>
        <w:t xml:space="preserve"> 2017; </w:t>
      </w:r>
      <w:r w:rsidRPr="00B727B0">
        <w:rPr>
          <w:rFonts w:ascii="Book Antiqua" w:hAnsi="Book Antiqua"/>
          <w:b/>
          <w:sz w:val="24"/>
          <w:szCs w:val="24"/>
        </w:rPr>
        <w:t>91</w:t>
      </w:r>
      <w:r w:rsidRPr="00B727B0">
        <w:rPr>
          <w:rFonts w:ascii="Book Antiqua" w:hAnsi="Book Antiqua"/>
          <w:sz w:val="24"/>
          <w:szCs w:val="24"/>
        </w:rPr>
        <w:t>: 304-314 [PMID: 27837947</w:t>
      </w:r>
      <w:r w:rsidRPr="00B727B0">
        <w:rPr>
          <w:rFonts w:ascii="Book Antiqua" w:hAnsi="Book Antiqua" w:cs="Arial"/>
          <w:color w:val="575757"/>
          <w:sz w:val="24"/>
          <w:szCs w:val="24"/>
          <w:shd w:val="clear" w:color="auto" w:fill="FFFFFF"/>
        </w:rPr>
        <w:t xml:space="preserve"> </w:t>
      </w:r>
      <w:r w:rsidRPr="00B727B0">
        <w:rPr>
          <w:rFonts w:ascii="Book Antiqua" w:hAnsi="Book Antiqua"/>
          <w:sz w:val="24"/>
          <w:szCs w:val="24"/>
        </w:rPr>
        <w:t>DOI: 10.1016/j.kint.2016.08.030]</w:t>
      </w:r>
    </w:p>
    <w:p w14:paraId="59CCED6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Liu ZH</w:t>
      </w:r>
      <w:r w:rsidRPr="00B727B0">
        <w:rPr>
          <w:rFonts w:ascii="Book Antiqua" w:hAnsi="Book Antiqua"/>
          <w:sz w:val="24"/>
          <w:szCs w:val="24"/>
        </w:rPr>
        <w:t>. Nephrology in china. </w:t>
      </w:r>
      <w:r w:rsidRPr="00B727B0">
        <w:rPr>
          <w:rFonts w:ascii="Book Antiqua" w:hAnsi="Book Antiqua"/>
          <w:i/>
          <w:iCs/>
          <w:sz w:val="24"/>
          <w:szCs w:val="24"/>
        </w:rPr>
        <w:t>Nat Rev Nephrol</w:t>
      </w:r>
      <w:r w:rsidRPr="00B727B0">
        <w:rPr>
          <w:rFonts w:ascii="Book Antiqua" w:hAnsi="Book Antiqua"/>
          <w:sz w:val="24"/>
          <w:szCs w:val="24"/>
        </w:rPr>
        <w:t> 2013; </w:t>
      </w:r>
      <w:r w:rsidRPr="00B727B0">
        <w:rPr>
          <w:rFonts w:ascii="Book Antiqua" w:hAnsi="Book Antiqua"/>
          <w:b/>
          <w:bCs/>
          <w:sz w:val="24"/>
          <w:szCs w:val="24"/>
        </w:rPr>
        <w:t>9</w:t>
      </w:r>
      <w:r w:rsidRPr="00B727B0">
        <w:rPr>
          <w:rFonts w:ascii="Book Antiqua" w:hAnsi="Book Antiqua"/>
          <w:sz w:val="24"/>
          <w:szCs w:val="24"/>
        </w:rPr>
        <w:t>: 523-528 [PMID: 23877587 DOI: 10.1038/nrneph.2013.146]</w:t>
      </w:r>
    </w:p>
    <w:p w14:paraId="25BD0FF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sz w:val="24"/>
          <w:szCs w:val="24"/>
        </w:rPr>
        <w:t>Li L</w:t>
      </w:r>
      <w:r w:rsidRPr="00B727B0">
        <w:rPr>
          <w:rFonts w:ascii="Book Antiqua" w:hAnsi="Book Antiqua"/>
          <w:sz w:val="24"/>
          <w:szCs w:val="24"/>
        </w:rPr>
        <w:t xml:space="preserve">. </w:t>
      </w:r>
      <w:bookmarkStart w:id="153" w:name="OLE_LINK9"/>
      <w:bookmarkStart w:id="154" w:name="OLE_LINK10"/>
      <w:r w:rsidRPr="00B727B0">
        <w:rPr>
          <w:rFonts w:ascii="Book Antiqua" w:hAnsi="Book Antiqua"/>
          <w:sz w:val="24"/>
          <w:szCs w:val="24"/>
        </w:rPr>
        <w:t>End-stage renal disease in China</w:t>
      </w:r>
      <w:bookmarkEnd w:id="153"/>
      <w:bookmarkEnd w:id="154"/>
      <w:r w:rsidRPr="00B727B0">
        <w:rPr>
          <w:rFonts w:ascii="Book Antiqua" w:hAnsi="Book Antiqua"/>
          <w:sz w:val="24"/>
          <w:szCs w:val="24"/>
        </w:rPr>
        <w:t xml:space="preserve">. </w:t>
      </w:r>
      <w:r w:rsidRPr="00B727B0">
        <w:rPr>
          <w:rFonts w:ascii="Book Antiqua" w:hAnsi="Book Antiqua"/>
          <w:i/>
          <w:sz w:val="24"/>
          <w:szCs w:val="24"/>
        </w:rPr>
        <w:t>Kidney Int</w:t>
      </w:r>
      <w:r w:rsidRPr="00B727B0">
        <w:rPr>
          <w:rFonts w:ascii="Book Antiqua" w:hAnsi="Book Antiqua"/>
          <w:sz w:val="24"/>
          <w:szCs w:val="24"/>
        </w:rPr>
        <w:t xml:space="preserve"> 1996; </w:t>
      </w:r>
      <w:r w:rsidRPr="00B727B0">
        <w:rPr>
          <w:rFonts w:ascii="Book Antiqua" w:hAnsi="Book Antiqua"/>
          <w:b/>
          <w:sz w:val="24"/>
          <w:szCs w:val="24"/>
        </w:rPr>
        <w:t>49</w:t>
      </w:r>
      <w:r w:rsidRPr="00B727B0">
        <w:rPr>
          <w:rFonts w:ascii="Book Antiqua" w:hAnsi="Book Antiqua"/>
          <w:sz w:val="24"/>
          <w:szCs w:val="24"/>
        </w:rPr>
        <w:t>: 287-301 [DOI: 10.1038/ki.1996.41]</w:t>
      </w:r>
    </w:p>
    <w:p w14:paraId="611963D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Cosio FG</w:t>
      </w:r>
      <w:r w:rsidRPr="00B727B0">
        <w:rPr>
          <w:rFonts w:ascii="Book Antiqua" w:hAnsi="Book Antiqua"/>
          <w:sz w:val="24"/>
          <w:szCs w:val="24"/>
        </w:rPr>
        <w:t>, El Ters M, Cornell LD, Schinstock CA, Stegall MD. Changing Kidney Allograft Histology Early Posttransplant: Prognostic Implications of 1-Year Protocol Biopsies. </w:t>
      </w:r>
      <w:r w:rsidRPr="00B727B0">
        <w:rPr>
          <w:rFonts w:ascii="Book Antiqua" w:hAnsi="Book Antiqua"/>
          <w:i/>
          <w:iCs/>
          <w:sz w:val="24"/>
          <w:szCs w:val="24"/>
        </w:rPr>
        <w:t>Am J Transplant</w:t>
      </w:r>
      <w:r w:rsidRPr="00B727B0">
        <w:rPr>
          <w:rFonts w:ascii="Book Antiqua" w:hAnsi="Book Antiqua"/>
          <w:sz w:val="24"/>
          <w:szCs w:val="24"/>
        </w:rPr>
        <w:t> 2016; </w:t>
      </w:r>
      <w:r w:rsidRPr="00B727B0">
        <w:rPr>
          <w:rFonts w:ascii="Book Antiqua" w:hAnsi="Book Antiqua"/>
          <w:b/>
          <w:bCs/>
          <w:sz w:val="24"/>
          <w:szCs w:val="24"/>
        </w:rPr>
        <w:t>16</w:t>
      </w:r>
      <w:r w:rsidRPr="00B727B0">
        <w:rPr>
          <w:rFonts w:ascii="Book Antiqua" w:hAnsi="Book Antiqua"/>
          <w:sz w:val="24"/>
          <w:szCs w:val="24"/>
        </w:rPr>
        <w:t>: 194-203 [PMID: 26274817 DOI: 10.1111/ajt.13423]</w:t>
      </w:r>
    </w:p>
    <w:p w14:paraId="26193B4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Gourishankar S</w:t>
      </w:r>
      <w:r w:rsidRPr="00B727B0">
        <w:rPr>
          <w:rFonts w:ascii="Book Antiqua" w:hAnsi="Book Antiqua"/>
          <w:sz w:val="24"/>
          <w:szCs w:val="24"/>
        </w:rPr>
        <w:t>, Leduc R, Connett J, Cecka JM, Cosio F, Fieberg A, Gaston R, Halloran P, Hunsicker L, Kasiske B, Rush D, Grande J, Mannon R, Matas A. Pathological and clinical characterization of the 'troubled transplant': data from the DeKAF study. </w:t>
      </w:r>
      <w:r w:rsidRPr="00B727B0">
        <w:rPr>
          <w:rFonts w:ascii="Book Antiqua" w:hAnsi="Book Antiqua"/>
          <w:i/>
          <w:iCs/>
          <w:sz w:val="24"/>
          <w:szCs w:val="24"/>
        </w:rPr>
        <w:t>Am J Transplant</w:t>
      </w:r>
      <w:r w:rsidRPr="00B727B0">
        <w:rPr>
          <w:rFonts w:ascii="Book Antiqua" w:hAnsi="Book Antiqua"/>
          <w:sz w:val="24"/>
          <w:szCs w:val="24"/>
        </w:rPr>
        <w:t> 2010; </w:t>
      </w:r>
      <w:r w:rsidRPr="00B727B0">
        <w:rPr>
          <w:rFonts w:ascii="Book Antiqua" w:hAnsi="Book Antiqua"/>
          <w:b/>
          <w:bCs/>
          <w:sz w:val="24"/>
          <w:szCs w:val="24"/>
        </w:rPr>
        <w:t>10</w:t>
      </w:r>
      <w:r w:rsidRPr="00B727B0">
        <w:rPr>
          <w:rFonts w:ascii="Book Antiqua" w:hAnsi="Book Antiqua"/>
          <w:sz w:val="24"/>
          <w:szCs w:val="24"/>
        </w:rPr>
        <w:t>: 324-330 [PMID: 20055809 DOI: 10.1111/j.1600-6143.2009.02954.x]</w:t>
      </w:r>
    </w:p>
    <w:p w14:paraId="3102ECE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Sellarés J</w:t>
      </w:r>
      <w:r w:rsidRPr="00B727B0">
        <w:rPr>
          <w:rFonts w:ascii="Book Antiqua" w:hAnsi="Book Antiqua"/>
          <w:sz w:val="24"/>
          <w:szCs w:val="24"/>
        </w:rPr>
        <w:t>, de Freitas DG, Mengel M, Reeve J, Einecke G, Sis B, Hidalgo LG, Famulski K, Matas A, Halloran PF. Understanding the causes of kidney transplant failure: the dominant role of antibody-mediated rejection and nonadherence. </w:t>
      </w:r>
      <w:r w:rsidRPr="00B727B0">
        <w:rPr>
          <w:rFonts w:ascii="Book Antiqua" w:hAnsi="Book Antiqua"/>
          <w:i/>
          <w:iCs/>
          <w:sz w:val="24"/>
          <w:szCs w:val="24"/>
        </w:rPr>
        <w:t>Am J Transplant</w:t>
      </w:r>
      <w:r w:rsidRPr="00B727B0">
        <w:rPr>
          <w:rFonts w:ascii="Book Antiqua" w:hAnsi="Book Antiqua"/>
          <w:sz w:val="24"/>
          <w:szCs w:val="24"/>
        </w:rPr>
        <w:t> 2012; </w:t>
      </w:r>
      <w:r w:rsidRPr="00B727B0">
        <w:rPr>
          <w:rFonts w:ascii="Book Antiqua" w:hAnsi="Book Antiqua"/>
          <w:b/>
          <w:bCs/>
          <w:sz w:val="24"/>
          <w:szCs w:val="24"/>
        </w:rPr>
        <w:t>12</w:t>
      </w:r>
      <w:r w:rsidRPr="00B727B0">
        <w:rPr>
          <w:rFonts w:ascii="Book Antiqua" w:hAnsi="Book Antiqua"/>
          <w:sz w:val="24"/>
          <w:szCs w:val="24"/>
        </w:rPr>
        <w:t>: 388-399 [PMID: 22081892 DOI: 10.1111/j.1600-6143.2011.03840.x]</w:t>
      </w:r>
    </w:p>
    <w:p w14:paraId="58472DE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Halloran PF</w:t>
      </w:r>
      <w:r w:rsidRPr="00B727B0">
        <w:rPr>
          <w:rFonts w:ascii="Book Antiqua" w:hAnsi="Book Antiqua"/>
          <w:sz w:val="24"/>
          <w:szCs w:val="24"/>
        </w:rPr>
        <w:t>, Pereira AB, Chang J, Matas A, Picton M, De Freitas D, Bromberg J, Serón D, Sellarés J, Einecke G, Reeve J. Microarray diagnosis of antibody-mediated rejection in kidney transplant biopsies: an international prospective study (INTERCOM). </w:t>
      </w:r>
      <w:r w:rsidRPr="00B727B0">
        <w:rPr>
          <w:rFonts w:ascii="Book Antiqua" w:hAnsi="Book Antiqua"/>
          <w:i/>
          <w:iCs/>
          <w:sz w:val="24"/>
          <w:szCs w:val="24"/>
        </w:rPr>
        <w:t>Am J Transplant</w:t>
      </w:r>
      <w:r w:rsidRPr="00B727B0">
        <w:rPr>
          <w:rFonts w:ascii="Book Antiqua" w:hAnsi="Book Antiqua"/>
          <w:sz w:val="24"/>
          <w:szCs w:val="24"/>
        </w:rPr>
        <w:t> 2013; </w:t>
      </w:r>
      <w:r w:rsidRPr="00B727B0">
        <w:rPr>
          <w:rFonts w:ascii="Book Antiqua" w:hAnsi="Book Antiqua"/>
          <w:b/>
          <w:bCs/>
          <w:sz w:val="24"/>
          <w:szCs w:val="24"/>
        </w:rPr>
        <w:t>13</w:t>
      </w:r>
      <w:r w:rsidRPr="00B727B0">
        <w:rPr>
          <w:rFonts w:ascii="Book Antiqua" w:hAnsi="Book Antiqua"/>
          <w:sz w:val="24"/>
          <w:szCs w:val="24"/>
        </w:rPr>
        <w:t>: 2865-2874 [PMID: 24119109 DOI: 10.1111/ajt.12465]</w:t>
      </w:r>
    </w:p>
    <w:p w14:paraId="3DB9353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Briganti EM</w:t>
      </w:r>
      <w:r w:rsidRPr="00B727B0">
        <w:rPr>
          <w:rFonts w:ascii="Book Antiqua" w:hAnsi="Book Antiqua"/>
          <w:sz w:val="24"/>
          <w:szCs w:val="24"/>
        </w:rPr>
        <w:t>, Russ GR, McNeil JJ, Atkins RC, Chadban SJ. Risk of renal allograft loss from recurrent glomerulonephritis. </w:t>
      </w:r>
      <w:r w:rsidRPr="00B727B0">
        <w:rPr>
          <w:rFonts w:ascii="Book Antiqua" w:hAnsi="Book Antiqua"/>
          <w:i/>
          <w:iCs/>
          <w:sz w:val="24"/>
          <w:szCs w:val="24"/>
        </w:rPr>
        <w:t>N Engl J Med</w:t>
      </w:r>
      <w:r w:rsidRPr="00B727B0">
        <w:rPr>
          <w:rFonts w:ascii="Book Antiqua" w:hAnsi="Book Antiqua"/>
          <w:sz w:val="24"/>
          <w:szCs w:val="24"/>
        </w:rPr>
        <w:t> 2002; </w:t>
      </w:r>
      <w:r w:rsidRPr="00B727B0">
        <w:rPr>
          <w:rFonts w:ascii="Book Antiqua" w:hAnsi="Book Antiqua"/>
          <w:b/>
          <w:bCs/>
          <w:sz w:val="24"/>
          <w:szCs w:val="24"/>
        </w:rPr>
        <w:t>347</w:t>
      </w:r>
      <w:r w:rsidRPr="00B727B0">
        <w:rPr>
          <w:rFonts w:ascii="Book Antiqua" w:hAnsi="Book Antiqua"/>
          <w:sz w:val="24"/>
          <w:szCs w:val="24"/>
        </w:rPr>
        <w:t>: 103-109 [PMID: 12110738 DOI: 10.1056/NEJMoa013036]</w:t>
      </w:r>
    </w:p>
    <w:p w14:paraId="053C26B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Floege J</w:t>
      </w:r>
      <w:r w:rsidRPr="00B727B0">
        <w:rPr>
          <w:rFonts w:ascii="Book Antiqua" w:hAnsi="Book Antiqua"/>
          <w:sz w:val="24"/>
          <w:szCs w:val="24"/>
        </w:rPr>
        <w:t>, Regele H, Gesualdo L; ERA-EDTA Immunonephrology Working Group. The ERA-EDTA Database on Recurrent Glomerulonephritis following renal transplantation. </w:t>
      </w:r>
      <w:r w:rsidRPr="00B727B0">
        <w:rPr>
          <w:rFonts w:ascii="Book Antiqua" w:hAnsi="Book Antiqua"/>
          <w:i/>
          <w:iCs/>
          <w:sz w:val="24"/>
          <w:szCs w:val="24"/>
        </w:rPr>
        <w:t>Nephrol Dial Transplant</w:t>
      </w:r>
      <w:r w:rsidRPr="00B727B0">
        <w:rPr>
          <w:rFonts w:ascii="Book Antiqua" w:hAnsi="Book Antiqua"/>
          <w:sz w:val="24"/>
          <w:szCs w:val="24"/>
        </w:rPr>
        <w:t> 2014; </w:t>
      </w:r>
      <w:r w:rsidRPr="00B727B0">
        <w:rPr>
          <w:rFonts w:ascii="Book Antiqua" w:hAnsi="Book Antiqua"/>
          <w:b/>
          <w:bCs/>
          <w:sz w:val="24"/>
          <w:szCs w:val="24"/>
        </w:rPr>
        <w:t>29</w:t>
      </w:r>
      <w:r w:rsidRPr="00B727B0">
        <w:rPr>
          <w:rFonts w:ascii="Book Antiqua" w:hAnsi="Book Antiqua"/>
          <w:sz w:val="24"/>
          <w:szCs w:val="24"/>
        </w:rPr>
        <w:t>: 15-21 [PMID: 23986077 DOI: 10.1093/ndt/]</w:t>
      </w:r>
    </w:p>
    <w:p w14:paraId="6FA65E9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Ponticelli C</w:t>
      </w:r>
      <w:r w:rsidRPr="00B727B0">
        <w:rPr>
          <w:rFonts w:ascii="Book Antiqua" w:hAnsi="Book Antiqua"/>
          <w:sz w:val="24"/>
          <w:szCs w:val="24"/>
        </w:rPr>
        <w:t>, Glassock RJ. Posttransplant recurrence of primary glomerulonephritis. </w:t>
      </w:r>
      <w:r w:rsidRPr="00B727B0">
        <w:rPr>
          <w:rFonts w:ascii="Book Antiqua" w:hAnsi="Book Antiqua"/>
          <w:i/>
          <w:iCs/>
          <w:sz w:val="24"/>
          <w:szCs w:val="24"/>
        </w:rPr>
        <w:t>Clin J Am Soc Nephrol</w:t>
      </w:r>
      <w:r w:rsidRPr="00B727B0">
        <w:rPr>
          <w:rFonts w:ascii="Book Antiqua" w:hAnsi="Book Antiqua"/>
          <w:sz w:val="24"/>
          <w:szCs w:val="24"/>
        </w:rPr>
        <w:t> 2010; </w:t>
      </w:r>
      <w:r w:rsidRPr="00B727B0">
        <w:rPr>
          <w:rFonts w:ascii="Book Antiqua" w:hAnsi="Book Antiqua"/>
          <w:b/>
          <w:bCs/>
          <w:sz w:val="24"/>
          <w:szCs w:val="24"/>
        </w:rPr>
        <w:t>5</w:t>
      </w:r>
      <w:r w:rsidRPr="00B727B0">
        <w:rPr>
          <w:rFonts w:ascii="Book Antiqua" w:hAnsi="Book Antiqua"/>
          <w:sz w:val="24"/>
          <w:szCs w:val="24"/>
        </w:rPr>
        <w:t>: 2363-2372 [PMID: 21030574 DOI: 10.2215/CJN.06720810]</w:t>
      </w:r>
    </w:p>
    <w:p w14:paraId="5C86FF4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Moroni G</w:t>
      </w:r>
      <w:r w:rsidRPr="00B727B0">
        <w:rPr>
          <w:rFonts w:ascii="Book Antiqua" w:hAnsi="Book Antiqua"/>
          <w:sz w:val="24"/>
          <w:szCs w:val="24"/>
        </w:rPr>
        <w:t>, Longhi S, Quaglini S, Gallelli B, Banfi G, Montagnino G, Messa P. The long-term outcome of renal transplantation of IgA nephropathy and the impact of recurrence on graft survival. </w:t>
      </w:r>
      <w:r w:rsidRPr="00B727B0">
        <w:rPr>
          <w:rFonts w:ascii="Book Antiqua" w:hAnsi="Book Antiqua"/>
          <w:i/>
          <w:iCs/>
          <w:sz w:val="24"/>
          <w:szCs w:val="24"/>
        </w:rPr>
        <w:t>Nephrol Dial Transplant</w:t>
      </w:r>
      <w:r w:rsidRPr="00B727B0">
        <w:rPr>
          <w:rFonts w:ascii="Book Antiqua" w:hAnsi="Book Antiqua"/>
          <w:sz w:val="24"/>
          <w:szCs w:val="24"/>
        </w:rPr>
        <w:t> 2013; </w:t>
      </w:r>
      <w:r w:rsidRPr="00B727B0">
        <w:rPr>
          <w:rFonts w:ascii="Book Antiqua" w:hAnsi="Book Antiqua"/>
          <w:b/>
          <w:bCs/>
          <w:sz w:val="24"/>
          <w:szCs w:val="24"/>
        </w:rPr>
        <w:t>28</w:t>
      </w:r>
      <w:r w:rsidRPr="00B727B0">
        <w:rPr>
          <w:rFonts w:ascii="Book Antiqua" w:hAnsi="Book Antiqua"/>
          <w:sz w:val="24"/>
          <w:szCs w:val="24"/>
        </w:rPr>
        <w:t>: 1305-1314 [PMID: 23229925 DOI: 10.1093/ndt/gfs472.]</w:t>
      </w:r>
    </w:p>
    <w:p w14:paraId="41FCF4F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Mulay AV</w:t>
      </w:r>
      <w:r w:rsidRPr="00B727B0">
        <w:rPr>
          <w:rFonts w:ascii="Book Antiqua" w:hAnsi="Book Antiqua"/>
          <w:sz w:val="24"/>
          <w:szCs w:val="24"/>
        </w:rPr>
        <w:t>, van Walraven C, Knoll GA. Impact of immunosuppressive medication on the risk of renal allograft failure due to recurrent glomerulonephritis. </w:t>
      </w:r>
      <w:r w:rsidRPr="00B727B0">
        <w:rPr>
          <w:rFonts w:ascii="Book Antiqua" w:hAnsi="Book Antiqua"/>
          <w:i/>
          <w:iCs/>
          <w:sz w:val="24"/>
          <w:szCs w:val="24"/>
        </w:rPr>
        <w:t>Am J Transplant</w:t>
      </w:r>
      <w:r w:rsidRPr="00B727B0">
        <w:rPr>
          <w:rFonts w:ascii="Book Antiqua" w:hAnsi="Book Antiqua"/>
          <w:sz w:val="24"/>
          <w:szCs w:val="24"/>
        </w:rPr>
        <w:t> 2009; </w:t>
      </w:r>
      <w:r w:rsidRPr="00B727B0">
        <w:rPr>
          <w:rFonts w:ascii="Book Antiqua" w:hAnsi="Book Antiqua"/>
          <w:b/>
          <w:bCs/>
          <w:sz w:val="24"/>
          <w:szCs w:val="24"/>
        </w:rPr>
        <w:t>9</w:t>
      </w:r>
      <w:r w:rsidRPr="00B727B0">
        <w:rPr>
          <w:rFonts w:ascii="Book Antiqua" w:hAnsi="Book Antiqua"/>
          <w:sz w:val="24"/>
          <w:szCs w:val="24"/>
        </w:rPr>
        <w:t>: 804-811 [PMID: 19353768 DOI: 10.1111/j.1600-6143.2009.02554.x]</w:t>
      </w:r>
    </w:p>
    <w:p w14:paraId="204F0A0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Cameron JS</w:t>
      </w:r>
      <w:r w:rsidRPr="00B727B0">
        <w:rPr>
          <w:rFonts w:ascii="Book Antiqua" w:hAnsi="Book Antiqua"/>
          <w:sz w:val="24"/>
          <w:szCs w:val="24"/>
        </w:rPr>
        <w:t>. Glomerulonephritis in renal transplants. </w:t>
      </w:r>
      <w:r w:rsidRPr="00B727B0">
        <w:rPr>
          <w:rFonts w:ascii="Book Antiqua" w:hAnsi="Book Antiqua"/>
          <w:i/>
          <w:iCs/>
          <w:sz w:val="24"/>
          <w:szCs w:val="24"/>
        </w:rPr>
        <w:t>Transplantation</w:t>
      </w:r>
      <w:r w:rsidRPr="00B727B0">
        <w:rPr>
          <w:rFonts w:ascii="Book Antiqua" w:hAnsi="Book Antiqua"/>
          <w:sz w:val="24"/>
          <w:szCs w:val="24"/>
        </w:rPr>
        <w:t> 1982; </w:t>
      </w:r>
      <w:r w:rsidRPr="00B727B0">
        <w:rPr>
          <w:rFonts w:ascii="Book Antiqua" w:hAnsi="Book Antiqua"/>
          <w:b/>
          <w:bCs/>
          <w:sz w:val="24"/>
          <w:szCs w:val="24"/>
        </w:rPr>
        <w:t>34</w:t>
      </w:r>
      <w:r w:rsidRPr="00B727B0">
        <w:rPr>
          <w:rFonts w:ascii="Book Antiqua" w:hAnsi="Book Antiqua"/>
          <w:sz w:val="24"/>
          <w:szCs w:val="24"/>
        </w:rPr>
        <w:t>: 237-245 [PMID: 6760479 DOI: 10.1097/]</w:t>
      </w:r>
    </w:p>
    <w:p w14:paraId="13400436"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Hariharan S</w:t>
      </w:r>
      <w:r w:rsidRPr="00B727B0">
        <w:rPr>
          <w:rFonts w:ascii="Book Antiqua" w:hAnsi="Book Antiqua"/>
          <w:sz w:val="24"/>
          <w:szCs w:val="24"/>
        </w:rPr>
        <w:t>, Adams MB, Brennan DC, Davis CL, First MR, Johnson CP, Ouseph R, Peddi VR, Pelz C, Roza AM, Vincenti F, George V. Recurrent and de novo glomerular disease after renal transplantation: a report from renal allograft disease registry. </w:t>
      </w:r>
      <w:r w:rsidRPr="00B727B0">
        <w:rPr>
          <w:rFonts w:ascii="Book Antiqua" w:hAnsi="Book Antiqua"/>
          <w:i/>
          <w:iCs/>
          <w:sz w:val="24"/>
          <w:szCs w:val="24"/>
        </w:rPr>
        <w:t>Transplant Proc</w:t>
      </w:r>
      <w:r w:rsidRPr="00B727B0">
        <w:rPr>
          <w:rFonts w:ascii="Book Antiqua" w:hAnsi="Book Antiqua"/>
          <w:sz w:val="24"/>
          <w:szCs w:val="24"/>
        </w:rPr>
        <w:t> 1999; </w:t>
      </w:r>
      <w:r w:rsidRPr="00B727B0">
        <w:rPr>
          <w:rFonts w:ascii="Book Antiqua" w:hAnsi="Book Antiqua"/>
          <w:b/>
          <w:bCs/>
          <w:sz w:val="24"/>
          <w:szCs w:val="24"/>
        </w:rPr>
        <w:t>31</w:t>
      </w:r>
      <w:r w:rsidRPr="00B727B0">
        <w:rPr>
          <w:rFonts w:ascii="Book Antiqua" w:hAnsi="Book Antiqua"/>
          <w:sz w:val="24"/>
          <w:szCs w:val="24"/>
        </w:rPr>
        <w:t>: 223-224 [PMID: 10083084 DOI: 10.1097/]</w:t>
      </w:r>
    </w:p>
    <w:p w14:paraId="71297F0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Hariharan S</w:t>
      </w:r>
      <w:r w:rsidRPr="00B727B0">
        <w:rPr>
          <w:rFonts w:ascii="Book Antiqua" w:hAnsi="Book Antiqua"/>
          <w:sz w:val="24"/>
          <w:szCs w:val="24"/>
        </w:rPr>
        <w:t>, Peddi VR, Savin VJ, Johnson CP, First MR, Roza AM, Adams MB. Recurrent and de novo renal diseases after renal transplantation: a report from the renal allograft disease registry. </w:t>
      </w:r>
      <w:r w:rsidRPr="00B727B0">
        <w:rPr>
          <w:rFonts w:ascii="Book Antiqua" w:hAnsi="Book Antiqua"/>
          <w:i/>
          <w:iCs/>
          <w:sz w:val="24"/>
          <w:szCs w:val="24"/>
        </w:rPr>
        <w:t>Am J Kidney Dis</w:t>
      </w:r>
      <w:r w:rsidRPr="00B727B0">
        <w:rPr>
          <w:rFonts w:ascii="Book Antiqua" w:hAnsi="Book Antiqua"/>
          <w:sz w:val="24"/>
          <w:szCs w:val="24"/>
        </w:rPr>
        <w:t> 1998; </w:t>
      </w:r>
      <w:r w:rsidRPr="00B727B0">
        <w:rPr>
          <w:rFonts w:ascii="Book Antiqua" w:hAnsi="Book Antiqua"/>
          <w:b/>
          <w:bCs/>
          <w:sz w:val="24"/>
          <w:szCs w:val="24"/>
        </w:rPr>
        <w:t>31</w:t>
      </w:r>
      <w:r w:rsidRPr="00B727B0">
        <w:rPr>
          <w:rFonts w:ascii="Book Antiqua" w:hAnsi="Book Antiqua"/>
          <w:sz w:val="24"/>
          <w:szCs w:val="24"/>
        </w:rPr>
        <w:t>: 928-931 [PMID: 9631835 DOI: 10.1053/ajkd.1998.v31.pm9631835]</w:t>
      </w:r>
    </w:p>
    <w:p w14:paraId="661C54B0" w14:textId="5FFB2CD2"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Grupper A</w:t>
      </w:r>
      <w:r w:rsidRPr="00B727B0">
        <w:rPr>
          <w:rFonts w:ascii="Book Antiqua" w:hAnsi="Book Antiqua"/>
          <w:sz w:val="24"/>
          <w:szCs w:val="24"/>
        </w:rPr>
        <w:t>, Cornell LD, Fervenza FC, Beck LH Jr, Lorenz E, Cosio FG. Recurrent Membranous Nephropathy After Kidney Transplantation: Treatment and Long-Term Implications. </w:t>
      </w:r>
      <w:r w:rsidRPr="00B727B0">
        <w:rPr>
          <w:rFonts w:ascii="Book Antiqua" w:hAnsi="Book Antiqua"/>
          <w:i/>
          <w:iCs/>
          <w:sz w:val="24"/>
          <w:szCs w:val="24"/>
        </w:rPr>
        <w:t>Transplantation</w:t>
      </w:r>
      <w:r w:rsidRPr="00B727B0">
        <w:rPr>
          <w:rFonts w:ascii="Book Antiqua" w:hAnsi="Book Antiqua"/>
          <w:sz w:val="24"/>
          <w:szCs w:val="24"/>
        </w:rPr>
        <w:t xml:space="preserve"> 2015; Epub ahead of print [PMID: </w:t>
      </w:r>
      <w:bookmarkStart w:id="155" w:name="OLE_LINK25"/>
      <w:bookmarkStart w:id="156" w:name="OLE_LINK26"/>
      <w:r w:rsidRPr="00B727B0">
        <w:rPr>
          <w:rFonts w:ascii="Book Antiqua" w:hAnsi="Book Antiqua"/>
          <w:sz w:val="24"/>
          <w:szCs w:val="24"/>
        </w:rPr>
        <w:t>26720301</w:t>
      </w:r>
      <w:bookmarkEnd w:id="155"/>
      <w:bookmarkEnd w:id="156"/>
      <w:r w:rsidRPr="00B727B0">
        <w:rPr>
          <w:rFonts w:ascii="Book Antiqua" w:hAnsi="Book Antiqua"/>
          <w:sz w:val="24"/>
          <w:szCs w:val="24"/>
        </w:rPr>
        <w:t xml:space="preserve"> DOI: 10.1097/TP.0000000000001056]</w:t>
      </w:r>
    </w:p>
    <w:p w14:paraId="67E9CFD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El-Zoghby ZM</w:t>
      </w:r>
      <w:r w:rsidRPr="00B727B0">
        <w:rPr>
          <w:rFonts w:ascii="Book Antiqua" w:hAnsi="Book Antiqua"/>
          <w:sz w:val="24"/>
          <w:szCs w:val="24"/>
        </w:rPr>
        <w:t>, Stegall MD, Lager DJ, Kremers WK, Amer H, Gloor JM, Cosio FG. Identifying specific causes of kidney allograft loss. </w:t>
      </w:r>
      <w:r w:rsidRPr="00B727B0">
        <w:rPr>
          <w:rFonts w:ascii="Book Antiqua" w:hAnsi="Book Antiqua"/>
          <w:i/>
          <w:iCs/>
          <w:sz w:val="24"/>
          <w:szCs w:val="24"/>
        </w:rPr>
        <w:t>Am J Transplant</w:t>
      </w:r>
      <w:r w:rsidRPr="00B727B0">
        <w:rPr>
          <w:rFonts w:ascii="Book Antiqua" w:hAnsi="Book Antiqua"/>
          <w:sz w:val="24"/>
          <w:szCs w:val="24"/>
        </w:rPr>
        <w:t> 2009; </w:t>
      </w:r>
      <w:r w:rsidRPr="00B727B0">
        <w:rPr>
          <w:rFonts w:ascii="Book Antiqua" w:hAnsi="Book Antiqua"/>
          <w:b/>
          <w:bCs/>
          <w:sz w:val="24"/>
          <w:szCs w:val="24"/>
        </w:rPr>
        <w:t>9</w:t>
      </w:r>
      <w:r w:rsidRPr="00B727B0">
        <w:rPr>
          <w:rFonts w:ascii="Book Antiqua" w:hAnsi="Book Antiqua"/>
          <w:sz w:val="24"/>
          <w:szCs w:val="24"/>
        </w:rPr>
        <w:t>: 527-535 [PMID: 19191769 DOI: 10.1111/j.1600-6143.2008.02519.x]</w:t>
      </w:r>
    </w:p>
    <w:p w14:paraId="0FD70DCD"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Mashaly ME</w:t>
      </w:r>
      <w:r w:rsidRPr="00B727B0">
        <w:rPr>
          <w:rFonts w:ascii="Book Antiqua" w:hAnsi="Book Antiqua"/>
          <w:sz w:val="24"/>
          <w:szCs w:val="24"/>
        </w:rPr>
        <w:t>, Ismail MI, Lotfy EE, Donia AF, Wafa IW, Foda MA, Denewar AA, Abbas MH, Shokeir AA. Frequency of the Original Kidney Disease and Its Effect on the Outcome of Kidney Transplant in the Urology-Nephrology Center Mansoura University. </w:t>
      </w:r>
      <w:r w:rsidRPr="00B727B0">
        <w:rPr>
          <w:rFonts w:ascii="Book Antiqua" w:hAnsi="Book Antiqua"/>
          <w:i/>
          <w:iCs/>
          <w:sz w:val="24"/>
          <w:szCs w:val="24"/>
        </w:rPr>
        <w:t>Exp Clin Transplant</w:t>
      </w:r>
      <w:r w:rsidRPr="00B727B0">
        <w:rPr>
          <w:rFonts w:ascii="Book Antiqua" w:hAnsi="Book Antiqua"/>
          <w:sz w:val="24"/>
          <w:szCs w:val="24"/>
        </w:rPr>
        <w:t> 2016; </w:t>
      </w:r>
      <w:r w:rsidRPr="00B727B0">
        <w:rPr>
          <w:rFonts w:ascii="Book Antiqua" w:hAnsi="Book Antiqua"/>
          <w:b/>
          <w:bCs/>
          <w:sz w:val="24"/>
          <w:szCs w:val="24"/>
        </w:rPr>
        <w:t>14</w:t>
      </w:r>
      <w:r w:rsidRPr="00B727B0">
        <w:rPr>
          <w:rFonts w:ascii="Book Antiqua" w:hAnsi="Book Antiqua"/>
          <w:sz w:val="24"/>
          <w:szCs w:val="24"/>
        </w:rPr>
        <w:t>: 157-165 [PMID: 26788876 DOI: 10.6002/ect.2015.0200]</w:t>
      </w:r>
    </w:p>
    <w:p w14:paraId="483928C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Fairhead T</w:t>
      </w:r>
      <w:r w:rsidRPr="00B727B0">
        <w:rPr>
          <w:rFonts w:ascii="Book Antiqua" w:hAnsi="Book Antiqua"/>
          <w:sz w:val="24"/>
          <w:szCs w:val="24"/>
        </w:rPr>
        <w:t>, Knoll G. Recurrent glomerular disease after kidney transplantation. </w:t>
      </w:r>
      <w:r w:rsidRPr="00B727B0">
        <w:rPr>
          <w:rFonts w:ascii="Book Antiqua" w:hAnsi="Book Antiqua"/>
          <w:i/>
          <w:iCs/>
          <w:sz w:val="24"/>
          <w:szCs w:val="24"/>
        </w:rPr>
        <w:t>Curr Opin Nephrol Hypertens</w:t>
      </w:r>
      <w:r w:rsidRPr="00B727B0">
        <w:rPr>
          <w:rFonts w:ascii="Book Antiqua" w:hAnsi="Book Antiqua"/>
          <w:sz w:val="24"/>
          <w:szCs w:val="24"/>
        </w:rPr>
        <w:t> 2010; </w:t>
      </w:r>
      <w:r w:rsidRPr="00B727B0">
        <w:rPr>
          <w:rFonts w:ascii="Book Antiqua" w:hAnsi="Book Antiqua"/>
          <w:b/>
          <w:bCs/>
          <w:sz w:val="24"/>
          <w:szCs w:val="24"/>
        </w:rPr>
        <w:t>19</w:t>
      </w:r>
      <w:r w:rsidRPr="00B727B0">
        <w:rPr>
          <w:rFonts w:ascii="Book Antiqua" w:hAnsi="Book Antiqua"/>
          <w:sz w:val="24"/>
          <w:szCs w:val="24"/>
        </w:rPr>
        <w:t>: 578-585 [PMID: 20639758 DOI: 10.1097/MNH.0b013e32833d6904]</w:t>
      </w:r>
    </w:p>
    <w:p w14:paraId="53DDE95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Toledo K</w:t>
      </w:r>
      <w:r w:rsidRPr="00B727B0">
        <w:rPr>
          <w:rFonts w:ascii="Book Antiqua" w:hAnsi="Book Antiqua"/>
          <w:sz w:val="24"/>
          <w:szCs w:val="24"/>
        </w:rPr>
        <w:t>, Pérez-Sáez MJ, Navarro MD, Ortega R, Redondo MD, Agüera ML, Rodríguez-Benot A, Aljama P. Impact of recurrent glomerulonephritis on renal graft survival. </w:t>
      </w:r>
      <w:r w:rsidRPr="00B727B0">
        <w:rPr>
          <w:rFonts w:ascii="Book Antiqua" w:hAnsi="Book Antiqua"/>
          <w:i/>
          <w:iCs/>
          <w:sz w:val="24"/>
          <w:szCs w:val="24"/>
        </w:rPr>
        <w:t>Transplant Proc</w:t>
      </w:r>
      <w:r w:rsidRPr="00B727B0">
        <w:rPr>
          <w:rFonts w:ascii="Book Antiqua" w:hAnsi="Book Antiqua"/>
          <w:sz w:val="24"/>
          <w:szCs w:val="24"/>
        </w:rPr>
        <w:t> 2011; </w:t>
      </w:r>
      <w:r w:rsidRPr="00B727B0">
        <w:rPr>
          <w:rFonts w:ascii="Book Antiqua" w:hAnsi="Book Antiqua"/>
          <w:b/>
          <w:bCs/>
          <w:sz w:val="24"/>
          <w:szCs w:val="24"/>
        </w:rPr>
        <w:t>43</w:t>
      </w:r>
      <w:r w:rsidRPr="00B727B0">
        <w:rPr>
          <w:rFonts w:ascii="Book Antiqua" w:hAnsi="Book Antiqua"/>
          <w:sz w:val="24"/>
          <w:szCs w:val="24"/>
        </w:rPr>
        <w:t>: 2182-2186 [PMID: 21839228 DOI: 10.1016/j.transproceed.2011.05.010]</w:t>
      </w:r>
    </w:p>
    <w:p w14:paraId="034E0F1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Morozumi K</w:t>
      </w:r>
      <w:r w:rsidRPr="00B727B0">
        <w:rPr>
          <w:rFonts w:ascii="Book Antiqua" w:hAnsi="Book Antiqua"/>
          <w:sz w:val="24"/>
          <w:szCs w:val="24"/>
        </w:rPr>
        <w:t>, Takeda A, Otsuka Y, Horike K, Gotoh N, Watarai Y. Recurrent glomerular disease after kidney transplantation: an update of selected areas and the impact of protocol biopsy. </w:t>
      </w:r>
      <w:r w:rsidRPr="00B727B0">
        <w:rPr>
          <w:rFonts w:ascii="Book Antiqua" w:hAnsi="Book Antiqua"/>
          <w:i/>
          <w:iCs/>
          <w:sz w:val="24"/>
          <w:szCs w:val="24"/>
        </w:rPr>
        <w:t xml:space="preserve">Nephrology </w:t>
      </w:r>
      <w:r w:rsidRPr="00B727B0">
        <w:rPr>
          <w:rFonts w:ascii="Book Antiqua" w:hAnsi="Book Antiqua"/>
          <w:iCs/>
          <w:sz w:val="24"/>
          <w:szCs w:val="24"/>
        </w:rPr>
        <w:t>(Carlton)</w:t>
      </w:r>
      <w:r w:rsidRPr="00B727B0">
        <w:rPr>
          <w:rFonts w:ascii="Book Antiqua" w:hAnsi="Book Antiqua"/>
          <w:sz w:val="24"/>
          <w:szCs w:val="24"/>
        </w:rPr>
        <w:t> 2014; </w:t>
      </w:r>
      <w:r w:rsidRPr="00B727B0">
        <w:rPr>
          <w:rFonts w:ascii="Book Antiqua" w:hAnsi="Book Antiqua"/>
          <w:b/>
          <w:bCs/>
          <w:sz w:val="24"/>
          <w:szCs w:val="24"/>
        </w:rPr>
        <w:t>19 Suppl 3</w:t>
      </w:r>
      <w:r w:rsidRPr="00B727B0">
        <w:rPr>
          <w:rFonts w:ascii="Book Antiqua" w:hAnsi="Book Antiqua"/>
          <w:sz w:val="24"/>
          <w:szCs w:val="24"/>
        </w:rPr>
        <w:t>: 6-10 [PMID: 24842814 DOI: 10.1111/nep.12255]</w:t>
      </w:r>
    </w:p>
    <w:p w14:paraId="64A5C6A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Suzuki K</w:t>
      </w:r>
      <w:r w:rsidRPr="00B727B0">
        <w:rPr>
          <w:rFonts w:ascii="Book Antiqua" w:hAnsi="Book Antiqua"/>
          <w:sz w:val="24"/>
          <w:szCs w:val="24"/>
        </w:rPr>
        <w:t>, Honda K, Tanabe K, Toma H, Nihei H, Yamaguchi Y. Incidence of latent mesangial IgA deposition in renal allograft donors in Japan. </w:t>
      </w:r>
      <w:r w:rsidRPr="00B727B0">
        <w:rPr>
          <w:rFonts w:ascii="Book Antiqua" w:hAnsi="Book Antiqua"/>
          <w:i/>
          <w:iCs/>
          <w:sz w:val="24"/>
          <w:szCs w:val="24"/>
        </w:rPr>
        <w:t>Kidney Int</w:t>
      </w:r>
      <w:r w:rsidRPr="00B727B0">
        <w:rPr>
          <w:rFonts w:ascii="Book Antiqua" w:hAnsi="Book Antiqua"/>
          <w:sz w:val="24"/>
          <w:szCs w:val="24"/>
        </w:rPr>
        <w:t> 2003; </w:t>
      </w:r>
      <w:r w:rsidRPr="00B727B0">
        <w:rPr>
          <w:rFonts w:ascii="Book Antiqua" w:hAnsi="Book Antiqua"/>
          <w:b/>
          <w:bCs/>
          <w:sz w:val="24"/>
          <w:szCs w:val="24"/>
        </w:rPr>
        <w:t>63</w:t>
      </w:r>
      <w:r w:rsidRPr="00B727B0">
        <w:rPr>
          <w:rFonts w:ascii="Book Antiqua" w:hAnsi="Book Antiqua"/>
          <w:sz w:val="24"/>
          <w:szCs w:val="24"/>
        </w:rPr>
        <w:t>: 2286-2294 [PMID: 12753320 DOI: 10.1046/j.1523-1755.63.6s.2.x]</w:t>
      </w:r>
    </w:p>
    <w:p w14:paraId="46C425E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Green H</w:t>
      </w:r>
      <w:r w:rsidRPr="00B727B0">
        <w:rPr>
          <w:rFonts w:ascii="Book Antiqua" w:hAnsi="Book Antiqua"/>
          <w:sz w:val="24"/>
          <w:szCs w:val="24"/>
        </w:rPr>
        <w:t xml:space="preserve">, Rahamimov R, Rozen-Zvi B, Pertzov B, Tobar A, Lichtenberg S, Gafter U, Mor E. Recurrent membranoproliferative glomerulonephritis type I after kidney transplantation: a 17-year single-center </w:t>
      </w:r>
      <w:r w:rsidRPr="00B727B0">
        <w:rPr>
          <w:rFonts w:ascii="Book Antiqua" w:hAnsi="Book Antiqua"/>
          <w:sz w:val="24"/>
          <w:szCs w:val="24"/>
        </w:rPr>
        <w:lastRenderedPageBreak/>
        <w:t>experience. </w:t>
      </w:r>
      <w:r w:rsidRPr="00B727B0">
        <w:rPr>
          <w:rFonts w:ascii="Book Antiqua" w:hAnsi="Book Antiqua"/>
          <w:i/>
          <w:iCs/>
          <w:sz w:val="24"/>
          <w:szCs w:val="24"/>
        </w:rPr>
        <w:t>Transplantation</w:t>
      </w:r>
      <w:r w:rsidRPr="00B727B0">
        <w:rPr>
          <w:rFonts w:ascii="Book Antiqua" w:hAnsi="Book Antiqua"/>
          <w:sz w:val="24"/>
          <w:szCs w:val="24"/>
        </w:rPr>
        <w:t> 2015; </w:t>
      </w:r>
      <w:r w:rsidRPr="00B727B0">
        <w:rPr>
          <w:rFonts w:ascii="Book Antiqua" w:hAnsi="Book Antiqua"/>
          <w:b/>
          <w:bCs/>
          <w:sz w:val="24"/>
          <w:szCs w:val="24"/>
        </w:rPr>
        <w:t>99</w:t>
      </w:r>
      <w:r w:rsidRPr="00B727B0">
        <w:rPr>
          <w:rFonts w:ascii="Book Antiqua" w:hAnsi="Book Antiqua"/>
          <w:sz w:val="24"/>
          <w:szCs w:val="24"/>
        </w:rPr>
        <w:t>: 1172-1177 [PMID: 25340602 DOI: 10.1097/TP.0000000000000459]</w:t>
      </w:r>
    </w:p>
    <w:p w14:paraId="6DEF0933"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Shimizu A</w:t>
      </w:r>
      <w:r w:rsidRPr="00B727B0">
        <w:rPr>
          <w:rFonts w:ascii="Book Antiqua" w:hAnsi="Book Antiqua"/>
          <w:sz w:val="24"/>
          <w:szCs w:val="24"/>
        </w:rPr>
        <w:t>, Higo S, Fujita E, Mii A, Kaneko T. Focal segmental glomerulosclerosis after renal transplantation. </w:t>
      </w:r>
      <w:r w:rsidRPr="00B727B0">
        <w:rPr>
          <w:rFonts w:ascii="Book Antiqua" w:hAnsi="Book Antiqua"/>
          <w:i/>
          <w:iCs/>
          <w:sz w:val="24"/>
          <w:szCs w:val="24"/>
        </w:rPr>
        <w:t>Clin Transplant</w:t>
      </w:r>
      <w:r w:rsidRPr="00B727B0">
        <w:rPr>
          <w:rFonts w:ascii="Book Antiqua" w:hAnsi="Book Antiqua"/>
          <w:sz w:val="24"/>
          <w:szCs w:val="24"/>
        </w:rPr>
        <w:t> 2011; </w:t>
      </w:r>
      <w:r w:rsidRPr="00B727B0">
        <w:rPr>
          <w:rFonts w:ascii="Book Antiqua" w:hAnsi="Book Antiqua"/>
          <w:b/>
          <w:bCs/>
          <w:sz w:val="24"/>
          <w:szCs w:val="24"/>
        </w:rPr>
        <w:t>25 Suppl 23</w:t>
      </w:r>
      <w:r w:rsidRPr="00B727B0">
        <w:rPr>
          <w:rFonts w:ascii="Book Antiqua" w:hAnsi="Book Antiqua"/>
          <w:sz w:val="24"/>
          <w:szCs w:val="24"/>
        </w:rPr>
        <w:t>: 6-14 [PMID: 21623907 DOI: 10.1111/j.1399-0012.2011.01452.x]</w:t>
      </w:r>
    </w:p>
    <w:p w14:paraId="0640D42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Takeuchi O</w:t>
      </w:r>
      <w:r w:rsidRPr="00B727B0">
        <w:rPr>
          <w:rFonts w:ascii="Book Antiqua" w:hAnsi="Book Antiqua"/>
          <w:sz w:val="24"/>
          <w:szCs w:val="24"/>
        </w:rPr>
        <w:t>, Oikawa T, Usami T, Koyama K, Takeda A, Uchida K, Morozumi K. A case of IgA nephropathy after ABO-incompatible living kidney transplantation. </w:t>
      </w:r>
      <w:r w:rsidRPr="00B727B0">
        <w:rPr>
          <w:rFonts w:ascii="Book Antiqua" w:hAnsi="Book Antiqua"/>
          <w:i/>
          <w:iCs/>
          <w:sz w:val="24"/>
          <w:szCs w:val="24"/>
        </w:rPr>
        <w:t>Clin Transplant</w:t>
      </w:r>
      <w:r w:rsidRPr="00B727B0">
        <w:rPr>
          <w:rFonts w:ascii="Book Antiqua" w:hAnsi="Book Antiqua"/>
          <w:sz w:val="24"/>
          <w:szCs w:val="24"/>
        </w:rPr>
        <w:t> 1999; </w:t>
      </w:r>
      <w:r w:rsidRPr="00B727B0">
        <w:rPr>
          <w:rFonts w:ascii="Book Antiqua" w:hAnsi="Book Antiqua"/>
          <w:b/>
          <w:bCs/>
          <w:sz w:val="24"/>
          <w:szCs w:val="24"/>
        </w:rPr>
        <w:t>13 Suppl 1</w:t>
      </w:r>
      <w:r w:rsidRPr="00B727B0">
        <w:rPr>
          <w:rFonts w:ascii="Book Antiqua" w:hAnsi="Book Antiqua"/>
          <w:sz w:val="24"/>
          <w:szCs w:val="24"/>
        </w:rPr>
        <w:t>: 38-42 [PMID: 10751055]</w:t>
      </w:r>
    </w:p>
    <w:p w14:paraId="0017A1E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Moriyama T</w:t>
      </w:r>
      <w:r w:rsidRPr="00B727B0">
        <w:rPr>
          <w:rFonts w:ascii="Book Antiqua" w:hAnsi="Book Antiqua"/>
          <w:sz w:val="24"/>
          <w:szCs w:val="24"/>
        </w:rPr>
        <w:t>, Nitta K, Suzuki K, Honda K, Horita S, Uchida K, Yumura W, Tanabe K, Toma H, Nihei H, Yamaguchi Y. Latent IgA deposition from donor kidney is the major risk factor for recurrent IgA nephropathy in renal transplantation. </w:t>
      </w:r>
      <w:r w:rsidRPr="00B727B0">
        <w:rPr>
          <w:rFonts w:ascii="Book Antiqua" w:hAnsi="Book Antiqua"/>
          <w:i/>
          <w:iCs/>
          <w:sz w:val="24"/>
          <w:szCs w:val="24"/>
        </w:rPr>
        <w:t>Clin Transplant</w:t>
      </w:r>
      <w:r w:rsidRPr="00B727B0">
        <w:rPr>
          <w:rFonts w:ascii="Book Antiqua" w:hAnsi="Book Antiqua"/>
          <w:sz w:val="24"/>
          <w:szCs w:val="24"/>
        </w:rPr>
        <w:t> 2005; </w:t>
      </w:r>
      <w:r w:rsidRPr="00B727B0">
        <w:rPr>
          <w:rFonts w:ascii="Book Antiqua" w:hAnsi="Book Antiqua"/>
          <w:b/>
          <w:bCs/>
          <w:sz w:val="24"/>
          <w:szCs w:val="24"/>
        </w:rPr>
        <w:t>19 Suppl 14</w:t>
      </w:r>
      <w:r w:rsidRPr="00B727B0">
        <w:rPr>
          <w:rFonts w:ascii="Book Antiqua" w:hAnsi="Book Antiqua"/>
          <w:sz w:val="24"/>
          <w:szCs w:val="24"/>
        </w:rPr>
        <w:t>: 41-48 [PMID: 15955168 DOI: 10.1111/j.1399-0012.2005.00403.x]</w:t>
      </w:r>
    </w:p>
    <w:p w14:paraId="25ABDF0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Watanabe S</w:t>
      </w:r>
      <w:r w:rsidRPr="00B727B0">
        <w:rPr>
          <w:rFonts w:ascii="Book Antiqua" w:hAnsi="Book Antiqua"/>
          <w:sz w:val="24"/>
          <w:szCs w:val="24"/>
        </w:rPr>
        <w:t>, Yamaguchi Y, Suzuki T, Ikezoe M, Matsumoto N, Chikamoto H, Nagafuchi H, Horita S, Hattori M, Shiraga H, Tokumoto T, Tanabe K, Toma H, Ito K. Inherited factor H dysfunction and complement-associated glomerulonephritis in renal grafts of first and second transplantations. </w:t>
      </w:r>
      <w:r w:rsidRPr="00B727B0">
        <w:rPr>
          <w:rFonts w:ascii="Book Antiqua" w:hAnsi="Book Antiqua"/>
          <w:i/>
          <w:iCs/>
          <w:sz w:val="24"/>
          <w:szCs w:val="24"/>
        </w:rPr>
        <w:t>Clin Transplant</w:t>
      </w:r>
      <w:r w:rsidRPr="00B727B0">
        <w:rPr>
          <w:rFonts w:ascii="Book Antiqua" w:hAnsi="Book Antiqua"/>
          <w:sz w:val="24"/>
          <w:szCs w:val="24"/>
        </w:rPr>
        <w:t> 2001; </w:t>
      </w:r>
      <w:r w:rsidRPr="00B727B0">
        <w:rPr>
          <w:rFonts w:ascii="Book Antiqua" w:hAnsi="Book Antiqua"/>
          <w:b/>
          <w:bCs/>
          <w:sz w:val="24"/>
          <w:szCs w:val="24"/>
        </w:rPr>
        <w:t>15 Suppl 5</w:t>
      </w:r>
      <w:r w:rsidRPr="00B727B0">
        <w:rPr>
          <w:rFonts w:ascii="Book Antiqua" w:hAnsi="Book Antiqua"/>
          <w:sz w:val="24"/>
          <w:szCs w:val="24"/>
        </w:rPr>
        <w:t>: 45-50 [PMID: 11791795 DOI: 10.1034/j.1399-0012.2001.0150s5045.x]</w:t>
      </w:r>
    </w:p>
    <w:p w14:paraId="4D9913B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Horike K</w:t>
      </w:r>
      <w:r w:rsidRPr="00B727B0">
        <w:rPr>
          <w:rFonts w:ascii="Book Antiqua" w:hAnsi="Book Antiqua"/>
          <w:sz w:val="24"/>
          <w:szCs w:val="24"/>
        </w:rPr>
        <w:t>, Takeda A, Otsuka Y, Inaguma D, Goto N, Watarai Y, Uchida K, Morozumi K. A case of recurrent light chain deposition disease after living-related renal transplantation - detailed process of the recurrence. </w:t>
      </w:r>
      <w:r w:rsidRPr="00B727B0">
        <w:rPr>
          <w:rFonts w:ascii="Book Antiqua" w:hAnsi="Book Antiqua"/>
          <w:i/>
          <w:iCs/>
          <w:sz w:val="24"/>
          <w:szCs w:val="24"/>
        </w:rPr>
        <w:t>Clin Transplant</w:t>
      </w:r>
      <w:r w:rsidRPr="00B727B0">
        <w:rPr>
          <w:rFonts w:ascii="Book Antiqua" w:hAnsi="Book Antiqua"/>
          <w:sz w:val="24"/>
          <w:szCs w:val="24"/>
        </w:rPr>
        <w:t> 2012; </w:t>
      </w:r>
      <w:r w:rsidRPr="00B727B0">
        <w:rPr>
          <w:rFonts w:ascii="Book Antiqua" w:hAnsi="Book Antiqua"/>
          <w:b/>
          <w:bCs/>
          <w:sz w:val="24"/>
          <w:szCs w:val="24"/>
        </w:rPr>
        <w:t>26 Suppl 24</w:t>
      </w:r>
      <w:r w:rsidRPr="00B727B0">
        <w:rPr>
          <w:rFonts w:ascii="Book Antiqua" w:hAnsi="Book Antiqua"/>
          <w:sz w:val="24"/>
          <w:szCs w:val="24"/>
        </w:rPr>
        <w:t>: 64-69 [PMID: 22747479 DOI: 10.1111/j.1399-0012.2012.01674.x]</w:t>
      </w:r>
    </w:p>
    <w:p w14:paraId="049770F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Alasfar S</w:t>
      </w:r>
      <w:r w:rsidRPr="00B727B0">
        <w:rPr>
          <w:rFonts w:ascii="Book Antiqua" w:hAnsi="Book Antiqua"/>
          <w:sz w:val="24"/>
          <w:szCs w:val="24"/>
        </w:rPr>
        <w:t>, Carter-Monroe N, Rosenberg AZ, Montgomery RA, Alachkar N. Membranoproliferative glomerulonephritis recurrence after kidney transplantation: using the new classification. </w:t>
      </w:r>
      <w:r w:rsidRPr="00B727B0">
        <w:rPr>
          <w:rFonts w:ascii="Book Antiqua" w:hAnsi="Book Antiqua"/>
          <w:i/>
          <w:iCs/>
          <w:sz w:val="24"/>
          <w:szCs w:val="24"/>
        </w:rPr>
        <w:t>BMC Nephrol</w:t>
      </w:r>
      <w:r w:rsidRPr="00B727B0">
        <w:rPr>
          <w:rFonts w:ascii="Book Antiqua" w:hAnsi="Book Antiqua"/>
          <w:sz w:val="24"/>
          <w:szCs w:val="24"/>
        </w:rPr>
        <w:t> 2016; </w:t>
      </w:r>
      <w:r w:rsidRPr="00B727B0">
        <w:rPr>
          <w:rFonts w:ascii="Book Antiqua" w:hAnsi="Book Antiqua"/>
          <w:b/>
          <w:bCs/>
          <w:sz w:val="24"/>
          <w:szCs w:val="24"/>
        </w:rPr>
        <w:t>17</w:t>
      </w:r>
      <w:r w:rsidRPr="00B727B0">
        <w:rPr>
          <w:rFonts w:ascii="Book Antiqua" w:hAnsi="Book Antiqua"/>
          <w:sz w:val="24"/>
          <w:szCs w:val="24"/>
        </w:rPr>
        <w:t>: 7 [PMID: 26754737 DOI: 10.1186/s12882-015-0219-x]</w:t>
      </w:r>
    </w:p>
    <w:p w14:paraId="40D465E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Appel GB</w:t>
      </w:r>
      <w:r w:rsidRPr="00B727B0">
        <w:rPr>
          <w:rFonts w:ascii="Book Antiqua" w:hAnsi="Book Antiqua"/>
          <w:sz w:val="24"/>
          <w:szCs w:val="24"/>
        </w:rPr>
        <w:t>, Cook HT, Hageman G, Jennette JC, Kashgarian M, Kirschfink M, Lambris JD, Lanning L, Lutz HU, Meri S, Rose NR, Salant DJ, Sethi S, Smith RJ, Smoyer W, Tully HF, Tully SP, Walker P, Welsh M, Würzner R, Zipfel PF. Membranoproliferative glomerulonephritis type II (dense deposit disease): an update. </w:t>
      </w:r>
      <w:r w:rsidRPr="00B727B0">
        <w:rPr>
          <w:rFonts w:ascii="Book Antiqua" w:hAnsi="Book Antiqua"/>
          <w:i/>
          <w:iCs/>
          <w:sz w:val="24"/>
          <w:szCs w:val="24"/>
        </w:rPr>
        <w:t>J Am Soc Nephrol</w:t>
      </w:r>
      <w:r w:rsidRPr="00B727B0">
        <w:rPr>
          <w:rFonts w:ascii="Book Antiqua" w:hAnsi="Book Antiqua"/>
          <w:sz w:val="24"/>
          <w:szCs w:val="24"/>
        </w:rPr>
        <w:t> 2005; </w:t>
      </w:r>
      <w:r w:rsidRPr="00B727B0">
        <w:rPr>
          <w:rFonts w:ascii="Book Antiqua" w:hAnsi="Book Antiqua"/>
          <w:b/>
          <w:bCs/>
          <w:sz w:val="24"/>
          <w:szCs w:val="24"/>
        </w:rPr>
        <w:t>16</w:t>
      </w:r>
      <w:r w:rsidRPr="00B727B0">
        <w:rPr>
          <w:rFonts w:ascii="Book Antiqua" w:hAnsi="Book Antiqua"/>
          <w:sz w:val="24"/>
          <w:szCs w:val="24"/>
        </w:rPr>
        <w:t>: 1392-1403 [PMID: 15800116 DOI: 10.1681/ASN.2005010078]</w:t>
      </w:r>
    </w:p>
    <w:p w14:paraId="2F562A0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Braun MC</w:t>
      </w:r>
      <w:r w:rsidRPr="00B727B0">
        <w:rPr>
          <w:rFonts w:ascii="Book Antiqua" w:hAnsi="Book Antiqua"/>
          <w:sz w:val="24"/>
          <w:szCs w:val="24"/>
        </w:rPr>
        <w:t>, Stablein DM, Hamiwka LA, Bell L, Bartosh SM, Strife CF. Recurrence of membranoproliferative glomerulonephritis type II in renal allografts: The North American Pediatric Renal Transplant Cooperative Study experience. </w:t>
      </w:r>
      <w:r w:rsidRPr="00B727B0">
        <w:rPr>
          <w:rFonts w:ascii="Book Antiqua" w:hAnsi="Book Antiqua"/>
          <w:i/>
          <w:iCs/>
          <w:sz w:val="24"/>
          <w:szCs w:val="24"/>
        </w:rPr>
        <w:t>J Am Soc Nephrol</w:t>
      </w:r>
      <w:r w:rsidRPr="00B727B0">
        <w:rPr>
          <w:rFonts w:ascii="Book Antiqua" w:hAnsi="Book Antiqua"/>
          <w:sz w:val="24"/>
          <w:szCs w:val="24"/>
        </w:rPr>
        <w:t> 2005; </w:t>
      </w:r>
      <w:r w:rsidRPr="00B727B0">
        <w:rPr>
          <w:rFonts w:ascii="Book Antiqua" w:hAnsi="Book Antiqua"/>
          <w:b/>
          <w:bCs/>
          <w:sz w:val="24"/>
          <w:szCs w:val="24"/>
        </w:rPr>
        <w:t>16</w:t>
      </w:r>
      <w:r w:rsidRPr="00B727B0">
        <w:rPr>
          <w:rFonts w:ascii="Book Antiqua" w:hAnsi="Book Antiqua"/>
          <w:sz w:val="24"/>
          <w:szCs w:val="24"/>
        </w:rPr>
        <w:t>: 2225-2233 [PMID: 15888559 DOI: 10.1681/ASN.2005020175]</w:t>
      </w:r>
    </w:p>
    <w:p w14:paraId="179749F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Lorenz EC</w:t>
      </w:r>
      <w:r w:rsidRPr="00B727B0">
        <w:rPr>
          <w:rFonts w:ascii="Book Antiqua" w:hAnsi="Book Antiqua"/>
          <w:sz w:val="24"/>
          <w:szCs w:val="24"/>
        </w:rPr>
        <w:t>, Sethi S, Leung N, Dispenzieri A, Fervenza FC, Cosio FG. Recurrent membranoproliferative glomerulonephritis after kidney transplantation. </w:t>
      </w:r>
      <w:r w:rsidRPr="00B727B0">
        <w:rPr>
          <w:rFonts w:ascii="Book Antiqua" w:hAnsi="Book Antiqua"/>
          <w:i/>
          <w:iCs/>
          <w:sz w:val="24"/>
          <w:szCs w:val="24"/>
        </w:rPr>
        <w:t>Kidney Int</w:t>
      </w:r>
      <w:r w:rsidRPr="00B727B0">
        <w:rPr>
          <w:rFonts w:ascii="Book Antiqua" w:hAnsi="Book Antiqua"/>
          <w:sz w:val="24"/>
          <w:szCs w:val="24"/>
        </w:rPr>
        <w:t> 2010; </w:t>
      </w:r>
      <w:r w:rsidRPr="00B727B0">
        <w:rPr>
          <w:rFonts w:ascii="Book Antiqua" w:hAnsi="Book Antiqua"/>
          <w:b/>
          <w:bCs/>
          <w:sz w:val="24"/>
          <w:szCs w:val="24"/>
        </w:rPr>
        <w:t>77</w:t>
      </w:r>
      <w:r w:rsidRPr="00B727B0">
        <w:rPr>
          <w:rFonts w:ascii="Book Antiqua" w:hAnsi="Book Antiqua"/>
          <w:sz w:val="24"/>
          <w:szCs w:val="24"/>
        </w:rPr>
        <w:t>: 721-728 [PMID: 20130531 DOI: 10.1038/ki.2010.1]</w:t>
      </w:r>
    </w:p>
    <w:p w14:paraId="21FCCF56"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Andresdottir MB</w:t>
      </w:r>
      <w:r w:rsidRPr="00B727B0">
        <w:rPr>
          <w:rFonts w:ascii="Book Antiqua" w:hAnsi="Book Antiqua"/>
          <w:sz w:val="24"/>
          <w:szCs w:val="24"/>
        </w:rPr>
        <w:t>, Assmann KJ, Hoitsma AJ, Koene RA, Wetzels JF. Recurrence of type I membranoproliferative glomerulonephritis after renal transplantation: analysis of the incidence, risk factors, and impact on graft survival. </w:t>
      </w:r>
      <w:r w:rsidRPr="00B727B0">
        <w:rPr>
          <w:rFonts w:ascii="Book Antiqua" w:hAnsi="Book Antiqua"/>
          <w:i/>
          <w:iCs/>
          <w:sz w:val="24"/>
          <w:szCs w:val="24"/>
        </w:rPr>
        <w:t>Transplantation</w:t>
      </w:r>
      <w:r w:rsidRPr="00B727B0">
        <w:rPr>
          <w:rFonts w:ascii="Book Antiqua" w:hAnsi="Book Antiqua"/>
          <w:sz w:val="24"/>
          <w:szCs w:val="24"/>
        </w:rPr>
        <w:t> 1997; </w:t>
      </w:r>
      <w:r w:rsidRPr="00B727B0">
        <w:rPr>
          <w:rFonts w:ascii="Book Antiqua" w:hAnsi="Book Antiqua"/>
          <w:b/>
          <w:bCs/>
          <w:sz w:val="24"/>
          <w:szCs w:val="24"/>
        </w:rPr>
        <w:t>63</w:t>
      </w:r>
      <w:r w:rsidRPr="00B727B0">
        <w:rPr>
          <w:rFonts w:ascii="Book Antiqua" w:hAnsi="Book Antiqua"/>
          <w:sz w:val="24"/>
          <w:szCs w:val="24"/>
        </w:rPr>
        <w:t>: 1628-1633 [PMID: 9197358]</w:t>
      </w:r>
    </w:p>
    <w:p w14:paraId="7AAAEAD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Beck LH Jr</w:t>
      </w:r>
      <w:r w:rsidRPr="00B727B0">
        <w:rPr>
          <w:rFonts w:ascii="Book Antiqua" w:hAnsi="Book Antiqua"/>
          <w:sz w:val="24"/>
          <w:szCs w:val="24"/>
        </w:rPr>
        <w:t>, Fervenza FC, Beck DM, Bonegio RG, Malik FA, Erickson SB, Cosio FG, Cattran DC, Salant DJ. Rituximab-induced depletion of anti-PLA2R autoantibodies predicts response in membranous nephropathy. </w:t>
      </w:r>
      <w:r w:rsidRPr="00B727B0">
        <w:rPr>
          <w:rFonts w:ascii="Book Antiqua" w:hAnsi="Book Antiqua"/>
          <w:i/>
          <w:iCs/>
          <w:sz w:val="24"/>
          <w:szCs w:val="24"/>
        </w:rPr>
        <w:t>J Am Soc Nephrol</w:t>
      </w:r>
      <w:r w:rsidRPr="00B727B0">
        <w:rPr>
          <w:rFonts w:ascii="Book Antiqua" w:hAnsi="Book Antiqua"/>
          <w:sz w:val="24"/>
          <w:szCs w:val="24"/>
        </w:rPr>
        <w:t> 2011; </w:t>
      </w:r>
      <w:r w:rsidRPr="00B727B0">
        <w:rPr>
          <w:rFonts w:ascii="Book Antiqua" w:hAnsi="Book Antiqua"/>
          <w:b/>
          <w:bCs/>
          <w:sz w:val="24"/>
          <w:szCs w:val="24"/>
        </w:rPr>
        <w:t>22</w:t>
      </w:r>
      <w:r w:rsidRPr="00B727B0">
        <w:rPr>
          <w:rFonts w:ascii="Book Antiqua" w:hAnsi="Book Antiqua"/>
          <w:sz w:val="24"/>
          <w:szCs w:val="24"/>
        </w:rPr>
        <w:t>: 1543-1550 [PMID: 21784898 DOI: 10.1681/ASN.2010111125]</w:t>
      </w:r>
    </w:p>
    <w:p w14:paraId="09FFF05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Kattah A</w:t>
      </w:r>
      <w:r w:rsidRPr="00B727B0">
        <w:rPr>
          <w:rFonts w:ascii="Book Antiqua" w:hAnsi="Book Antiqua"/>
          <w:sz w:val="24"/>
          <w:szCs w:val="24"/>
        </w:rPr>
        <w:t>, Ayalon R, Beck LH Jr, Sethi S, Sandor DG, Cosio FG, Gandhi MJ, Lorenz EC, Salant DJ, Fervenza FC. Anti-phospholipase A</w:t>
      </w:r>
      <w:r w:rsidRPr="00B727B0">
        <w:rPr>
          <w:rFonts w:ascii="Cambria Math" w:hAnsi="Cambria Math" w:cs="Cambria Math"/>
          <w:sz w:val="24"/>
          <w:szCs w:val="24"/>
        </w:rPr>
        <w:t>₂</w:t>
      </w:r>
      <w:r w:rsidRPr="00B727B0">
        <w:rPr>
          <w:rFonts w:ascii="Book Antiqua" w:hAnsi="Book Antiqua"/>
          <w:sz w:val="24"/>
          <w:szCs w:val="24"/>
        </w:rPr>
        <w:t xml:space="preserve"> receptor antibodies in recurrent membranous nephropathy. </w:t>
      </w:r>
      <w:r w:rsidRPr="00B727B0">
        <w:rPr>
          <w:rFonts w:ascii="Book Antiqua" w:hAnsi="Book Antiqua"/>
          <w:i/>
          <w:iCs/>
          <w:sz w:val="24"/>
          <w:szCs w:val="24"/>
        </w:rPr>
        <w:t>Am J Transplant</w:t>
      </w:r>
      <w:r w:rsidRPr="00B727B0">
        <w:rPr>
          <w:rFonts w:ascii="Book Antiqua" w:hAnsi="Book Antiqua"/>
          <w:sz w:val="24"/>
          <w:szCs w:val="24"/>
        </w:rPr>
        <w:t> 2015; </w:t>
      </w:r>
      <w:r w:rsidRPr="00B727B0">
        <w:rPr>
          <w:rFonts w:ascii="Book Antiqua" w:hAnsi="Book Antiqua"/>
          <w:b/>
          <w:bCs/>
          <w:sz w:val="24"/>
          <w:szCs w:val="24"/>
        </w:rPr>
        <w:t>15</w:t>
      </w:r>
      <w:r w:rsidRPr="00B727B0">
        <w:rPr>
          <w:rFonts w:ascii="Book Antiqua" w:hAnsi="Book Antiqua"/>
          <w:sz w:val="24"/>
          <w:szCs w:val="24"/>
        </w:rPr>
        <w:t>: 1349-1359 [PMID: 25766759 DOI: 10.1111/ajt.13133]</w:t>
      </w:r>
    </w:p>
    <w:p w14:paraId="3AB49A0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Cosyns JP</w:t>
      </w:r>
      <w:r w:rsidRPr="00B727B0">
        <w:rPr>
          <w:rFonts w:ascii="Book Antiqua" w:hAnsi="Book Antiqua"/>
          <w:sz w:val="24"/>
          <w:szCs w:val="24"/>
        </w:rPr>
        <w:t>, Couchoud C, Pouteil-Noble C, Squifflet JP, Pirson Y. Recurrence of membranous nephropathy after renal transplantation: probability, outcome and risk factors. </w:t>
      </w:r>
      <w:r w:rsidRPr="00B727B0">
        <w:rPr>
          <w:rFonts w:ascii="Book Antiqua" w:hAnsi="Book Antiqua"/>
          <w:i/>
          <w:iCs/>
          <w:sz w:val="24"/>
          <w:szCs w:val="24"/>
        </w:rPr>
        <w:t>Clin Nephrol</w:t>
      </w:r>
      <w:r w:rsidRPr="00B727B0">
        <w:rPr>
          <w:rFonts w:ascii="Book Antiqua" w:hAnsi="Book Antiqua"/>
          <w:sz w:val="24"/>
          <w:szCs w:val="24"/>
        </w:rPr>
        <w:t> 1998; </w:t>
      </w:r>
      <w:r w:rsidRPr="00B727B0">
        <w:rPr>
          <w:rFonts w:ascii="Book Antiqua" w:hAnsi="Book Antiqua"/>
          <w:b/>
          <w:bCs/>
          <w:sz w:val="24"/>
          <w:szCs w:val="24"/>
        </w:rPr>
        <w:t>50</w:t>
      </w:r>
      <w:r w:rsidRPr="00B727B0">
        <w:rPr>
          <w:rFonts w:ascii="Book Antiqua" w:hAnsi="Book Antiqua"/>
          <w:sz w:val="24"/>
          <w:szCs w:val="24"/>
        </w:rPr>
        <w:t>: 144-153 [PMID: 9776417]</w:t>
      </w:r>
    </w:p>
    <w:p w14:paraId="3D8565D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Quintana LF</w:t>
      </w:r>
      <w:r w:rsidRPr="00B727B0">
        <w:rPr>
          <w:rFonts w:ascii="Book Antiqua" w:hAnsi="Book Antiqua"/>
          <w:sz w:val="24"/>
          <w:szCs w:val="24"/>
        </w:rPr>
        <w:t>, Blasco M, Seras M, Pérez NS, López-Hoyos M, Villarroel P, Rodrigo E, Viñas O, Ercilla G, Diekmann F, Gómez-Roman JJ, Fernandez-Fresnedo G, Oppenheimer F, Arias M, Campistol JM. Antiphospholipase A2 Receptor Antibody Levels Predict the Risk of Posttransplantation Recurrence of Membranous Nephropathy. </w:t>
      </w:r>
      <w:r w:rsidRPr="00B727B0">
        <w:rPr>
          <w:rFonts w:ascii="Book Antiqua" w:hAnsi="Book Antiqua"/>
          <w:i/>
          <w:iCs/>
          <w:sz w:val="24"/>
          <w:szCs w:val="24"/>
        </w:rPr>
        <w:t>Transplantation</w:t>
      </w:r>
      <w:r w:rsidRPr="00B727B0">
        <w:rPr>
          <w:rFonts w:ascii="Book Antiqua" w:hAnsi="Book Antiqua"/>
          <w:sz w:val="24"/>
          <w:szCs w:val="24"/>
        </w:rPr>
        <w:t> 2015; </w:t>
      </w:r>
      <w:r w:rsidRPr="00B727B0">
        <w:rPr>
          <w:rFonts w:ascii="Book Antiqua" w:hAnsi="Book Antiqua"/>
          <w:b/>
          <w:bCs/>
          <w:sz w:val="24"/>
          <w:szCs w:val="24"/>
        </w:rPr>
        <w:t>99</w:t>
      </w:r>
      <w:r w:rsidRPr="00B727B0">
        <w:rPr>
          <w:rFonts w:ascii="Book Antiqua" w:hAnsi="Book Antiqua"/>
          <w:sz w:val="24"/>
          <w:szCs w:val="24"/>
        </w:rPr>
        <w:t>: 1709-1714 [PMID: 25675198 DOI: 10.1097/TP.0000000000000630]</w:t>
      </w:r>
    </w:p>
    <w:p w14:paraId="419FDF03"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Seitz-Polski B</w:t>
      </w:r>
      <w:r w:rsidRPr="00B727B0">
        <w:rPr>
          <w:rFonts w:ascii="Book Antiqua" w:hAnsi="Book Antiqua"/>
          <w:sz w:val="24"/>
          <w:szCs w:val="24"/>
        </w:rPr>
        <w:t>, Payré C, Ambrosetti D, Albano L, Cassuto-Viguier E, Berguignat M, Jeribi A, Thouret MC, Bernard G, Benzaken S, Lambeau G, Esnault VL. Prediction of membranous nephropathy recurrence after transplantation by monitoring of anti-PLA2R1 (M-type phospholipase A2 receptor) autoantibodies: a case series of 15 patients. </w:t>
      </w:r>
      <w:r w:rsidRPr="00B727B0">
        <w:rPr>
          <w:rFonts w:ascii="Book Antiqua" w:hAnsi="Book Antiqua"/>
          <w:i/>
          <w:iCs/>
          <w:sz w:val="24"/>
          <w:szCs w:val="24"/>
        </w:rPr>
        <w:t>Nephrol Dial Transplant</w:t>
      </w:r>
      <w:r w:rsidRPr="00B727B0">
        <w:rPr>
          <w:rFonts w:ascii="Book Antiqua" w:hAnsi="Book Antiqua"/>
          <w:sz w:val="24"/>
          <w:szCs w:val="24"/>
        </w:rPr>
        <w:t> 2014; </w:t>
      </w:r>
      <w:r w:rsidRPr="00B727B0">
        <w:rPr>
          <w:rFonts w:ascii="Book Antiqua" w:hAnsi="Book Antiqua"/>
          <w:b/>
          <w:bCs/>
          <w:sz w:val="24"/>
          <w:szCs w:val="24"/>
        </w:rPr>
        <w:t>29</w:t>
      </w:r>
      <w:r w:rsidRPr="00B727B0">
        <w:rPr>
          <w:rFonts w:ascii="Book Antiqua" w:hAnsi="Book Antiqua"/>
          <w:sz w:val="24"/>
          <w:szCs w:val="24"/>
        </w:rPr>
        <w:t>: 2334-2342 [PMID: 25063424 DOI: 10.1093/ndt/gfu252]</w:t>
      </w:r>
    </w:p>
    <w:p w14:paraId="2D3B58F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Tomas NM</w:t>
      </w:r>
      <w:r w:rsidRPr="00B727B0">
        <w:rPr>
          <w:rFonts w:ascii="Book Antiqua" w:hAnsi="Book Antiqua"/>
          <w:sz w:val="24"/>
          <w:szCs w:val="24"/>
        </w:rPr>
        <w:t>, Beck LH Jr, Meyer-Schwesinger C, Seitz-Polski B, Ma H, Zahner G, Dolla G, Hoxha E, Helmchen U, Dabert-Gay AS, Debayle D, Merchant M, Klein J, Salant DJ, Stahl RAK, Lambeau G. Thrombospondin type-1 domain-containing 7A in idiopathic membranous nephropathy. </w:t>
      </w:r>
      <w:r w:rsidRPr="00B727B0">
        <w:rPr>
          <w:rFonts w:ascii="Book Antiqua" w:hAnsi="Book Antiqua"/>
          <w:i/>
          <w:iCs/>
          <w:sz w:val="24"/>
          <w:szCs w:val="24"/>
        </w:rPr>
        <w:t>N Engl J Med</w:t>
      </w:r>
      <w:r w:rsidRPr="00B727B0">
        <w:rPr>
          <w:rFonts w:ascii="Book Antiqua" w:hAnsi="Book Antiqua"/>
          <w:sz w:val="24"/>
          <w:szCs w:val="24"/>
        </w:rPr>
        <w:t> 2014; </w:t>
      </w:r>
      <w:r w:rsidRPr="00B727B0">
        <w:rPr>
          <w:rFonts w:ascii="Book Antiqua" w:hAnsi="Book Antiqua"/>
          <w:b/>
          <w:bCs/>
          <w:sz w:val="24"/>
          <w:szCs w:val="24"/>
        </w:rPr>
        <w:t>371</w:t>
      </w:r>
      <w:r w:rsidRPr="00B727B0">
        <w:rPr>
          <w:rFonts w:ascii="Book Antiqua" w:hAnsi="Book Antiqua"/>
          <w:sz w:val="24"/>
          <w:szCs w:val="24"/>
        </w:rPr>
        <w:t>: 2277-2287 [PMID: 25394321 DOI: 10.1056/NEJMoa1409354]</w:t>
      </w:r>
    </w:p>
    <w:p w14:paraId="58D1FF7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Ronco P</w:t>
      </w:r>
      <w:r w:rsidRPr="00B727B0">
        <w:rPr>
          <w:rFonts w:ascii="Book Antiqua" w:hAnsi="Book Antiqua"/>
          <w:sz w:val="24"/>
          <w:szCs w:val="24"/>
        </w:rPr>
        <w:t>, Debiec H. Pathogenesis of membranous nephropathy: recent advances and future challenges. </w:t>
      </w:r>
      <w:r w:rsidRPr="00B727B0">
        <w:rPr>
          <w:rFonts w:ascii="Book Antiqua" w:hAnsi="Book Antiqua"/>
          <w:i/>
          <w:iCs/>
          <w:sz w:val="24"/>
          <w:szCs w:val="24"/>
        </w:rPr>
        <w:t>Nat Rev Nephrol</w:t>
      </w:r>
      <w:r w:rsidRPr="00B727B0">
        <w:rPr>
          <w:rFonts w:ascii="Book Antiqua" w:hAnsi="Book Antiqua"/>
          <w:sz w:val="24"/>
          <w:szCs w:val="24"/>
        </w:rPr>
        <w:t> 2012; </w:t>
      </w:r>
      <w:r w:rsidRPr="00B727B0">
        <w:rPr>
          <w:rFonts w:ascii="Book Antiqua" w:hAnsi="Book Antiqua"/>
          <w:b/>
          <w:bCs/>
          <w:sz w:val="24"/>
          <w:szCs w:val="24"/>
        </w:rPr>
        <w:t>8</w:t>
      </w:r>
      <w:r w:rsidRPr="00B727B0">
        <w:rPr>
          <w:rFonts w:ascii="Book Antiqua" w:hAnsi="Book Antiqua"/>
          <w:sz w:val="24"/>
          <w:szCs w:val="24"/>
        </w:rPr>
        <w:t>: 203-213 [PMID: 22371247 DOI: 10.1038/nrneph.2012.35]</w:t>
      </w:r>
    </w:p>
    <w:p w14:paraId="0B43118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Debiec H</w:t>
      </w:r>
      <w:r w:rsidRPr="00B727B0">
        <w:rPr>
          <w:rFonts w:ascii="Book Antiqua" w:hAnsi="Book Antiqua"/>
          <w:sz w:val="24"/>
          <w:szCs w:val="24"/>
        </w:rPr>
        <w:t>, Lefeu F, Kemper MJ, Niaudet P, Deschênes G, Remuzzi G, Ulinski T, Ronco P. Early-childhood membranous nephropathy due to cationic bovine serum albumin. </w:t>
      </w:r>
      <w:r w:rsidRPr="00B727B0">
        <w:rPr>
          <w:rFonts w:ascii="Book Antiqua" w:hAnsi="Book Antiqua"/>
          <w:i/>
          <w:iCs/>
          <w:sz w:val="24"/>
          <w:szCs w:val="24"/>
        </w:rPr>
        <w:t>N Engl J Med</w:t>
      </w:r>
      <w:r w:rsidRPr="00B727B0">
        <w:rPr>
          <w:rFonts w:ascii="Book Antiqua" w:hAnsi="Book Antiqua"/>
          <w:sz w:val="24"/>
          <w:szCs w:val="24"/>
        </w:rPr>
        <w:t> 2011; </w:t>
      </w:r>
      <w:r w:rsidRPr="00B727B0">
        <w:rPr>
          <w:rFonts w:ascii="Book Antiqua" w:hAnsi="Book Antiqua"/>
          <w:b/>
          <w:bCs/>
          <w:sz w:val="24"/>
          <w:szCs w:val="24"/>
        </w:rPr>
        <w:t>364</w:t>
      </w:r>
      <w:r w:rsidRPr="00B727B0">
        <w:rPr>
          <w:rFonts w:ascii="Book Antiqua" w:hAnsi="Book Antiqua"/>
          <w:sz w:val="24"/>
          <w:szCs w:val="24"/>
        </w:rPr>
        <w:t>: 2101-2110 [PMID: 21631322 DOI: 10.1056/NEJMoa1013792]</w:t>
      </w:r>
    </w:p>
    <w:p w14:paraId="2703A3C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sz w:val="24"/>
          <w:szCs w:val="24"/>
        </w:rPr>
        <w:lastRenderedPageBreak/>
        <w:t>Rudnicki M. Focal Segmental Glomerulosclerosis Recurrence in Adults after Renal Transplantation. BioMed Research International 2016; 2016: Article ID 3295618 [DOI: 10.1155/2016/3295618]</w:t>
      </w:r>
    </w:p>
    <w:p w14:paraId="51AF1DA6"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Cosio FG</w:t>
      </w:r>
      <w:r w:rsidRPr="00B727B0">
        <w:rPr>
          <w:rFonts w:ascii="Book Antiqua" w:hAnsi="Book Antiqua"/>
          <w:sz w:val="24"/>
          <w:szCs w:val="24"/>
        </w:rPr>
        <w:t>, Frankel WL, Pelletier RP, Pesavento TE, Henry ML, Ferguson RM. Focal segmental glomerulosclerosis in renal allografts with chronic nephropathy: implications for graft survival. </w:t>
      </w:r>
      <w:r w:rsidRPr="00B727B0">
        <w:rPr>
          <w:rFonts w:ascii="Book Antiqua" w:hAnsi="Book Antiqua"/>
          <w:i/>
          <w:iCs/>
          <w:sz w:val="24"/>
          <w:szCs w:val="24"/>
        </w:rPr>
        <w:t>Am J Kidney Dis</w:t>
      </w:r>
      <w:r w:rsidRPr="00B727B0">
        <w:rPr>
          <w:rFonts w:ascii="Book Antiqua" w:hAnsi="Book Antiqua"/>
          <w:sz w:val="24"/>
          <w:szCs w:val="24"/>
        </w:rPr>
        <w:t> 1999; </w:t>
      </w:r>
      <w:r w:rsidRPr="00B727B0">
        <w:rPr>
          <w:rFonts w:ascii="Book Antiqua" w:hAnsi="Book Antiqua"/>
          <w:b/>
          <w:bCs/>
          <w:sz w:val="24"/>
          <w:szCs w:val="24"/>
        </w:rPr>
        <w:t>34</w:t>
      </w:r>
      <w:r w:rsidRPr="00B727B0">
        <w:rPr>
          <w:rFonts w:ascii="Book Antiqua" w:hAnsi="Book Antiqua"/>
          <w:sz w:val="24"/>
          <w:szCs w:val="24"/>
        </w:rPr>
        <w:t>: 731-738 [PMID: 10516356 DOI: 10.1016/S0272-6386(99)70400-2]</w:t>
      </w:r>
    </w:p>
    <w:p w14:paraId="46115C0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Bertelli R</w:t>
      </w:r>
      <w:r w:rsidRPr="00B727B0">
        <w:rPr>
          <w:rFonts w:ascii="Book Antiqua" w:hAnsi="Book Antiqua"/>
          <w:sz w:val="24"/>
          <w:szCs w:val="24"/>
        </w:rPr>
        <w:t>, Ginevri F, Caridi G, Dagnino M, Sandrini S, Di Duca M, Emma F, Sanna-Cherchi S, Scolari F, Neri TM, Murer L, Massella L, Basile G, Rizzoni G, Perfumo F, Ghiggeri GM. Recurrence of focal segmental glomerulosclerosis after renal transplantation in patients with mutations of podocin. </w:t>
      </w:r>
      <w:r w:rsidRPr="00B727B0">
        <w:rPr>
          <w:rFonts w:ascii="Book Antiqua" w:hAnsi="Book Antiqua"/>
          <w:i/>
          <w:iCs/>
          <w:sz w:val="24"/>
          <w:szCs w:val="24"/>
        </w:rPr>
        <w:t>Am J Kidney Dis</w:t>
      </w:r>
      <w:r w:rsidRPr="00B727B0">
        <w:rPr>
          <w:rFonts w:ascii="Book Antiqua" w:hAnsi="Book Antiqua"/>
          <w:sz w:val="24"/>
          <w:szCs w:val="24"/>
        </w:rPr>
        <w:t> 2003; </w:t>
      </w:r>
      <w:r w:rsidRPr="00B727B0">
        <w:rPr>
          <w:rFonts w:ascii="Book Antiqua" w:hAnsi="Book Antiqua"/>
          <w:b/>
          <w:bCs/>
          <w:sz w:val="24"/>
          <w:szCs w:val="24"/>
        </w:rPr>
        <w:t>41</w:t>
      </w:r>
      <w:r w:rsidRPr="00B727B0">
        <w:rPr>
          <w:rFonts w:ascii="Book Antiqua" w:hAnsi="Book Antiqua"/>
          <w:sz w:val="24"/>
          <w:szCs w:val="24"/>
        </w:rPr>
        <w:t>: 1314-1321 [PMID: 12776285 DOI: 10.1016/S0272-6386(03)00364-0]</w:t>
      </w:r>
    </w:p>
    <w:p w14:paraId="2304092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Pinto J</w:t>
      </w:r>
      <w:r w:rsidRPr="00B727B0">
        <w:rPr>
          <w:rFonts w:ascii="Book Antiqua" w:hAnsi="Book Antiqua"/>
          <w:sz w:val="24"/>
          <w:szCs w:val="24"/>
        </w:rPr>
        <w:t>, Lacerda G, Cameron JS, Turner DR, Bewick M, Ogg CS. Recurrence of focal segmental glomerulosclerosis in renal allografts. </w:t>
      </w:r>
      <w:r w:rsidRPr="00B727B0">
        <w:rPr>
          <w:rFonts w:ascii="Book Antiqua" w:hAnsi="Book Antiqua"/>
          <w:i/>
          <w:iCs/>
          <w:sz w:val="24"/>
          <w:szCs w:val="24"/>
        </w:rPr>
        <w:t>Transplantation</w:t>
      </w:r>
      <w:r w:rsidRPr="00B727B0">
        <w:rPr>
          <w:rFonts w:ascii="Book Antiqua" w:hAnsi="Book Antiqua"/>
          <w:sz w:val="24"/>
          <w:szCs w:val="24"/>
        </w:rPr>
        <w:t> 1981; </w:t>
      </w:r>
      <w:r w:rsidRPr="00B727B0">
        <w:rPr>
          <w:rFonts w:ascii="Book Antiqua" w:hAnsi="Book Antiqua"/>
          <w:b/>
          <w:bCs/>
          <w:sz w:val="24"/>
          <w:szCs w:val="24"/>
        </w:rPr>
        <w:t>32</w:t>
      </w:r>
      <w:r w:rsidRPr="00B727B0">
        <w:rPr>
          <w:rFonts w:ascii="Book Antiqua" w:hAnsi="Book Antiqua"/>
          <w:sz w:val="24"/>
          <w:szCs w:val="24"/>
        </w:rPr>
        <w:t>: 83-89 [PMID: 7027555]</w:t>
      </w:r>
    </w:p>
    <w:p w14:paraId="6CE0E99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Cameron JS</w:t>
      </w:r>
      <w:r w:rsidRPr="00B727B0">
        <w:rPr>
          <w:rFonts w:ascii="Book Antiqua" w:hAnsi="Book Antiqua"/>
          <w:sz w:val="24"/>
          <w:szCs w:val="24"/>
        </w:rPr>
        <w:t>. Recurrent primary disease and de novo nephritis following renal transplantation. </w:t>
      </w:r>
      <w:r w:rsidRPr="00B727B0">
        <w:rPr>
          <w:rFonts w:ascii="Book Antiqua" w:hAnsi="Book Antiqua"/>
          <w:i/>
          <w:iCs/>
          <w:sz w:val="24"/>
          <w:szCs w:val="24"/>
        </w:rPr>
        <w:t>Pediatr Nephrol</w:t>
      </w:r>
      <w:r w:rsidRPr="00B727B0">
        <w:rPr>
          <w:rFonts w:ascii="Book Antiqua" w:hAnsi="Book Antiqua"/>
          <w:sz w:val="24"/>
          <w:szCs w:val="24"/>
        </w:rPr>
        <w:t> 1991; </w:t>
      </w:r>
      <w:r w:rsidRPr="00B727B0">
        <w:rPr>
          <w:rFonts w:ascii="Book Antiqua" w:hAnsi="Book Antiqua"/>
          <w:b/>
          <w:bCs/>
          <w:sz w:val="24"/>
          <w:szCs w:val="24"/>
        </w:rPr>
        <w:t>5</w:t>
      </w:r>
      <w:r w:rsidRPr="00B727B0">
        <w:rPr>
          <w:rFonts w:ascii="Book Antiqua" w:hAnsi="Book Antiqua"/>
          <w:sz w:val="24"/>
          <w:szCs w:val="24"/>
        </w:rPr>
        <w:t>: 412-421 [PMID: 1911114 DOI: 10.1007/BF01453669]</w:t>
      </w:r>
    </w:p>
    <w:p w14:paraId="0B6F76A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Ponticelli C</w:t>
      </w:r>
      <w:r w:rsidRPr="00B727B0">
        <w:rPr>
          <w:rFonts w:ascii="Book Antiqua" w:hAnsi="Book Antiqua"/>
          <w:sz w:val="24"/>
          <w:szCs w:val="24"/>
        </w:rPr>
        <w:t>, Traversi L, Banfi G. Renal transplantation in patients with IgA mesangial glomerulonephritis. </w:t>
      </w:r>
      <w:r w:rsidRPr="00B727B0">
        <w:rPr>
          <w:rFonts w:ascii="Book Antiqua" w:hAnsi="Book Antiqua"/>
          <w:i/>
          <w:iCs/>
          <w:sz w:val="24"/>
          <w:szCs w:val="24"/>
        </w:rPr>
        <w:t>Pediatr Transplant</w:t>
      </w:r>
      <w:r w:rsidRPr="00B727B0">
        <w:rPr>
          <w:rFonts w:ascii="Book Antiqua" w:hAnsi="Book Antiqua"/>
          <w:sz w:val="24"/>
          <w:szCs w:val="24"/>
        </w:rPr>
        <w:t> 2004; </w:t>
      </w:r>
      <w:r w:rsidRPr="00B727B0">
        <w:rPr>
          <w:rFonts w:ascii="Book Antiqua" w:hAnsi="Book Antiqua"/>
          <w:b/>
          <w:bCs/>
          <w:sz w:val="24"/>
          <w:szCs w:val="24"/>
        </w:rPr>
        <w:t>8</w:t>
      </w:r>
      <w:r w:rsidRPr="00B727B0">
        <w:rPr>
          <w:rFonts w:ascii="Book Antiqua" w:hAnsi="Book Antiqua"/>
          <w:sz w:val="24"/>
          <w:szCs w:val="24"/>
        </w:rPr>
        <w:t>: 334-338 [PMID: 15265157 DOI: 10.1111/j.1399-3046.2004.00177.x]</w:t>
      </w:r>
    </w:p>
    <w:p w14:paraId="4E27516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Kowalewska J</w:t>
      </w:r>
      <w:r w:rsidRPr="00B727B0">
        <w:rPr>
          <w:rFonts w:ascii="Book Antiqua" w:hAnsi="Book Antiqua"/>
          <w:sz w:val="24"/>
          <w:szCs w:val="24"/>
        </w:rPr>
        <w:t>, Yuan S, Sustento-Reodica N, Nicosia RF, Smith KD, Davis CL, Alpers CE. IgA nephropathy with crescents in kidney transplant recipients. </w:t>
      </w:r>
      <w:r w:rsidRPr="00B727B0">
        <w:rPr>
          <w:rFonts w:ascii="Book Antiqua" w:hAnsi="Book Antiqua"/>
          <w:i/>
          <w:iCs/>
          <w:sz w:val="24"/>
          <w:szCs w:val="24"/>
        </w:rPr>
        <w:t>Am J Kidney Dis</w:t>
      </w:r>
      <w:r w:rsidRPr="00B727B0">
        <w:rPr>
          <w:rFonts w:ascii="Book Antiqua" w:hAnsi="Book Antiqua"/>
          <w:sz w:val="24"/>
          <w:szCs w:val="24"/>
        </w:rPr>
        <w:t> 2005; </w:t>
      </w:r>
      <w:r w:rsidRPr="00B727B0">
        <w:rPr>
          <w:rFonts w:ascii="Book Antiqua" w:hAnsi="Book Antiqua"/>
          <w:b/>
          <w:bCs/>
          <w:sz w:val="24"/>
          <w:szCs w:val="24"/>
        </w:rPr>
        <w:t>45</w:t>
      </w:r>
      <w:r w:rsidRPr="00B727B0">
        <w:rPr>
          <w:rFonts w:ascii="Book Antiqua" w:hAnsi="Book Antiqua"/>
          <w:sz w:val="24"/>
          <w:szCs w:val="24"/>
        </w:rPr>
        <w:t>: 167-175 [PMID: 15696457 DOI: 10.1053/j.ajkd.2004.09.030]</w:t>
      </w:r>
    </w:p>
    <w:p w14:paraId="556B0F3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Tang Z</w:t>
      </w:r>
      <w:r w:rsidRPr="00B727B0">
        <w:rPr>
          <w:rFonts w:ascii="Book Antiqua" w:hAnsi="Book Antiqua"/>
          <w:sz w:val="24"/>
          <w:szCs w:val="24"/>
        </w:rPr>
        <w:t>, Ji SM, Chen DR, Wen JQ, Chen JS, Liu ZH, Li LS. Recurrent or de novo IgA nephropathy with crescent formation after renal transplantation. </w:t>
      </w:r>
      <w:r w:rsidRPr="00B727B0">
        <w:rPr>
          <w:rFonts w:ascii="Book Antiqua" w:hAnsi="Book Antiqua"/>
          <w:i/>
          <w:iCs/>
          <w:sz w:val="24"/>
          <w:szCs w:val="24"/>
        </w:rPr>
        <w:t>Ren Fail</w:t>
      </w:r>
      <w:r w:rsidRPr="00B727B0">
        <w:rPr>
          <w:rFonts w:ascii="Book Antiqua" w:hAnsi="Book Antiqua"/>
          <w:sz w:val="24"/>
          <w:szCs w:val="24"/>
        </w:rPr>
        <w:t> 2008; </w:t>
      </w:r>
      <w:r w:rsidRPr="00B727B0">
        <w:rPr>
          <w:rFonts w:ascii="Book Antiqua" w:hAnsi="Book Antiqua"/>
          <w:b/>
          <w:bCs/>
          <w:sz w:val="24"/>
          <w:szCs w:val="24"/>
        </w:rPr>
        <w:t>30</w:t>
      </w:r>
      <w:r w:rsidRPr="00B727B0">
        <w:rPr>
          <w:rFonts w:ascii="Book Antiqua" w:hAnsi="Book Antiqua"/>
          <w:sz w:val="24"/>
          <w:szCs w:val="24"/>
        </w:rPr>
        <w:t>: 611-616 [PMID: 18661411 DOI: 10.1080/08860220802134516]</w:t>
      </w:r>
    </w:p>
    <w:p w14:paraId="0732DA2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Berthelot L</w:t>
      </w:r>
      <w:r w:rsidRPr="00B727B0">
        <w:rPr>
          <w:rFonts w:ascii="Book Antiqua" w:hAnsi="Book Antiqua"/>
          <w:sz w:val="24"/>
          <w:szCs w:val="24"/>
        </w:rPr>
        <w:t>, Robert T, Vuiblet V, Tabary T, Braconnier A, Dramé M, Toupance O, Rieu P, Monteiro RC, Touré F. Recurrent IgA nephropathy is predicted by altered glycosylated IgA, autoantibodies and soluble CD89 complexes. </w:t>
      </w:r>
      <w:r w:rsidRPr="00B727B0">
        <w:rPr>
          <w:rFonts w:ascii="Book Antiqua" w:hAnsi="Book Antiqua"/>
          <w:i/>
          <w:iCs/>
          <w:sz w:val="24"/>
          <w:szCs w:val="24"/>
        </w:rPr>
        <w:t>Kidney Int</w:t>
      </w:r>
      <w:r w:rsidRPr="00B727B0">
        <w:rPr>
          <w:rFonts w:ascii="Book Antiqua" w:hAnsi="Book Antiqua"/>
          <w:sz w:val="24"/>
          <w:szCs w:val="24"/>
        </w:rPr>
        <w:t> 2015; </w:t>
      </w:r>
      <w:r w:rsidRPr="00B727B0">
        <w:rPr>
          <w:rFonts w:ascii="Book Antiqua" w:hAnsi="Book Antiqua"/>
          <w:b/>
          <w:bCs/>
          <w:sz w:val="24"/>
          <w:szCs w:val="24"/>
        </w:rPr>
        <w:t>88</w:t>
      </w:r>
      <w:r w:rsidRPr="00B727B0">
        <w:rPr>
          <w:rFonts w:ascii="Book Antiqua" w:hAnsi="Book Antiqua"/>
          <w:sz w:val="24"/>
          <w:szCs w:val="24"/>
        </w:rPr>
        <w:t>: 815-822 [PMID: 26061544 DOI: 10.1038/ki.2015.158]</w:t>
      </w:r>
    </w:p>
    <w:p w14:paraId="44E75CE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Han SS</w:t>
      </w:r>
      <w:r w:rsidRPr="00B727B0">
        <w:rPr>
          <w:rFonts w:ascii="Book Antiqua" w:hAnsi="Book Antiqua"/>
          <w:sz w:val="24"/>
          <w:szCs w:val="24"/>
        </w:rPr>
        <w:t>, Huh W, Park SK, Ahn C, Han JS, Kim S, Kim YS. Impact of recurrent disease and chronic allograft nephropathy on the long-term allograft outcome in patients with IgA nephropathy. </w:t>
      </w:r>
      <w:r w:rsidRPr="00B727B0">
        <w:rPr>
          <w:rFonts w:ascii="Book Antiqua" w:hAnsi="Book Antiqua"/>
          <w:i/>
          <w:iCs/>
          <w:sz w:val="24"/>
          <w:szCs w:val="24"/>
        </w:rPr>
        <w:t>Transpl Int</w:t>
      </w:r>
      <w:r w:rsidRPr="00B727B0">
        <w:rPr>
          <w:rFonts w:ascii="Book Antiqua" w:hAnsi="Book Antiqua"/>
          <w:sz w:val="24"/>
          <w:szCs w:val="24"/>
        </w:rPr>
        <w:t> 2010; </w:t>
      </w:r>
      <w:r w:rsidRPr="00B727B0">
        <w:rPr>
          <w:rFonts w:ascii="Book Antiqua" w:hAnsi="Book Antiqua"/>
          <w:b/>
          <w:bCs/>
          <w:sz w:val="24"/>
          <w:szCs w:val="24"/>
        </w:rPr>
        <w:t>23</w:t>
      </w:r>
      <w:r w:rsidRPr="00B727B0">
        <w:rPr>
          <w:rFonts w:ascii="Book Antiqua" w:hAnsi="Book Antiqua"/>
          <w:sz w:val="24"/>
          <w:szCs w:val="24"/>
        </w:rPr>
        <w:t>: 169-175 [PMID: 19761553 DOI: 10.1111/j.1432-2277.2009.00966.x]</w:t>
      </w:r>
    </w:p>
    <w:p w14:paraId="7AE43B9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McDonald SP</w:t>
      </w:r>
      <w:r w:rsidRPr="00B727B0">
        <w:rPr>
          <w:rFonts w:ascii="Book Antiqua" w:hAnsi="Book Antiqua"/>
          <w:sz w:val="24"/>
          <w:szCs w:val="24"/>
        </w:rPr>
        <w:t>, Russ GR. Recurrence of IgA nephropathy among renal allograft recipients from living donors is greater among those with zero HLA mismatches. </w:t>
      </w:r>
      <w:r w:rsidRPr="00B727B0">
        <w:rPr>
          <w:rFonts w:ascii="Book Antiqua" w:hAnsi="Book Antiqua"/>
          <w:i/>
          <w:iCs/>
          <w:sz w:val="24"/>
          <w:szCs w:val="24"/>
        </w:rPr>
        <w:t>Transplantation</w:t>
      </w:r>
      <w:r w:rsidRPr="00B727B0">
        <w:rPr>
          <w:rFonts w:ascii="Book Antiqua" w:hAnsi="Book Antiqua"/>
          <w:sz w:val="24"/>
          <w:szCs w:val="24"/>
        </w:rPr>
        <w:t> 2006; </w:t>
      </w:r>
      <w:r w:rsidRPr="00B727B0">
        <w:rPr>
          <w:rFonts w:ascii="Book Antiqua" w:hAnsi="Book Antiqua"/>
          <w:b/>
          <w:bCs/>
          <w:sz w:val="24"/>
          <w:szCs w:val="24"/>
        </w:rPr>
        <w:t>82</w:t>
      </w:r>
      <w:r w:rsidRPr="00B727B0">
        <w:rPr>
          <w:rFonts w:ascii="Book Antiqua" w:hAnsi="Book Antiqua"/>
          <w:sz w:val="24"/>
          <w:szCs w:val="24"/>
        </w:rPr>
        <w:t>: 759-762 [PMID: 17006322 DOI: 10.1097/01.tp.0000230131.66971.45]</w:t>
      </w:r>
    </w:p>
    <w:p w14:paraId="20CE439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Bantis C</w:t>
      </w:r>
      <w:r w:rsidRPr="00B727B0">
        <w:rPr>
          <w:rFonts w:ascii="Book Antiqua" w:hAnsi="Book Antiqua"/>
          <w:sz w:val="24"/>
          <w:szCs w:val="24"/>
        </w:rPr>
        <w:t>, Heering PJ, Aker S, Schwandt C, Grabensee B, Ivens K. Influence of interleukin-10 gene G-1082A polymorphism on recurrent IgA nephropathy. </w:t>
      </w:r>
      <w:r w:rsidRPr="00B727B0">
        <w:rPr>
          <w:rFonts w:ascii="Book Antiqua" w:hAnsi="Book Antiqua"/>
          <w:i/>
          <w:iCs/>
          <w:sz w:val="24"/>
          <w:szCs w:val="24"/>
        </w:rPr>
        <w:t>J Nephrol</w:t>
      </w:r>
      <w:r w:rsidRPr="00B727B0">
        <w:rPr>
          <w:rFonts w:ascii="Book Antiqua" w:hAnsi="Book Antiqua"/>
          <w:sz w:val="24"/>
          <w:szCs w:val="24"/>
        </w:rPr>
        <w:t> 2008; </w:t>
      </w:r>
      <w:r w:rsidRPr="00B727B0">
        <w:rPr>
          <w:rFonts w:ascii="Book Antiqua" w:hAnsi="Book Antiqua"/>
          <w:b/>
          <w:bCs/>
          <w:sz w:val="24"/>
          <w:szCs w:val="24"/>
        </w:rPr>
        <w:t>21</w:t>
      </w:r>
      <w:r w:rsidRPr="00B727B0">
        <w:rPr>
          <w:rFonts w:ascii="Book Antiqua" w:hAnsi="Book Antiqua"/>
          <w:sz w:val="24"/>
          <w:szCs w:val="24"/>
        </w:rPr>
        <w:t>: 941-946 [PMID: 19034880]</w:t>
      </w:r>
    </w:p>
    <w:p w14:paraId="2403620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Coppo R</w:t>
      </w:r>
      <w:r w:rsidRPr="00B727B0">
        <w:rPr>
          <w:rFonts w:ascii="Book Antiqua" w:hAnsi="Book Antiqua"/>
          <w:sz w:val="24"/>
          <w:szCs w:val="24"/>
        </w:rPr>
        <w:t>, Amore A, Chiesa M, Lombardo F, Cirina P, Andrulli S, Passerini P, Conti G, Peruzzi L, Giraudi R, Messina M, Segoloni G, Ponticelli C. Serological and genetic factors in early recurrence of IgA nephropathy after renal transplantation. </w:t>
      </w:r>
      <w:r w:rsidRPr="00B727B0">
        <w:rPr>
          <w:rFonts w:ascii="Book Antiqua" w:hAnsi="Book Antiqua"/>
          <w:i/>
          <w:iCs/>
          <w:sz w:val="24"/>
          <w:szCs w:val="24"/>
        </w:rPr>
        <w:t>Clin Transplant</w:t>
      </w:r>
      <w:r w:rsidRPr="00B727B0">
        <w:rPr>
          <w:rFonts w:ascii="Book Antiqua" w:hAnsi="Book Antiqua"/>
          <w:sz w:val="24"/>
          <w:szCs w:val="24"/>
        </w:rPr>
        <w:t> 2007; </w:t>
      </w:r>
      <w:r w:rsidRPr="00B727B0">
        <w:rPr>
          <w:rFonts w:ascii="Book Antiqua" w:hAnsi="Book Antiqua"/>
          <w:b/>
          <w:bCs/>
          <w:sz w:val="24"/>
          <w:szCs w:val="24"/>
        </w:rPr>
        <w:t>21</w:t>
      </w:r>
      <w:r w:rsidRPr="00B727B0">
        <w:rPr>
          <w:rFonts w:ascii="Book Antiqua" w:hAnsi="Book Antiqua"/>
          <w:sz w:val="24"/>
          <w:szCs w:val="24"/>
        </w:rPr>
        <w:t>: 728-737 [PMID: 17988266 DOI: 10.1111/j.1399-0012.2007.00730.x]</w:t>
      </w:r>
    </w:p>
    <w:p w14:paraId="30D56C0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Andresdottir MB</w:t>
      </w:r>
      <w:r w:rsidRPr="00B727B0">
        <w:rPr>
          <w:rFonts w:ascii="Book Antiqua" w:hAnsi="Book Antiqua"/>
          <w:sz w:val="24"/>
          <w:szCs w:val="24"/>
        </w:rPr>
        <w:t>, Haasnoot GW, Persijn GG, Claas FH. HLA-B8, DR3: a new risk factor for graft failure after renal transplantation in patients with underlying immunoglobulin A nephropathy. </w:t>
      </w:r>
      <w:r w:rsidRPr="00B727B0">
        <w:rPr>
          <w:rFonts w:ascii="Book Antiqua" w:hAnsi="Book Antiqua"/>
          <w:i/>
          <w:iCs/>
          <w:sz w:val="24"/>
          <w:szCs w:val="24"/>
        </w:rPr>
        <w:t>Clin Transplant</w:t>
      </w:r>
      <w:r w:rsidRPr="00B727B0">
        <w:rPr>
          <w:rFonts w:ascii="Book Antiqua" w:hAnsi="Book Antiqua"/>
          <w:sz w:val="24"/>
          <w:szCs w:val="24"/>
        </w:rPr>
        <w:t> 2009; </w:t>
      </w:r>
      <w:r w:rsidRPr="00B727B0">
        <w:rPr>
          <w:rFonts w:ascii="Book Antiqua" w:hAnsi="Book Antiqua"/>
          <w:b/>
          <w:bCs/>
          <w:sz w:val="24"/>
          <w:szCs w:val="24"/>
        </w:rPr>
        <w:t>23</w:t>
      </w:r>
      <w:r w:rsidRPr="00B727B0">
        <w:rPr>
          <w:rFonts w:ascii="Book Antiqua" w:hAnsi="Book Antiqua"/>
          <w:sz w:val="24"/>
          <w:szCs w:val="24"/>
        </w:rPr>
        <w:t>: 660-665 [PMID: 19674013 DOI: 10.1111/j.1399-0012.2009.01059.x]</w:t>
      </w:r>
    </w:p>
    <w:p w14:paraId="069E4A8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Sutherland S</w:t>
      </w:r>
      <w:r w:rsidRPr="00B727B0">
        <w:rPr>
          <w:rFonts w:ascii="Book Antiqua" w:hAnsi="Book Antiqua"/>
          <w:sz w:val="24"/>
          <w:szCs w:val="24"/>
        </w:rPr>
        <w:t>, Li L, Concepcion W, Salvatierra O, Sarwal MM. Steroid-free immunosuppression in pediatric renal transplantation: rationale for and [corrected] outcomes following conversion to steroid based therapy. </w:t>
      </w:r>
      <w:r w:rsidRPr="00B727B0">
        <w:rPr>
          <w:rFonts w:ascii="Book Antiqua" w:hAnsi="Book Antiqua"/>
          <w:i/>
          <w:iCs/>
          <w:sz w:val="24"/>
          <w:szCs w:val="24"/>
        </w:rPr>
        <w:t>Transplantation</w:t>
      </w:r>
      <w:r w:rsidRPr="00B727B0">
        <w:rPr>
          <w:rFonts w:ascii="Book Antiqua" w:hAnsi="Book Antiqua"/>
          <w:sz w:val="24"/>
          <w:szCs w:val="24"/>
        </w:rPr>
        <w:t> 2009; </w:t>
      </w:r>
      <w:r w:rsidRPr="00B727B0">
        <w:rPr>
          <w:rFonts w:ascii="Book Antiqua" w:hAnsi="Book Antiqua"/>
          <w:b/>
          <w:bCs/>
          <w:sz w:val="24"/>
          <w:szCs w:val="24"/>
        </w:rPr>
        <w:t>87</w:t>
      </w:r>
      <w:r w:rsidRPr="00B727B0">
        <w:rPr>
          <w:rFonts w:ascii="Book Antiqua" w:hAnsi="Book Antiqua"/>
          <w:sz w:val="24"/>
          <w:szCs w:val="24"/>
        </w:rPr>
        <w:t>: 1744-1748 [PMID: 19502970 DOI: 10.1097/TP.0b013e3181a5df60]</w:t>
      </w:r>
    </w:p>
    <w:p w14:paraId="019E95F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Von Visger JR</w:t>
      </w:r>
      <w:r w:rsidRPr="00B727B0">
        <w:rPr>
          <w:rFonts w:ascii="Book Antiqua" w:hAnsi="Book Antiqua"/>
          <w:sz w:val="24"/>
          <w:szCs w:val="24"/>
        </w:rPr>
        <w:t>, Gunay Y, Andreoni KA, Bhatt UY, Nori US, Pesavento TE, Elkhammas EA, Winters HA, Nadasdy T, Singh N. The risk of recurrent IgA nephropathy in a steroid-free protocol and other modifying immunosuppression. </w:t>
      </w:r>
      <w:r w:rsidRPr="00B727B0">
        <w:rPr>
          <w:rFonts w:ascii="Book Antiqua" w:hAnsi="Book Antiqua"/>
          <w:i/>
          <w:iCs/>
          <w:sz w:val="24"/>
          <w:szCs w:val="24"/>
        </w:rPr>
        <w:t>Clin Transplant</w:t>
      </w:r>
      <w:r w:rsidRPr="00B727B0">
        <w:rPr>
          <w:rFonts w:ascii="Book Antiqua" w:hAnsi="Book Antiqua"/>
          <w:sz w:val="24"/>
          <w:szCs w:val="24"/>
        </w:rPr>
        <w:t> 2014; </w:t>
      </w:r>
      <w:r w:rsidRPr="00B727B0">
        <w:rPr>
          <w:rFonts w:ascii="Book Antiqua" w:hAnsi="Book Antiqua"/>
          <w:b/>
          <w:bCs/>
          <w:sz w:val="24"/>
          <w:szCs w:val="24"/>
        </w:rPr>
        <w:t>28</w:t>
      </w:r>
      <w:r w:rsidRPr="00B727B0">
        <w:rPr>
          <w:rFonts w:ascii="Book Antiqua" w:hAnsi="Book Antiqua"/>
          <w:sz w:val="24"/>
          <w:szCs w:val="24"/>
        </w:rPr>
        <w:t>: 845-854 [PMID: 24869763 DOI: 10.1111/ctr.12389]</w:t>
      </w:r>
    </w:p>
    <w:p w14:paraId="3BEB9B3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Working Group of the International IgA Nephropathy Network and the Renal Pathology Society.</w:t>
      </w:r>
      <w:r w:rsidRPr="00B727B0">
        <w:rPr>
          <w:rFonts w:ascii="Book Antiqua" w:hAnsi="Book Antiqua"/>
          <w:sz w:val="24"/>
          <w:szCs w:val="24"/>
        </w:rPr>
        <w:t>, Cattran DC, Coppo R, Cook HT, Feehally J, Roberts IS, Troyanov S, Alpers CE, Amore A, Barratt J, Berthoux F, Bonsib S, Bruijn JA, D'Agati V, D'Amico G, Emancipator S, Emma F, Ferrario F, Fervenza FC, Florquin S, Fogo A, Geddes CC, Groene HJ, Haas M, Herzenberg AM, Hill PA, Hogg RJ, Hsu SI, Jennette JC, Joh K, Julian BA, Kawamura T, Lai FM, Leung CB, Li LS, Li PK, Liu ZH, Mackinnon B, Mezzano S, Schena FP, Tomino Y, Walker PD, Wang H, Weening JJ, Yoshikawa N, Zhang H. The Oxford classification of IgA nephropathy: rationale, clinicopathological correlations, and classification. </w:t>
      </w:r>
      <w:r w:rsidRPr="00B727B0">
        <w:rPr>
          <w:rFonts w:ascii="Book Antiqua" w:hAnsi="Book Antiqua"/>
          <w:i/>
          <w:iCs/>
          <w:sz w:val="24"/>
          <w:szCs w:val="24"/>
        </w:rPr>
        <w:t>Kidney Int</w:t>
      </w:r>
      <w:r w:rsidRPr="00B727B0">
        <w:rPr>
          <w:rFonts w:ascii="Book Antiqua" w:hAnsi="Book Antiqua"/>
          <w:sz w:val="24"/>
          <w:szCs w:val="24"/>
        </w:rPr>
        <w:t> 2009; </w:t>
      </w:r>
      <w:r w:rsidRPr="00B727B0">
        <w:rPr>
          <w:rFonts w:ascii="Book Antiqua" w:hAnsi="Book Antiqua"/>
          <w:b/>
          <w:bCs/>
          <w:sz w:val="24"/>
          <w:szCs w:val="24"/>
        </w:rPr>
        <w:t>76</w:t>
      </w:r>
      <w:r w:rsidRPr="00B727B0">
        <w:rPr>
          <w:rFonts w:ascii="Book Antiqua" w:hAnsi="Book Antiqua"/>
          <w:sz w:val="24"/>
          <w:szCs w:val="24"/>
        </w:rPr>
        <w:t>: 534-545 [PMID: 19571791 DOI: 10.1038/ki.2009.243]</w:t>
      </w:r>
    </w:p>
    <w:p w14:paraId="58AE643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Working Group of the International IgA Nephropathy Network and the Renal Pathology Society.</w:t>
      </w:r>
      <w:r w:rsidRPr="00B727B0">
        <w:rPr>
          <w:rFonts w:ascii="Book Antiqua" w:hAnsi="Book Antiqua"/>
          <w:sz w:val="24"/>
          <w:szCs w:val="24"/>
        </w:rPr>
        <w:t>, Roberts IS, Cook HT, Troyanov S, Alpers CE, Amore A, Barratt J, Berthoux F, Bonsib S, Bruijn JA, Cattran DC, Coppo R, D'Agati V, D'Amico G, Emancipator S, Emma F, Feehally J, Ferrario F, Fervenza FC, Florquin S, Fogo A, Geddes CC, Groene HJ, Haas M, Herzenberg AM, Hill PA, Hogg RJ, Hsu SI, Jennette JC, Joh K, Julian BA, Kawamura T, Lai FM, Li LS, Li PK, Liu ZH, Mackinnon B, Mezzano S, Schena FP, Tomino Y, Walker PD, Wang H, Weening JJ, Yoshikawa N, Zhang H. The Oxford classification of IgA nephropathy: pathology definitions, correlations, and reproducibility. </w:t>
      </w:r>
      <w:r w:rsidRPr="00B727B0">
        <w:rPr>
          <w:rFonts w:ascii="Book Antiqua" w:hAnsi="Book Antiqua"/>
          <w:i/>
          <w:iCs/>
          <w:sz w:val="24"/>
          <w:szCs w:val="24"/>
        </w:rPr>
        <w:t>Kidney Int</w:t>
      </w:r>
      <w:r w:rsidRPr="00B727B0">
        <w:rPr>
          <w:rFonts w:ascii="Book Antiqua" w:hAnsi="Book Antiqua"/>
          <w:sz w:val="24"/>
          <w:szCs w:val="24"/>
        </w:rPr>
        <w:t> 2009; </w:t>
      </w:r>
      <w:r w:rsidRPr="00B727B0">
        <w:rPr>
          <w:rFonts w:ascii="Book Antiqua" w:hAnsi="Book Antiqua"/>
          <w:b/>
          <w:bCs/>
          <w:sz w:val="24"/>
          <w:szCs w:val="24"/>
        </w:rPr>
        <w:t>76</w:t>
      </w:r>
      <w:r w:rsidRPr="00B727B0">
        <w:rPr>
          <w:rFonts w:ascii="Book Antiqua" w:hAnsi="Book Antiqua"/>
          <w:sz w:val="24"/>
          <w:szCs w:val="24"/>
        </w:rPr>
        <w:t>: 546-556 [PMID: 19571790 DOI: 10.1038/ki.2009.168]</w:t>
      </w:r>
    </w:p>
    <w:p w14:paraId="3546C7F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Soler MJ</w:t>
      </w:r>
      <w:r w:rsidRPr="00B727B0">
        <w:rPr>
          <w:rFonts w:ascii="Book Antiqua" w:hAnsi="Book Antiqua"/>
          <w:sz w:val="24"/>
          <w:szCs w:val="24"/>
        </w:rPr>
        <w:t>, Mir M, Rodriguez E, Orfila A, Munne A, Vázquez S, Lloveras J, Puig JM. Recurrence of IgA nephropathy and Henoch-Schönlein purpura after kidney transplantation: risk factors and graft survival. </w:t>
      </w:r>
      <w:r w:rsidRPr="00B727B0">
        <w:rPr>
          <w:rFonts w:ascii="Book Antiqua" w:hAnsi="Book Antiqua"/>
          <w:i/>
          <w:iCs/>
          <w:sz w:val="24"/>
          <w:szCs w:val="24"/>
        </w:rPr>
        <w:t xml:space="preserve">Transplant </w:t>
      </w:r>
      <w:r w:rsidRPr="00B727B0">
        <w:rPr>
          <w:rFonts w:ascii="Book Antiqua" w:hAnsi="Book Antiqua"/>
          <w:i/>
          <w:iCs/>
          <w:sz w:val="24"/>
          <w:szCs w:val="24"/>
        </w:rPr>
        <w:lastRenderedPageBreak/>
        <w:t>Proc</w:t>
      </w:r>
      <w:r w:rsidRPr="00B727B0">
        <w:rPr>
          <w:rFonts w:ascii="Book Antiqua" w:hAnsi="Book Antiqua"/>
          <w:sz w:val="24"/>
          <w:szCs w:val="24"/>
        </w:rPr>
        <w:t> 2005; </w:t>
      </w:r>
      <w:r w:rsidRPr="00B727B0">
        <w:rPr>
          <w:rFonts w:ascii="Book Antiqua" w:hAnsi="Book Antiqua"/>
          <w:b/>
          <w:bCs/>
          <w:sz w:val="24"/>
          <w:szCs w:val="24"/>
        </w:rPr>
        <w:t>37</w:t>
      </w:r>
      <w:r w:rsidRPr="00B727B0">
        <w:rPr>
          <w:rFonts w:ascii="Book Antiqua" w:hAnsi="Book Antiqua"/>
          <w:sz w:val="24"/>
          <w:szCs w:val="24"/>
        </w:rPr>
        <w:t>: 3705-3709 [PMID: 16386512 DOI: 10.1016/j.transproceed.2005.09.172]</w:t>
      </w:r>
    </w:p>
    <w:p w14:paraId="7771A3C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Kanaan N</w:t>
      </w:r>
      <w:r w:rsidRPr="00B727B0">
        <w:rPr>
          <w:rFonts w:ascii="Book Antiqua" w:hAnsi="Book Antiqua"/>
          <w:sz w:val="24"/>
          <w:szCs w:val="24"/>
        </w:rPr>
        <w:t>, Mourad G, Thervet E, Peeters P, Hourmant M, Vanrenterghem Y, De Meyer M, Mourad M, Maréchal C, Goffin E, Pirson Y. Recurrence and graft loss after kidney transplantation for henoch-schonlein purpura nephritis: a multicenter analysis. </w:t>
      </w:r>
      <w:r w:rsidRPr="00B727B0">
        <w:rPr>
          <w:rFonts w:ascii="Book Antiqua" w:hAnsi="Book Antiqua"/>
          <w:i/>
          <w:iCs/>
          <w:sz w:val="24"/>
          <w:szCs w:val="24"/>
        </w:rPr>
        <w:t>Clin J Am Soc Nephrol</w:t>
      </w:r>
      <w:r w:rsidRPr="00B727B0">
        <w:rPr>
          <w:rFonts w:ascii="Book Antiqua" w:hAnsi="Book Antiqua"/>
          <w:sz w:val="24"/>
          <w:szCs w:val="24"/>
        </w:rPr>
        <w:t> 2011; </w:t>
      </w:r>
      <w:r w:rsidRPr="00B727B0">
        <w:rPr>
          <w:rFonts w:ascii="Book Antiqua" w:hAnsi="Book Antiqua"/>
          <w:b/>
          <w:bCs/>
          <w:sz w:val="24"/>
          <w:szCs w:val="24"/>
        </w:rPr>
        <w:t>6</w:t>
      </w:r>
      <w:r w:rsidRPr="00B727B0">
        <w:rPr>
          <w:rFonts w:ascii="Book Antiqua" w:hAnsi="Book Antiqua"/>
          <w:sz w:val="24"/>
          <w:szCs w:val="24"/>
        </w:rPr>
        <w:t>: 1768-1772 [PMID: 21734091 DOI: 10.2215/CJN.00520111]</w:t>
      </w:r>
    </w:p>
    <w:p w14:paraId="5DA59FE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Samuel JP</w:t>
      </w:r>
      <w:r w:rsidRPr="00B727B0">
        <w:rPr>
          <w:rFonts w:ascii="Book Antiqua" w:hAnsi="Book Antiqua"/>
          <w:sz w:val="24"/>
          <w:szCs w:val="24"/>
        </w:rPr>
        <w:t>, Bell CS, Molony DA, Braun MC. Long-term outcome of renal transplantation patients with Henoch-Schonlein purpura. </w:t>
      </w:r>
      <w:r w:rsidRPr="00B727B0">
        <w:rPr>
          <w:rFonts w:ascii="Book Antiqua" w:hAnsi="Book Antiqua"/>
          <w:i/>
          <w:iCs/>
          <w:sz w:val="24"/>
          <w:szCs w:val="24"/>
        </w:rPr>
        <w:t>Clin J Am Soc Nephrol</w:t>
      </w:r>
      <w:r w:rsidRPr="00B727B0">
        <w:rPr>
          <w:rFonts w:ascii="Book Antiqua" w:hAnsi="Book Antiqua"/>
          <w:sz w:val="24"/>
          <w:szCs w:val="24"/>
        </w:rPr>
        <w:t> 2011; </w:t>
      </w:r>
      <w:r w:rsidRPr="00B727B0">
        <w:rPr>
          <w:rFonts w:ascii="Book Antiqua" w:hAnsi="Book Antiqua"/>
          <w:b/>
          <w:bCs/>
          <w:sz w:val="24"/>
          <w:szCs w:val="24"/>
        </w:rPr>
        <w:t>6</w:t>
      </w:r>
      <w:r w:rsidRPr="00B727B0">
        <w:rPr>
          <w:rFonts w:ascii="Book Antiqua" w:hAnsi="Book Antiqua"/>
          <w:sz w:val="24"/>
          <w:szCs w:val="24"/>
        </w:rPr>
        <w:t>: 2034-2040 [PMID: 21700827 DOI: 10.2215/CJN.01410211]</w:t>
      </w:r>
    </w:p>
    <w:p w14:paraId="35F33B4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Clayton P</w:t>
      </w:r>
      <w:r w:rsidRPr="00B727B0">
        <w:rPr>
          <w:rFonts w:ascii="Book Antiqua" w:hAnsi="Book Antiqua"/>
          <w:sz w:val="24"/>
          <w:szCs w:val="24"/>
        </w:rPr>
        <w:t>, McDonald S, Chadban S. Steroids and recurrent IgA nephropathy after kidney transplantation. </w:t>
      </w:r>
      <w:r w:rsidRPr="00B727B0">
        <w:rPr>
          <w:rFonts w:ascii="Book Antiqua" w:hAnsi="Book Antiqua"/>
          <w:i/>
          <w:iCs/>
          <w:sz w:val="24"/>
          <w:szCs w:val="24"/>
        </w:rPr>
        <w:t>Am J Transplant</w:t>
      </w:r>
      <w:r w:rsidRPr="00B727B0">
        <w:rPr>
          <w:rFonts w:ascii="Book Antiqua" w:hAnsi="Book Antiqua"/>
          <w:sz w:val="24"/>
          <w:szCs w:val="24"/>
        </w:rPr>
        <w:t> 2011; </w:t>
      </w:r>
      <w:r w:rsidRPr="00B727B0">
        <w:rPr>
          <w:rFonts w:ascii="Book Antiqua" w:hAnsi="Book Antiqua"/>
          <w:b/>
          <w:bCs/>
          <w:sz w:val="24"/>
          <w:szCs w:val="24"/>
        </w:rPr>
        <w:t>11</w:t>
      </w:r>
      <w:r w:rsidRPr="00B727B0">
        <w:rPr>
          <w:rFonts w:ascii="Book Antiqua" w:hAnsi="Book Antiqua"/>
          <w:sz w:val="24"/>
          <w:szCs w:val="24"/>
        </w:rPr>
        <w:t>: 1645-1649 [PMID: 21797974 DOI: 10.1111/j.1600-6143.2011.03667.x]</w:t>
      </w:r>
    </w:p>
    <w:p w14:paraId="4F34EF26"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Moroni G</w:t>
      </w:r>
      <w:r w:rsidRPr="00B727B0">
        <w:rPr>
          <w:rFonts w:ascii="Book Antiqua" w:hAnsi="Book Antiqua"/>
          <w:sz w:val="24"/>
          <w:szCs w:val="24"/>
        </w:rPr>
        <w:t>, Gallelli B, Quaglini S, Leoni A, Banfi G, Passerini P, Montagnino G, Messa P. Long-term outcome of renal transplantation in patients with idiopathic membranous glomerulonephritis (MN). </w:t>
      </w:r>
      <w:r w:rsidRPr="00B727B0">
        <w:rPr>
          <w:rFonts w:ascii="Book Antiqua" w:hAnsi="Book Antiqua"/>
          <w:i/>
          <w:iCs/>
          <w:sz w:val="24"/>
          <w:szCs w:val="24"/>
        </w:rPr>
        <w:t>Nephrol Dial Transplant</w:t>
      </w:r>
      <w:r w:rsidRPr="00B727B0">
        <w:rPr>
          <w:rFonts w:ascii="Book Antiqua" w:hAnsi="Book Antiqua"/>
          <w:sz w:val="24"/>
          <w:szCs w:val="24"/>
        </w:rPr>
        <w:t> 2010; </w:t>
      </w:r>
      <w:r w:rsidRPr="00B727B0">
        <w:rPr>
          <w:rFonts w:ascii="Book Antiqua" w:hAnsi="Book Antiqua"/>
          <w:b/>
          <w:bCs/>
          <w:sz w:val="24"/>
          <w:szCs w:val="24"/>
        </w:rPr>
        <w:t>25</w:t>
      </w:r>
      <w:r w:rsidRPr="00B727B0">
        <w:rPr>
          <w:rFonts w:ascii="Book Antiqua" w:hAnsi="Book Antiqua"/>
          <w:sz w:val="24"/>
          <w:szCs w:val="24"/>
        </w:rPr>
        <w:t>: 3408-3415 [PMID: 20466669 DOI: 10.1093/ndt/gfq223]</w:t>
      </w:r>
    </w:p>
    <w:p w14:paraId="3CC76A0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Choy BY</w:t>
      </w:r>
      <w:r w:rsidRPr="00B727B0">
        <w:rPr>
          <w:rFonts w:ascii="Book Antiqua" w:hAnsi="Book Antiqua"/>
          <w:sz w:val="24"/>
          <w:szCs w:val="24"/>
        </w:rPr>
        <w:t>, Chan TM, Lai KN. Recurrent glomerulonephritis after kidney transplantation. </w:t>
      </w:r>
      <w:r w:rsidRPr="00B727B0">
        <w:rPr>
          <w:rFonts w:ascii="Book Antiqua" w:hAnsi="Book Antiqua"/>
          <w:i/>
          <w:iCs/>
          <w:sz w:val="24"/>
          <w:szCs w:val="24"/>
        </w:rPr>
        <w:t>Am J Transplant</w:t>
      </w:r>
      <w:r w:rsidRPr="00B727B0">
        <w:rPr>
          <w:rFonts w:ascii="Book Antiqua" w:hAnsi="Book Antiqua"/>
          <w:sz w:val="24"/>
          <w:szCs w:val="24"/>
        </w:rPr>
        <w:t> 2006; </w:t>
      </w:r>
      <w:r w:rsidRPr="00B727B0">
        <w:rPr>
          <w:rFonts w:ascii="Book Antiqua" w:hAnsi="Book Antiqua"/>
          <w:b/>
          <w:bCs/>
          <w:sz w:val="24"/>
          <w:szCs w:val="24"/>
        </w:rPr>
        <w:t>6</w:t>
      </w:r>
      <w:r w:rsidRPr="00B727B0">
        <w:rPr>
          <w:rFonts w:ascii="Book Antiqua" w:hAnsi="Book Antiqua"/>
          <w:sz w:val="24"/>
          <w:szCs w:val="24"/>
        </w:rPr>
        <w:t>: 2535-2542 [PMID: 16939521 DOI: 10.1111/j.1600-6143.2006.01502.x]</w:t>
      </w:r>
    </w:p>
    <w:p w14:paraId="493B9DF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Lochhead KM</w:t>
      </w:r>
      <w:r w:rsidRPr="00B727B0">
        <w:rPr>
          <w:rFonts w:ascii="Book Antiqua" w:hAnsi="Book Antiqua"/>
          <w:sz w:val="24"/>
          <w:szCs w:val="24"/>
        </w:rPr>
        <w:t>, Pirsch JD, D'Alessandro AM, Knechtle SJ, Kalayoglu M, Sollinger HW, Belzer FO. Risk factors for renal allograft loss in patients with systemic lupus erythematosus. </w:t>
      </w:r>
      <w:r w:rsidRPr="00B727B0">
        <w:rPr>
          <w:rFonts w:ascii="Book Antiqua" w:hAnsi="Book Antiqua"/>
          <w:i/>
          <w:iCs/>
          <w:sz w:val="24"/>
          <w:szCs w:val="24"/>
        </w:rPr>
        <w:t>Kidney Int</w:t>
      </w:r>
      <w:r w:rsidRPr="00B727B0">
        <w:rPr>
          <w:rFonts w:ascii="Book Antiqua" w:hAnsi="Book Antiqua"/>
          <w:sz w:val="24"/>
          <w:szCs w:val="24"/>
        </w:rPr>
        <w:t> 1996; </w:t>
      </w:r>
      <w:r w:rsidRPr="00B727B0">
        <w:rPr>
          <w:rFonts w:ascii="Book Antiqua" w:hAnsi="Book Antiqua"/>
          <w:b/>
          <w:bCs/>
          <w:sz w:val="24"/>
          <w:szCs w:val="24"/>
        </w:rPr>
        <w:t>49</w:t>
      </w:r>
      <w:r w:rsidRPr="00B727B0">
        <w:rPr>
          <w:rFonts w:ascii="Book Antiqua" w:hAnsi="Book Antiqua"/>
          <w:sz w:val="24"/>
          <w:szCs w:val="24"/>
        </w:rPr>
        <w:t>: 512-517 [PMID: 8821838]</w:t>
      </w:r>
    </w:p>
    <w:p w14:paraId="0F278CC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Geetha D</w:t>
      </w:r>
      <w:r w:rsidRPr="00B727B0">
        <w:rPr>
          <w:rFonts w:ascii="Book Antiqua" w:hAnsi="Book Antiqua"/>
          <w:sz w:val="24"/>
          <w:szCs w:val="24"/>
        </w:rPr>
        <w:t>, Eirin A, True K, Valentina Irazabal M, Specks U, Seo P, Nachman P, Fervenza FC. Renal transplantation in antineutrophil cytoplasmic antibody-associated vasculitis: a multicenter experience. </w:t>
      </w:r>
      <w:r w:rsidRPr="00B727B0">
        <w:rPr>
          <w:rFonts w:ascii="Book Antiqua" w:hAnsi="Book Antiqua"/>
          <w:i/>
          <w:iCs/>
          <w:sz w:val="24"/>
          <w:szCs w:val="24"/>
        </w:rPr>
        <w:t>Transplantation</w:t>
      </w:r>
      <w:r w:rsidRPr="00B727B0">
        <w:rPr>
          <w:rFonts w:ascii="Book Antiqua" w:hAnsi="Book Antiqua"/>
          <w:sz w:val="24"/>
          <w:szCs w:val="24"/>
        </w:rPr>
        <w:t> 2011; </w:t>
      </w:r>
      <w:r w:rsidRPr="00B727B0">
        <w:rPr>
          <w:rFonts w:ascii="Book Antiqua" w:hAnsi="Book Antiqua"/>
          <w:b/>
          <w:bCs/>
          <w:sz w:val="24"/>
          <w:szCs w:val="24"/>
        </w:rPr>
        <w:t>91</w:t>
      </w:r>
      <w:r w:rsidRPr="00B727B0">
        <w:rPr>
          <w:rFonts w:ascii="Book Antiqua" w:hAnsi="Book Antiqua"/>
          <w:sz w:val="24"/>
          <w:szCs w:val="24"/>
        </w:rPr>
        <w:t>: 1370-1375 [PMID: 21508899 DOI: 10.1097/TP.0b013e31821ab9aa]</w:t>
      </w:r>
    </w:p>
    <w:p w14:paraId="7B519BA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Boardman R</w:t>
      </w:r>
      <w:r w:rsidRPr="00B727B0">
        <w:rPr>
          <w:rFonts w:ascii="Book Antiqua" w:hAnsi="Book Antiqua"/>
          <w:sz w:val="24"/>
          <w:szCs w:val="24"/>
        </w:rPr>
        <w:t xml:space="preserve">, Trofe J, Alloway R, Rogers C, Roy-Chaudhury P, Cardi M, Safdar S, Groene B, Buell J, Hanaway M, Thomas M, Alexander W, Munda </w:t>
      </w:r>
      <w:r w:rsidRPr="00B727B0">
        <w:rPr>
          <w:rFonts w:ascii="Book Antiqua" w:hAnsi="Book Antiqua"/>
          <w:sz w:val="24"/>
          <w:szCs w:val="24"/>
        </w:rPr>
        <w:lastRenderedPageBreak/>
        <w:t>R, Woodle ES. Early steroid withdrawal does not increase risk for recurrent focal segmental glomerulosclerosis. </w:t>
      </w:r>
      <w:r w:rsidRPr="00B727B0">
        <w:rPr>
          <w:rFonts w:ascii="Book Antiqua" w:hAnsi="Book Antiqua"/>
          <w:i/>
          <w:iCs/>
          <w:sz w:val="24"/>
          <w:szCs w:val="24"/>
        </w:rPr>
        <w:t>Transplant Proc</w:t>
      </w:r>
      <w:r w:rsidRPr="00B727B0">
        <w:rPr>
          <w:rFonts w:ascii="Book Antiqua" w:hAnsi="Book Antiqua"/>
          <w:sz w:val="24"/>
          <w:szCs w:val="24"/>
        </w:rPr>
        <w:t> 2005; </w:t>
      </w:r>
      <w:r w:rsidRPr="00B727B0">
        <w:rPr>
          <w:rFonts w:ascii="Book Antiqua" w:hAnsi="Book Antiqua"/>
          <w:b/>
          <w:bCs/>
          <w:sz w:val="24"/>
          <w:szCs w:val="24"/>
        </w:rPr>
        <w:t>37</w:t>
      </w:r>
      <w:r w:rsidRPr="00B727B0">
        <w:rPr>
          <w:rFonts w:ascii="Book Antiqua" w:hAnsi="Book Antiqua"/>
          <w:sz w:val="24"/>
          <w:szCs w:val="24"/>
        </w:rPr>
        <w:t>: 817-818 [PMID: 15848542 DOI: 10.1016/j.transproceed.2004.12.065]</w:t>
      </w:r>
    </w:p>
    <w:p w14:paraId="04CCD67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Ibrahim H</w:t>
      </w:r>
      <w:r w:rsidRPr="00B727B0">
        <w:rPr>
          <w:rFonts w:ascii="Book Antiqua" w:hAnsi="Book Antiqua"/>
          <w:sz w:val="24"/>
          <w:szCs w:val="24"/>
        </w:rPr>
        <w:t>, Rogers T, Casingal V, Sturdevant M, Tan M, Humar A, Gillingham K, Matas A. Graft loss from recurrent glomerulonephritis is not increased with a rapid steroid discontinuation protocol. </w:t>
      </w:r>
      <w:r w:rsidRPr="00B727B0">
        <w:rPr>
          <w:rFonts w:ascii="Book Antiqua" w:hAnsi="Book Antiqua"/>
          <w:i/>
          <w:iCs/>
          <w:sz w:val="24"/>
          <w:szCs w:val="24"/>
        </w:rPr>
        <w:t>Transplantation</w:t>
      </w:r>
      <w:r w:rsidRPr="00B727B0">
        <w:rPr>
          <w:rFonts w:ascii="Book Antiqua" w:hAnsi="Book Antiqua"/>
          <w:sz w:val="24"/>
          <w:szCs w:val="24"/>
        </w:rPr>
        <w:t> 2006; </w:t>
      </w:r>
      <w:r w:rsidRPr="00B727B0">
        <w:rPr>
          <w:rFonts w:ascii="Book Antiqua" w:hAnsi="Book Antiqua"/>
          <w:b/>
          <w:bCs/>
          <w:sz w:val="24"/>
          <w:szCs w:val="24"/>
        </w:rPr>
        <w:t>81</w:t>
      </w:r>
      <w:r w:rsidRPr="00B727B0">
        <w:rPr>
          <w:rFonts w:ascii="Book Antiqua" w:hAnsi="Book Antiqua"/>
          <w:sz w:val="24"/>
          <w:szCs w:val="24"/>
        </w:rPr>
        <w:t>: 214-219 [PMID: 16436965 DOI: 10.1097/01.tp.0000188656.44326.53]</w:t>
      </w:r>
    </w:p>
    <w:p w14:paraId="414D799D"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Briggs JD</w:t>
      </w:r>
      <w:r w:rsidRPr="00B727B0">
        <w:rPr>
          <w:rFonts w:ascii="Book Antiqua" w:hAnsi="Book Antiqua"/>
          <w:sz w:val="24"/>
          <w:szCs w:val="24"/>
        </w:rPr>
        <w:t>, Jones E. Recurrence of glomerulonephritis following renal transplantation. Scientific Advisory Board of the ERA-EDTA Registry. European Renal Association-European Dialysis and Transplant Association. </w:t>
      </w:r>
      <w:r w:rsidRPr="00B727B0">
        <w:rPr>
          <w:rFonts w:ascii="Book Antiqua" w:hAnsi="Book Antiqua"/>
          <w:i/>
          <w:iCs/>
          <w:sz w:val="24"/>
          <w:szCs w:val="24"/>
        </w:rPr>
        <w:t>Nephrol Dial Transplant</w:t>
      </w:r>
      <w:r w:rsidRPr="00B727B0">
        <w:rPr>
          <w:rFonts w:ascii="Book Antiqua" w:hAnsi="Book Antiqua"/>
          <w:sz w:val="24"/>
          <w:szCs w:val="24"/>
        </w:rPr>
        <w:t> 1999; </w:t>
      </w:r>
      <w:r w:rsidRPr="00B727B0">
        <w:rPr>
          <w:rFonts w:ascii="Book Antiqua" w:hAnsi="Book Antiqua"/>
          <w:b/>
          <w:bCs/>
          <w:sz w:val="24"/>
          <w:szCs w:val="24"/>
        </w:rPr>
        <w:t>14</w:t>
      </w:r>
      <w:r w:rsidRPr="00B727B0">
        <w:rPr>
          <w:rFonts w:ascii="Book Antiqua" w:hAnsi="Book Antiqua"/>
          <w:sz w:val="24"/>
          <w:szCs w:val="24"/>
        </w:rPr>
        <w:t>: 564-565 [PMID: 10193799 DOI: 10.1093/ndt/14.3.564]</w:t>
      </w:r>
    </w:p>
    <w:p w14:paraId="543F4DB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Sethi S</w:t>
      </w:r>
      <w:r w:rsidRPr="00B727B0">
        <w:rPr>
          <w:rFonts w:ascii="Book Antiqua" w:hAnsi="Book Antiqua"/>
          <w:sz w:val="24"/>
          <w:szCs w:val="24"/>
        </w:rPr>
        <w:t>, Fervenza FC. Membranoproliferative glomerulonephritis--a new look at an old entity. </w:t>
      </w:r>
      <w:r w:rsidRPr="00B727B0">
        <w:rPr>
          <w:rFonts w:ascii="Book Antiqua" w:hAnsi="Book Antiqua"/>
          <w:i/>
          <w:iCs/>
          <w:sz w:val="24"/>
          <w:szCs w:val="24"/>
        </w:rPr>
        <w:t>N Engl J Med</w:t>
      </w:r>
      <w:r w:rsidRPr="00B727B0">
        <w:rPr>
          <w:rFonts w:ascii="Book Antiqua" w:hAnsi="Book Antiqua"/>
          <w:sz w:val="24"/>
          <w:szCs w:val="24"/>
        </w:rPr>
        <w:t> 2012; </w:t>
      </w:r>
      <w:r w:rsidRPr="00B727B0">
        <w:rPr>
          <w:rFonts w:ascii="Book Antiqua" w:hAnsi="Book Antiqua"/>
          <w:b/>
          <w:bCs/>
          <w:sz w:val="24"/>
          <w:szCs w:val="24"/>
        </w:rPr>
        <w:t>366</w:t>
      </w:r>
      <w:r w:rsidRPr="00B727B0">
        <w:rPr>
          <w:rFonts w:ascii="Book Antiqua" w:hAnsi="Book Antiqua"/>
          <w:sz w:val="24"/>
          <w:szCs w:val="24"/>
        </w:rPr>
        <w:t>: 1119-1131 [PMID: 22435371 DOI: 10.1056/NEJMra1108178]</w:t>
      </w:r>
    </w:p>
    <w:p w14:paraId="1B94F22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Sethi S</w:t>
      </w:r>
      <w:r w:rsidRPr="00B727B0">
        <w:rPr>
          <w:rFonts w:ascii="Book Antiqua" w:hAnsi="Book Antiqua"/>
          <w:sz w:val="24"/>
          <w:szCs w:val="24"/>
        </w:rPr>
        <w:t>, Haas M, Markowitz GS, D'Agati VD, Rennke HG, Jennette JC, Bajema IM, Alpers CE, Chang A, Cornell LD, Cosio FG, Fogo AB, Glassock RJ, Hariharan S, Kambham N, Lager DJ, Leung N, Mengel M, Nath KA, Roberts IS, Rovin BH, Seshan SV, Smith RJ, Walker PD, Winearls CG, Appel GB, Alexander MP, Cattran DC, Casado CA, Cook HT, De Vriese AS, Radhakrishnan J, Racusen LC, Ronco P, Fervenza FC. Mayo Clinic/Renal Pathology Society Consensus Report on Pathologic Classification, Diagnosis, and Reporting of GN. </w:t>
      </w:r>
      <w:r w:rsidRPr="00B727B0">
        <w:rPr>
          <w:rFonts w:ascii="Book Antiqua" w:hAnsi="Book Antiqua"/>
          <w:i/>
          <w:iCs/>
          <w:sz w:val="24"/>
          <w:szCs w:val="24"/>
        </w:rPr>
        <w:t>J Am Soc Nephrol</w:t>
      </w:r>
      <w:r w:rsidRPr="00B727B0">
        <w:rPr>
          <w:rFonts w:ascii="Book Antiqua" w:hAnsi="Book Antiqua"/>
          <w:sz w:val="24"/>
          <w:szCs w:val="24"/>
        </w:rPr>
        <w:t> 2016; </w:t>
      </w:r>
      <w:r w:rsidRPr="00B727B0">
        <w:rPr>
          <w:rFonts w:ascii="Book Antiqua" w:hAnsi="Book Antiqua"/>
          <w:b/>
          <w:bCs/>
          <w:sz w:val="24"/>
          <w:szCs w:val="24"/>
        </w:rPr>
        <w:t>27</w:t>
      </w:r>
      <w:r w:rsidRPr="00B727B0">
        <w:rPr>
          <w:rFonts w:ascii="Book Antiqua" w:hAnsi="Book Antiqua"/>
          <w:sz w:val="24"/>
          <w:szCs w:val="24"/>
        </w:rPr>
        <w:t>: 1278-1287 [PMID: 26567243 DOI: 10.1681/ASN.2015101160612]</w:t>
      </w:r>
    </w:p>
    <w:p w14:paraId="3C1A43A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Guiard E</w:t>
      </w:r>
      <w:r w:rsidRPr="00B727B0">
        <w:rPr>
          <w:rFonts w:ascii="Book Antiqua" w:hAnsi="Book Antiqua"/>
          <w:sz w:val="24"/>
          <w:szCs w:val="24"/>
        </w:rPr>
        <w:t>, Karras A, Plaisier E, Duong Van Huyen JP, Fakhouri F, Rougier JP, Noel LH, Callard P, Delahousse M, Ronco P. Patterns of noncryoglobulinemic glomerulonephritis with monoclonal Ig deposits: correlation with IgG subclass and response to rituximab. </w:t>
      </w:r>
      <w:r w:rsidRPr="00B727B0">
        <w:rPr>
          <w:rFonts w:ascii="Book Antiqua" w:hAnsi="Book Antiqua"/>
          <w:i/>
          <w:iCs/>
          <w:sz w:val="24"/>
          <w:szCs w:val="24"/>
        </w:rPr>
        <w:t>Clin J Am Soc Nephrol</w:t>
      </w:r>
      <w:r w:rsidRPr="00B727B0">
        <w:rPr>
          <w:rFonts w:ascii="Book Antiqua" w:hAnsi="Book Antiqua"/>
          <w:sz w:val="24"/>
          <w:szCs w:val="24"/>
        </w:rPr>
        <w:t> 2011; </w:t>
      </w:r>
      <w:r w:rsidRPr="00B727B0">
        <w:rPr>
          <w:rFonts w:ascii="Book Antiqua" w:hAnsi="Book Antiqua"/>
          <w:b/>
          <w:bCs/>
          <w:sz w:val="24"/>
          <w:szCs w:val="24"/>
        </w:rPr>
        <w:t>6</w:t>
      </w:r>
      <w:r w:rsidRPr="00B727B0">
        <w:rPr>
          <w:rFonts w:ascii="Book Antiqua" w:hAnsi="Book Antiqua"/>
          <w:sz w:val="24"/>
          <w:szCs w:val="24"/>
        </w:rPr>
        <w:t>: 1609-1616 [PMID: 21700823 DOI: 10.2215/CJN.10611110]</w:t>
      </w:r>
    </w:p>
    <w:p w14:paraId="56A2C2D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Moroni G</w:t>
      </w:r>
      <w:r w:rsidRPr="00B727B0">
        <w:rPr>
          <w:rFonts w:ascii="Book Antiqua" w:hAnsi="Book Antiqua"/>
          <w:sz w:val="24"/>
          <w:szCs w:val="24"/>
        </w:rPr>
        <w:t>, Casati C, Quaglini S, Gallelli B, Banfi G, Montagnino G, Messa P. Membranoproliferative glomerulonephritis type I in renal transplantation patients: a single-center study of a cohort of 68 renal transplants followed up for 11 years. </w:t>
      </w:r>
      <w:r w:rsidRPr="00B727B0">
        <w:rPr>
          <w:rFonts w:ascii="Book Antiqua" w:hAnsi="Book Antiqua"/>
          <w:i/>
          <w:iCs/>
          <w:sz w:val="24"/>
          <w:szCs w:val="24"/>
        </w:rPr>
        <w:t>Transplantation</w:t>
      </w:r>
      <w:r w:rsidRPr="00B727B0">
        <w:rPr>
          <w:rFonts w:ascii="Book Antiqua" w:hAnsi="Book Antiqua"/>
          <w:sz w:val="24"/>
          <w:szCs w:val="24"/>
        </w:rPr>
        <w:t> 2011; </w:t>
      </w:r>
      <w:r w:rsidRPr="00B727B0">
        <w:rPr>
          <w:rFonts w:ascii="Book Antiqua" w:hAnsi="Book Antiqua"/>
          <w:b/>
          <w:bCs/>
          <w:sz w:val="24"/>
          <w:szCs w:val="24"/>
        </w:rPr>
        <w:t>91</w:t>
      </w:r>
      <w:r w:rsidRPr="00B727B0">
        <w:rPr>
          <w:rFonts w:ascii="Book Antiqua" w:hAnsi="Book Antiqua"/>
          <w:sz w:val="24"/>
          <w:szCs w:val="24"/>
        </w:rPr>
        <w:t>: 1233-1239 [PMID: 21502910 DOI: 10.1097/TP.0b013e318218e94e]</w:t>
      </w:r>
    </w:p>
    <w:p w14:paraId="3D1AD75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Bomback AS</w:t>
      </w:r>
      <w:r w:rsidRPr="00B727B0">
        <w:rPr>
          <w:rFonts w:ascii="Book Antiqua" w:hAnsi="Book Antiqua"/>
          <w:sz w:val="24"/>
          <w:szCs w:val="24"/>
        </w:rPr>
        <w:t>, Smith RJ, Barile GR, Zhang Y, Heher EC, Herlitz L, Stokes MB, Markowitz GS, D'Agati VD, Canetta PA, Radhakrishnan J, Appel GB. Eculizumab for dense deposit disease and C3 glomerulonephritis. </w:t>
      </w:r>
      <w:r w:rsidRPr="00B727B0">
        <w:rPr>
          <w:rFonts w:ascii="Book Antiqua" w:hAnsi="Book Antiqua"/>
          <w:i/>
          <w:iCs/>
          <w:sz w:val="24"/>
          <w:szCs w:val="24"/>
        </w:rPr>
        <w:t>Clin J Am Soc Nephrol</w:t>
      </w:r>
      <w:r w:rsidRPr="00B727B0">
        <w:rPr>
          <w:rFonts w:ascii="Book Antiqua" w:hAnsi="Book Antiqua"/>
          <w:sz w:val="24"/>
          <w:szCs w:val="24"/>
        </w:rPr>
        <w:t> 2012; </w:t>
      </w:r>
      <w:r w:rsidRPr="00B727B0">
        <w:rPr>
          <w:rFonts w:ascii="Book Antiqua" w:hAnsi="Book Antiqua"/>
          <w:b/>
          <w:bCs/>
          <w:sz w:val="24"/>
          <w:szCs w:val="24"/>
        </w:rPr>
        <w:t>7</w:t>
      </w:r>
      <w:r w:rsidRPr="00B727B0">
        <w:rPr>
          <w:rFonts w:ascii="Book Antiqua" w:hAnsi="Book Antiqua"/>
          <w:sz w:val="24"/>
          <w:szCs w:val="24"/>
        </w:rPr>
        <w:t>: 748-756 [PMID: 22403278 DOI: 10.2215/CJN.12901211]</w:t>
      </w:r>
    </w:p>
    <w:p w14:paraId="49C4789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Herlitz LC</w:t>
      </w:r>
      <w:r w:rsidRPr="00B727B0">
        <w:rPr>
          <w:rFonts w:ascii="Book Antiqua" w:hAnsi="Book Antiqua"/>
          <w:sz w:val="24"/>
          <w:szCs w:val="24"/>
        </w:rPr>
        <w:t>, Bomback AS, Markowitz GS, Stokes MB, Smith RN, Colvin RB, Appel GB, D'Agati VD. Pathology after eculizumab in dense deposit disease and C3 GN. </w:t>
      </w:r>
      <w:r w:rsidRPr="00B727B0">
        <w:rPr>
          <w:rFonts w:ascii="Book Antiqua" w:hAnsi="Book Antiqua"/>
          <w:i/>
          <w:iCs/>
          <w:sz w:val="24"/>
          <w:szCs w:val="24"/>
        </w:rPr>
        <w:t>J Am Soc Nephrol</w:t>
      </w:r>
      <w:r w:rsidRPr="00B727B0">
        <w:rPr>
          <w:rFonts w:ascii="Book Antiqua" w:hAnsi="Book Antiqua"/>
          <w:sz w:val="24"/>
          <w:szCs w:val="24"/>
        </w:rPr>
        <w:t> 2012; </w:t>
      </w:r>
      <w:r w:rsidRPr="00B727B0">
        <w:rPr>
          <w:rFonts w:ascii="Book Antiqua" w:hAnsi="Book Antiqua"/>
          <w:b/>
          <w:bCs/>
          <w:sz w:val="24"/>
          <w:szCs w:val="24"/>
        </w:rPr>
        <w:t>23</w:t>
      </w:r>
      <w:r w:rsidRPr="00B727B0">
        <w:rPr>
          <w:rFonts w:ascii="Book Antiqua" w:hAnsi="Book Antiqua"/>
          <w:sz w:val="24"/>
          <w:szCs w:val="24"/>
        </w:rPr>
        <w:t>: 1229-1237 [PMID: 22677550 DOI: 10.1681/ASN.2011121186]</w:t>
      </w:r>
    </w:p>
    <w:p w14:paraId="11529A4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Le Quintrec M</w:t>
      </w:r>
      <w:r w:rsidRPr="00B727B0">
        <w:rPr>
          <w:rFonts w:ascii="Book Antiqua" w:hAnsi="Book Antiqua"/>
          <w:sz w:val="24"/>
          <w:szCs w:val="24"/>
        </w:rPr>
        <w:t>, Lionet A, Kandel C, Bourdon F, Gnemmi V, Colombat M, Goujon JM, Frémeaux-Bacchi V, Fakhouri F. Eculizumab for treatment of rapidly progressive C3 glomerulopathy. </w:t>
      </w:r>
      <w:r w:rsidRPr="00B727B0">
        <w:rPr>
          <w:rFonts w:ascii="Book Antiqua" w:hAnsi="Book Antiqua"/>
          <w:i/>
          <w:iCs/>
          <w:sz w:val="24"/>
          <w:szCs w:val="24"/>
        </w:rPr>
        <w:t>Am J Kidney Dis</w:t>
      </w:r>
      <w:r w:rsidRPr="00B727B0">
        <w:rPr>
          <w:rFonts w:ascii="Book Antiqua" w:hAnsi="Book Antiqua"/>
          <w:sz w:val="24"/>
          <w:szCs w:val="24"/>
        </w:rPr>
        <w:t> 2015; </w:t>
      </w:r>
      <w:r w:rsidRPr="00B727B0">
        <w:rPr>
          <w:rFonts w:ascii="Book Antiqua" w:hAnsi="Book Antiqua"/>
          <w:b/>
          <w:bCs/>
          <w:sz w:val="24"/>
          <w:szCs w:val="24"/>
        </w:rPr>
        <w:t>65</w:t>
      </w:r>
      <w:r w:rsidRPr="00B727B0">
        <w:rPr>
          <w:rFonts w:ascii="Book Antiqua" w:hAnsi="Book Antiqua"/>
          <w:sz w:val="24"/>
          <w:szCs w:val="24"/>
        </w:rPr>
        <w:t>: 484-489 [PMID: 25530108 DOI: 10.1053/j.ajkd.2014.09.025]</w:t>
      </w:r>
    </w:p>
    <w:p w14:paraId="28F5B82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McCaughan JA</w:t>
      </w:r>
      <w:r w:rsidRPr="00B727B0">
        <w:rPr>
          <w:rFonts w:ascii="Book Antiqua" w:hAnsi="Book Antiqua"/>
          <w:sz w:val="24"/>
          <w:szCs w:val="24"/>
        </w:rPr>
        <w:t>, O'Rourke DM, Courtney AE. Recurrent dense deposit disease after renal transplantation: an emerging role for complementary therapies. </w:t>
      </w:r>
      <w:r w:rsidRPr="00B727B0">
        <w:rPr>
          <w:rFonts w:ascii="Book Antiqua" w:hAnsi="Book Antiqua"/>
          <w:i/>
          <w:iCs/>
          <w:sz w:val="24"/>
          <w:szCs w:val="24"/>
        </w:rPr>
        <w:t>Am J Transplant</w:t>
      </w:r>
      <w:r w:rsidRPr="00B727B0">
        <w:rPr>
          <w:rFonts w:ascii="Book Antiqua" w:hAnsi="Book Antiqua"/>
          <w:sz w:val="24"/>
          <w:szCs w:val="24"/>
        </w:rPr>
        <w:t> 2012; </w:t>
      </w:r>
      <w:r w:rsidRPr="00B727B0">
        <w:rPr>
          <w:rFonts w:ascii="Book Antiqua" w:hAnsi="Book Antiqua"/>
          <w:b/>
          <w:bCs/>
          <w:sz w:val="24"/>
          <w:szCs w:val="24"/>
        </w:rPr>
        <w:t>12</w:t>
      </w:r>
      <w:r w:rsidRPr="00B727B0">
        <w:rPr>
          <w:rFonts w:ascii="Book Antiqua" w:hAnsi="Book Antiqua"/>
          <w:sz w:val="24"/>
          <w:szCs w:val="24"/>
        </w:rPr>
        <w:t>: 1046-1051 [PMID: 22233157 DOI: 10.1111/j.1600-6143.2011.03923.x]</w:t>
      </w:r>
    </w:p>
    <w:p w14:paraId="75A6EE5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Zuber J</w:t>
      </w:r>
      <w:r w:rsidRPr="00B727B0">
        <w:rPr>
          <w:rFonts w:ascii="Book Antiqua" w:hAnsi="Book Antiqua"/>
          <w:sz w:val="24"/>
          <w:szCs w:val="24"/>
        </w:rPr>
        <w:t>, Fakhouri F, Roumenina LT, Loirat C, Frémeaux-Bacchi V; French Study Group for aHUS/C3G. Use of eculizumab for atypical haemolytic uraemic syndrome and C3 glomerulopathies. </w:t>
      </w:r>
      <w:r w:rsidRPr="00B727B0">
        <w:rPr>
          <w:rFonts w:ascii="Book Antiqua" w:hAnsi="Book Antiqua"/>
          <w:i/>
          <w:iCs/>
          <w:sz w:val="24"/>
          <w:szCs w:val="24"/>
        </w:rPr>
        <w:t>Nat Rev Nephrol</w:t>
      </w:r>
      <w:r w:rsidRPr="00B727B0">
        <w:rPr>
          <w:rFonts w:ascii="Book Antiqua" w:hAnsi="Book Antiqua"/>
          <w:sz w:val="24"/>
          <w:szCs w:val="24"/>
        </w:rPr>
        <w:t> 2012; </w:t>
      </w:r>
      <w:r w:rsidRPr="00B727B0">
        <w:rPr>
          <w:rFonts w:ascii="Book Antiqua" w:hAnsi="Book Antiqua"/>
          <w:b/>
          <w:bCs/>
          <w:sz w:val="24"/>
          <w:szCs w:val="24"/>
        </w:rPr>
        <w:t>8</w:t>
      </w:r>
      <w:r w:rsidRPr="00B727B0">
        <w:rPr>
          <w:rFonts w:ascii="Book Antiqua" w:hAnsi="Book Antiqua"/>
          <w:sz w:val="24"/>
          <w:szCs w:val="24"/>
        </w:rPr>
        <w:t>: 643-657 [PMID: 23026949 DOI: 10.1038/nrneph.2012.214]</w:t>
      </w:r>
    </w:p>
    <w:p w14:paraId="2012333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Zuber J</w:t>
      </w:r>
      <w:r w:rsidRPr="00B727B0">
        <w:rPr>
          <w:rFonts w:ascii="Book Antiqua" w:hAnsi="Book Antiqua"/>
          <w:sz w:val="24"/>
          <w:szCs w:val="24"/>
        </w:rPr>
        <w:t>, Le Quintrec M, Sberro-Soussan R, Loirat C, Frémeaux-Bacchi V, Legendre C. New insights into postrenal transplant hemolytic uremic syndrome. </w:t>
      </w:r>
      <w:r w:rsidRPr="00B727B0">
        <w:rPr>
          <w:rFonts w:ascii="Book Antiqua" w:hAnsi="Book Antiqua"/>
          <w:i/>
          <w:iCs/>
          <w:sz w:val="24"/>
          <w:szCs w:val="24"/>
        </w:rPr>
        <w:t>Nat Rev Nephrol</w:t>
      </w:r>
      <w:r w:rsidRPr="00B727B0">
        <w:rPr>
          <w:rFonts w:ascii="Book Antiqua" w:hAnsi="Book Antiqua"/>
          <w:sz w:val="24"/>
          <w:szCs w:val="24"/>
        </w:rPr>
        <w:t> 2011; </w:t>
      </w:r>
      <w:r w:rsidRPr="00B727B0">
        <w:rPr>
          <w:rFonts w:ascii="Book Antiqua" w:hAnsi="Book Antiqua"/>
          <w:b/>
          <w:bCs/>
          <w:sz w:val="24"/>
          <w:szCs w:val="24"/>
        </w:rPr>
        <w:t>7</w:t>
      </w:r>
      <w:r w:rsidRPr="00B727B0">
        <w:rPr>
          <w:rFonts w:ascii="Book Antiqua" w:hAnsi="Book Antiqua"/>
          <w:sz w:val="24"/>
          <w:szCs w:val="24"/>
        </w:rPr>
        <w:t>: 23-35 [PMID: 21102542 DOI: 10.1038/nrneph.2010.155]</w:t>
      </w:r>
    </w:p>
    <w:p w14:paraId="75443E1D"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Krid S</w:t>
      </w:r>
      <w:r w:rsidRPr="00B727B0">
        <w:rPr>
          <w:rFonts w:ascii="Book Antiqua" w:hAnsi="Book Antiqua"/>
          <w:sz w:val="24"/>
          <w:szCs w:val="24"/>
        </w:rPr>
        <w:t>, Roumenina LT, Beury D, Charbit M, Boyer O, Frémeaux-Bacchi V, Niaudet P. Renal transplantation under prophylactic eculizumab in atypical hemolytic uremic syndrome with CFH/CFHR1 hybrid protein. </w:t>
      </w:r>
      <w:r w:rsidRPr="00B727B0">
        <w:rPr>
          <w:rFonts w:ascii="Book Antiqua" w:hAnsi="Book Antiqua"/>
          <w:i/>
          <w:iCs/>
          <w:sz w:val="24"/>
          <w:szCs w:val="24"/>
        </w:rPr>
        <w:t>Am J Transplant</w:t>
      </w:r>
      <w:r w:rsidRPr="00B727B0">
        <w:rPr>
          <w:rFonts w:ascii="Book Antiqua" w:hAnsi="Book Antiqua"/>
          <w:sz w:val="24"/>
          <w:szCs w:val="24"/>
        </w:rPr>
        <w:t> 2012; </w:t>
      </w:r>
      <w:r w:rsidRPr="00B727B0">
        <w:rPr>
          <w:rFonts w:ascii="Book Antiqua" w:hAnsi="Book Antiqua"/>
          <w:b/>
          <w:bCs/>
          <w:sz w:val="24"/>
          <w:szCs w:val="24"/>
        </w:rPr>
        <w:t>12</w:t>
      </w:r>
      <w:r w:rsidRPr="00B727B0">
        <w:rPr>
          <w:rFonts w:ascii="Book Antiqua" w:hAnsi="Book Antiqua"/>
          <w:sz w:val="24"/>
          <w:szCs w:val="24"/>
        </w:rPr>
        <w:t>: 1938-1944 [PMID: 22494769 DOI: 10.1111/j.1600-6143.2012.04051.x]</w:t>
      </w:r>
    </w:p>
    <w:p w14:paraId="560FDD03"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Zuber J</w:t>
      </w:r>
      <w:r w:rsidRPr="00B727B0">
        <w:rPr>
          <w:rFonts w:ascii="Book Antiqua" w:hAnsi="Book Antiqua"/>
          <w:sz w:val="24"/>
          <w:szCs w:val="24"/>
        </w:rPr>
        <w:t>, Le Quintrec M, Krid S, Bertoye C, Gueutin V, Lahoche A, Heyne N, Ardissino G, Chatelet V, Noël LH, Hourmant M, Niaudet P, Frémeaux-Bacchi V, Rondeau E, Legendre C, Loirat C; French Study Group for Atypical HUS. Eculizumab for atypical hemolytic uremic syndrome recurrence in renal transplantation. </w:t>
      </w:r>
      <w:r w:rsidRPr="00B727B0">
        <w:rPr>
          <w:rFonts w:ascii="Book Antiqua" w:hAnsi="Book Antiqua"/>
          <w:i/>
          <w:iCs/>
          <w:sz w:val="24"/>
          <w:szCs w:val="24"/>
        </w:rPr>
        <w:t>Am J Transplant</w:t>
      </w:r>
      <w:r w:rsidRPr="00B727B0">
        <w:rPr>
          <w:rFonts w:ascii="Book Antiqua" w:hAnsi="Book Antiqua"/>
          <w:sz w:val="24"/>
          <w:szCs w:val="24"/>
        </w:rPr>
        <w:t> 2012; </w:t>
      </w:r>
      <w:r w:rsidRPr="00B727B0">
        <w:rPr>
          <w:rFonts w:ascii="Book Antiqua" w:hAnsi="Book Antiqua"/>
          <w:b/>
          <w:bCs/>
          <w:sz w:val="24"/>
          <w:szCs w:val="24"/>
        </w:rPr>
        <w:t>12</w:t>
      </w:r>
      <w:r w:rsidRPr="00B727B0">
        <w:rPr>
          <w:rFonts w:ascii="Book Antiqua" w:hAnsi="Book Antiqua"/>
          <w:sz w:val="24"/>
          <w:szCs w:val="24"/>
        </w:rPr>
        <w:t>: 3337-3354 [PMID: 22958221 DOI: 10.1111/j.1600-6143.2012.04252.x]</w:t>
      </w:r>
    </w:p>
    <w:p w14:paraId="399EAD4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Servais A</w:t>
      </w:r>
      <w:r w:rsidRPr="00B727B0">
        <w:rPr>
          <w:rFonts w:ascii="Book Antiqua" w:hAnsi="Book Antiqua"/>
          <w:sz w:val="24"/>
          <w:szCs w:val="24"/>
        </w:rPr>
        <w:t>, Frémeaux-Bacchi V, Lequintrec M, Salomon R, Blouin J, Knebelmann B, Grünfeld JP, Lesavre P, Noël LH, Fakhouri F. Primary glomerulonephritis with isolated C3 deposits: a new entity which shares common genetic risk factors with haemolytic uraemic syndrome. </w:t>
      </w:r>
      <w:r w:rsidRPr="00B727B0">
        <w:rPr>
          <w:rFonts w:ascii="Book Antiqua" w:hAnsi="Book Antiqua"/>
          <w:i/>
          <w:iCs/>
          <w:sz w:val="24"/>
          <w:szCs w:val="24"/>
        </w:rPr>
        <w:t>J Med Genet</w:t>
      </w:r>
      <w:r w:rsidRPr="00B727B0">
        <w:rPr>
          <w:rFonts w:ascii="Book Antiqua" w:hAnsi="Book Antiqua"/>
          <w:sz w:val="24"/>
          <w:szCs w:val="24"/>
        </w:rPr>
        <w:t> 2007; </w:t>
      </w:r>
      <w:r w:rsidRPr="00B727B0">
        <w:rPr>
          <w:rFonts w:ascii="Book Antiqua" w:hAnsi="Book Antiqua"/>
          <w:b/>
          <w:bCs/>
          <w:sz w:val="24"/>
          <w:szCs w:val="24"/>
        </w:rPr>
        <w:t>44</w:t>
      </w:r>
      <w:r w:rsidRPr="00B727B0">
        <w:rPr>
          <w:rFonts w:ascii="Book Antiqua" w:hAnsi="Book Antiqua"/>
          <w:sz w:val="24"/>
          <w:szCs w:val="24"/>
        </w:rPr>
        <w:t>: 193-199 [PMID: 17018561 DOI: 10.1136/jmg.2006.045328]</w:t>
      </w:r>
    </w:p>
    <w:p w14:paraId="176B74C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Pickering MC</w:t>
      </w:r>
      <w:r w:rsidRPr="00B727B0">
        <w:rPr>
          <w:rFonts w:ascii="Book Antiqua" w:hAnsi="Book Antiqua"/>
          <w:sz w:val="24"/>
          <w:szCs w:val="24"/>
        </w:rPr>
        <w:t>, D'Agati VD, Nester CM, Smith RJ, Haas M, Appel GB, Alpers CE, Bajema IM, Bedrosian C, Braun M, Doyle M, Fakhouri F, Fervenza FC, Fogo AB, Frémeaux-Bacchi V, Gale DP, Goicoechea de Jorge E, Griffin G, Harris CL, Holers VM, Johnson S, Lavin PJ, Medjeral-Thomas N, Paul Morgan B, Nast CC, Noel LH, Peters DK, Rodríguez de Córdoba S, Servais A, Sethi S, Song WC, Tamburini P, Thurman JM, Zavros M, Cook HT. C3 glomerulopathy: consensus report. </w:t>
      </w:r>
      <w:r w:rsidRPr="00B727B0">
        <w:rPr>
          <w:rFonts w:ascii="Book Antiqua" w:hAnsi="Book Antiqua"/>
          <w:i/>
          <w:iCs/>
          <w:sz w:val="24"/>
          <w:szCs w:val="24"/>
        </w:rPr>
        <w:t>Kidney Int</w:t>
      </w:r>
      <w:r w:rsidRPr="00B727B0">
        <w:rPr>
          <w:rFonts w:ascii="Book Antiqua" w:hAnsi="Book Antiqua"/>
          <w:sz w:val="24"/>
          <w:szCs w:val="24"/>
        </w:rPr>
        <w:t> 2013; </w:t>
      </w:r>
      <w:r w:rsidRPr="00B727B0">
        <w:rPr>
          <w:rFonts w:ascii="Book Antiqua" w:hAnsi="Book Antiqua"/>
          <w:b/>
          <w:bCs/>
          <w:sz w:val="24"/>
          <w:szCs w:val="24"/>
        </w:rPr>
        <w:t>84</w:t>
      </w:r>
      <w:r w:rsidRPr="00B727B0">
        <w:rPr>
          <w:rFonts w:ascii="Book Antiqua" w:hAnsi="Book Antiqua"/>
          <w:sz w:val="24"/>
          <w:szCs w:val="24"/>
        </w:rPr>
        <w:t>: 1079-1089 [PMID: 24172683 DOI: 10.1038/ki.2013.377]</w:t>
      </w:r>
    </w:p>
    <w:p w14:paraId="106C08A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Zand L</w:t>
      </w:r>
      <w:r w:rsidRPr="00B727B0">
        <w:rPr>
          <w:rFonts w:ascii="Book Antiqua" w:hAnsi="Book Antiqua"/>
          <w:sz w:val="24"/>
          <w:szCs w:val="24"/>
        </w:rPr>
        <w:t>, Lorenz EC, Cosio FG, Fervenza FC, Nasr SH, Gandhi MJ, Smith RJ, Sethi S. Clinical findings, pathology, and outcomes of C3GN after kidney transplantation. </w:t>
      </w:r>
      <w:r w:rsidRPr="00B727B0">
        <w:rPr>
          <w:rFonts w:ascii="Book Antiqua" w:hAnsi="Book Antiqua"/>
          <w:i/>
          <w:iCs/>
          <w:sz w:val="24"/>
          <w:szCs w:val="24"/>
        </w:rPr>
        <w:t>J Am Soc Nephrol</w:t>
      </w:r>
      <w:r w:rsidRPr="00B727B0">
        <w:rPr>
          <w:rFonts w:ascii="Book Antiqua" w:hAnsi="Book Antiqua"/>
          <w:sz w:val="24"/>
          <w:szCs w:val="24"/>
        </w:rPr>
        <w:t> 2014; </w:t>
      </w:r>
      <w:r w:rsidRPr="00B727B0">
        <w:rPr>
          <w:rFonts w:ascii="Book Antiqua" w:hAnsi="Book Antiqua"/>
          <w:b/>
          <w:bCs/>
          <w:sz w:val="24"/>
          <w:szCs w:val="24"/>
        </w:rPr>
        <w:t>25</w:t>
      </w:r>
      <w:r w:rsidRPr="00B727B0">
        <w:rPr>
          <w:rFonts w:ascii="Book Antiqua" w:hAnsi="Book Antiqua"/>
          <w:sz w:val="24"/>
          <w:szCs w:val="24"/>
        </w:rPr>
        <w:t>: 1110-1117 [PMID: 24357668 DOI: 10.1681/ASN.2013070715]</w:t>
      </w:r>
    </w:p>
    <w:p w14:paraId="1B93D884" w14:textId="619ACE45"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Kakita H</w:t>
      </w:r>
      <w:r w:rsidRPr="00B727B0">
        <w:rPr>
          <w:rFonts w:ascii="Book Antiqua" w:hAnsi="Book Antiqua"/>
          <w:bCs/>
          <w:sz w:val="24"/>
          <w:szCs w:val="24"/>
        </w:rPr>
        <w:t>,</w:t>
      </w:r>
      <w:r w:rsidRPr="00B727B0">
        <w:rPr>
          <w:rFonts w:ascii="Book Antiqua" w:hAnsi="Book Antiqua"/>
          <w:sz w:val="24"/>
          <w:szCs w:val="24"/>
        </w:rPr>
        <w:t xml:space="preserve"> Miyake T, Komiya T, Tsukamoto T, Muso E. </w:t>
      </w:r>
      <w:bookmarkStart w:id="157" w:name="OLE_LINK17"/>
      <w:r w:rsidRPr="00B727B0">
        <w:rPr>
          <w:rFonts w:ascii="Book Antiqua" w:hAnsi="Book Antiqua"/>
          <w:sz w:val="24"/>
          <w:szCs w:val="24"/>
        </w:rPr>
        <w:t xml:space="preserve">A case report of recurrent C3 glomerulonephritis 18 </w:t>
      </w:r>
      <w:r w:rsidR="00B8002F">
        <w:rPr>
          <w:rFonts w:ascii="Book Antiqua" w:hAnsi="Book Antiqua"/>
          <w:sz w:val="24"/>
          <w:szCs w:val="24"/>
        </w:rPr>
        <w:t>mo</w:t>
      </w:r>
      <w:r w:rsidRPr="00B727B0">
        <w:rPr>
          <w:rFonts w:ascii="Book Antiqua" w:hAnsi="Book Antiqua"/>
          <w:sz w:val="24"/>
          <w:szCs w:val="24"/>
        </w:rPr>
        <w:t xml:space="preserve"> after renal transplantation. </w:t>
      </w:r>
      <w:r w:rsidRPr="00B727B0">
        <w:rPr>
          <w:rFonts w:ascii="Book Antiqua" w:hAnsi="Book Antiqua"/>
          <w:i/>
          <w:sz w:val="24"/>
          <w:szCs w:val="24"/>
        </w:rPr>
        <w:t>Renal Replacement Therapy</w:t>
      </w:r>
      <w:bookmarkEnd w:id="157"/>
      <w:r w:rsidRPr="00B727B0">
        <w:rPr>
          <w:rFonts w:ascii="Book Antiqua" w:hAnsi="Book Antiqua"/>
          <w:sz w:val="24"/>
          <w:szCs w:val="24"/>
        </w:rPr>
        <w:t xml:space="preserve"> 2016; </w:t>
      </w:r>
      <w:r w:rsidRPr="00B727B0">
        <w:rPr>
          <w:rFonts w:ascii="Book Antiqua" w:hAnsi="Book Antiqua"/>
          <w:b/>
          <w:sz w:val="24"/>
          <w:szCs w:val="24"/>
        </w:rPr>
        <w:t>2</w:t>
      </w:r>
      <w:r w:rsidRPr="00B727B0">
        <w:rPr>
          <w:rFonts w:ascii="Book Antiqua" w:hAnsi="Book Antiqua"/>
          <w:sz w:val="24"/>
          <w:szCs w:val="24"/>
        </w:rPr>
        <w:t>: 38 [DOI: 10.1186/s41100-016-0049-8]</w:t>
      </w:r>
    </w:p>
    <w:p w14:paraId="11E5F32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Daina E</w:t>
      </w:r>
      <w:r w:rsidRPr="00B727B0">
        <w:rPr>
          <w:rFonts w:ascii="Book Antiqua" w:hAnsi="Book Antiqua"/>
          <w:sz w:val="24"/>
          <w:szCs w:val="24"/>
        </w:rPr>
        <w:t>, Noris M, Remuzzi G. Eculizumab in a patient with dense-deposit disease. </w:t>
      </w:r>
      <w:r w:rsidRPr="00B727B0">
        <w:rPr>
          <w:rFonts w:ascii="Book Antiqua" w:hAnsi="Book Antiqua"/>
          <w:i/>
          <w:iCs/>
          <w:sz w:val="24"/>
          <w:szCs w:val="24"/>
        </w:rPr>
        <w:t>N Engl J Med</w:t>
      </w:r>
      <w:r w:rsidRPr="00B727B0">
        <w:rPr>
          <w:rFonts w:ascii="Book Antiqua" w:hAnsi="Book Antiqua"/>
          <w:sz w:val="24"/>
          <w:szCs w:val="24"/>
        </w:rPr>
        <w:t> 2012; </w:t>
      </w:r>
      <w:r w:rsidRPr="00B727B0">
        <w:rPr>
          <w:rFonts w:ascii="Book Antiqua" w:hAnsi="Book Antiqua"/>
          <w:b/>
          <w:bCs/>
          <w:sz w:val="24"/>
          <w:szCs w:val="24"/>
        </w:rPr>
        <w:t>366</w:t>
      </w:r>
      <w:r w:rsidRPr="00B727B0">
        <w:rPr>
          <w:rFonts w:ascii="Book Antiqua" w:hAnsi="Book Antiqua"/>
          <w:sz w:val="24"/>
          <w:szCs w:val="24"/>
        </w:rPr>
        <w:t>: 1161-1163 [PMID: 22435382 DOI: 10.1056/NEJMc1112273]</w:t>
      </w:r>
    </w:p>
    <w:p w14:paraId="3DAD152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Vivarelli M</w:t>
      </w:r>
      <w:r w:rsidRPr="00B727B0">
        <w:rPr>
          <w:rFonts w:ascii="Book Antiqua" w:hAnsi="Book Antiqua"/>
          <w:sz w:val="24"/>
          <w:szCs w:val="24"/>
        </w:rPr>
        <w:t>, Pasini A, Emma F. Eculizumab for the treatment of dense-deposit disease. </w:t>
      </w:r>
      <w:r w:rsidRPr="00B727B0">
        <w:rPr>
          <w:rFonts w:ascii="Book Antiqua" w:hAnsi="Book Antiqua"/>
          <w:i/>
          <w:iCs/>
          <w:sz w:val="24"/>
          <w:szCs w:val="24"/>
        </w:rPr>
        <w:t>N Engl J Med</w:t>
      </w:r>
      <w:r w:rsidRPr="00B727B0">
        <w:rPr>
          <w:rFonts w:ascii="Book Antiqua" w:hAnsi="Book Antiqua"/>
          <w:sz w:val="24"/>
          <w:szCs w:val="24"/>
        </w:rPr>
        <w:t> 2012; </w:t>
      </w:r>
      <w:r w:rsidRPr="00B727B0">
        <w:rPr>
          <w:rFonts w:ascii="Book Antiqua" w:hAnsi="Book Antiqua"/>
          <w:b/>
          <w:bCs/>
          <w:sz w:val="24"/>
          <w:szCs w:val="24"/>
        </w:rPr>
        <w:t>366</w:t>
      </w:r>
      <w:r w:rsidRPr="00B727B0">
        <w:rPr>
          <w:rFonts w:ascii="Book Antiqua" w:hAnsi="Book Antiqua"/>
          <w:sz w:val="24"/>
          <w:szCs w:val="24"/>
        </w:rPr>
        <w:t>: 1163-1165 [PMID: 22435383 DOI: 10.1056/]</w:t>
      </w:r>
    </w:p>
    <w:p w14:paraId="34113CA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Radhakrishnan S</w:t>
      </w:r>
      <w:r w:rsidRPr="00B727B0">
        <w:rPr>
          <w:rFonts w:ascii="Book Antiqua" w:hAnsi="Book Antiqua"/>
          <w:sz w:val="24"/>
          <w:szCs w:val="24"/>
        </w:rPr>
        <w:t>, Lunn A, Kirschfink M, Thorner P, Hebert D, Langlois V, Pluthero F, Licht C. Eculizumab and refractory membranoproliferative glomerulonephritis. </w:t>
      </w:r>
      <w:r w:rsidRPr="00B727B0">
        <w:rPr>
          <w:rFonts w:ascii="Book Antiqua" w:hAnsi="Book Antiqua"/>
          <w:i/>
          <w:iCs/>
          <w:sz w:val="24"/>
          <w:szCs w:val="24"/>
        </w:rPr>
        <w:t>N Engl J Med</w:t>
      </w:r>
      <w:r w:rsidRPr="00B727B0">
        <w:rPr>
          <w:rFonts w:ascii="Book Antiqua" w:hAnsi="Book Antiqua"/>
          <w:sz w:val="24"/>
          <w:szCs w:val="24"/>
        </w:rPr>
        <w:t> 2012; </w:t>
      </w:r>
      <w:r w:rsidRPr="00B727B0">
        <w:rPr>
          <w:rFonts w:ascii="Book Antiqua" w:hAnsi="Book Antiqua"/>
          <w:b/>
          <w:bCs/>
          <w:sz w:val="24"/>
          <w:szCs w:val="24"/>
        </w:rPr>
        <w:t>366</w:t>
      </w:r>
      <w:r w:rsidRPr="00B727B0">
        <w:rPr>
          <w:rFonts w:ascii="Book Antiqua" w:hAnsi="Book Antiqua"/>
          <w:sz w:val="24"/>
          <w:szCs w:val="24"/>
        </w:rPr>
        <w:t>: 1165-1166 [PMID: 22435384 DOI: 10.1056/NEJMc1106619]</w:t>
      </w:r>
    </w:p>
    <w:p w14:paraId="1451ABF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Athanasiou Y</w:t>
      </w:r>
      <w:r w:rsidRPr="00B727B0">
        <w:rPr>
          <w:rFonts w:ascii="Book Antiqua" w:hAnsi="Book Antiqua"/>
          <w:sz w:val="24"/>
          <w:szCs w:val="24"/>
        </w:rPr>
        <w:t>, Voskarides K, Gale DP, Damianou L, Patsias C, Zavros M, Maxwell PH, Cook HT, Demosthenous P, Hadjisavvas A, Kyriacou K, Zouvani I, Pierides A, Deltas C. Familial C3 glomerulopathy associated with CFHR5 mutations: clinical characteristics of 91 patients in 16 pedigrees. </w:t>
      </w:r>
      <w:r w:rsidRPr="00B727B0">
        <w:rPr>
          <w:rFonts w:ascii="Book Antiqua" w:hAnsi="Book Antiqua"/>
          <w:i/>
          <w:iCs/>
          <w:sz w:val="24"/>
          <w:szCs w:val="24"/>
        </w:rPr>
        <w:t>Clin J Am Soc Nephrol</w:t>
      </w:r>
      <w:r w:rsidRPr="00B727B0">
        <w:rPr>
          <w:rFonts w:ascii="Book Antiqua" w:hAnsi="Book Antiqua"/>
          <w:sz w:val="24"/>
          <w:szCs w:val="24"/>
        </w:rPr>
        <w:t> 2011; </w:t>
      </w:r>
      <w:r w:rsidRPr="00B727B0">
        <w:rPr>
          <w:rFonts w:ascii="Book Antiqua" w:hAnsi="Book Antiqua"/>
          <w:b/>
          <w:bCs/>
          <w:sz w:val="24"/>
          <w:szCs w:val="24"/>
        </w:rPr>
        <w:t>6</w:t>
      </w:r>
      <w:r w:rsidRPr="00B727B0">
        <w:rPr>
          <w:rFonts w:ascii="Book Antiqua" w:hAnsi="Book Antiqua"/>
          <w:sz w:val="24"/>
          <w:szCs w:val="24"/>
        </w:rPr>
        <w:t>: 1436-1446 [PMID: 21566112 DOI: 10.2215/CJN.09541010]</w:t>
      </w:r>
    </w:p>
    <w:p w14:paraId="1C3DF00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Eddy A</w:t>
      </w:r>
      <w:r w:rsidRPr="00B727B0">
        <w:rPr>
          <w:rFonts w:ascii="Book Antiqua" w:hAnsi="Book Antiqua"/>
          <w:sz w:val="24"/>
          <w:szCs w:val="24"/>
        </w:rPr>
        <w:t>, Sibley R, Mauer SM, Kim Y. Renal allograft failure due to recurrent dense intramembranous deposit disease. </w:t>
      </w:r>
      <w:r w:rsidRPr="00B727B0">
        <w:rPr>
          <w:rFonts w:ascii="Book Antiqua" w:hAnsi="Book Antiqua"/>
          <w:i/>
          <w:iCs/>
          <w:sz w:val="24"/>
          <w:szCs w:val="24"/>
        </w:rPr>
        <w:t>Clin Nephrol</w:t>
      </w:r>
      <w:r w:rsidRPr="00B727B0">
        <w:rPr>
          <w:rFonts w:ascii="Book Antiqua" w:hAnsi="Book Antiqua"/>
          <w:sz w:val="24"/>
          <w:szCs w:val="24"/>
        </w:rPr>
        <w:t> 1984; </w:t>
      </w:r>
      <w:r w:rsidRPr="00B727B0">
        <w:rPr>
          <w:rFonts w:ascii="Book Antiqua" w:hAnsi="Book Antiqua"/>
          <w:b/>
          <w:bCs/>
          <w:sz w:val="24"/>
          <w:szCs w:val="24"/>
        </w:rPr>
        <w:t>21</w:t>
      </w:r>
      <w:r w:rsidRPr="00B727B0">
        <w:rPr>
          <w:rFonts w:ascii="Book Antiqua" w:hAnsi="Book Antiqua"/>
          <w:sz w:val="24"/>
          <w:szCs w:val="24"/>
        </w:rPr>
        <w:t>: 305-313 [PMID: 6380848]</w:t>
      </w:r>
    </w:p>
    <w:p w14:paraId="0F2E0E3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Curtis JJ</w:t>
      </w:r>
      <w:r w:rsidRPr="00B727B0">
        <w:rPr>
          <w:rFonts w:ascii="Book Antiqua" w:hAnsi="Book Antiqua"/>
          <w:sz w:val="24"/>
          <w:szCs w:val="24"/>
        </w:rPr>
        <w:t>, Wyatt RJ, Bhathena D, Lucas BA, Holland NH, Luke RG. Renal transplantation for patients with type I and type II membranoproliferative glomerulonephritis: serial complement and nephritic factor measurements and the problem of recurrence of disease. </w:t>
      </w:r>
      <w:r w:rsidRPr="00B727B0">
        <w:rPr>
          <w:rFonts w:ascii="Book Antiqua" w:hAnsi="Book Antiqua"/>
          <w:i/>
          <w:iCs/>
          <w:sz w:val="24"/>
          <w:szCs w:val="24"/>
        </w:rPr>
        <w:t>Am J Med</w:t>
      </w:r>
      <w:r w:rsidRPr="00B727B0">
        <w:rPr>
          <w:rFonts w:ascii="Book Antiqua" w:hAnsi="Book Antiqua"/>
          <w:sz w:val="24"/>
          <w:szCs w:val="24"/>
        </w:rPr>
        <w:t> 1979; </w:t>
      </w:r>
      <w:r w:rsidRPr="00B727B0">
        <w:rPr>
          <w:rFonts w:ascii="Book Antiqua" w:hAnsi="Book Antiqua"/>
          <w:b/>
          <w:bCs/>
          <w:sz w:val="24"/>
          <w:szCs w:val="24"/>
        </w:rPr>
        <w:t>66</w:t>
      </w:r>
      <w:r w:rsidRPr="00B727B0">
        <w:rPr>
          <w:rFonts w:ascii="Book Antiqua" w:hAnsi="Book Antiqua"/>
          <w:sz w:val="24"/>
          <w:szCs w:val="24"/>
        </w:rPr>
        <w:t>: 216-225 [PMID: 371395 DOI: 10.1016/0002-9343(79)90530-8]</w:t>
      </w:r>
    </w:p>
    <w:p w14:paraId="74E42D5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Fakhouri F</w:t>
      </w:r>
      <w:r w:rsidRPr="00B727B0">
        <w:rPr>
          <w:rFonts w:ascii="Book Antiqua" w:hAnsi="Book Antiqua"/>
          <w:sz w:val="24"/>
          <w:szCs w:val="24"/>
        </w:rPr>
        <w:t>, Frémeaux-Bacchi V, Noël LH, Cook HT, Pickering MC. C3 glomerulopathy: a new classification. </w:t>
      </w:r>
      <w:r w:rsidRPr="00B727B0">
        <w:rPr>
          <w:rFonts w:ascii="Book Antiqua" w:hAnsi="Book Antiqua"/>
          <w:i/>
          <w:iCs/>
          <w:sz w:val="24"/>
          <w:szCs w:val="24"/>
        </w:rPr>
        <w:t>Nat Rev Nephrol</w:t>
      </w:r>
      <w:r w:rsidRPr="00B727B0">
        <w:rPr>
          <w:rFonts w:ascii="Book Antiqua" w:hAnsi="Book Antiqua"/>
          <w:sz w:val="24"/>
          <w:szCs w:val="24"/>
        </w:rPr>
        <w:t> 2010; </w:t>
      </w:r>
      <w:r w:rsidRPr="00B727B0">
        <w:rPr>
          <w:rFonts w:ascii="Book Antiqua" w:hAnsi="Book Antiqua"/>
          <w:b/>
          <w:bCs/>
          <w:sz w:val="24"/>
          <w:szCs w:val="24"/>
        </w:rPr>
        <w:t>6</w:t>
      </w:r>
      <w:r w:rsidRPr="00B727B0">
        <w:rPr>
          <w:rFonts w:ascii="Book Antiqua" w:hAnsi="Book Antiqua"/>
          <w:sz w:val="24"/>
          <w:szCs w:val="24"/>
        </w:rPr>
        <w:t>: 494-499 [PMID: 20606628 DOI: 10.1038/nrneph.2010.85]</w:t>
      </w:r>
    </w:p>
    <w:p w14:paraId="70AD63B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Sethi S</w:t>
      </w:r>
      <w:r w:rsidRPr="00B727B0">
        <w:rPr>
          <w:rFonts w:ascii="Book Antiqua" w:hAnsi="Book Antiqua"/>
          <w:sz w:val="24"/>
          <w:szCs w:val="24"/>
        </w:rPr>
        <w:t>, Fervenza FC, Zhang Y, Zand L, Vrana JA, Nasr SH, Theis JD, Dogan A, Smith RJ. C3 glomerulonephritis: clinicopathological findings, complement abnormalities, glomerular proteomic profile, treatment, and follow-up. </w:t>
      </w:r>
      <w:r w:rsidRPr="00B727B0">
        <w:rPr>
          <w:rFonts w:ascii="Book Antiqua" w:hAnsi="Book Antiqua"/>
          <w:i/>
          <w:iCs/>
          <w:sz w:val="24"/>
          <w:szCs w:val="24"/>
        </w:rPr>
        <w:t>Kidney Int</w:t>
      </w:r>
      <w:r w:rsidRPr="00B727B0">
        <w:rPr>
          <w:rFonts w:ascii="Book Antiqua" w:hAnsi="Book Antiqua"/>
          <w:sz w:val="24"/>
          <w:szCs w:val="24"/>
        </w:rPr>
        <w:t> 2012; </w:t>
      </w:r>
      <w:r w:rsidRPr="00B727B0">
        <w:rPr>
          <w:rFonts w:ascii="Book Antiqua" w:hAnsi="Book Antiqua"/>
          <w:b/>
          <w:bCs/>
          <w:sz w:val="24"/>
          <w:szCs w:val="24"/>
        </w:rPr>
        <w:t>82</w:t>
      </w:r>
      <w:r w:rsidRPr="00B727B0">
        <w:rPr>
          <w:rFonts w:ascii="Book Antiqua" w:hAnsi="Book Antiqua"/>
          <w:sz w:val="24"/>
          <w:szCs w:val="24"/>
        </w:rPr>
        <w:t>: 465-473 [PMID: 22673887 DOI: 10.1038/ki.2012.212]</w:t>
      </w:r>
    </w:p>
    <w:p w14:paraId="46D8156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Iatropoulos P</w:t>
      </w:r>
      <w:r w:rsidRPr="00B727B0">
        <w:rPr>
          <w:rFonts w:ascii="Book Antiqua" w:hAnsi="Book Antiqua"/>
          <w:sz w:val="24"/>
          <w:szCs w:val="24"/>
        </w:rPr>
        <w:t>, Noris M, Mele C, Piras R, Valoti E, Bresin E, Curreri M, Mondo E, Zito A, Gamba S, Bettoni S, Murer L, Fremeaux-Bacchi V, Vivarelli M, Emma F, Daina E, Remuzzi G. Complement gene variants determine the risk of immunoglobulin-associated MPGN and C3 glomerulopathy and predict long-term renal outcome. </w:t>
      </w:r>
      <w:r w:rsidRPr="00B727B0">
        <w:rPr>
          <w:rFonts w:ascii="Book Antiqua" w:hAnsi="Book Antiqua"/>
          <w:i/>
          <w:iCs/>
          <w:sz w:val="24"/>
          <w:szCs w:val="24"/>
        </w:rPr>
        <w:t>Mol Immunol</w:t>
      </w:r>
      <w:r w:rsidRPr="00B727B0">
        <w:rPr>
          <w:rFonts w:ascii="Book Antiqua" w:hAnsi="Book Antiqua"/>
          <w:sz w:val="24"/>
          <w:szCs w:val="24"/>
        </w:rPr>
        <w:t> 2016; </w:t>
      </w:r>
      <w:r w:rsidRPr="00B727B0">
        <w:rPr>
          <w:rFonts w:ascii="Book Antiqua" w:hAnsi="Book Antiqua"/>
          <w:b/>
          <w:bCs/>
          <w:sz w:val="24"/>
          <w:szCs w:val="24"/>
        </w:rPr>
        <w:t>71</w:t>
      </w:r>
      <w:r w:rsidRPr="00B727B0">
        <w:rPr>
          <w:rFonts w:ascii="Book Antiqua" w:hAnsi="Book Antiqua"/>
          <w:sz w:val="24"/>
          <w:szCs w:val="24"/>
        </w:rPr>
        <w:t>: 131-142 [PMID: 26895476 DOI: 10.1016/j.molimm.2016.01.010]</w:t>
      </w:r>
    </w:p>
    <w:p w14:paraId="6ABA4F8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Chen Q</w:t>
      </w:r>
      <w:r w:rsidRPr="00B727B0">
        <w:rPr>
          <w:rFonts w:ascii="Book Antiqua" w:hAnsi="Book Antiqua"/>
          <w:sz w:val="24"/>
          <w:szCs w:val="24"/>
        </w:rPr>
        <w:t>, Müller D, Rudolph B, Hartmann A, Kuwertz-Bröking E, Wu K, Kirschfink M, Skerka C, Zipfel PF. Combined C3b and factor B autoantibodies and MPGN type II. </w:t>
      </w:r>
      <w:r w:rsidRPr="00B727B0">
        <w:rPr>
          <w:rFonts w:ascii="Book Antiqua" w:hAnsi="Book Antiqua"/>
          <w:i/>
          <w:iCs/>
          <w:sz w:val="24"/>
          <w:szCs w:val="24"/>
        </w:rPr>
        <w:t>N Engl J Med</w:t>
      </w:r>
      <w:r w:rsidRPr="00B727B0">
        <w:rPr>
          <w:rFonts w:ascii="Book Antiqua" w:hAnsi="Book Antiqua"/>
          <w:sz w:val="24"/>
          <w:szCs w:val="24"/>
        </w:rPr>
        <w:t> 2011; </w:t>
      </w:r>
      <w:r w:rsidRPr="00B727B0">
        <w:rPr>
          <w:rFonts w:ascii="Book Antiqua" w:hAnsi="Book Antiqua"/>
          <w:b/>
          <w:bCs/>
          <w:sz w:val="24"/>
          <w:szCs w:val="24"/>
        </w:rPr>
        <w:t>365</w:t>
      </w:r>
      <w:r w:rsidRPr="00B727B0">
        <w:rPr>
          <w:rFonts w:ascii="Book Antiqua" w:hAnsi="Book Antiqua"/>
          <w:sz w:val="24"/>
          <w:szCs w:val="24"/>
        </w:rPr>
        <w:t>: 2340-2342 [PMID: 22168663 DOI: 10.1056/NEJMc1107484]</w:t>
      </w:r>
    </w:p>
    <w:p w14:paraId="088B08C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Sethi S</w:t>
      </w:r>
      <w:r w:rsidRPr="00B727B0">
        <w:rPr>
          <w:rFonts w:ascii="Book Antiqua" w:hAnsi="Book Antiqua"/>
          <w:sz w:val="24"/>
          <w:szCs w:val="24"/>
        </w:rPr>
        <w:t>, Nasr SH, De Vriese AS, Fervenza FC. C4d as a Diagnostic Tool in Proliferative GN. </w:t>
      </w:r>
      <w:r w:rsidRPr="00B727B0">
        <w:rPr>
          <w:rFonts w:ascii="Book Antiqua" w:hAnsi="Book Antiqua"/>
          <w:i/>
          <w:iCs/>
          <w:sz w:val="24"/>
          <w:szCs w:val="24"/>
        </w:rPr>
        <w:t>J Am Soc Nephrol</w:t>
      </w:r>
      <w:r w:rsidRPr="00B727B0">
        <w:rPr>
          <w:rFonts w:ascii="Book Antiqua" w:hAnsi="Book Antiqua"/>
          <w:sz w:val="24"/>
          <w:szCs w:val="24"/>
        </w:rPr>
        <w:t> 2015; </w:t>
      </w:r>
      <w:r w:rsidRPr="00B727B0">
        <w:rPr>
          <w:rFonts w:ascii="Book Antiqua" w:hAnsi="Book Antiqua"/>
          <w:b/>
          <w:bCs/>
          <w:sz w:val="24"/>
          <w:szCs w:val="24"/>
        </w:rPr>
        <w:t>26</w:t>
      </w:r>
      <w:r w:rsidRPr="00B727B0">
        <w:rPr>
          <w:rFonts w:ascii="Book Antiqua" w:hAnsi="Book Antiqua"/>
          <w:sz w:val="24"/>
          <w:szCs w:val="24"/>
        </w:rPr>
        <w:t>: 2852-2859 [PMID: 25991041 DOI: 10.1681/ASN.2014040406]</w:t>
      </w:r>
    </w:p>
    <w:p w14:paraId="58DD70D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Nasr SH</w:t>
      </w:r>
      <w:r w:rsidRPr="00B727B0">
        <w:rPr>
          <w:rFonts w:ascii="Book Antiqua" w:hAnsi="Book Antiqua"/>
          <w:sz w:val="24"/>
          <w:szCs w:val="24"/>
        </w:rPr>
        <w:t>, Sethi S, Cornell LD, Fidler ME, Boelkins M, Fervenza FC, Cosio FG, D'Agati VD. Proliferative glomerulonephritis with monoclonal IgG deposits recurs in the allograft. </w:t>
      </w:r>
      <w:r w:rsidRPr="00B727B0">
        <w:rPr>
          <w:rFonts w:ascii="Book Antiqua" w:hAnsi="Book Antiqua"/>
          <w:i/>
          <w:iCs/>
          <w:sz w:val="24"/>
          <w:szCs w:val="24"/>
        </w:rPr>
        <w:t>Clin J Am Soc Nephrol</w:t>
      </w:r>
      <w:r w:rsidRPr="00B727B0">
        <w:rPr>
          <w:rFonts w:ascii="Book Antiqua" w:hAnsi="Book Antiqua"/>
          <w:sz w:val="24"/>
          <w:szCs w:val="24"/>
        </w:rPr>
        <w:t> 2011; </w:t>
      </w:r>
      <w:r w:rsidRPr="00B727B0">
        <w:rPr>
          <w:rFonts w:ascii="Book Antiqua" w:hAnsi="Book Antiqua"/>
          <w:b/>
          <w:bCs/>
          <w:sz w:val="24"/>
          <w:szCs w:val="24"/>
        </w:rPr>
        <w:t>6</w:t>
      </w:r>
      <w:r w:rsidRPr="00B727B0">
        <w:rPr>
          <w:rFonts w:ascii="Book Antiqua" w:hAnsi="Book Antiqua"/>
          <w:sz w:val="24"/>
          <w:szCs w:val="24"/>
        </w:rPr>
        <w:t>: 122-132 [PMID: 20876681 DOI: 10.2215/CJN.05750710]</w:t>
      </w:r>
    </w:p>
    <w:p w14:paraId="423FF10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Nasr SH</w:t>
      </w:r>
      <w:r w:rsidRPr="00B727B0">
        <w:rPr>
          <w:rFonts w:ascii="Book Antiqua" w:hAnsi="Book Antiqua"/>
          <w:sz w:val="24"/>
          <w:szCs w:val="24"/>
        </w:rPr>
        <w:t>, Markowitz GS, Stokes MB, Seshan SV, Valderrama E, Appel GB, Aucouturier P, D'Agati VD. Proliferative glomerulonephritis with monoclonal IgG deposits: a distinct entity mimicking immune-complex glomerulonephritis. </w:t>
      </w:r>
      <w:r w:rsidRPr="00B727B0">
        <w:rPr>
          <w:rFonts w:ascii="Book Antiqua" w:hAnsi="Book Antiqua"/>
          <w:i/>
          <w:iCs/>
          <w:sz w:val="24"/>
          <w:szCs w:val="24"/>
        </w:rPr>
        <w:t>Kidney Int</w:t>
      </w:r>
      <w:r w:rsidRPr="00B727B0">
        <w:rPr>
          <w:rFonts w:ascii="Book Antiqua" w:hAnsi="Book Antiqua"/>
          <w:sz w:val="24"/>
          <w:szCs w:val="24"/>
        </w:rPr>
        <w:t> 2004; </w:t>
      </w:r>
      <w:r w:rsidRPr="00B727B0">
        <w:rPr>
          <w:rFonts w:ascii="Book Antiqua" w:hAnsi="Book Antiqua"/>
          <w:b/>
          <w:bCs/>
          <w:sz w:val="24"/>
          <w:szCs w:val="24"/>
        </w:rPr>
        <w:t>65</w:t>
      </w:r>
      <w:r w:rsidRPr="00B727B0">
        <w:rPr>
          <w:rFonts w:ascii="Book Antiqua" w:hAnsi="Book Antiqua"/>
          <w:sz w:val="24"/>
          <w:szCs w:val="24"/>
        </w:rPr>
        <w:t>: 85-96 [PMID: 14675039 DOI: 10.1111/j.1523-1755.2004.00365.x]</w:t>
      </w:r>
    </w:p>
    <w:p w14:paraId="2A0E877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Nasr SH</w:t>
      </w:r>
      <w:r w:rsidRPr="00B727B0">
        <w:rPr>
          <w:rFonts w:ascii="Book Antiqua" w:hAnsi="Book Antiqua"/>
          <w:sz w:val="24"/>
          <w:szCs w:val="24"/>
        </w:rPr>
        <w:t xml:space="preserve">, Valeri AM, Cornell LD, Fidler ME, Sethi S, D'Agati VD, Leung N. Renal monoclonal immunoglobulin deposition disease: a report of 64 </w:t>
      </w:r>
      <w:r w:rsidRPr="00B727B0">
        <w:rPr>
          <w:rFonts w:ascii="Book Antiqua" w:hAnsi="Book Antiqua"/>
          <w:sz w:val="24"/>
          <w:szCs w:val="24"/>
        </w:rPr>
        <w:lastRenderedPageBreak/>
        <w:t>patients from a single institution. </w:t>
      </w:r>
      <w:r w:rsidRPr="00B727B0">
        <w:rPr>
          <w:rFonts w:ascii="Book Antiqua" w:hAnsi="Book Antiqua"/>
          <w:i/>
          <w:iCs/>
          <w:sz w:val="24"/>
          <w:szCs w:val="24"/>
        </w:rPr>
        <w:t>Clin J Am Soc Nephrol</w:t>
      </w:r>
      <w:r w:rsidRPr="00B727B0">
        <w:rPr>
          <w:rFonts w:ascii="Book Antiqua" w:hAnsi="Book Antiqua"/>
          <w:sz w:val="24"/>
          <w:szCs w:val="24"/>
        </w:rPr>
        <w:t> 2012; </w:t>
      </w:r>
      <w:r w:rsidRPr="00B727B0">
        <w:rPr>
          <w:rFonts w:ascii="Book Antiqua" w:hAnsi="Book Antiqua"/>
          <w:b/>
          <w:bCs/>
          <w:sz w:val="24"/>
          <w:szCs w:val="24"/>
        </w:rPr>
        <w:t>7</w:t>
      </w:r>
      <w:r w:rsidRPr="00B727B0">
        <w:rPr>
          <w:rFonts w:ascii="Book Antiqua" w:hAnsi="Book Antiqua"/>
          <w:sz w:val="24"/>
          <w:szCs w:val="24"/>
        </w:rPr>
        <w:t>: 231-239 [PMID: 22156754 DOI: 10.2215/CJN.08640811]</w:t>
      </w:r>
    </w:p>
    <w:p w14:paraId="0A6FA59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Leung N</w:t>
      </w:r>
      <w:r w:rsidRPr="00B727B0">
        <w:rPr>
          <w:rFonts w:ascii="Book Antiqua" w:hAnsi="Book Antiqua"/>
          <w:sz w:val="24"/>
          <w:szCs w:val="24"/>
        </w:rPr>
        <w:t>, Bridoux F, Hutchison CA, Nasr SH, Cockwell P, Fermand JP, Dispenzieri A, Song KW, Kyle RA; International Kidney and Monoclonal Gammopathy Research Group. Monoclonal gammopathy of renal significance: when MGUS is no longer undetermined or insignificant. </w:t>
      </w:r>
      <w:r w:rsidRPr="00B727B0">
        <w:rPr>
          <w:rFonts w:ascii="Book Antiqua" w:hAnsi="Book Antiqua"/>
          <w:i/>
          <w:iCs/>
          <w:sz w:val="24"/>
          <w:szCs w:val="24"/>
        </w:rPr>
        <w:t>Blood</w:t>
      </w:r>
      <w:r w:rsidRPr="00B727B0">
        <w:rPr>
          <w:rFonts w:ascii="Book Antiqua" w:hAnsi="Book Antiqua"/>
          <w:sz w:val="24"/>
          <w:szCs w:val="24"/>
        </w:rPr>
        <w:t> 2012; </w:t>
      </w:r>
      <w:r w:rsidRPr="00B727B0">
        <w:rPr>
          <w:rFonts w:ascii="Book Antiqua" w:hAnsi="Book Antiqua"/>
          <w:b/>
          <w:bCs/>
          <w:sz w:val="24"/>
          <w:szCs w:val="24"/>
        </w:rPr>
        <w:t>120</w:t>
      </w:r>
      <w:r w:rsidRPr="00B727B0">
        <w:rPr>
          <w:rFonts w:ascii="Book Antiqua" w:hAnsi="Book Antiqua"/>
          <w:sz w:val="24"/>
          <w:szCs w:val="24"/>
        </w:rPr>
        <w:t>: 4292-4295 [PMID: 23047823 DOI: 10.1182/blood-2012-07-445304]</w:t>
      </w:r>
    </w:p>
    <w:p w14:paraId="7831598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Bridoux F</w:t>
      </w:r>
      <w:r w:rsidRPr="00B727B0">
        <w:rPr>
          <w:rFonts w:ascii="Book Antiqua" w:hAnsi="Book Antiqua"/>
          <w:sz w:val="24"/>
          <w:szCs w:val="24"/>
        </w:rPr>
        <w:t>, Leung N, Hutchison CA, Touchard G, Sethi S, Fermand JP, Picken MM, Herrera GA, Kastritis E, Merlini G, Roussel M, Fervenza FC, Dispenzieri A, Kyle RA, Nasr SH; International Kidney and Monoclonal Gammopathy Research Group. Diagnosis of monoclonal gammopathy of renal significance. </w:t>
      </w:r>
      <w:r w:rsidRPr="00B727B0">
        <w:rPr>
          <w:rFonts w:ascii="Book Antiqua" w:hAnsi="Book Antiqua"/>
          <w:i/>
          <w:iCs/>
          <w:sz w:val="24"/>
          <w:szCs w:val="24"/>
        </w:rPr>
        <w:t>Kidney Int</w:t>
      </w:r>
      <w:r w:rsidRPr="00B727B0">
        <w:rPr>
          <w:rFonts w:ascii="Book Antiqua" w:hAnsi="Book Antiqua"/>
          <w:sz w:val="24"/>
          <w:szCs w:val="24"/>
        </w:rPr>
        <w:t> 2015; </w:t>
      </w:r>
      <w:r w:rsidRPr="00B727B0">
        <w:rPr>
          <w:rFonts w:ascii="Book Antiqua" w:hAnsi="Book Antiqua"/>
          <w:b/>
          <w:bCs/>
          <w:sz w:val="24"/>
          <w:szCs w:val="24"/>
        </w:rPr>
        <w:t>87</w:t>
      </w:r>
      <w:r w:rsidRPr="00B727B0">
        <w:rPr>
          <w:rFonts w:ascii="Book Antiqua" w:hAnsi="Book Antiqua"/>
          <w:sz w:val="24"/>
          <w:szCs w:val="24"/>
        </w:rPr>
        <w:t>: 698-711 [PMID: 25607108 DOI: 10.1038/ki.2014.408]</w:t>
      </w:r>
    </w:p>
    <w:p w14:paraId="184402D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Czarnecki PG</w:t>
      </w:r>
      <w:r w:rsidRPr="00B727B0">
        <w:rPr>
          <w:rFonts w:ascii="Book Antiqua" w:hAnsi="Book Antiqua"/>
          <w:sz w:val="24"/>
          <w:szCs w:val="24"/>
        </w:rPr>
        <w:t>, Lager DJ, Leung N, Dispenzieri A, Cosio FG, Fervenza FC. Long-term outcome of kidney transplantation in patients with fibrillary glomerulonephritis or monoclonal gammopathy with fibrillary deposits. </w:t>
      </w:r>
      <w:r w:rsidRPr="00B727B0">
        <w:rPr>
          <w:rFonts w:ascii="Book Antiqua" w:hAnsi="Book Antiqua"/>
          <w:i/>
          <w:iCs/>
          <w:sz w:val="24"/>
          <w:szCs w:val="24"/>
        </w:rPr>
        <w:t>Kidney Int</w:t>
      </w:r>
      <w:r w:rsidRPr="00B727B0">
        <w:rPr>
          <w:rFonts w:ascii="Book Antiqua" w:hAnsi="Book Antiqua"/>
          <w:sz w:val="24"/>
          <w:szCs w:val="24"/>
        </w:rPr>
        <w:t> 2009; </w:t>
      </w:r>
      <w:r w:rsidRPr="00B727B0">
        <w:rPr>
          <w:rFonts w:ascii="Book Antiqua" w:hAnsi="Book Antiqua"/>
          <w:b/>
          <w:bCs/>
          <w:sz w:val="24"/>
          <w:szCs w:val="24"/>
        </w:rPr>
        <w:t>75</w:t>
      </w:r>
      <w:r w:rsidRPr="00B727B0">
        <w:rPr>
          <w:rFonts w:ascii="Book Antiqua" w:hAnsi="Book Antiqua"/>
          <w:sz w:val="24"/>
          <w:szCs w:val="24"/>
        </w:rPr>
        <w:t>: 420-427 [PMID: 19037251 DOI: 10.1038/ki.2008.577]</w:t>
      </w:r>
    </w:p>
    <w:p w14:paraId="042E669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Bridoux F</w:t>
      </w:r>
      <w:r w:rsidRPr="00B727B0">
        <w:rPr>
          <w:rFonts w:ascii="Book Antiqua" w:hAnsi="Book Antiqua"/>
          <w:sz w:val="24"/>
          <w:szCs w:val="24"/>
        </w:rPr>
        <w:t>, Desport E, Frémeaux-Bacchi V, Chong CF, Gombert JM, Lacombe C, Quellard N, Touchard G. Glomerulonephritis with isolated C3 deposits and monoclonal gammopathy: a fortuitous association? </w:t>
      </w:r>
      <w:r w:rsidRPr="00B727B0">
        <w:rPr>
          <w:rFonts w:ascii="Book Antiqua" w:hAnsi="Book Antiqua"/>
          <w:i/>
          <w:iCs/>
          <w:sz w:val="24"/>
          <w:szCs w:val="24"/>
        </w:rPr>
        <w:t>Clin J Am Soc Nephrol</w:t>
      </w:r>
      <w:r w:rsidRPr="00B727B0">
        <w:rPr>
          <w:rFonts w:ascii="Book Antiqua" w:hAnsi="Book Antiqua"/>
          <w:sz w:val="24"/>
          <w:szCs w:val="24"/>
        </w:rPr>
        <w:t> 2011; </w:t>
      </w:r>
      <w:r w:rsidRPr="00B727B0">
        <w:rPr>
          <w:rFonts w:ascii="Book Antiqua" w:hAnsi="Book Antiqua"/>
          <w:b/>
          <w:bCs/>
          <w:sz w:val="24"/>
          <w:szCs w:val="24"/>
        </w:rPr>
        <w:t>6</w:t>
      </w:r>
      <w:r w:rsidRPr="00B727B0">
        <w:rPr>
          <w:rFonts w:ascii="Book Antiqua" w:hAnsi="Book Antiqua"/>
          <w:sz w:val="24"/>
          <w:szCs w:val="24"/>
        </w:rPr>
        <w:t>: 2165-2174 [PMID: 21784830 DOI: 10.2215/CJN.06180710]</w:t>
      </w:r>
    </w:p>
    <w:p w14:paraId="0322C9A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Zand L</w:t>
      </w:r>
      <w:r w:rsidRPr="00B727B0">
        <w:rPr>
          <w:rFonts w:ascii="Book Antiqua" w:hAnsi="Book Antiqua"/>
          <w:sz w:val="24"/>
          <w:szCs w:val="24"/>
        </w:rPr>
        <w:t>, Kattah A, Fervenza FC, Smith RJ, Nasr SH, Zhang Y, Vrana JA, Leung N, Cornell LD, Sethi S. C3 glomerulonephritis associated with monoclonal gammopathy: a case series. </w:t>
      </w:r>
      <w:r w:rsidRPr="00B727B0">
        <w:rPr>
          <w:rFonts w:ascii="Book Antiqua" w:hAnsi="Book Antiqua"/>
          <w:i/>
          <w:iCs/>
          <w:sz w:val="24"/>
          <w:szCs w:val="24"/>
        </w:rPr>
        <w:t>Am J Kidney Dis</w:t>
      </w:r>
      <w:r w:rsidRPr="00B727B0">
        <w:rPr>
          <w:rFonts w:ascii="Book Antiqua" w:hAnsi="Book Antiqua"/>
          <w:sz w:val="24"/>
          <w:szCs w:val="24"/>
        </w:rPr>
        <w:t> 2013; </w:t>
      </w:r>
      <w:r w:rsidRPr="00B727B0">
        <w:rPr>
          <w:rFonts w:ascii="Book Antiqua" w:hAnsi="Book Antiqua"/>
          <w:b/>
          <w:bCs/>
          <w:sz w:val="24"/>
          <w:szCs w:val="24"/>
        </w:rPr>
        <w:t>62</w:t>
      </w:r>
      <w:r w:rsidRPr="00B727B0">
        <w:rPr>
          <w:rFonts w:ascii="Book Antiqua" w:hAnsi="Book Antiqua"/>
          <w:sz w:val="24"/>
          <w:szCs w:val="24"/>
        </w:rPr>
        <w:t>: 506-514 [PMID: 23623956 DOI: 10.1053/j.ajkd.2013.02.370]</w:t>
      </w:r>
    </w:p>
    <w:p w14:paraId="689F163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Meri S</w:t>
      </w:r>
      <w:r w:rsidRPr="00B727B0">
        <w:rPr>
          <w:rFonts w:ascii="Book Antiqua" w:hAnsi="Book Antiqua"/>
          <w:sz w:val="24"/>
          <w:szCs w:val="24"/>
        </w:rPr>
        <w:t xml:space="preserve">, Koistinen V, Miettinen A, Törnroth T, Seppälä IJ. Activation of the alternative pathway of complement by monoclonal lambda light chains in </w:t>
      </w:r>
      <w:r w:rsidRPr="00B727B0">
        <w:rPr>
          <w:rFonts w:ascii="Book Antiqua" w:hAnsi="Book Antiqua"/>
          <w:sz w:val="24"/>
          <w:szCs w:val="24"/>
        </w:rPr>
        <w:lastRenderedPageBreak/>
        <w:t>membranoproliferative glomerulonephritis. </w:t>
      </w:r>
      <w:r w:rsidRPr="00B727B0">
        <w:rPr>
          <w:rFonts w:ascii="Book Antiqua" w:hAnsi="Book Antiqua"/>
          <w:i/>
          <w:iCs/>
          <w:sz w:val="24"/>
          <w:szCs w:val="24"/>
        </w:rPr>
        <w:t>J Exp Med</w:t>
      </w:r>
      <w:r w:rsidRPr="00B727B0">
        <w:rPr>
          <w:rFonts w:ascii="Book Antiqua" w:hAnsi="Book Antiqua"/>
          <w:sz w:val="24"/>
          <w:szCs w:val="24"/>
        </w:rPr>
        <w:t> 1992; </w:t>
      </w:r>
      <w:r w:rsidRPr="00B727B0">
        <w:rPr>
          <w:rFonts w:ascii="Book Antiqua" w:hAnsi="Book Antiqua"/>
          <w:b/>
          <w:bCs/>
          <w:sz w:val="24"/>
          <w:szCs w:val="24"/>
        </w:rPr>
        <w:t>175</w:t>
      </w:r>
      <w:r w:rsidRPr="00B727B0">
        <w:rPr>
          <w:rFonts w:ascii="Book Antiqua" w:hAnsi="Book Antiqua"/>
          <w:sz w:val="24"/>
          <w:szCs w:val="24"/>
        </w:rPr>
        <w:t>: 939-950 [PMID: 1532415]</w:t>
      </w:r>
    </w:p>
    <w:p w14:paraId="3A23E9D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Zhou W</w:t>
      </w:r>
      <w:r w:rsidRPr="00B727B0">
        <w:rPr>
          <w:rFonts w:ascii="Book Antiqua" w:hAnsi="Book Antiqua"/>
          <w:sz w:val="24"/>
          <w:szCs w:val="24"/>
        </w:rPr>
        <w:t>, Farrar CA, Abe K, Pratt JR, Marsh JE, Wang Y, Stahl GL, Sacks SH. Predominant role for C5b-9 in renal ischemia/reperfusion injury. </w:t>
      </w:r>
      <w:r w:rsidRPr="00B727B0">
        <w:rPr>
          <w:rFonts w:ascii="Book Antiqua" w:hAnsi="Book Antiqua"/>
          <w:i/>
          <w:iCs/>
          <w:sz w:val="24"/>
          <w:szCs w:val="24"/>
        </w:rPr>
        <w:t>J Clin Invest</w:t>
      </w:r>
      <w:r w:rsidRPr="00B727B0">
        <w:rPr>
          <w:rFonts w:ascii="Book Antiqua" w:hAnsi="Book Antiqua"/>
          <w:sz w:val="24"/>
          <w:szCs w:val="24"/>
        </w:rPr>
        <w:t> 2000; </w:t>
      </w:r>
      <w:r w:rsidRPr="00B727B0">
        <w:rPr>
          <w:rFonts w:ascii="Book Antiqua" w:hAnsi="Book Antiqua"/>
          <w:b/>
          <w:bCs/>
          <w:sz w:val="24"/>
          <w:szCs w:val="24"/>
        </w:rPr>
        <w:t>105</w:t>
      </w:r>
      <w:r w:rsidRPr="00B727B0">
        <w:rPr>
          <w:rFonts w:ascii="Book Antiqua" w:hAnsi="Book Antiqua"/>
          <w:sz w:val="24"/>
          <w:szCs w:val="24"/>
        </w:rPr>
        <w:t>: 1363-1371 [PMID: 10811844]</w:t>
      </w:r>
    </w:p>
    <w:p w14:paraId="0ECEADE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Collard CD</w:t>
      </w:r>
      <w:r w:rsidRPr="00B727B0">
        <w:rPr>
          <w:rFonts w:ascii="Book Antiqua" w:hAnsi="Book Antiqua"/>
          <w:sz w:val="24"/>
          <w:szCs w:val="24"/>
        </w:rPr>
        <w:t>, Väkevä A, Morrissey MA, Agah A, Rollins SA, Reenstra WR, Buras JA, Meri S, Stahl GL. Complement activation after oxidative stress: role of the lectin complement pathway. </w:t>
      </w:r>
      <w:r w:rsidRPr="00B727B0">
        <w:rPr>
          <w:rFonts w:ascii="Book Antiqua" w:hAnsi="Book Antiqua"/>
          <w:i/>
          <w:iCs/>
          <w:sz w:val="24"/>
          <w:szCs w:val="24"/>
        </w:rPr>
        <w:t>Am J Pathol</w:t>
      </w:r>
      <w:r w:rsidRPr="00B727B0">
        <w:rPr>
          <w:rFonts w:ascii="Book Antiqua" w:hAnsi="Book Antiqua"/>
          <w:sz w:val="24"/>
          <w:szCs w:val="24"/>
        </w:rPr>
        <w:t> 2000; </w:t>
      </w:r>
      <w:r w:rsidRPr="00B727B0">
        <w:rPr>
          <w:rFonts w:ascii="Book Antiqua" w:hAnsi="Book Antiqua"/>
          <w:b/>
          <w:bCs/>
          <w:sz w:val="24"/>
          <w:szCs w:val="24"/>
        </w:rPr>
        <w:t>156</w:t>
      </w:r>
      <w:r w:rsidRPr="00B727B0">
        <w:rPr>
          <w:rFonts w:ascii="Book Antiqua" w:hAnsi="Book Antiqua"/>
          <w:sz w:val="24"/>
          <w:szCs w:val="24"/>
        </w:rPr>
        <w:t>: 1549-1556 [PMID: 10793066]</w:t>
      </w:r>
    </w:p>
    <w:p w14:paraId="29F1633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Thurman JM</w:t>
      </w:r>
      <w:r w:rsidRPr="00B727B0">
        <w:rPr>
          <w:rFonts w:ascii="Book Antiqua" w:hAnsi="Book Antiqua"/>
          <w:sz w:val="24"/>
          <w:szCs w:val="24"/>
        </w:rPr>
        <w:t>, Royer PA, Ljubanovic D, Dursun B, Lenderink AM, Edelstein CL, Holers VM. Treatment with an inhibitory monoclonal antibody to mouse factor B protects mice from induction of apoptosis and renal ischemia/reperfusion injury. </w:t>
      </w:r>
      <w:r w:rsidRPr="00B727B0">
        <w:rPr>
          <w:rFonts w:ascii="Book Antiqua" w:hAnsi="Book Antiqua"/>
          <w:i/>
          <w:iCs/>
          <w:sz w:val="24"/>
          <w:szCs w:val="24"/>
        </w:rPr>
        <w:t>J Am Soc Nephrol</w:t>
      </w:r>
      <w:r w:rsidRPr="00B727B0">
        <w:rPr>
          <w:rFonts w:ascii="Book Antiqua" w:hAnsi="Book Antiqua"/>
          <w:sz w:val="24"/>
          <w:szCs w:val="24"/>
        </w:rPr>
        <w:t> 2006; </w:t>
      </w:r>
      <w:r w:rsidRPr="00B727B0">
        <w:rPr>
          <w:rFonts w:ascii="Book Antiqua" w:hAnsi="Book Antiqua"/>
          <w:b/>
          <w:bCs/>
          <w:sz w:val="24"/>
          <w:szCs w:val="24"/>
        </w:rPr>
        <w:t>17</w:t>
      </w:r>
      <w:r w:rsidRPr="00B727B0">
        <w:rPr>
          <w:rFonts w:ascii="Book Antiqua" w:hAnsi="Book Antiqua"/>
          <w:sz w:val="24"/>
          <w:szCs w:val="24"/>
        </w:rPr>
        <w:t>: 707-715 [PMID: 16467447 DOI: 10.1681/ASN.2005070698]</w:t>
      </w:r>
    </w:p>
    <w:p w14:paraId="2C78CE1D"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Cattran DC</w:t>
      </w:r>
      <w:r w:rsidRPr="00B727B0">
        <w:rPr>
          <w:rFonts w:ascii="Book Antiqua" w:hAnsi="Book Antiqua"/>
          <w:sz w:val="24"/>
          <w:szCs w:val="24"/>
        </w:rPr>
        <w:t>, Appel GB, Hebert LA, Hunsicker LG, Pohl MA, Hoy WE, Maxwell DR, Kunis CL; North America Nephrotic Syndrome Study Group. Cyclosporine in patients with steroid-resistant membranous nephropathy: a randomized trial. </w:t>
      </w:r>
      <w:r w:rsidRPr="00B727B0">
        <w:rPr>
          <w:rFonts w:ascii="Book Antiqua" w:hAnsi="Book Antiqua"/>
          <w:i/>
          <w:iCs/>
          <w:sz w:val="24"/>
          <w:szCs w:val="24"/>
        </w:rPr>
        <w:t>Kidney Int</w:t>
      </w:r>
      <w:r w:rsidRPr="00B727B0">
        <w:rPr>
          <w:rFonts w:ascii="Book Antiqua" w:hAnsi="Book Antiqua"/>
          <w:sz w:val="24"/>
          <w:szCs w:val="24"/>
        </w:rPr>
        <w:t> 2001; </w:t>
      </w:r>
      <w:r w:rsidRPr="00B727B0">
        <w:rPr>
          <w:rFonts w:ascii="Book Antiqua" w:hAnsi="Book Antiqua"/>
          <w:b/>
          <w:bCs/>
          <w:sz w:val="24"/>
          <w:szCs w:val="24"/>
        </w:rPr>
        <w:t>59</w:t>
      </w:r>
      <w:r w:rsidRPr="00B727B0">
        <w:rPr>
          <w:rFonts w:ascii="Book Antiqua" w:hAnsi="Book Antiqua"/>
          <w:sz w:val="24"/>
          <w:szCs w:val="24"/>
        </w:rPr>
        <w:t>: 1484-1490 [PMID: 11260412 DOI: 10.1046/j.1523-1755.2001.0590041484.x]</w:t>
      </w:r>
    </w:p>
    <w:p w14:paraId="3187F5C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Ponticelli C</w:t>
      </w:r>
      <w:r w:rsidRPr="00B727B0">
        <w:rPr>
          <w:rFonts w:ascii="Book Antiqua" w:hAnsi="Book Antiqua"/>
          <w:sz w:val="24"/>
          <w:szCs w:val="24"/>
        </w:rPr>
        <w:t>, Zucchelli P, Passerini P, Cesana B, Locatelli F, Pasquali S, Sasdelli M, Redaelli B, Grassi C, Pozzi C. A 10-year follow-up of a randomized study with methylprednisolone and chlorambucil in membranous nephropathy. </w:t>
      </w:r>
      <w:r w:rsidRPr="00B727B0">
        <w:rPr>
          <w:rFonts w:ascii="Book Antiqua" w:hAnsi="Book Antiqua"/>
          <w:i/>
          <w:iCs/>
          <w:sz w:val="24"/>
          <w:szCs w:val="24"/>
        </w:rPr>
        <w:t>Kidney Int</w:t>
      </w:r>
      <w:r w:rsidRPr="00B727B0">
        <w:rPr>
          <w:rFonts w:ascii="Book Antiqua" w:hAnsi="Book Antiqua"/>
          <w:sz w:val="24"/>
          <w:szCs w:val="24"/>
        </w:rPr>
        <w:t> 1995; </w:t>
      </w:r>
      <w:r w:rsidRPr="00B727B0">
        <w:rPr>
          <w:rFonts w:ascii="Book Antiqua" w:hAnsi="Book Antiqua"/>
          <w:b/>
          <w:bCs/>
          <w:sz w:val="24"/>
          <w:szCs w:val="24"/>
        </w:rPr>
        <w:t>48</w:t>
      </w:r>
      <w:r w:rsidRPr="00B727B0">
        <w:rPr>
          <w:rFonts w:ascii="Book Antiqua" w:hAnsi="Book Antiqua"/>
          <w:sz w:val="24"/>
          <w:szCs w:val="24"/>
        </w:rPr>
        <w:t>: 1600-1604 [PMID: 8544420]</w:t>
      </w:r>
    </w:p>
    <w:p w14:paraId="47ED3C9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El-Zoghby ZM</w:t>
      </w:r>
      <w:r w:rsidRPr="00B727B0">
        <w:rPr>
          <w:rFonts w:ascii="Book Antiqua" w:hAnsi="Book Antiqua"/>
          <w:sz w:val="24"/>
          <w:szCs w:val="24"/>
        </w:rPr>
        <w:t>, Grande JP, Fraile MG, Norby SM, Fervenza FC, Cosio FG. Recurrent idiopathic membranous nephropathy: early diagnosis by protocol biopsies and treatment with anti-CD20 monoclonal antibodies. </w:t>
      </w:r>
      <w:r w:rsidRPr="00B727B0">
        <w:rPr>
          <w:rFonts w:ascii="Book Antiqua" w:hAnsi="Book Antiqua"/>
          <w:i/>
          <w:iCs/>
          <w:sz w:val="24"/>
          <w:szCs w:val="24"/>
        </w:rPr>
        <w:t>Am J Transplant</w:t>
      </w:r>
      <w:r w:rsidRPr="00B727B0">
        <w:rPr>
          <w:rFonts w:ascii="Book Antiqua" w:hAnsi="Book Antiqua"/>
          <w:sz w:val="24"/>
          <w:szCs w:val="24"/>
        </w:rPr>
        <w:t> 2009; </w:t>
      </w:r>
      <w:r w:rsidRPr="00B727B0">
        <w:rPr>
          <w:rFonts w:ascii="Book Antiqua" w:hAnsi="Book Antiqua"/>
          <w:b/>
          <w:bCs/>
          <w:sz w:val="24"/>
          <w:szCs w:val="24"/>
        </w:rPr>
        <w:t>9</w:t>
      </w:r>
      <w:r w:rsidRPr="00B727B0">
        <w:rPr>
          <w:rFonts w:ascii="Book Antiqua" w:hAnsi="Book Antiqua"/>
          <w:sz w:val="24"/>
          <w:szCs w:val="24"/>
        </w:rPr>
        <w:t>: 2800-2807 [PMID: 19845581 DOI: 10.1111/j.1600-6143.2009.02851.x]</w:t>
      </w:r>
    </w:p>
    <w:p w14:paraId="733B6B5D"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Ruggenenti P</w:t>
      </w:r>
      <w:r w:rsidRPr="00B727B0">
        <w:rPr>
          <w:rFonts w:ascii="Book Antiqua" w:hAnsi="Book Antiqua"/>
          <w:sz w:val="24"/>
          <w:szCs w:val="24"/>
        </w:rPr>
        <w:t xml:space="preserve">, Chiurchiu C, Brusegan V, Abbate M, Perna A, Filippi C, Remuzzi G. Rituximab in idiopathic membranous nephropathy: a one-year </w:t>
      </w:r>
      <w:r w:rsidRPr="00B727B0">
        <w:rPr>
          <w:rFonts w:ascii="Book Antiqua" w:hAnsi="Book Antiqua"/>
          <w:sz w:val="24"/>
          <w:szCs w:val="24"/>
        </w:rPr>
        <w:lastRenderedPageBreak/>
        <w:t>prospective study. </w:t>
      </w:r>
      <w:r w:rsidRPr="00B727B0">
        <w:rPr>
          <w:rFonts w:ascii="Book Antiqua" w:hAnsi="Book Antiqua"/>
          <w:i/>
          <w:iCs/>
          <w:sz w:val="24"/>
          <w:szCs w:val="24"/>
        </w:rPr>
        <w:t>J Am Soc Nephrol</w:t>
      </w:r>
      <w:r w:rsidRPr="00B727B0">
        <w:rPr>
          <w:rFonts w:ascii="Book Antiqua" w:hAnsi="Book Antiqua"/>
          <w:sz w:val="24"/>
          <w:szCs w:val="24"/>
        </w:rPr>
        <w:t> 2003; </w:t>
      </w:r>
      <w:r w:rsidRPr="00B727B0">
        <w:rPr>
          <w:rFonts w:ascii="Book Antiqua" w:hAnsi="Book Antiqua"/>
          <w:b/>
          <w:bCs/>
          <w:sz w:val="24"/>
          <w:szCs w:val="24"/>
        </w:rPr>
        <w:t>14</w:t>
      </w:r>
      <w:r w:rsidRPr="00B727B0">
        <w:rPr>
          <w:rFonts w:ascii="Book Antiqua" w:hAnsi="Book Antiqua"/>
          <w:sz w:val="24"/>
          <w:szCs w:val="24"/>
        </w:rPr>
        <w:t>: 1851-1857 [PMID: 12819245 DOI: 10.1097/01.ASN.0000071511.35221.B3]</w:t>
      </w:r>
    </w:p>
    <w:p w14:paraId="4992B33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Fervenza FC</w:t>
      </w:r>
      <w:r w:rsidRPr="00B727B0">
        <w:rPr>
          <w:rFonts w:ascii="Book Antiqua" w:hAnsi="Book Antiqua"/>
          <w:sz w:val="24"/>
          <w:szCs w:val="24"/>
        </w:rPr>
        <w:t>, Abraham RS, Erickson SB, Irazabal MV, Eirin A, Specks U, Nachman PH, Bergstralh EJ, Leung N, Cosio FG, Hogan MC, Dillon JJ, Hickson LJ, Li X, Cattran DC; Mayo Nephrology Collaborative Group. Rituximab therapy in idiopathic membranous nephropathy: a 2-year study. </w:t>
      </w:r>
      <w:r w:rsidRPr="00B727B0">
        <w:rPr>
          <w:rFonts w:ascii="Book Antiqua" w:hAnsi="Book Antiqua"/>
          <w:i/>
          <w:iCs/>
          <w:sz w:val="24"/>
          <w:szCs w:val="24"/>
        </w:rPr>
        <w:t>Clin J Am Soc Nephrol</w:t>
      </w:r>
      <w:r w:rsidRPr="00B727B0">
        <w:rPr>
          <w:rFonts w:ascii="Book Antiqua" w:hAnsi="Book Antiqua"/>
          <w:sz w:val="24"/>
          <w:szCs w:val="24"/>
        </w:rPr>
        <w:t> 2010; </w:t>
      </w:r>
      <w:r w:rsidRPr="00B727B0">
        <w:rPr>
          <w:rFonts w:ascii="Book Antiqua" w:hAnsi="Book Antiqua"/>
          <w:b/>
          <w:bCs/>
          <w:sz w:val="24"/>
          <w:szCs w:val="24"/>
        </w:rPr>
        <w:t>5</w:t>
      </w:r>
      <w:r w:rsidRPr="00B727B0">
        <w:rPr>
          <w:rFonts w:ascii="Book Antiqua" w:hAnsi="Book Antiqua"/>
          <w:sz w:val="24"/>
          <w:szCs w:val="24"/>
        </w:rPr>
        <w:t>: 2188-2198 [PMID: 20705965 DOI: 10.2215/CJN.05080610]</w:t>
      </w:r>
    </w:p>
    <w:p w14:paraId="1BF1219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Fervenza FC</w:t>
      </w:r>
      <w:r w:rsidRPr="00B727B0">
        <w:rPr>
          <w:rFonts w:ascii="Book Antiqua" w:hAnsi="Book Antiqua"/>
          <w:sz w:val="24"/>
          <w:szCs w:val="24"/>
        </w:rPr>
        <w:t>, Cosio FG, Erickson SB, Specks U, Herzenberg AM, Dillon JJ, Leung N, Cohen IM, Wochos DN, Bergstralh E, Hladunewich M, Cattran DC. Rituximab treatment of idiopathic membranous nephropathy. </w:t>
      </w:r>
      <w:r w:rsidRPr="00B727B0">
        <w:rPr>
          <w:rFonts w:ascii="Book Antiqua" w:hAnsi="Book Antiqua"/>
          <w:i/>
          <w:iCs/>
          <w:sz w:val="24"/>
          <w:szCs w:val="24"/>
        </w:rPr>
        <w:t>Kidney Int</w:t>
      </w:r>
      <w:r w:rsidRPr="00B727B0">
        <w:rPr>
          <w:rFonts w:ascii="Book Antiqua" w:hAnsi="Book Antiqua"/>
          <w:sz w:val="24"/>
          <w:szCs w:val="24"/>
        </w:rPr>
        <w:t> 2008; </w:t>
      </w:r>
      <w:r w:rsidRPr="00B727B0">
        <w:rPr>
          <w:rFonts w:ascii="Book Antiqua" w:hAnsi="Book Antiqua"/>
          <w:b/>
          <w:bCs/>
          <w:sz w:val="24"/>
          <w:szCs w:val="24"/>
        </w:rPr>
        <w:t>73</w:t>
      </w:r>
      <w:r w:rsidRPr="00B727B0">
        <w:rPr>
          <w:rFonts w:ascii="Book Antiqua" w:hAnsi="Book Antiqua"/>
          <w:sz w:val="24"/>
          <w:szCs w:val="24"/>
        </w:rPr>
        <w:t>: 117-125 [PMID: 17943078 DOI: 10.1038/sj.ki.5002628]</w:t>
      </w:r>
    </w:p>
    <w:p w14:paraId="0CA16516"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Sprangers B</w:t>
      </w:r>
      <w:r w:rsidRPr="00B727B0">
        <w:rPr>
          <w:rFonts w:ascii="Book Antiqua" w:hAnsi="Book Antiqua"/>
          <w:sz w:val="24"/>
          <w:szCs w:val="24"/>
        </w:rPr>
        <w:t>, Lefkowitz GI, Cohen SD, Stokes MB, Valeri A, Appel GB, Kunis CL. Beneficial effect of rituximab in the treatment of recurrent idiopathic membranous nephropathy after kidney transplantation. </w:t>
      </w:r>
      <w:r w:rsidRPr="00B727B0">
        <w:rPr>
          <w:rFonts w:ascii="Book Antiqua" w:hAnsi="Book Antiqua"/>
          <w:i/>
          <w:iCs/>
          <w:sz w:val="24"/>
          <w:szCs w:val="24"/>
        </w:rPr>
        <w:t>Clin J Am Soc Nephrol</w:t>
      </w:r>
      <w:r w:rsidRPr="00B727B0">
        <w:rPr>
          <w:rFonts w:ascii="Book Antiqua" w:hAnsi="Book Antiqua"/>
          <w:sz w:val="24"/>
          <w:szCs w:val="24"/>
        </w:rPr>
        <w:t> 2010; </w:t>
      </w:r>
      <w:r w:rsidRPr="00B727B0">
        <w:rPr>
          <w:rFonts w:ascii="Book Antiqua" w:hAnsi="Book Antiqua"/>
          <w:b/>
          <w:bCs/>
          <w:sz w:val="24"/>
          <w:szCs w:val="24"/>
        </w:rPr>
        <w:t>5</w:t>
      </w:r>
      <w:r w:rsidRPr="00B727B0">
        <w:rPr>
          <w:rFonts w:ascii="Book Antiqua" w:hAnsi="Book Antiqua"/>
          <w:sz w:val="24"/>
          <w:szCs w:val="24"/>
        </w:rPr>
        <w:t>: 790-797 [PMID: 20185599 DOI: 10.2215/CJN.04120609]</w:t>
      </w:r>
    </w:p>
    <w:p w14:paraId="26AFB351"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Gallon L</w:t>
      </w:r>
      <w:r w:rsidRPr="00B727B0">
        <w:rPr>
          <w:rFonts w:ascii="Book Antiqua" w:hAnsi="Book Antiqua"/>
          <w:sz w:val="24"/>
          <w:szCs w:val="24"/>
        </w:rPr>
        <w:t>, Chhabra D. Anti-CD20 monoclonal antibody (rituximab) for the treatment of recurrent idiopathic membranous nephropathy in a renal transplant patient. </w:t>
      </w:r>
      <w:r w:rsidRPr="00B727B0">
        <w:rPr>
          <w:rFonts w:ascii="Book Antiqua" w:hAnsi="Book Antiqua"/>
          <w:i/>
          <w:iCs/>
          <w:sz w:val="24"/>
          <w:szCs w:val="24"/>
        </w:rPr>
        <w:t>Am J Transplant</w:t>
      </w:r>
      <w:r w:rsidRPr="00B727B0">
        <w:rPr>
          <w:rFonts w:ascii="Book Antiqua" w:hAnsi="Book Antiqua"/>
          <w:sz w:val="24"/>
          <w:szCs w:val="24"/>
        </w:rPr>
        <w:t> 2006; </w:t>
      </w:r>
      <w:r w:rsidRPr="00B727B0">
        <w:rPr>
          <w:rFonts w:ascii="Book Antiqua" w:hAnsi="Book Antiqua"/>
          <w:b/>
          <w:bCs/>
          <w:sz w:val="24"/>
          <w:szCs w:val="24"/>
        </w:rPr>
        <w:t>6</w:t>
      </w:r>
      <w:r w:rsidRPr="00B727B0">
        <w:rPr>
          <w:rFonts w:ascii="Book Antiqua" w:hAnsi="Book Antiqua"/>
          <w:sz w:val="24"/>
          <w:szCs w:val="24"/>
        </w:rPr>
        <w:t>: 3017-3021 [PMID: 17294527 DOI: 10.1111/j.1600-6143.2006.01544.x]</w:t>
      </w:r>
    </w:p>
    <w:p w14:paraId="3D7EF85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Zimmerman SW</w:t>
      </w:r>
      <w:r w:rsidRPr="00B727B0">
        <w:rPr>
          <w:rFonts w:ascii="Book Antiqua" w:hAnsi="Book Antiqua"/>
          <w:sz w:val="24"/>
          <w:szCs w:val="24"/>
        </w:rPr>
        <w:t>. Plasmapheresis and dipyridamole for recurrent focal glomerular sclerosis. </w:t>
      </w:r>
      <w:r w:rsidRPr="00B727B0">
        <w:rPr>
          <w:rFonts w:ascii="Book Antiqua" w:hAnsi="Book Antiqua"/>
          <w:i/>
          <w:iCs/>
          <w:sz w:val="24"/>
          <w:szCs w:val="24"/>
        </w:rPr>
        <w:t>Nephron</w:t>
      </w:r>
      <w:r w:rsidRPr="00B727B0">
        <w:rPr>
          <w:rFonts w:ascii="Book Antiqua" w:hAnsi="Book Antiqua"/>
          <w:sz w:val="24"/>
          <w:szCs w:val="24"/>
        </w:rPr>
        <w:t> 1985; </w:t>
      </w:r>
      <w:r w:rsidRPr="00B727B0">
        <w:rPr>
          <w:rFonts w:ascii="Book Antiqua" w:hAnsi="Book Antiqua"/>
          <w:b/>
          <w:bCs/>
          <w:sz w:val="24"/>
          <w:szCs w:val="24"/>
        </w:rPr>
        <w:t>40</w:t>
      </w:r>
      <w:r w:rsidRPr="00B727B0">
        <w:rPr>
          <w:rFonts w:ascii="Book Antiqua" w:hAnsi="Book Antiqua"/>
          <w:sz w:val="24"/>
          <w:szCs w:val="24"/>
        </w:rPr>
        <w:t>: 241-245 [PMID: 3889681]</w:t>
      </w:r>
    </w:p>
    <w:p w14:paraId="4B0A6AF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Ponticelli C</w:t>
      </w:r>
      <w:r w:rsidRPr="00B727B0">
        <w:rPr>
          <w:rFonts w:ascii="Book Antiqua" w:hAnsi="Book Antiqua"/>
          <w:sz w:val="24"/>
          <w:szCs w:val="24"/>
        </w:rPr>
        <w:t>. Recurrence of focal segmental glomerular sclerosis (FSGS) after renal transplantation. </w:t>
      </w:r>
      <w:r w:rsidRPr="00B727B0">
        <w:rPr>
          <w:rFonts w:ascii="Book Antiqua" w:hAnsi="Book Antiqua"/>
          <w:i/>
          <w:iCs/>
          <w:sz w:val="24"/>
          <w:szCs w:val="24"/>
        </w:rPr>
        <w:t>Nephrol Dial Transplant</w:t>
      </w:r>
      <w:r w:rsidRPr="00B727B0">
        <w:rPr>
          <w:rFonts w:ascii="Book Antiqua" w:hAnsi="Book Antiqua"/>
          <w:sz w:val="24"/>
          <w:szCs w:val="24"/>
        </w:rPr>
        <w:t> 2010; </w:t>
      </w:r>
      <w:r w:rsidRPr="00B727B0">
        <w:rPr>
          <w:rFonts w:ascii="Book Antiqua" w:hAnsi="Book Antiqua"/>
          <w:b/>
          <w:bCs/>
          <w:sz w:val="24"/>
          <w:szCs w:val="24"/>
        </w:rPr>
        <w:t>25</w:t>
      </w:r>
      <w:r w:rsidRPr="00B727B0">
        <w:rPr>
          <w:rFonts w:ascii="Book Antiqua" w:hAnsi="Book Antiqua"/>
          <w:sz w:val="24"/>
          <w:szCs w:val="24"/>
        </w:rPr>
        <w:t>: 25-31 [PMID: 19875378 DOI: 10.1093/ndt/gfp538]</w:t>
      </w:r>
    </w:p>
    <w:p w14:paraId="69B555A6"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Hickson LJ</w:t>
      </w:r>
      <w:r w:rsidRPr="00B727B0">
        <w:rPr>
          <w:rFonts w:ascii="Book Antiqua" w:hAnsi="Book Antiqua"/>
          <w:sz w:val="24"/>
          <w:szCs w:val="24"/>
        </w:rPr>
        <w:t>, Gera M, Amer H, Iqbal CW, Moore TB, Milliner DS, Cosio FG, Larson TS, Stegall MD, Ishitani MB, Gloor JM, Griffin MD. Kidney transplantation for primary focal segmental glomerulosclerosis: outcomes and response to therapy for recurrence. </w:t>
      </w:r>
      <w:r w:rsidRPr="00B727B0">
        <w:rPr>
          <w:rFonts w:ascii="Book Antiqua" w:hAnsi="Book Antiqua"/>
          <w:i/>
          <w:iCs/>
          <w:sz w:val="24"/>
          <w:szCs w:val="24"/>
        </w:rPr>
        <w:t>Transplantation</w:t>
      </w:r>
      <w:r w:rsidRPr="00B727B0">
        <w:rPr>
          <w:rFonts w:ascii="Book Antiqua" w:hAnsi="Book Antiqua"/>
          <w:sz w:val="24"/>
          <w:szCs w:val="24"/>
        </w:rPr>
        <w:t> 2009; </w:t>
      </w:r>
      <w:r w:rsidRPr="00B727B0">
        <w:rPr>
          <w:rFonts w:ascii="Book Antiqua" w:hAnsi="Book Antiqua"/>
          <w:b/>
          <w:bCs/>
          <w:sz w:val="24"/>
          <w:szCs w:val="24"/>
        </w:rPr>
        <w:t>87</w:t>
      </w:r>
      <w:r w:rsidRPr="00B727B0">
        <w:rPr>
          <w:rFonts w:ascii="Book Antiqua" w:hAnsi="Book Antiqua"/>
          <w:sz w:val="24"/>
          <w:szCs w:val="24"/>
        </w:rPr>
        <w:t>: 1232-1239 [PMID: 19384172 DOI: 10.1097/TP.0b013e31819f12be]</w:t>
      </w:r>
    </w:p>
    <w:p w14:paraId="6CA3A0B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Gohh RY</w:t>
      </w:r>
      <w:r w:rsidRPr="00B727B0">
        <w:rPr>
          <w:rFonts w:ascii="Book Antiqua" w:hAnsi="Book Antiqua"/>
          <w:sz w:val="24"/>
          <w:szCs w:val="24"/>
        </w:rPr>
        <w:t>, Yango AF, Morrissey PE, Monaco AP, Gautam A, Sharma M, McCarthy ET, Savin VJ. Preemptive plasmapheresis and recurrence of FSGS in high-risk renal transplant recipients. </w:t>
      </w:r>
      <w:r w:rsidRPr="00B727B0">
        <w:rPr>
          <w:rFonts w:ascii="Book Antiqua" w:hAnsi="Book Antiqua"/>
          <w:i/>
          <w:iCs/>
          <w:sz w:val="24"/>
          <w:szCs w:val="24"/>
        </w:rPr>
        <w:t>Am J Transplant</w:t>
      </w:r>
      <w:r w:rsidRPr="00B727B0">
        <w:rPr>
          <w:rFonts w:ascii="Book Antiqua" w:hAnsi="Book Antiqua"/>
          <w:sz w:val="24"/>
          <w:szCs w:val="24"/>
        </w:rPr>
        <w:t> 2005; </w:t>
      </w:r>
      <w:r w:rsidRPr="00B727B0">
        <w:rPr>
          <w:rFonts w:ascii="Book Antiqua" w:hAnsi="Book Antiqua"/>
          <w:b/>
          <w:bCs/>
          <w:sz w:val="24"/>
          <w:szCs w:val="24"/>
        </w:rPr>
        <w:t>5</w:t>
      </w:r>
      <w:r w:rsidRPr="00B727B0">
        <w:rPr>
          <w:rFonts w:ascii="Book Antiqua" w:hAnsi="Book Antiqua"/>
          <w:sz w:val="24"/>
          <w:szCs w:val="24"/>
        </w:rPr>
        <w:t>: 2907-2912 [PMID: 16303004 DOI: 10.1111/j.1600-6143.2005.01112.x]</w:t>
      </w:r>
    </w:p>
    <w:p w14:paraId="5C58628B"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Hubsch H</w:t>
      </w:r>
      <w:r w:rsidRPr="00B727B0">
        <w:rPr>
          <w:rFonts w:ascii="Book Antiqua" w:hAnsi="Book Antiqua"/>
          <w:sz w:val="24"/>
          <w:szCs w:val="24"/>
        </w:rPr>
        <w:t>, Montané B, Abitbol C, Chandar J, Shariatmadar S, Ciancio G, Burke G, Miller J, Strauss J, Zilleruelo G. Recurrent focal glomerulosclerosis in pediatric renal allografts: the Miami experience. </w:t>
      </w:r>
      <w:r w:rsidRPr="00B727B0">
        <w:rPr>
          <w:rFonts w:ascii="Book Antiqua" w:hAnsi="Book Antiqua"/>
          <w:i/>
          <w:iCs/>
          <w:sz w:val="24"/>
          <w:szCs w:val="24"/>
        </w:rPr>
        <w:t>Pediatr Nephrol</w:t>
      </w:r>
      <w:r w:rsidRPr="00B727B0">
        <w:rPr>
          <w:rFonts w:ascii="Book Antiqua" w:hAnsi="Book Antiqua"/>
          <w:sz w:val="24"/>
          <w:szCs w:val="24"/>
        </w:rPr>
        <w:t> 2005; </w:t>
      </w:r>
      <w:r w:rsidRPr="00B727B0">
        <w:rPr>
          <w:rFonts w:ascii="Book Antiqua" w:hAnsi="Book Antiqua"/>
          <w:b/>
          <w:bCs/>
          <w:sz w:val="24"/>
          <w:szCs w:val="24"/>
        </w:rPr>
        <w:t>20</w:t>
      </w:r>
      <w:r w:rsidRPr="00B727B0">
        <w:rPr>
          <w:rFonts w:ascii="Book Antiqua" w:hAnsi="Book Antiqua"/>
          <w:sz w:val="24"/>
          <w:szCs w:val="24"/>
        </w:rPr>
        <w:t>: 210-216 [PMID: 15605284 DOI: 10.1007/s00467-004-1706-7]</w:t>
      </w:r>
    </w:p>
    <w:p w14:paraId="45C949D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Fencl F</w:t>
      </w:r>
      <w:r w:rsidRPr="00B727B0">
        <w:rPr>
          <w:rFonts w:ascii="Book Antiqua" w:hAnsi="Book Antiqua"/>
          <w:sz w:val="24"/>
          <w:szCs w:val="24"/>
        </w:rPr>
        <w:t>, Simková E, Vondrák K, Janda J, Chadimová M, Stejskal J, Seeman T. Recurrence of nephrotic proteinuria in children with focal segmental glomerulosclerosis after renal transplantation treated with plasmapheresis and immunoadsorption: case reports. </w:t>
      </w:r>
      <w:r w:rsidRPr="00B727B0">
        <w:rPr>
          <w:rFonts w:ascii="Book Antiqua" w:hAnsi="Book Antiqua"/>
          <w:i/>
          <w:iCs/>
          <w:sz w:val="24"/>
          <w:szCs w:val="24"/>
        </w:rPr>
        <w:t>Transplant Proc</w:t>
      </w:r>
      <w:r w:rsidRPr="00B727B0">
        <w:rPr>
          <w:rFonts w:ascii="Book Antiqua" w:hAnsi="Book Antiqua"/>
          <w:sz w:val="24"/>
          <w:szCs w:val="24"/>
        </w:rPr>
        <w:t> 2007; </w:t>
      </w:r>
      <w:r w:rsidRPr="00B727B0">
        <w:rPr>
          <w:rFonts w:ascii="Book Antiqua" w:hAnsi="Book Antiqua"/>
          <w:b/>
          <w:bCs/>
          <w:sz w:val="24"/>
          <w:szCs w:val="24"/>
        </w:rPr>
        <w:t>39</w:t>
      </w:r>
      <w:r w:rsidRPr="00B727B0">
        <w:rPr>
          <w:rFonts w:ascii="Book Antiqua" w:hAnsi="Book Antiqua"/>
          <w:sz w:val="24"/>
          <w:szCs w:val="24"/>
        </w:rPr>
        <w:t>: 3488-3490 [PMID: 18089416 DOI: 10.1016/j.transproceed.2007.09.045]</w:t>
      </w:r>
    </w:p>
    <w:p w14:paraId="56225A5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Belson A</w:t>
      </w:r>
      <w:r w:rsidRPr="00B727B0">
        <w:rPr>
          <w:rFonts w:ascii="Book Antiqua" w:hAnsi="Book Antiqua"/>
          <w:sz w:val="24"/>
          <w:szCs w:val="24"/>
        </w:rPr>
        <w:t>, Yorgin PD, Al-Uzri AY, Salvatierra O, Higgins J, Alexander SR. Long-term plasmapheresis and protein A column treatment of recurrent FSGS. </w:t>
      </w:r>
      <w:r w:rsidRPr="00B727B0">
        <w:rPr>
          <w:rFonts w:ascii="Book Antiqua" w:hAnsi="Book Antiqua"/>
          <w:i/>
          <w:iCs/>
          <w:sz w:val="24"/>
          <w:szCs w:val="24"/>
        </w:rPr>
        <w:t>Pediatr Nephrol</w:t>
      </w:r>
      <w:r w:rsidRPr="00B727B0">
        <w:rPr>
          <w:rFonts w:ascii="Book Antiqua" w:hAnsi="Book Antiqua"/>
          <w:sz w:val="24"/>
          <w:szCs w:val="24"/>
        </w:rPr>
        <w:t> 2001; </w:t>
      </w:r>
      <w:r w:rsidRPr="00B727B0">
        <w:rPr>
          <w:rFonts w:ascii="Book Antiqua" w:hAnsi="Book Antiqua"/>
          <w:b/>
          <w:bCs/>
          <w:sz w:val="24"/>
          <w:szCs w:val="24"/>
        </w:rPr>
        <w:t>16</w:t>
      </w:r>
      <w:r w:rsidRPr="00B727B0">
        <w:rPr>
          <w:rFonts w:ascii="Book Antiqua" w:hAnsi="Book Antiqua"/>
          <w:sz w:val="24"/>
          <w:szCs w:val="24"/>
        </w:rPr>
        <w:t>: 985-989 [PMID: 11793085 DOI: 10.1007/s004670100008]</w:t>
      </w:r>
    </w:p>
    <w:p w14:paraId="7EF01C3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Cravedi P</w:t>
      </w:r>
      <w:r w:rsidRPr="00B727B0">
        <w:rPr>
          <w:rFonts w:ascii="Book Antiqua" w:hAnsi="Book Antiqua"/>
          <w:sz w:val="24"/>
          <w:szCs w:val="24"/>
        </w:rPr>
        <w:t>, Kopp JB, Remuzzi G. Recent progress in the pathophysiology and treatment of FSGS recurrence. </w:t>
      </w:r>
      <w:r w:rsidRPr="00B727B0">
        <w:rPr>
          <w:rFonts w:ascii="Book Antiqua" w:hAnsi="Book Antiqua"/>
          <w:i/>
          <w:iCs/>
          <w:sz w:val="24"/>
          <w:szCs w:val="24"/>
        </w:rPr>
        <w:t>Am J Transplant</w:t>
      </w:r>
      <w:r w:rsidRPr="00B727B0">
        <w:rPr>
          <w:rFonts w:ascii="Book Antiqua" w:hAnsi="Book Antiqua"/>
          <w:sz w:val="24"/>
          <w:szCs w:val="24"/>
        </w:rPr>
        <w:t> 2013; </w:t>
      </w:r>
      <w:r w:rsidRPr="00B727B0">
        <w:rPr>
          <w:rFonts w:ascii="Book Antiqua" w:hAnsi="Book Antiqua"/>
          <w:b/>
          <w:bCs/>
          <w:sz w:val="24"/>
          <w:szCs w:val="24"/>
        </w:rPr>
        <w:t>13</w:t>
      </w:r>
      <w:r w:rsidRPr="00B727B0">
        <w:rPr>
          <w:rFonts w:ascii="Book Antiqua" w:hAnsi="Book Antiqua"/>
          <w:sz w:val="24"/>
          <w:szCs w:val="24"/>
        </w:rPr>
        <w:t>: 266-274 [PMID: 23312002 DOI: 10.1111/ajt.12045]</w:t>
      </w:r>
    </w:p>
    <w:p w14:paraId="5C771955"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Raafat RH</w:t>
      </w:r>
      <w:r w:rsidRPr="00B727B0">
        <w:rPr>
          <w:rFonts w:ascii="Book Antiqua" w:hAnsi="Book Antiqua"/>
          <w:sz w:val="24"/>
          <w:szCs w:val="24"/>
        </w:rPr>
        <w:t>, Kalia A, Travis LB, Diven SC. High-dose oral cyclosporin therapy for recurrent focal segmental glomerulosclerosis in children. </w:t>
      </w:r>
      <w:r w:rsidRPr="00B727B0">
        <w:rPr>
          <w:rFonts w:ascii="Book Antiqua" w:hAnsi="Book Antiqua"/>
          <w:i/>
          <w:iCs/>
          <w:sz w:val="24"/>
          <w:szCs w:val="24"/>
        </w:rPr>
        <w:t>Am J Kidney Dis</w:t>
      </w:r>
      <w:r w:rsidRPr="00B727B0">
        <w:rPr>
          <w:rFonts w:ascii="Book Antiqua" w:hAnsi="Book Antiqua"/>
          <w:sz w:val="24"/>
          <w:szCs w:val="24"/>
        </w:rPr>
        <w:t> 2004; </w:t>
      </w:r>
      <w:r w:rsidRPr="00B727B0">
        <w:rPr>
          <w:rFonts w:ascii="Book Antiqua" w:hAnsi="Book Antiqua"/>
          <w:b/>
          <w:bCs/>
          <w:sz w:val="24"/>
          <w:szCs w:val="24"/>
        </w:rPr>
        <w:t>44</w:t>
      </w:r>
      <w:r w:rsidRPr="00B727B0">
        <w:rPr>
          <w:rFonts w:ascii="Book Antiqua" w:hAnsi="Book Antiqua"/>
          <w:sz w:val="24"/>
          <w:szCs w:val="24"/>
        </w:rPr>
        <w:t>: 50-56 [PMID: 15211437]</w:t>
      </w:r>
    </w:p>
    <w:p w14:paraId="6013CA4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Fornoni A</w:t>
      </w:r>
      <w:r w:rsidRPr="00B727B0">
        <w:rPr>
          <w:rFonts w:ascii="Book Antiqua" w:hAnsi="Book Antiqua"/>
          <w:sz w:val="24"/>
          <w:szCs w:val="24"/>
        </w:rPr>
        <w:t>, Sageshima J, Wei C, Merscher-Gomez S, Aguillon-Prada R, Jauregui AN, Li J, Mattiazzi A, Ciancio G, Chen L, Zilleruelo G, Abitbol C, Chandar J, Seeherunvong W, Ricordi C, Ikehata M, Rastaldi MP, Reiser J, Burke GW 3rd. Rituximab targets podocytes in recurrent focal segmental glomerulosclerosis. </w:t>
      </w:r>
      <w:r w:rsidRPr="00B727B0">
        <w:rPr>
          <w:rFonts w:ascii="Book Antiqua" w:hAnsi="Book Antiqua"/>
          <w:i/>
          <w:iCs/>
          <w:sz w:val="24"/>
          <w:szCs w:val="24"/>
        </w:rPr>
        <w:t>Sci Transl Med</w:t>
      </w:r>
      <w:r w:rsidRPr="00B727B0">
        <w:rPr>
          <w:rFonts w:ascii="Book Antiqua" w:hAnsi="Book Antiqua"/>
          <w:sz w:val="24"/>
          <w:szCs w:val="24"/>
        </w:rPr>
        <w:t> 2011; </w:t>
      </w:r>
      <w:r w:rsidRPr="00B727B0">
        <w:rPr>
          <w:rFonts w:ascii="Book Antiqua" w:hAnsi="Book Antiqua"/>
          <w:b/>
          <w:bCs/>
          <w:sz w:val="24"/>
          <w:szCs w:val="24"/>
        </w:rPr>
        <w:t>3</w:t>
      </w:r>
      <w:r w:rsidRPr="00B727B0">
        <w:rPr>
          <w:rFonts w:ascii="Book Antiqua" w:hAnsi="Book Antiqua"/>
          <w:sz w:val="24"/>
          <w:szCs w:val="24"/>
        </w:rPr>
        <w:t>: 85ra46 [PMID: 21632984 DOI: 10.1126/scitranslmed.3002231]</w:t>
      </w:r>
    </w:p>
    <w:p w14:paraId="72444EB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Araya CE</w:t>
      </w:r>
      <w:r w:rsidRPr="00B727B0">
        <w:rPr>
          <w:rFonts w:ascii="Book Antiqua" w:hAnsi="Book Antiqua"/>
          <w:sz w:val="24"/>
          <w:szCs w:val="24"/>
        </w:rPr>
        <w:t>, Dharnidharka VR. The factors that may predict response to rituximab therapy in recurrent focal segmental glomerulosclerosis: a systematic review. </w:t>
      </w:r>
      <w:r w:rsidRPr="00B727B0">
        <w:rPr>
          <w:rFonts w:ascii="Book Antiqua" w:hAnsi="Book Antiqua"/>
          <w:i/>
          <w:iCs/>
          <w:sz w:val="24"/>
          <w:szCs w:val="24"/>
        </w:rPr>
        <w:t>J Transplant</w:t>
      </w:r>
      <w:r w:rsidRPr="00B727B0">
        <w:rPr>
          <w:rFonts w:ascii="Book Antiqua" w:hAnsi="Book Antiqua"/>
          <w:sz w:val="24"/>
          <w:szCs w:val="24"/>
        </w:rPr>
        <w:t> 2011; </w:t>
      </w:r>
      <w:r w:rsidRPr="00B727B0">
        <w:rPr>
          <w:rFonts w:ascii="Book Antiqua" w:hAnsi="Book Antiqua"/>
          <w:b/>
          <w:bCs/>
          <w:sz w:val="24"/>
          <w:szCs w:val="24"/>
        </w:rPr>
        <w:t>2011</w:t>
      </w:r>
      <w:r w:rsidRPr="00B727B0">
        <w:rPr>
          <w:rFonts w:ascii="Book Antiqua" w:hAnsi="Book Antiqua"/>
          <w:sz w:val="24"/>
          <w:szCs w:val="24"/>
        </w:rPr>
        <w:t>: 374213 [PMID: 22174985 DOI: 10.1155/2011/374213]</w:t>
      </w:r>
    </w:p>
    <w:p w14:paraId="418DFBBC"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Cravedi P</w:t>
      </w:r>
      <w:r w:rsidRPr="00B727B0">
        <w:rPr>
          <w:rFonts w:ascii="Book Antiqua" w:hAnsi="Book Antiqua"/>
          <w:sz w:val="24"/>
          <w:szCs w:val="24"/>
        </w:rPr>
        <w:t>, Ruggenenti P, Remuzzi G. Low-dose rituximab for posttransplant recurrent membranous nephropathy. </w:t>
      </w:r>
      <w:r w:rsidRPr="00B727B0">
        <w:rPr>
          <w:rFonts w:ascii="Book Antiqua" w:hAnsi="Book Antiqua"/>
          <w:i/>
          <w:iCs/>
          <w:sz w:val="24"/>
          <w:szCs w:val="24"/>
        </w:rPr>
        <w:t>Am J Transplant</w:t>
      </w:r>
      <w:r w:rsidRPr="00B727B0">
        <w:rPr>
          <w:rFonts w:ascii="Book Antiqua" w:hAnsi="Book Antiqua"/>
          <w:sz w:val="24"/>
          <w:szCs w:val="24"/>
        </w:rPr>
        <w:t> 2010; </w:t>
      </w:r>
      <w:r w:rsidRPr="00B727B0">
        <w:rPr>
          <w:rFonts w:ascii="Book Antiqua" w:hAnsi="Book Antiqua"/>
          <w:b/>
          <w:bCs/>
          <w:sz w:val="24"/>
          <w:szCs w:val="24"/>
        </w:rPr>
        <w:t>10</w:t>
      </w:r>
      <w:r w:rsidRPr="00B727B0">
        <w:rPr>
          <w:rFonts w:ascii="Book Antiqua" w:hAnsi="Book Antiqua"/>
          <w:sz w:val="24"/>
          <w:szCs w:val="24"/>
        </w:rPr>
        <w:t>: 1336 [PMID: 20199509 DOI: 10.1111/j.1600-6143.2010.03029.x]</w:t>
      </w:r>
    </w:p>
    <w:p w14:paraId="7EFF28F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Tsagalis G</w:t>
      </w:r>
      <w:r w:rsidRPr="00B727B0">
        <w:rPr>
          <w:rFonts w:ascii="Book Antiqua" w:hAnsi="Book Antiqua"/>
          <w:sz w:val="24"/>
          <w:szCs w:val="24"/>
        </w:rPr>
        <w:t>, Psimenou E, Nakopoulou L, Laggouranis A. Combination treatment with plasmapheresis and rituximab for recurrent focal segmental glomerulosclerosis after renal transplantation. </w:t>
      </w:r>
      <w:r w:rsidRPr="00B727B0">
        <w:rPr>
          <w:rFonts w:ascii="Book Antiqua" w:hAnsi="Book Antiqua"/>
          <w:i/>
          <w:iCs/>
          <w:sz w:val="24"/>
          <w:szCs w:val="24"/>
        </w:rPr>
        <w:t>Artif Organs</w:t>
      </w:r>
      <w:r w:rsidRPr="00B727B0">
        <w:rPr>
          <w:rFonts w:ascii="Book Antiqua" w:hAnsi="Book Antiqua"/>
          <w:sz w:val="24"/>
          <w:szCs w:val="24"/>
        </w:rPr>
        <w:t> 2011; </w:t>
      </w:r>
      <w:r w:rsidRPr="00B727B0">
        <w:rPr>
          <w:rFonts w:ascii="Book Antiqua" w:hAnsi="Book Antiqua"/>
          <w:b/>
          <w:bCs/>
          <w:sz w:val="24"/>
          <w:szCs w:val="24"/>
        </w:rPr>
        <w:t>35</w:t>
      </w:r>
      <w:r w:rsidRPr="00B727B0">
        <w:rPr>
          <w:rFonts w:ascii="Book Antiqua" w:hAnsi="Book Antiqua"/>
          <w:sz w:val="24"/>
          <w:szCs w:val="24"/>
        </w:rPr>
        <w:t>: 420-425 [PMID: 20637013 DOI: 10.1111/j.1525-1594.2010.01068.x]</w:t>
      </w:r>
    </w:p>
    <w:p w14:paraId="1DD4A657"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Hristea D</w:t>
      </w:r>
      <w:r w:rsidRPr="00B727B0">
        <w:rPr>
          <w:rFonts w:ascii="Book Antiqua" w:hAnsi="Book Antiqua"/>
          <w:sz w:val="24"/>
          <w:szCs w:val="24"/>
        </w:rPr>
        <w:t>, Hadaya K, Marangon N, Buhler L, Villard J, Morel P, Martin PY. Successful treatment of recurrent focal segmental glomerulosclerosis after kidney transplantation by plasmapheresis and rituximab. </w:t>
      </w:r>
      <w:r w:rsidRPr="00B727B0">
        <w:rPr>
          <w:rFonts w:ascii="Book Antiqua" w:hAnsi="Book Antiqua"/>
          <w:i/>
          <w:iCs/>
          <w:sz w:val="24"/>
          <w:szCs w:val="24"/>
        </w:rPr>
        <w:t>Transpl Int</w:t>
      </w:r>
      <w:r w:rsidRPr="00B727B0">
        <w:rPr>
          <w:rFonts w:ascii="Book Antiqua" w:hAnsi="Book Antiqua"/>
          <w:sz w:val="24"/>
          <w:szCs w:val="24"/>
        </w:rPr>
        <w:t> 2007; </w:t>
      </w:r>
      <w:r w:rsidRPr="00B727B0">
        <w:rPr>
          <w:rFonts w:ascii="Book Antiqua" w:hAnsi="Book Antiqua"/>
          <w:b/>
          <w:bCs/>
          <w:sz w:val="24"/>
          <w:szCs w:val="24"/>
        </w:rPr>
        <w:t>20</w:t>
      </w:r>
      <w:r w:rsidRPr="00B727B0">
        <w:rPr>
          <w:rFonts w:ascii="Book Antiqua" w:hAnsi="Book Antiqua"/>
          <w:sz w:val="24"/>
          <w:szCs w:val="24"/>
        </w:rPr>
        <w:t>: 102-105 [PMID: 17181660 DOI: 10.1111/j.1432-2277.2006.00395.x]</w:t>
      </w:r>
    </w:p>
    <w:p w14:paraId="01FE1A1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Pescovitz MD</w:t>
      </w:r>
      <w:r w:rsidRPr="00B727B0">
        <w:rPr>
          <w:rFonts w:ascii="Book Antiqua" w:hAnsi="Book Antiqua"/>
          <w:sz w:val="24"/>
          <w:szCs w:val="24"/>
        </w:rPr>
        <w:t>, Book BK, Sidner RA. Resolution of recurrent focal segmental glomerulosclerosis proteinuria after rituximab treatment. </w:t>
      </w:r>
      <w:r w:rsidRPr="00B727B0">
        <w:rPr>
          <w:rFonts w:ascii="Book Antiqua" w:hAnsi="Book Antiqua"/>
          <w:i/>
          <w:iCs/>
          <w:sz w:val="24"/>
          <w:szCs w:val="24"/>
        </w:rPr>
        <w:t>N Engl J Med</w:t>
      </w:r>
      <w:r w:rsidRPr="00B727B0">
        <w:rPr>
          <w:rFonts w:ascii="Book Antiqua" w:hAnsi="Book Antiqua"/>
          <w:sz w:val="24"/>
          <w:szCs w:val="24"/>
        </w:rPr>
        <w:t> 2006; </w:t>
      </w:r>
      <w:r w:rsidRPr="00B727B0">
        <w:rPr>
          <w:rFonts w:ascii="Book Antiqua" w:hAnsi="Book Antiqua"/>
          <w:b/>
          <w:bCs/>
          <w:sz w:val="24"/>
          <w:szCs w:val="24"/>
        </w:rPr>
        <w:t>354</w:t>
      </w:r>
      <w:r w:rsidRPr="00B727B0">
        <w:rPr>
          <w:rFonts w:ascii="Book Antiqua" w:hAnsi="Book Antiqua"/>
          <w:sz w:val="24"/>
          <w:szCs w:val="24"/>
        </w:rPr>
        <w:t>: 1961-1963 [PMID: 16672715 DOI: 10.1056/NEJMc055495]</w:t>
      </w:r>
    </w:p>
    <w:p w14:paraId="0C3ADC7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Savin VJ</w:t>
      </w:r>
      <w:r w:rsidRPr="00B727B0">
        <w:rPr>
          <w:rFonts w:ascii="Book Antiqua" w:hAnsi="Book Antiqua"/>
          <w:sz w:val="24"/>
          <w:szCs w:val="24"/>
        </w:rPr>
        <w:t>, Sharma R, Sharma M, McCarthy ET, Swan SK, Ellis E, Lovell H, Warady B, Gunwar S, Chonko AM, Artero M, Vincenti F. Circulating factor associated with increased glomerular permeability to albumin in recurrent focal segmental glomerulosclerosis. </w:t>
      </w:r>
      <w:r w:rsidRPr="00B727B0">
        <w:rPr>
          <w:rFonts w:ascii="Book Antiqua" w:hAnsi="Book Antiqua"/>
          <w:i/>
          <w:iCs/>
          <w:sz w:val="24"/>
          <w:szCs w:val="24"/>
        </w:rPr>
        <w:t>N Engl J Med</w:t>
      </w:r>
      <w:r w:rsidRPr="00B727B0">
        <w:rPr>
          <w:rFonts w:ascii="Book Antiqua" w:hAnsi="Book Antiqua"/>
          <w:sz w:val="24"/>
          <w:szCs w:val="24"/>
        </w:rPr>
        <w:t> 1996; </w:t>
      </w:r>
      <w:r w:rsidRPr="00B727B0">
        <w:rPr>
          <w:rFonts w:ascii="Book Antiqua" w:hAnsi="Book Antiqua"/>
          <w:b/>
          <w:bCs/>
          <w:sz w:val="24"/>
          <w:szCs w:val="24"/>
        </w:rPr>
        <w:t>334</w:t>
      </w:r>
      <w:r w:rsidRPr="00B727B0">
        <w:rPr>
          <w:rFonts w:ascii="Book Antiqua" w:hAnsi="Book Antiqua"/>
          <w:sz w:val="24"/>
          <w:szCs w:val="24"/>
        </w:rPr>
        <w:t>: 878-883 [PMID: 8596570 DOI: 10.1056/NEJM199604043341402]</w:t>
      </w:r>
    </w:p>
    <w:p w14:paraId="49277B7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Yu CC</w:t>
      </w:r>
      <w:r w:rsidRPr="00B727B0">
        <w:rPr>
          <w:rFonts w:ascii="Book Antiqua" w:hAnsi="Book Antiqua"/>
          <w:sz w:val="24"/>
          <w:szCs w:val="24"/>
        </w:rPr>
        <w:t>, Fornoni A, Weins A, Hakroush S, Maiguel D, Sageshima J, Chen L, Ciancio G, Faridi MH, Behr D, Campbell KN, Chang JM, Chen HC, Oh J, Faul C, Arnaout MA, Fiorina P, Gupta V, Greka A, Burke GW 3rd, Mundel P. Abatacept in B7-1-positive proteinuric kidney disease. </w:t>
      </w:r>
      <w:r w:rsidRPr="00B727B0">
        <w:rPr>
          <w:rFonts w:ascii="Book Antiqua" w:hAnsi="Book Antiqua"/>
          <w:i/>
          <w:iCs/>
          <w:sz w:val="24"/>
          <w:szCs w:val="24"/>
        </w:rPr>
        <w:t>N Engl J Med</w:t>
      </w:r>
      <w:r w:rsidRPr="00B727B0">
        <w:rPr>
          <w:rFonts w:ascii="Book Antiqua" w:hAnsi="Book Antiqua"/>
          <w:sz w:val="24"/>
          <w:szCs w:val="24"/>
        </w:rPr>
        <w:t> 2013; </w:t>
      </w:r>
      <w:r w:rsidRPr="00B727B0">
        <w:rPr>
          <w:rFonts w:ascii="Book Antiqua" w:hAnsi="Book Antiqua"/>
          <w:b/>
          <w:bCs/>
          <w:sz w:val="24"/>
          <w:szCs w:val="24"/>
        </w:rPr>
        <w:t>369</w:t>
      </w:r>
      <w:r w:rsidRPr="00B727B0">
        <w:rPr>
          <w:rFonts w:ascii="Book Antiqua" w:hAnsi="Book Antiqua"/>
          <w:sz w:val="24"/>
          <w:szCs w:val="24"/>
        </w:rPr>
        <w:t>: 2416-2423 [PMID: 24206430 DOI: 10.1056/NEJMoa1304572]</w:t>
      </w:r>
    </w:p>
    <w:p w14:paraId="0AB99A90"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Yabu JM</w:t>
      </w:r>
      <w:r w:rsidRPr="00B727B0">
        <w:rPr>
          <w:rFonts w:ascii="Book Antiqua" w:hAnsi="Book Antiqua"/>
          <w:sz w:val="24"/>
          <w:szCs w:val="24"/>
        </w:rPr>
        <w:t>, Ho B, Scandling JD, Vincenti F. Rituximab failed to improve nephrotic syndrome in renal transplant patients with recurrent focal segmental glomerulosclerosis. </w:t>
      </w:r>
      <w:r w:rsidRPr="00B727B0">
        <w:rPr>
          <w:rFonts w:ascii="Book Antiqua" w:hAnsi="Book Antiqua"/>
          <w:i/>
          <w:iCs/>
          <w:sz w:val="24"/>
          <w:szCs w:val="24"/>
        </w:rPr>
        <w:t>Am J Transplant</w:t>
      </w:r>
      <w:r w:rsidRPr="00B727B0">
        <w:rPr>
          <w:rFonts w:ascii="Book Antiqua" w:hAnsi="Book Antiqua"/>
          <w:sz w:val="24"/>
          <w:szCs w:val="24"/>
        </w:rPr>
        <w:t> 2008; </w:t>
      </w:r>
      <w:r w:rsidRPr="00B727B0">
        <w:rPr>
          <w:rFonts w:ascii="Book Antiqua" w:hAnsi="Book Antiqua"/>
          <w:b/>
          <w:bCs/>
          <w:sz w:val="24"/>
          <w:szCs w:val="24"/>
        </w:rPr>
        <w:t>8</w:t>
      </w:r>
      <w:r w:rsidRPr="00B727B0">
        <w:rPr>
          <w:rFonts w:ascii="Book Antiqua" w:hAnsi="Book Antiqua"/>
          <w:sz w:val="24"/>
          <w:szCs w:val="24"/>
        </w:rPr>
        <w:t>: 222-227 [PMID: 17979998 DOI: 10.1111/j.1600-6143.2007.02021.x]</w:t>
      </w:r>
    </w:p>
    <w:p w14:paraId="0D6B2BE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Canaud G</w:t>
      </w:r>
      <w:r w:rsidRPr="00B727B0">
        <w:rPr>
          <w:rFonts w:ascii="Book Antiqua" w:hAnsi="Book Antiqua"/>
          <w:sz w:val="24"/>
          <w:szCs w:val="24"/>
        </w:rPr>
        <w:t>, Zuber J, Sberro R, Royale V, Anglicheau D, Snanoudj R, Gaha K, Thervet E, Lefrère F, Cavazzana-Calvo M, Noël LH, Méjean A, Legendre Ch, Martinez F. Intensive and prolonged treatment of focal and segmental glomerulosclerosis recurrence in adult kidney transplant recipients: a pilot study. </w:t>
      </w:r>
      <w:r w:rsidRPr="00B727B0">
        <w:rPr>
          <w:rFonts w:ascii="Book Antiqua" w:hAnsi="Book Antiqua"/>
          <w:i/>
          <w:iCs/>
          <w:sz w:val="24"/>
          <w:szCs w:val="24"/>
        </w:rPr>
        <w:t>Am J Transplant</w:t>
      </w:r>
      <w:r w:rsidRPr="00B727B0">
        <w:rPr>
          <w:rFonts w:ascii="Book Antiqua" w:hAnsi="Book Antiqua"/>
          <w:sz w:val="24"/>
          <w:szCs w:val="24"/>
        </w:rPr>
        <w:t> 2009; </w:t>
      </w:r>
      <w:r w:rsidRPr="00B727B0">
        <w:rPr>
          <w:rFonts w:ascii="Book Antiqua" w:hAnsi="Book Antiqua"/>
          <w:b/>
          <w:bCs/>
          <w:sz w:val="24"/>
          <w:szCs w:val="24"/>
        </w:rPr>
        <w:t>9</w:t>
      </w:r>
      <w:r w:rsidRPr="00B727B0">
        <w:rPr>
          <w:rFonts w:ascii="Book Antiqua" w:hAnsi="Book Antiqua"/>
          <w:sz w:val="24"/>
          <w:szCs w:val="24"/>
        </w:rPr>
        <w:t>: 1081-1086 [PMID: 19344432 DOI: 10.1111/j.1600-6143.2009.02580.x]</w:t>
      </w:r>
    </w:p>
    <w:p w14:paraId="638103F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Montagnino G</w:t>
      </w:r>
      <w:r w:rsidRPr="00B727B0">
        <w:rPr>
          <w:rFonts w:ascii="Book Antiqua" w:hAnsi="Book Antiqua"/>
          <w:sz w:val="24"/>
          <w:szCs w:val="24"/>
        </w:rPr>
        <w:t>, Tarantino A, Banfi G, Maccario M, Costamagna L, Ponticelli C. Double recurrence of FSGS after two renal transplants with complete regression after plasmapheresis and ACE inhibitors. </w:t>
      </w:r>
      <w:r w:rsidRPr="00B727B0">
        <w:rPr>
          <w:rFonts w:ascii="Book Antiqua" w:hAnsi="Book Antiqua"/>
          <w:i/>
          <w:iCs/>
          <w:sz w:val="24"/>
          <w:szCs w:val="24"/>
        </w:rPr>
        <w:t>Transpl Int</w:t>
      </w:r>
      <w:r w:rsidRPr="00B727B0">
        <w:rPr>
          <w:rFonts w:ascii="Book Antiqua" w:hAnsi="Book Antiqua"/>
          <w:sz w:val="24"/>
          <w:szCs w:val="24"/>
        </w:rPr>
        <w:t> 2000; </w:t>
      </w:r>
      <w:r w:rsidRPr="00B727B0">
        <w:rPr>
          <w:rFonts w:ascii="Book Antiqua" w:hAnsi="Book Antiqua"/>
          <w:b/>
          <w:bCs/>
          <w:sz w:val="24"/>
          <w:szCs w:val="24"/>
        </w:rPr>
        <w:t>13</w:t>
      </w:r>
      <w:r w:rsidRPr="00B727B0">
        <w:rPr>
          <w:rFonts w:ascii="Book Antiqua" w:hAnsi="Book Antiqua"/>
          <w:sz w:val="24"/>
          <w:szCs w:val="24"/>
        </w:rPr>
        <w:t>: 166-168 [PMID: 10836656]</w:t>
      </w:r>
    </w:p>
    <w:p w14:paraId="678288B3"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Savin VJ</w:t>
      </w:r>
      <w:r w:rsidRPr="00B727B0">
        <w:rPr>
          <w:rFonts w:ascii="Book Antiqua" w:hAnsi="Book Antiqua"/>
          <w:sz w:val="24"/>
          <w:szCs w:val="24"/>
        </w:rPr>
        <w:t>, McCarthy ET, Sharma R, Charba D, Sharma M. Galactose binds to focal segmental glomerulosclerosis permeability factor and inhibits its activity. </w:t>
      </w:r>
      <w:r w:rsidRPr="00B727B0">
        <w:rPr>
          <w:rFonts w:ascii="Book Antiqua" w:hAnsi="Book Antiqua"/>
          <w:i/>
          <w:iCs/>
          <w:sz w:val="24"/>
          <w:szCs w:val="24"/>
        </w:rPr>
        <w:t>Transl Res</w:t>
      </w:r>
      <w:r w:rsidRPr="00B727B0">
        <w:rPr>
          <w:rFonts w:ascii="Book Antiqua" w:hAnsi="Book Antiqua"/>
          <w:sz w:val="24"/>
          <w:szCs w:val="24"/>
        </w:rPr>
        <w:t> 2008; </w:t>
      </w:r>
      <w:r w:rsidRPr="00B727B0">
        <w:rPr>
          <w:rFonts w:ascii="Book Antiqua" w:hAnsi="Book Antiqua"/>
          <w:b/>
          <w:bCs/>
          <w:sz w:val="24"/>
          <w:szCs w:val="24"/>
        </w:rPr>
        <w:t>151</w:t>
      </w:r>
      <w:r w:rsidRPr="00B727B0">
        <w:rPr>
          <w:rFonts w:ascii="Book Antiqua" w:hAnsi="Book Antiqua"/>
          <w:sz w:val="24"/>
          <w:szCs w:val="24"/>
        </w:rPr>
        <w:t>: 288-292 [PMID: 18514139 DOI: 10.1016/j.trsl.2008.04.001]</w:t>
      </w:r>
    </w:p>
    <w:p w14:paraId="15C3370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Kershaw DB</w:t>
      </w:r>
      <w:r w:rsidRPr="00B727B0">
        <w:rPr>
          <w:rFonts w:ascii="Book Antiqua" w:hAnsi="Book Antiqua"/>
          <w:sz w:val="24"/>
          <w:szCs w:val="24"/>
        </w:rPr>
        <w:t>, Sedman AB, Kelsch RC, Bunchman TE. Recurrent focal segmental glomerulosclerosis in pediatric renal transplant recipients: successful treatment with oral cyclophosphamide. </w:t>
      </w:r>
      <w:r w:rsidRPr="00B727B0">
        <w:rPr>
          <w:rFonts w:ascii="Book Antiqua" w:hAnsi="Book Antiqua"/>
          <w:i/>
          <w:iCs/>
          <w:sz w:val="24"/>
          <w:szCs w:val="24"/>
        </w:rPr>
        <w:t>Clin Transplant</w:t>
      </w:r>
      <w:r w:rsidRPr="00B727B0">
        <w:rPr>
          <w:rFonts w:ascii="Book Antiqua" w:hAnsi="Book Antiqua"/>
          <w:sz w:val="24"/>
          <w:szCs w:val="24"/>
        </w:rPr>
        <w:t> 1994; </w:t>
      </w:r>
      <w:r w:rsidRPr="00B727B0">
        <w:rPr>
          <w:rFonts w:ascii="Book Antiqua" w:hAnsi="Book Antiqua"/>
          <w:b/>
          <w:bCs/>
          <w:sz w:val="24"/>
          <w:szCs w:val="24"/>
        </w:rPr>
        <w:t>8</w:t>
      </w:r>
      <w:r w:rsidRPr="00B727B0">
        <w:rPr>
          <w:rFonts w:ascii="Book Antiqua" w:hAnsi="Book Antiqua"/>
          <w:sz w:val="24"/>
          <w:szCs w:val="24"/>
        </w:rPr>
        <w:t>: 546-549 [PMID: 7865917]</w:t>
      </w:r>
    </w:p>
    <w:p w14:paraId="7D231F5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Cochat P</w:t>
      </w:r>
      <w:r w:rsidRPr="00B727B0">
        <w:rPr>
          <w:rFonts w:ascii="Book Antiqua" w:hAnsi="Book Antiqua"/>
          <w:sz w:val="24"/>
          <w:szCs w:val="24"/>
        </w:rPr>
        <w:t>, Kassir A, Colon S, Glastre C, Tourniaire B, Parchoux B, Martin X, David L. Recurrent nephrotic syndrome after transplantation: early treatment with plasmaphaeresis and cyclophosphamide. </w:t>
      </w:r>
      <w:r w:rsidRPr="00B727B0">
        <w:rPr>
          <w:rFonts w:ascii="Book Antiqua" w:hAnsi="Book Antiqua"/>
          <w:i/>
          <w:iCs/>
          <w:sz w:val="24"/>
          <w:szCs w:val="24"/>
        </w:rPr>
        <w:t>Pediatr Nephrol</w:t>
      </w:r>
      <w:r w:rsidRPr="00B727B0">
        <w:rPr>
          <w:rFonts w:ascii="Book Antiqua" w:hAnsi="Book Antiqua"/>
          <w:sz w:val="24"/>
          <w:szCs w:val="24"/>
        </w:rPr>
        <w:t> 1993; </w:t>
      </w:r>
      <w:r w:rsidRPr="00B727B0">
        <w:rPr>
          <w:rFonts w:ascii="Book Antiqua" w:hAnsi="Book Antiqua"/>
          <w:b/>
          <w:bCs/>
          <w:sz w:val="24"/>
          <w:szCs w:val="24"/>
        </w:rPr>
        <w:t>7</w:t>
      </w:r>
      <w:r w:rsidRPr="00B727B0">
        <w:rPr>
          <w:rFonts w:ascii="Book Antiqua" w:hAnsi="Book Antiqua"/>
          <w:sz w:val="24"/>
          <w:szCs w:val="24"/>
        </w:rPr>
        <w:t>: 50-54 [PMID: 8439479]</w:t>
      </w:r>
    </w:p>
    <w:p w14:paraId="4776735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Cheong HI</w:t>
      </w:r>
      <w:r w:rsidRPr="00B727B0">
        <w:rPr>
          <w:rFonts w:ascii="Book Antiqua" w:hAnsi="Book Antiqua"/>
          <w:sz w:val="24"/>
          <w:szCs w:val="24"/>
        </w:rPr>
        <w:t>, Han HW, Park HW, Ha IS, Han KS, Lee HS, Kim SJ, Choi Y. Early recurrent nephrotic syndrome after renal transplantation in children with focal segmental glomerulosclerosis. </w:t>
      </w:r>
      <w:r w:rsidRPr="00B727B0">
        <w:rPr>
          <w:rFonts w:ascii="Book Antiqua" w:hAnsi="Book Antiqua"/>
          <w:i/>
          <w:iCs/>
          <w:sz w:val="24"/>
          <w:szCs w:val="24"/>
        </w:rPr>
        <w:t>Nephrol Dial Transplant</w:t>
      </w:r>
      <w:r w:rsidRPr="00B727B0">
        <w:rPr>
          <w:rFonts w:ascii="Book Antiqua" w:hAnsi="Book Antiqua"/>
          <w:sz w:val="24"/>
          <w:szCs w:val="24"/>
        </w:rPr>
        <w:t> 2000; </w:t>
      </w:r>
      <w:r w:rsidRPr="00B727B0">
        <w:rPr>
          <w:rFonts w:ascii="Book Antiqua" w:hAnsi="Book Antiqua"/>
          <w:b/>
          <w:bCs/>
          <w:sz w:val="24"/>
          <w:szCs w:val="24"/>
        </w:rPr>
        <w:t>15</w:t>
      </w:r>
      <w:r w:rsidRPr="00B727B0">
        <w:rPr>
          <w:rFonts w:ascii="Book Antiqua" w:hAnsi="Book Antiqua"/>
          <w:sz w:val="24"/>
          <w:szCs w:val="24"/>
        </w:rPr>
        <w:t>: 78-81 [PMID: 10607771]</w:t>
      </w:r>
    </w:p>
    <w:p w14:paraId="2632F079"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lastRenderedPageBreak/>
        <w:t>Dall'Amico R</w:t>
      </w:r>
      <w:r w:rsidRPr="00B727B0">
        <w:rPr>
          <w:rFonts w:ascii="Book Antiqua" w:hAnsi="Book Antiqua"/>
          <w:sz w:val="24"/>
          <w:szCs w:val="24"/>
        </w:rPr>
        <w:t>, Ghiggeri G, Carraro M, Artero M, Ghio L, Zamorani E, Zennaro C, Basile G, Montini G, Rivabella L, Cardillo M, Scalamogna M, Ginevri F. Prediction and treatment of recurrent focal segmental glomerulosclerosis after renal transplantation in children. </w:t>
      </w:r>
      <w:r w:rsidRPr="00B727B0">
        <w:rPr>
          <w:rFonts w:ascii="Book Antiqua" w:hAnsi="Book Antiqua"/>
          <w:i/>
          <w:iCs/>
          <w:sz w:val="24"/>
          <w:szCs w:val="24"/>
        </w:rPr>
        <w:t>Am J Kidney Dis</w:t>
      </w:r>
      <w:r w:rsidRPr="00B727B0">
        <w:rPr>
          <w:rFonts w:ascii="Book Antiqua" w:hAnsi="Book Antiqua"/>
          <w:sz w:val="24"/>
          <w:szCs w:val="24"/>
        </w:rPr>
        <w:t> 1999; </w:t>
      </w:r>
      <w:r w:rsidRPr="00B727B0">
        <w:rPr>
          <w:rFonts w:ascii="Book Antiqua" w:hAnsi="Book Antiqua"/>
          <w:b/>
          <w:bCs/>
          <w:sz w:val="24"/>
          <w:szCs w:val="24"/>
        </w:rPr>
        <w:t>34</w:t>
      </w:r>
      <w:r w:rsidRPr="00B727B0">
        <w:rPr>
          <w:rFonts w:ascii="Book Antiqua" w:hAnsi="Book Antiqua"/>
          <w:sz w:val="24"/>
          <w:szCs w:val="24"/>
        </w:rPr>
        <w:t>: 1048-1055 [PMID: 10585314 DOI: 10.1016/S0272-6386(99)70010-7]</w:t>
      </w:r>
    </w:p>
    <w:p w14:paraId="0B402A14"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Vinai M</w:t>
      </w:r>
      <w:r w:rsidRPr="00B727B0">
        <w:rPr>
          <w:rFonts w:ascii="Book Antiqua" w:hAnsi="Book Antiqua"/>
          <w:sz w:val="24"/>
          <w:szCs w:val="24"/>
        </w:rPr>
        <w:t>, Waber P, Seikaly MG. Recurrence of focal segmental glomerulosclerosis in renal allograft: an in-depth review. </w:t>
      </w:r>
      <w:r w:rsidRPr="00B727B0">
        <w:rPr>
          <w:rFonts w:ascii="Book Antiqua" w:hAnsi="Book Antiqua"/>
          <w:i/>
          <w:iCs/>
          <w:sz w:val="24"/>
          <w:szCs w:val="24"/>
        </w:rPr>
        <w:t>Pediatr Transplant</w:t>
      </w:r>
      <w:r w:rsidRPr="00B727B0">
        <w:rPr>
          <w:rFonts w:ascii="Book Antiqua" w:hAnsi="Book Antiqua"/>
          <w:sz w:val="24"/>
          <w:szCs w:val="24"/>
        </w:rPr>
        <w:t> 2010; </w:t>
      </w:r>
      <w:r w:rsidRPr="00B727B0">
        <w:rPr>
          <w:rFonts w:ascii="Book Antiqua" w:hAnsi="Book Antiqua"/>
          <w:b/>
          <w:bCs/>
          <w:sz w:val="24"/>
          <w:szCs w:val="24"/>
        </w:rPr>
        <w:t>14</w:t>
      </w:r>
      <w:r w:rsidRPr="00B727B0">
        <w:rPr>
          <w:rFonts w:ascii="Book Antiqua" w:hAnsi="Book Antiqua"/>
          <w:sz w:val="24"/>
          <w:szCs w:val="24"/>
        </w:rPr>
        <w:t>: 314-325 [PMID: 20519016 DOI: 10.1111/j.1399-3046.2009.01261.x]</w:t>
      </w:r>
    </w:p>
    <w:p w14:paraId="379AE5C2"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Garin EH</w:t>
      </w:r>
      <w:r w:rsidRPr="00B727B0">
        <w:rPr>
          <w:rFonts w:ascii="Book Antiqua" w:hAnsi="Book Antiqua"/>
          <w:sz w:val="24"/>
          <w:szCs w:val="24"/>
        </w:rPr>
        <w:t>, Reiser J, Cara-Fuentes G, Wei C, Matar D, Wang H, Alachkar N, Johnson RJ. Case series: CTLA4-IgG1 therapy in minimal change disease and focal segmental glomerulosclerosis. </w:t>
      </w:r>
      <w:r w:rsidRPr="00B727B0">
        <w:rPr>
          <w:rFonts w:ascii="Book Antiqua" w:hAnsi="Book Antiqua"/>
          <w:i/>
          <w:iCs/>
          <w:sz w:val="24"/>
          <w:szCs w:val="24"/>
        </w:rPr>
        <w:t>Pediatr Nephrol</w:t>
      </w:r>
      <w:r w:rsidRPr="00B727B0">
        <w:rPr>
          <w:rFonts w:ascii="Book Antiqua" w:hAnsi="Book Antiqua"/>
          <w:sz w:val="24"/>
          <w:szCs w:val="24"/>
        </w:rPr>
        <w:t> 2015; </w:t>
      </w:r>
      <w:r w:rsidRPr="00B727B0">
        <w:rPr>
          <w:rFonts w:ascii="Book Antiqua" w:hAnsi="Book Antiqua"/>
          <w:b/>
          <w:bCs/>
          <w:sz w:val="24"/>
          <w:szCs w:val="24"/>
        </w:rPr>
        <w:t>30</w:t>
      </w:r>
      <w:r w:rsidRPr="00B727B0">
        <w:rPr>
          <w:rFonts w:ascii="Book Antiqua" w:hAnsi="Book Antiqua"/>
          <w:sz w:val="24"/>
          <w:szCs w:val="24"/>
        </w:rPr>
        <w:t>: 469-477 [PMID: 25239302 DOI: 10.1007/s00467-014-2957-6]</w:t>
      </w:r>
    </w:p>
    <w:p w14:paraId="4C6D088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Alachkar N</w:t>
      </w:r>
      <w:r w:rsidRPr="00B727B0">
        <w:rPr>
          <w:rFonts w:ascii="Book Antiqua" w:hAnsi="Book Antiqua"/>
          <w:sz w:val="24"/>
          <w:szCs w:val="24"/>
        </w:rPr>
        <w:t>, Carter-Monroe N, Reiser J. Abatacept in B7-1-positive proteinuric kidney disease. </w:t>
      </w:r>
      <w:r w:rsidRPr="00B727B0">
        <w:rPr>
          <w:rFonts w:ascii="Book Antiqua" w:hAnsi="Book Antiqua"/>
          <w:i/>
          <w:iCs/>
          <w:sz w:val="24"/>
          <w:szCs w:val="24"/>
        </w:rPr>
        <w:t>N Engl J Med</w:t>
      </w:r>
      <w:r w:rsidRPr="00B727B0">
        <w:rPr>
          <w:rFonts w:ascii="Book Antiqua" w:hAnsi="Book Antiqua"/>
          <w:sz w:val="24"/>
          <w:szCs w:val="24"/>
        </w:rPr>
        <w:t> 2014; </w:t>
      </w:r>
      <w:r w:rsidRPr="00B727B0">
        <w:rPr>
          <w:rFonts w:ascii="Book Antiqua" w:hAnsi="Book Antiqua"/>
          <w:b/>
          <w:bCs/>
          <w:sz w:val="24"/>
          <w:szCs w:val="24"/>
        </w:rPr>
        <w:t>370</w:t>
      </w:r>
      <w:r w:rsidRPr="00B727B0">
        <w:rPr>
          <w:rFonts w:ascii="Book Antiqua" w:hAnsi="Book Antiqua"/>
          <w:sz w:val="24"/>
          <w:szCs w:val="24"/>
        </w:rPr>
        <w:t>: 1263-1264 [PMID: 24670180 DOI: 10.1056/NEJMc1400502#SA2]</w:t>
      </w:r>
    </w:p>
    <w:p w14:paraId="0DEE41ED"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Alkandari O</w:t>
      </w:r>
      <w:r w:rsidRPr="00B727B0">
        <w:rPr>
          <w:rFonts w:ascii="Book Antiqua" w:hAnsi="Book Antiqua"/>
          <w:sz w:val="24"/>
          <w:szCs w:val="24"/>
        </w:rPr>
        <w:t>, Nampoory N, Nair P, Atta A, Zakaria Z, Mossad A, Yagan J, Al-Otaibi T. Recurrent Focal Segmental Glomerulosclerosis and Abatacept: Case Report. </w:t>
      </w:r>
      <w:r w:rsidRPr="00B727B0">
        <w:rPr>
          <w:rFonts w:ascii="Book Antiqua" w:hAnsi="Book Antiqua"/>
          <w:i/>
          <w:iCs/>
          <w:sz w:val="24"/>
          <w:szCs w:val="24"/>
        </w:rPr>
        <w:t>Exp Clin Transplant</w:t>
      </w:r>
      <w:r w:rsidRPr="00B727B0">
        <w:rPr>
          <w:rFonts w:ascii="Book Antiqua" w:hAnsi="Book Antiqua"/>
          <w:sz w:val="24"/>
          <w:szCs w:val="24"/>
        </w:rPr>
        <w:t> 2016; </w:t>
      </w:r>
      <w:r w:rsidRPr="00B727B0">
        <w:rPr>
          <w:rFonts w:ascii="Book Antiqua" w:hAnsi="Book Antiqua"/>
          <w:b/>
          <w:bCs/>
          <w:sz w:val="24"/>
          <w:szCs w:val="24"/>
        </w:rPr>
        <w:t>14</w:t>
      </w:r>
      <w:r w:rsidRPr="00B727B0">
        <w:rPr>
          <w:rFonts w:ascii="Book Antiqua" w:hAnsi="Book Antiqua"/>
          <w:sz w:val="24"/>
          <w:szCs w:val="24"/>
        </w:rPr>
        <w:t>: 456-459 [PMID: 25432003 DOI: 10.6002/ect.2014.0154]</w:t>
      </w:r>
    </w:p>
    <w:p w14:paraId="0863CAC3"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Berthoux F</w:t>
      </w:r>
      <w:r w:rsidRPr="00B727B0">
        <w:rPr>
          <w:rFonts w:ascii="Book Antiqua" w:hAnsi="Book Antiqua"/>
          <w:sz w:val="24"/>
          <w:szCs w:val="24"/>
        </w:rPr>
        <w:t>, El Deeb S, Mariat C, Diconne E, Laurent B, Thibaudin L. Antithymocyte globulin (ATG) induction therapy and disease recurrence in renal transplant recipients with primary IgA nephropathy. </w:t>
      </w:r>
      <w:r w:rsidRPr="00B727B0">
        <w:rPr>
          <w:rFonts w:ascii="Book Antiqua" w:hAnsi="Book Antiqua"/>
          <w:i/>
          <w:iCs/>
          <w:sz w:val="24"/>
          <w:szCs w:val="24"/>
        </w:rPr>
        <w:t>Transplantation</w:t>
      </w:r>
      <w:r w:rsidRPr="00B727B0">
        <w:rPr>
          <w:rFonts w:ascii="Book Antiqua" w:hAnsi="Book Antiqua"/>
          <w:sz w:val="24"/>
          <w:szCs w:val="24"/>
        </w:rPr>
        <w:t> 2008; </w:t>
      </w:r>
      <w:r w:rsidRPr="00B727B0">
        <w:rPr>
          <w:rFonts w:ascii="Book Antiqua" w:hAnsi="Book Antiqua"/>
          <w:b/>
          <w:bCs/>
          <w:sz w:val="24"/>
          <w:szCs w:val="24"/>
        </w:rPr>
        <w:t>85</w:t>
      </w:r>
      <w:r w:rsidRPr="00B727B0">
        <w:rPr>
          <w:rFonts w:ascii="Book Antiqua" w:hAnsi="Book Antiqua"/>
          <w:sz w:val="24"/>
          <w:szCs w:val="24"/>
        </w:rPr>
        <w:t>: 1505-1507 [PMID: 18497694 DOI: 10.1097/]</w:t>
      </w:r>
    </w:p>
    <w:p w14:paraId="77664E03"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Hotta K</w:t>
      </w:r>
      <w:r w:rsidRPr="00B727B0">
        <w:rPr>
          <w:rFonts w:ascii="Book Antiqua" w:hAnsi="Book Antiqua"/>
          <w:sz w:val="24"/>
          <w:szCs w:val="24"/>
        </w:rPr>
        <w:t xml:space="preserve">, Fukasawa Y, Akimoto M, Tanabe T, Sasaki H, Fukuzawa N, Seki T, Togashi M, Harada H. Tonsillectomy ameliorates histological damage of recurrent immunoglobulin A nephropathy after kidney </w:t>
      </w:r>
      <w:r w:rsidRPr="00B727B0">
        <w:rPr>
          <w:rFonts w:ascii="Book Antiqua" w:hAnsi="Book Antiqua"/>
          <w:sz w:val="24"/>
          <w:szCs w:val="24"/>
        </w:rPr>
        <w:lastRenderedPageBreak/>
        <w:t>transplantation. </w:t>
      </w:r>
      <w:r w:rsidRPr="00B727B0">
        <w:rPr>
          <w:rFonts w:ascii="Book Antiqua" w:hAnsi="Book Antiqua"/>
          <w:i/>
          <w:iCs/>
          <w:sz w:val="24"/>
          <w:szCs w:val="24"/>
        </w:rPr>
        <w:t xml:space="preserve">Nephrology </w:t>
      </w:r>
      <w:r w:rsidRPr="00B727B0">
        <w:rPr>
          <w:rFonts w:ascii="Book Antiqua" w:hAnsi="Book Antiqua"/>
          <w:iCs/>
          <w:sz w:val="24"/>
          <w:szCs w:val="24"/>
        </w:rPr>
        <w:t>(Carlton)</w:t>
      </w:r>
      <w:r w:rsidRPr="00B727B0">
        <w:rPr>
          <w:rFonts w:ascii="Book Antiqua" w:hAnsi="Book Antiqua"/>
          <w:sz w:val="24"/>
          <w:szCs w:val="24"/>
        </w:rPr>
        <w:t> 2013; </w:t>
      </w:r>
      <w:r w:rsidRPr="00B727B0">
        <w:rPr>
          <w:rFonts w:ascii="Book Antiqua" w:hAnsi="Book Antiqua"/>
          <w:b/>
          <w:bCs/>
          <w:sz w:val="24"/>
          <w:szCs w:val="24"/>
        </w:rPr>
        <w:t>18</w:t>
      </w:r>
      <w:r w:rsidRPr="00B727B0">
        <w:rPr>
          <w:rFonts w:ascii="Book Antiqua" w:hAnsi="Book Antiqua"/>
          <w:sz w:val="24"/>
          <w:szCs w:val="24"/>
        </w:rPr>
        <w:t>: 808-812 [PMID: 23941658 DOI: 10.1111/nep.12151]</w:t>
      </w:r>
    </w:p>
    <w:p w14:paraId="2ACBCB9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Kennoki T</w:t>
      </w:r>
      <w:r w:rsidRPr="00B727B0">
        <w:rPr>
          <w:rFonts w:ascii="Book Antiqua" w:hAnsi="Book Antiqua"/>
          <w:sz w:val="24"/>
          <w:szCs w:val="24"/>
        </w:rPr>
        <w:t>, Ishida H, Yamaguchi Y, Tanabe K. Proteinuria-reducing effects of tonsillectomy alone in IgA nephropathy recurring after kidney transplantation. </w:t>
      </w:r>
      <w:r w:rsidRPr="00B727B0">
        <w:rPr>
          <w:rFonts w:ascii="Book Antiqua" w:hAnsi="Book Antiqua"/>
          <w:i/>
          <w:iCs/>
          <w:sz w:val="24"/>
          <w:szCs w:val="24"/>
        </w:rPr>
        <w:t>Transplantation</w:t>
      </w:r>
      <w:r w:rsidRPr="00B727B0">
        <w:rPr>
          <w:rFonts w:ascii="Book Antiqua" w:hAnsi="Book Antiqua"/>
          <w:sz w:val="24"/>
          <w:szCs w:val="24"/>
        </w:rPr>
        <w:t> 2009; </w:t>
      </w:r>
      <w:r w:rsidRPr="00B727B0">
        <w:rPr>
          <w:rFonts w:ascii="Book Antiqua" w:hAnsi="Book Antiqua"/>
          <w:b/>
          <w:bCs/>
          <w:sz w:val="24"/>
          <w:szCs w:val="24"/>
        </w:rPr>
        <w:t>88</w:t>
      </w:r>
      <w:r w:rsidRPr="00B727B0">
        <w:rPr>
          <w:rFonts w:ascii="Book Antiqua" w:hAnsi="Book Antiqua"/>
          <w:sz w:val="24"/>
          <w:szCs w:val="24"/>
        </w:rPr>
        <w:t>: 935-941 [PMID: 19935466 DOI: 10.1097/TP.0b013e3181b75374]</w:t>
      </w:r>
    </w:p>
    <w:p w14:paraId="674F2FE8"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Ushigome H</w:t>
      </w:r>
      <w:r w:rsidRPr="00B727B0">
        <w:rPr>
          <w:rFonts w:ascii="Book Antiqua" w:hAnsi="Book Antiqua"/>
          <w:sz w:val="24"/>
          <w:szCs w:val="24"/>
        </w:rPr>
        <w:t>, Suzuki T, Fujiki M, Nobori S, Sakamoto S, Okamoto M, Urasaki K, Yoshimura N. Efficacy of tonsillectomy for patients with recurrence of IgA nephropathy after kidney transplantation. </w:t>
      </w:r>
      <w:r w:rsidRPr="00B727B0">
        <w:rPr>
          <w:rFonts w:ascii="Book Antiqua" w:hAnsi="Book Antiqua"/>
          <w:i/>
          <w:iCs/>
          <w:sz w:val="24"/>
          <w:szCs w:val="24"/>
        </w:rPr>
        <w:t>Clin Transplant</w:t>
      </w:r>
      <w:r w:rsidRPr="00B727B0">
        <w:rPr>
          <w:rFonts w:ascii="Book Antiqua" w:hAnsi="Book Antiqua"/>
          <w:sz w:val="24"/>
          <w:szCs w:val="24"/>
        </w:rPr>
        <w:t> 2009; </w:t>
      </w:r>
      <w:r w:rsidRPr="00B727B0">
        <w:rPr>
          <w:rFonts w:ascii="Book Antiqua" w:hAnsi="Book Antiqua"/>
          <w:b/>
          <w:bCs/>
          <w:sz w:val="24"/>
          <w:szCs w:val="24"/>
        </w:rPr>
        <w:t>23 Suppl 20</w:t>
      </w:r>
      <w:r w:rsidRPr="00B727B0">
        <w:rPr>
          <w:rFonts w:ascii="Book Antiqua" w:hAnsi="Book Antiqua"/>
          <w:sz w:val="24"/>
          <w:szCs w:val="24"/>
        </w:rPr>
        <w:t>: 17-22 [PMID: 19594590 DOI: 10.1111/j.1399-0012.2009.01003.x]</w:t>
      </w:r>
    </w:p>
    <w:p w14:paraId="63EDCA5F"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Floege J</w:t>
      </w:r>
      <w:r w:rsidRPr="00B727B0">
        <w:rPr>
          <w:rFonts w:ascii="Book Antiqua" w:hAnsi="Book Antiqua"/>
          <w:sz w:val="24"/>
          <w:szCs w:val="24"/>
        </w:rPr>
        <w:t>, Gröne HJ. Recurrent IgA nephropathy in the renal allograft: not a benign condition. </w:t>
      </w:r>
      <w:r w:rsidRPr="00B727B0">
        <w:rPr>
          <w:rFonts w:ascii="Book Antiqua" w:hAnsi="Book Antiqua"/>
          <w:i/>
          <w:iCs/>
          <w:sz w:val="24"/>
          <w:szCs w:val="24"/>
        </w:rPr>
        <w:t>Nephrol Dial Transplant</w:t>
      </w:r>
      <w:r w:rsidRPr="00B727B0">
        <w:rPr>
          <w:rFonts w:ascii="Book Antiqua" w:hAnsi="Book Antiqua"/>
          <w:sz w:val="24"/>
          <w:szCs w:val="24"/>
        </w:rPr>
        <w:t> 2013; </w:t>
      </w:r>
      <w:r w:rsidRPr="00B727B0">
        <w:rPr>
          <w:rFonts w:ascii="Book Antiqua" w:hAnsi="Book Antiqua"/>
          <w:b/>
          <w:bCs/>
          <w:sz w:val="24"/>
          <w:szCs w:val="24"/>
        </w:rPr>
        <w:t>28</w:t>
      </w:r>
      <w:r w:rsidRPr="00B727B0">
        <w:rPr>
          <w:rFonts w:ascii="Book Antiqua" w:hAnsi="Book Antiqua"/>
          <w:sz w:val="24"/>
          <w:szCs w:val="24"/>
        </w:rPr>
        <w:t>: 1070-1073 [PMID: 23674835 DOI: 10.1093/ndt/gft077]</w:t>
      </w:r>
    </w:p>
    <w:p w14:paraId="3479785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Oka K</w:t>
      </w:r>
      <w:r w:rsidRPr="00B727B0">
        <w:rPr>
          <w:rFonts w:ascii="Book Antiqua" w:hAnsi="Book Antiqua"/>
          <w:sz w:val="24"/>
          <w:szCs w:val="24"/>
        </w:rPr>
        <w:t>, Imai E, Moriyama T, Akagi Y, Ando A, Hori M, Okuyama A, Toki K, Kyo M, Kokado Y, Takahara S. A clinicopathological study of IgA nephropathy in renal transplant recipients: beneficial effect of angiotensin-converting enzyme inhibitor. </w:t>
      </w:r>
      <w:r w:rsidRPr="00B727B0">
        <w:rPr>
          <w:rFonts w:ascii="Book Antiqua" w:hAnsi="Book Antiqua"/>
          <w:i/>
          <w:iCs/>
          <w:sz w:val="24"/>
          <w:szCs w:val="24"/>
        </w:rPr>
        <w:t>Nephrol Dial Transplant</w:t>
      </w:r>
      <w:r w:rsidRPr="00B727B0">
        <w:rPr>
          <w:rFonts w:ascii="Book Antiqua" w:hAnsi="Book Antiqua"/>
          <w:sz w:val="24"/>
          <w:szCs w:val="24"/>
        </w:rPr>
        <w:t> 2000; </w:t>
      </w:r>
      <w:r w:rsidRPr="00B727B0">
        <w:rPr>
          <w:rFonts w:ascii="Book Antiqua" w:hAnsi="Book Antiqua"/>
          <w:b/>
          <w:bCs/>
          <w:sz w:val="24"/>
          <w:szCs w:val="24"/>
        </w:rPr>
        <w:t>15</w:t>
      </w:r>
      <w:r w:rsidRPr="00B727B0">
        <w:rPr>
          <w:rFonts w:ascii="Book Antiqua" w:hAnsi="Book Antiqua"/>
          <w:sz w:val="24"/>
          <w:szCs w:val="24"/>
        </w:rPr>
        <w:t>: 689-695 [PMID: 10809812 DOI: 10.1093/ndt/15.5.689]</w:t>
      </w:r>
    </w:p>
    <w:p w14:paraId="330AE65E"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Courtney AE</w:t>
      </w:r>
      <w:r w:rsidRPr="00B727B0">
        <w:rPr>
          <w:rFonts w:ascii="Book Antiqua" w:hAnsi="Book Antiqua"/>
          <w:sz w:val="24"/>
          <w:szCs w:val="24"/>
        </w:rPr>
        <w:t>, McNamee PT, Nelson WE, Maxwell AP. Does angiotensin blockade influence graft outcome in renal transplant recipients with IgA nephropathy? </w:t>
      </w:r>
      <w:r w:rsidRPr="00B727B0">
        <w:rPr>
          <w:rFonts w:ascii="Book Antiqua" w:hAnsi="Book Antiqua"/>
          <w:i/>
          <w:iCs/>
          <w:sz w:val="24"/>
          <w:szCs w:val="24"/>
        </w:rPr>
        <w:t>Nephrol Dial Transplant</w:t>
      </w:r>
      <w:r w:rsidRPr="00B727B0">
        <w:rPr>
          <w:rFonts w:ascii="Book Antiqua" w:hAnsi="Book Antiqua"/>
          <w:sz w:val="24"/>
          <w:szCs w:val="24"/>
        </w:rPr>
        <w:t> 2006; </w:t>
      </w:r>
      <w:r w:rsidRPr="00B727B0">
        <w:rPr>
          <w:rFonts w:ascii="Book Antiqua" w:hAnsi="Book Antiqua"/>
          <w:b/>
          <w:bCs/>
          <w:sz w:val="24"/>
          <w:szCs w:val="24"/>
        </w:rPr>
        <w:t>21</w:t>
      </w:r>
      <w:r w:rsidRPr="00B727B0">
        <w:rPr>
          <w:rFonts w:ascii="Book Antiqua" w:hAnsi="Book Antiqua"/>
          <w:sz w:val="24"/>
          <w:szCs w:val="24"/>
        </w:rPr>
        <w:t>: 3550-3554 [PMID: 16968729 DOI: 10.1093/ndt/gfl506]</w:t>
      </w:r>
    </w:p>
    <w:p w14:paraId="44347D8A" w14:textId="77777777" w:rsidR="00C95E27" w:rsidRPr="00B727B0" w:rsidRDefault="00C95E27" w:rsidP="007312CD">
      <w:pPr>
        <w:pStyle w:val="ListParagraph"/>
        <w:numPr>
          <w:ilvl w:val="0"/>
          <w:numId w:val="17"/>
        </w:numPr>
        <w:adjustRightInd w:val="0"/>
        <w:snapToGrid w:val="0"/>
        <w:spacing w:after="0" w:line="360" w:lineRule="auto"/>
        <w:ind w:left="426" w:hanging="426"/>
        <w:jc w:val="both"/>
        <w:rPr>
          <w:rFonts w:ascii="Book Antiqua" w:hAnsi="Book Antiqua"/>
          <w:sz w:val="24"/>
          <w:szCs w:val="24"/>
        </w:rPr>
      </w:pPr>
      <w:r w:rsidRPr="00B727B0">
        <w:rPr>
          <w:rFonts w:ascii="Book Antiqua" w:hAnsi="Book Antiqua"/>
          <w:b/>
          <w:bCs/>
          <w:sz w:val="24"/>
          <w:szCs w:val="24"/>
        </w:rPr>
        <w:t>Rauen T</w:t>
      </w:r>
      <w:r w:rsidRPr="00B727B0">
        <w:rPr>
          <w:rFonts w:ascii="Book Antiqua" w:hAnsi="Book Antiqua"/>
          <w:sz w:val="24"/>
          <w:szCs w:val="24"/>
        </w:rPr>
        <w:t>, Eitner F, Fitzner C, Sommerer C, Zeier M, Otte B, Panzer U, Peters H, Benck U, Mertens PR, Kuhlmann U, Witzke O, Gross O, Vielhauer V, Mann JF, Hilgers RD, Floege J; STOP-IgAN Investigators. Intensive Supportive Care plus Immunosuppression in IgA Nephropathy. </w:t>
      </w:r>
      <w:r w:rsidRPr="00B727B0">
        <w:rPr>
          <w:rFonts w:ascii="Book Antiqua" w:hAnsi="Book Antiqua"/>
          <w:i/>
          <w:iCs/>
          <w:sz w:val="24"/>
          <w:szCs w:val="24"/>
        </w:rPr>
        <w:t>N Engl J Med</w:t>
      </w:r>
      <w:r w:rsidRPr="00B727B0">
        <w:rPr>
          <w:rFonts w:ascii="Book Antiqua" w:hAnsi="Book Antiqua"/>
          <w:sz w:val="24"/>
          <w:szCs w:val="24"/>
        </w:rPr>
        <w:t> 2015; </w:t>
      </w:r>
      <w:r w:rsidRPr="00B727B0">
        <w:rPr>
          <w:rFonts w:ascii="Book Antiqua" w:hAnsi="Book Antiqua"/>
          <w:b/>
          <w:bCs/>
          <w:sz w:val="24"/>
          <w:szCs w:val="24"/>
        </w:rPr>
        <w:t>373</w:t>
      </w:r>
      <w:r w:rsidRPr="00B727B0">
        <w:rPr>
          <w:rFonts w:ascii="Book Antiqua" w:hAnsi="Book Antiqua"/>
          <w:sz w:val="24"/>
          <w:szCs w:val="24"/>
        </w:rPr>
        <w:t>: 2225-2236 [PMID: 26630142 DOI: 10.1056/NEJMoa1415463]</w:t>
      </w:r>
    </w:p>
    <w:p w14:paraId="365AF8F7" w14:textId="77777777" w:rsidR="008449C8" w:rsidRPr="00B727B0" w:rsidRDefault="008449C8" w:rsidP="007312CD">
      <w:pPr>
        <w:adjustRightInd w:val="0"/>
        <w:snapToGrid w:val="0"/>
        <w:spacing w:after="0" w:line="360" w:lineRule="auto"/>
        <w:jc w:val="both"/>
        <w:rPr>
          <w:rFonts w:ascii="Book Antiqua" w:eastAsia="宋体" w:hAnsi="Book Antiqua"/>
          <w:sz w:val="24"/>
          <w:szCs w:val="24"/>
          <w:lang w:eastAsia="zh-CN"/>
        </w:rPr>
      </w:pPr>
    </w:p>
    <w:p w14:paraId="72D06FED" w14:textId="200959F6" w:rsidR="008449C8" w:rsidRPr="00B727B0" w:rsidRDefault="008449C8" w:rsidP="00D47CAB">
      <w:pPr>
        <w:wordWrap w:val="0"/>
        <w:adjustRightInd w:val="0"/>
        <w:snapToGrid w:val="0"/>
        <w:spacing w:after="0" w:line="360" w:lineRule="auto"/>
        <w:jc w:val="right"/>
        <w:rPr>
          <w:rFonts w:ascii="Book Antiqua" w:hAnsi="Book Antiqua" w:cs="Times New Roman"/>
          <w:b/>
          <w:color w:val="000000"/>
          <w:sz w:val="24"/>
          <w:szCs w:val="24"/>
        </w:rPr>
      </w:pPr>
      <w:bookmarkStart w:id="158" w:name="OLE_LINK399"/>
      <w:bookmarkStart w:id="159" w:name="OLE_LINK400"/>
      <w:bookmarkStart w:id="160" w:name="OLE_LINK307"/>
      <w:bookmarkStart w:id="161" w:name="OLE_LINK308"/>
      <w:bookmarkStart w:id="162" w:name="OLE_LINK319"/>
      <w:bookmarkStart w:id="163" w:name="OLE_LINK338"/>
      <w:bookmarkStart w:id="164" w:name="OLE_LINK384"/>
      <w:bookmarkStart w:id="165" w:name="OLE_LINK370"/>
      <w:bookmarkStart w:id="166" w:name="OLE_LINK393"/>
      <w:bookmarkStart w:id="167" w:name="OLE_LINK429"/>
      <w:bookmarkStart w:id="168" w:name="OLE_LINK430"/>
      <w:bookmarkStart w:id="169" w:name="OLE_LINK444"/>
      <w:bookmarkStart w:id="170" w:name="OLE_LINK447"/>
      <w:bookmarkStart w:id="171" w:name="OLE_LINK479"/>
      <w:bookmarkStart w:id="172" w:name="OLE_LINK480"/>
      <w:bookmarkStart w:id="173" w:name="OLE_LINK502"/>
      <w:bookmarkStart w:id="174" w:name="OLE_LINK538"/>
      <w:bookmarkStart w:id="175" w:name="OLE_LINK554"/>
      <w:bookmarkStart w:id="176" w:name="OLE_LINK567"/>
      <w:bookmarkStart w:id="177" w:name="OLE_LINK595"/>
      <w:bookmarkStart w:id="178" w:name="OLE_LINK605"/>
      <w:bookmarkStart w:id="179" w:name="OLE_LINK623"/>
      <w:bookmarkStart w:id="180" w:name="OLE_LINK675"/>
      <w:bookmarkStart w:id="181" w:name="OLE_LINK690"/>
      <w:bookmarkStart w:id="182" w:name="OLE_LINK696"/>
      <w:bookmarkStart w:id="183" w:name="OLE_LINK746"/>
      <w:bookmarkStart w:id="184" w:name="OLE_LINK754"/>
      <w:bookmarkStart w:id="185" w:name="OLE_LINK759"/>
      <w:bookmarkStart w:id="186" w:name="OLE_LINK764"/>
      <w:bookmarkStart w:id="187" w:name="OLE_LINK804"/>
      <w:bookmarkStart w:id="188" w:name="OLE_LINK797"/>
      <w:bookmarkStart w:id="189" w:name="OLE_LINK816"/>
      <w:bookmarkStart w:id="190" w:name="OLE_LINK811"/>
      <w:bookmarkStart w:id="191" w:name="OLE_LINK812"/>
      <w:bookmarkStart w:id="192" w:name="OLE_LINK794"/>
      <w:bookmarkStart w:id="193" w:name="OLE_LINK848"/>
      <w:bookmarkStart w:id="194" w:name="OLE_LINK861"/>
      <w:bookmarkStart w:id="195" w:name="OLE_LINK872"/>
      <w:bookmarkStart w:id="196" w:name="OLE_LINK882"/>
      <w:bookmarkStart w:id="197" w:name="OLE_LINK921"/>
      <w:bookmarkStart w:id="198" w:name="OLE_LINK975"/>
      <w:bookmarkStart w:id="199" w:name="OLE_LINK930"/>
      <w:bookmarkStart w:id="200" w:name="OLE_LINK967"/>
      <w:bookmarkStart w:id="201" w:name="OLE_LINK992"/>
      <w:bookmarkStart w:id="202" w:name="OLE_LINK1033"/>
      <w:bookmarkStart w:id="203" w:name="OLE_LINK1052"/>
      <w:bookmarkStart w:id="204" w:name="OLE_LINK1045"/>
      <w:bookmarkStart w:id="205" w:name="OLE_LINK1075"/>
      <w:bookmarkStart w:id="206" w:name="OLE_LINK1071"/>
      <w:bookmarkStart w:id="207" w:name="OLE_LINK1118"/>
      <w:bookmarkStart w:id="208" w:name="OLE_LINK1114"/>
      <w:bookmarkStart w:id="209" w:name="OLE_LINK1096"/>
      <w:bookmarkStart w:id="210" w:name="OLE_LINK1106"/>
      <w:bookmarkStart w:id="211" w:name="OLE_LINK1099"/>
      <w:bookmarkStart w:id="212" w:name="OLE_LINK1113"/>
      <w:bookmarkStart w:id="213" w:name="OLE_LINK1143"/>
      <w:bookmarkStart w:id="214" w:name="OLE_LINK1164"/>
      <w:bookmarkStart w:id="215" w:name="OLE_LINK1152"/>
      <w:r w:rsidRPr="00B727B0">
        <w:rPr>
          <w:rFonts w:ascii="Book Antiqua" w:hAnsi="Book Antiqua" w:cs="Times New Roman"/>
          <w:b/>
          <w:color w:val="000000"/>
          <w:sz w:val="24"/>
          <w:szCs w:val="24"/>
        </w:rPr>
        <w:t>P-Reviewer:</w:t>
      </w:r>
      <w:r w:rsidRPr="00B727B0">
        <w:rPr>
          <w:rFonts w:ascii="Book Antiqua" w:hAnsi="Book Antiqua" w:cs="Times New Roman"/>
          <w:color w:val="000000"/>
          <w:sz w:val="24"/>
          <w:szCs w:val="24"/>
        </w:rPr>
        <w:t xml:space="preserve"> </w:t>
      </w:r>
      <w:r w:rsidR="00D47CAB" w:rsidRPr="00D47CAB">
        <w:rPr>
          <w:rFonts w:ascii="Book Antiqua" w:hAnsi="Book Antiqua" w:cs="Times New Roman"/>
          <w:color w:val="000000"/>
          <w:sz w:val="24"/>
          <w:szCs w:val="24"/>
        </w:rPr>
        <w:t>Kute</w:t>
      </w:r>
      <w:r w:rsidR="00D47CAB">
        <w:rPr>
          <w:rFonts w:ascii="Book Antiqua" w:eastAsia="宋体" w:hAnsi="Book Antiqua" w:cs="Times New Roman" w:hint="eastAsia"/>
          <w:color w:val="000000"/>
          <w:sz w:val="24"/>
          <w:szCs w:val="24"/>
          <w:lang w:eastAsia="zh-CN"/>
        </w:rPr>
        <w:t xml:space="preserve"> </w:t>
      </w:r>
      <w:r w:rsidR="00D47CAB">
        <w:rPr>
          <w:rFonts w:ascii="Book Antiqua" w:hAnsi="Book Antiqua" w:cs="Times New Roman"/>
          <w:color w:val="000000"/>
          <w:sz w:val="24"/>
          <w:szCs w:val="24"/>
        </w:rPr>
        <w:t>VB</w:t>
      </w:r>
      <w:r w:rsidR="00D47CAB" w:rsidRPr="00D47CAB">
        <w:rPr>
          <w:rFonts w:ascii="Book Antiqua" w:hAnsi="Book Antiqua" w:cs="Times New Roman"/>
          <w:color w:val="000000"/>
          <w:sz w:val="24"/>
          <w:szCs w:val="24"/>
        </w:rPr>
        <w:t>B</w:t>
      </w:r>
      <w:r w:rsidR="00D47CAB">
        <w:rPr>
          <w:rFonts w:ascii="Book Antiqua" w:eastAsia="宋体" w:hAnsi="Book Antiqua" w:cs="Times New Roman" w:hint="eastAsia"/>
          <w:color w:val="000000"/>
          <w:sz w:val="24"/>
          <w:szCs w:val="24"/>
          <w:lang w:eastAsia="zh-CN"/>
        </w:rPr>
        <w:t xml:space="preserve">, </w:t>
      </w:r>
      <w:r w:rsidR="00D47CAB" w:rsidRPr="00D47CAB">
        <w:rPr>
          <w:rFonts w:ascii="Book Antiqua" w:eastAsia="宋体" w:hAnsi="Book Antiqua" w:cs="Times New Roman"/>
          <w:color w:val="000000"/>
          <w:sz w:val="24"/>
          <w:szCs w:val="24"/>
          <w:lang w:eastAsia="zh-CN"/>
        </w:rPr>
        <w:t>Gheith</w:t>
      </w:r>
      <w:r w:rsidR="00D47CAB" w:rsidRPr="00B727B0">
        <w:rPr>
          <w:rFonts w:ascii="Book Antiqua" w:hAnsi="Book Antiqua" w:cs="Times New Roman"/>
          <w:b/>
          <w:color w:val="000000"/>
          <w:sz w:val="24"/>
          <w:szCs w:val="24"/>
        </w:rPr>
        <w:t xml:space="preserve"> </w:t>
      </w:r>
      <w:r w:rsidR="00D47CAB" w:rsidRPr="00D47CAB">
        <w:rPr>
          <w:rFonts w:ascii="Book Antiqua" w:eastAsia="宋体" w:hAnsi="Book Antiqua" w:cs="Times New Roman"/>
          <w:color w:val="000000"/>
          <w:sz w:val="24"/>
          <w:szCs w:val="24"/>
          <w:lang w:eastAsia="zh-CN"/>
        </w:rPr>
        <w:t>O</w:t>
      </w:r>
      <w:r w:rsidR="00D47CAB" w:rsidRPr="00B727B0">
        <w:rPr>
          <w:rFonts w:ascii="Book Antiqua" w:hAnsi="Book Antiqua" w:cs="Times New Roman"/>
          <w:b/>
          <w:color w:val="000000"/>
          <w:sz w:val="24"/>
          <w:szCs w:val="24"/>
        </w:rPr>
        <w:t xml:space="preserve"> </w:t>
      </w:r>
      <w:r w:rsidRPr="00B727B0">
        <w:rPr>
          <w:rFonts w:ascii="Book Antiqua" w:hAnsi="Book Antiqua" w:cs="Times New Roman"/>
          <w:b/>
          <w:color w:val="000000"/>
          <w:sz w:val="24"/>
          <w:szCs w:val="24"/>
        </w:rPr>
        <w:t xml:space="preserve">S-Editor: </w:t>
      </w:r>
      <w:r w:rsidRPr="00B727B0">
        <w:rPr>
          <w:rFonts w:ascii="Book Antiqua" w:hAnsi="Book Antiqua" w:cs="Times New Roman"/>
          <w:color w:val="000000"/>
          <w:sz w:val="24"/>
          <w:szCs w:val="24"/>
        </w:rPr>
        <w:t xml:space="preserve">Kong JX </w:t>
      </w:r>
      <w:r w:rsidRPr="00B727B0">
        <w:rPr>
          <w:rFonts w:ascii="Book Antiqua" w:hAnsi="Book Antiqua" w:cs="Times New Roman"/>
          <w:b/>
          <w:color w:val="000000"/>
          <w:sz w:val="24"/>
          <w:szCs w:val="24"/>
        </w:rPr>
        <w:t>L-Editor: E-Editor:</w:t>
      </w:r>
    </w:p>
    <w:p w14:paraId="4162C907" w14:textId="77777777" w:rsidR="008449C8" w:rsidRPr="00B727B0" w:rsidRDefault="008449C8" w:rsidP="007312CD">
      <w:pPr>
        <w:shd w:val="clear" w:color="auto" w:fill="FFFFFF"/>
        <w:snapToGrid w:val="0"/>
        <w:spacing w:after="0" w:line="360" w:lineRule="auto"/>
        <w:jc w:val="both"/>
        <w:rPr>
          <w:rFonts w:ascii="Book Antiqua" w:hAnsi="Book Antiqua" w:cs="Helvetica"/>
          <w:b/>
          <w:sz w:val="24"/>
          <w:szCs w:val="24"/>
        </w:rPr>
      </w:pPr>
      <w:bookmarkStart w:id="216" w:name="OLE_LINK880"/>
      <w:bookmarkStart w:id="217" w:name="OLE_LINK881"/>
      <w:bookmarkStart w:id="218" w:name="OLE_LINK81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5C6DF3F" w14:textId="65B88565" w:rsidR="008449C8" w:rsidRPr="00B727B0" w:rsidRDefault="008449C8" w:rsidP="007312CD">
      <w:pPr>
        <w:shd w:val="clear" w:color="auto" w:fill="FFFFFF"/>
        <w:snapToGrid w:val="0"/>
        <w:spacing w:after="0" w:line="360" w:lineRule="auto"/>
        <w:jc w:val="both"/>
        <w:rPr>
          <w:rFonts w:ascii="Book Antiqua" w:hAnsi="Book Antiqua" w:cs="Helvetica"/>
          <w:b/>
          <w:sz w:val="24"/>
          <w:szCs w:val="24"/>
        </w:rPr>
      </w:pPr>
      <w:r w:rsidRPr="00B727B0">
        <w:rPr>
          <w:rFonts w:ascii="Book Antiqua" w:hAnsi="Book Antiqua" w:cs="Helvetica"/>
          <w:b/>
          <w:sz w:val="24"/>
          <w:szCs w:val="24"/>
        </w:rPr>
        <w:t xml:space="preserve">Specialty type: </w:t>
      </w:r>
      <w:bookmarkStart w:id="219" w:name="OLE_LINK931"/>
      <w:bookmarkStart w:id="220" w:name="OLE_LINK932"/>
      <w:r w:rsidRPr="00B727B0">
        <w:rPr>
          <w:rFonts w:ascii="Book Antiqua" w:hAnsi="Book Antiqua" w:cs="Times New Roman"/>
          <w:color w:val="000000"/>
          <w:sz w:val="24"/>
          <w:szCs w:val="24"/>
        </w:rPr>
        <w:t>Transplantation</w:t>
      </w:r>
      <w:bookmarkEnd w:id="219"/>
      <w:bookmarkEnd w:id="220"/>
    </w:p>
    <w:p w14:paraId="396F353A" w14:textId="2261E70A" w:rsidR="008449C8" w:rsidRPr="00B727B0" w:rsidRDefault="008449C8" w:rsidP="007312CD">
      <w:pPr>
        <w:shd w:val="clear" w:color="auto" w:fill="FFFFFF"/>
        <w:snapToGrid w:val="0"/>
        <w:spacing w:after="0" w:line="360" w:lineRule="auto"/>
        <w:jc w:val="both"/>
        <w:rPr>
          <w:rFonts w:ascii="Book Antiqua" w:hAnsi="Book Antiqua" w:cs="Helvetica"/>
          <w:b/>
          <w:sz w:val="24"/>
          <w:szCs w:val="24"/>
        </w:rPr>
      </w:pPr>
      <w:r w:rsidRPr="00B727B0">
        <w:rPr>
          <w:rFonts w:ascii="Book Antiqua" w:hAnsi="Book Antiqua" w:cs="Helvetica"/>
          <w:b/>
          <w:sz w:val="24"/>
          <w:szCs w:val="24"/>
        </w:rPr>
        <w:t xml:space="preserve">Country of origin: </w:t>
      </w:r>
      <w:r w:rsidRPr="00B727B0">
        <w:rPr>
          <w:rFonts w:ascii="Book Antiqua" w:hAnsi="Book Antiqua"/>
          <w:sz w:val="24"/>
          <w:szCs w:val="24"/>
        </w:rPr>
        <w:t>Kuwait</w:t>
      </w:r>
    </w:p>
    <w:p w14:paraId="7A59B487" w14:textId="77777777" w:rsidR="008449C8" w:rsidRPr="00B727B0" w:rsidRDefault="008449C8" w:rsidP="007312CD">
      <w:pPr>
        <w:shd w:val="clear" w:color="auto" w:fill="FFFFFF"/>
        <w:snapToGrid w:val="0"/>
        <w:spacing w:after="0" w:line="360" w:lineRule="auto"/>
        <w:jc w:val="both"/>
        <w:rPr>
          <w:rFonts w:ascii="Book Antiqua" w:hAnsi="Book Antiqua" w:cs="Helvetica"/>
          <w:b/>
          <w:sz w:val="24"/>
          <w:szCs w:val="24"/>
        </w:rPr>
      </w:pPr>
      <w:r w:rsidRPr="00B727B0">
        <w:rPr>
          <w:rFonts w:ascii="Book Antiqua" w:hAnsi="Book Antiqua" w:cs="Helvetica"/>
          <w:b/>
          <w:sz w:val="24"/>
          <w:szCs w:val="24"/>
        </w:rPr>
        <w:t>Peer-review report classification</w:t>
      </w:r>
    </w:p>
    <w:p w14:paraId="5E6FA3AA" w14:textId="2A10765B" w:rsidR="008449C8" w:rsidRPr="00B727B0" w:rsidRDefault="008449C8" w:rsidP="007312CD">
      <w:pPr>
        <w:shd w:val="clear" w:color="auto" w:fill="FFFFFF"/>
        <w:snapToGrid w:val="0"/>
        <w:spacing w:after="0" w:line="360" w:lineRule="auto"/>
        <w:jc w:val="both"/>
        <w:rPr>
          <w:rFonts w:ascii="Book Antiqua" w:eastAsia="宋体" w:hAnsi="Book Antiqua" w:cs="Helvetica"/>
          <w:sz w:val="24"/>
          <w:szCs w:val="24"/>
          <w:lang w:eastAsia="zh-CN"/>
        </w:rPr>
      </w:pPr>
      <w:r w:rsidRPr="00B727B0">
        <w:rPr>
          <w:rFonts w:ascii="Book Antiqua" w:hAnsi="Book Antiqua" w:cs="Helvetica"/>
          <w:sz w:val="24"/>
          <w:szCs w:val="24"/>
        </w:rPr>
        <w:t xml:space="preserve">Grade A (Excellent): </w:t>
      </w:r>
      <w:r w:rsidR="00235170" w:rsidRPr="00B727B0">
        <w:rPr>
          <w:rFonts w:ascii="Book Antiqua" w:eastAsia="宋体" w:hAnsi="Book Antiqua" w:cs="Helvetica"/>
          <w:sz w:val="24"/>
          <w:szCs w:val="24"/>
          <w:lang w:eastAsia="zh-CN"/>
        </w:rPr>
        <w:t>A</w:t>
      </w:r>
    </w:p>
    <w:p w14:paraId="7BE69DED" w14:textId="77777777" w:rsidR="008449C8" w:rsidRPr="00B727B0" w:rsidRDefault="008449C8" w:rsidP="007312CD">
      <w:pPr>
        <w:shd w:val="clear" w:color="auto" w:fill="FFFFFF"/>
        <w:snapToGrid w:val="0"/>
        <w:spacing w:after="0" w:line="360" w:lineRule="auto"/>
        <w:jc w:val="both"/>
        <w:rPr>
          <w:rFonts w:ascii="Book Antiqua" w:hAnsi="Book Antiqua" w:cs="Helvetica"/>
          <w:sz w:val="24"/>
          <w:szCs w:val="24"/>
        </w:rPr>
      </w:pPr>
      <w:r w:rsidRPr="00B727B0">
        <w:rPr>
          <w:rFonts w:ascii="Book Antiqua" w:hAnsi="Book Antiqua" w:cs="Helvetica"/>
          <w:sz w:val="24"/>
          <w:szCs w:val="24"/>
        </w:rPr>
        <w:t>Grade B (Very good): 0</w:t>
      </w:r>
    </w:p>
    <w:p w14:paraId="59457FE3" w14:textId="77777777" w:rsidR="008449C8" w:rsidRPr="00B727B0" w:rsidRDefault="008449C8" w:rsidP="007312CD">
      <w:pPr>
        <w:shd w:val="clear" w:color="auto" w:fill="FFFFFF"/>
        <w:snapToGrid w:val="0"/>
        <w:spacing w:after="0" w:line="360" w:lineRule="auto"/>
        <w:jc w:val="both"/>
        <w:rPr>
          <w:rFonts w:ascii="Book Antiqua" w:hAnsi="Book Antiqua" w:cs="Helvetica"/>
          <w:sz w:val="24"/>
          <w:szCs w:val="24"/>
        </w:rPr>
      </w:pPr>
      <w:r w:rsidRPr="00B727B0">
        <w:rPr>
          <w:rFonts w:ascii="Book Antiqua" w:hAnsi="Book Antiqua" w:cs="Helvetica"/>
          <w:sz w:val="24"/>
          <w:szCs w:val="24"/>
        </w:rPr>
        <w:t>Grade C (Good): C</w:t>
      </w:r>
    </w:p>
    <w:p w14:paraId="5A480BCB" w14:textId="77777777" w:rsidR="008449C8" w:rsidRPr="00B727B0" w:rsidRDefault="008449C8" w:rsidP="007312CD">
      <w:pPr>
        <w:shd w:val="clear" w:color="auto" w:fill="FFFFFF"/>
        <w:snapToGrid w:val="0"/>
        <w:spacing w:after="0" w:line="360" w:lineRule="auto"/>
        <w:jc w:val="both"/>
        <w:rPr>
          <w:rFonts w:ascii="Book Antiqua" w:hAnsi="Book Antiqua" w:cs="Helvetica"/>
          <w:sz w:val="24"/>
          <w:szCs w:val="24"/>
        </w:rPr>
      </w:pPr>
      <w:r w:rsidRPr="00B727B0">
        <w:rPr>
          <w:rFonts w:ascii="Book Antiqua" w:hAnsi="Book Antiqua" w:cs="Helvetica"/>
          <w:sz w:val="24"/>
          <w:szCs w:val="24"/>
        </w:rPr>
        <w:t>Grade D (Fair): 0</w:t>
      </w:r>
    </w:p>
    <w:p w14:paraId="18F94CE8" w14:textId="77777777" w:rsidR="008449C8" w:rsidRPr="00B727B0" w:rsidRDefault="008449C8" w:rsidP="007312CD">
      <w:pPr>
        <w:shd w:val="clear" w:color="auto" w:fill="FFFFFF"/>
        <w:snapToGrid w:val="0"/>
        <w:spacing w:after="0" w:line="360" w:lineRule="auto"/>
        <w:jc w:val="both"/>
        <w:rPr>
          <w:rFonts w:ascii="Book Antiqua" w:hAnsi="Book Antiqua" w:cs="Helvetica"/>
          <w:sz w:val="24"/>
          <w:szCs w:val="24"/>
        </w:rPr>
      </w:pPr>
      <w:r w:rsidRPr="00B727B0">
        <w:rPr>
          <w:rFonts w:ascii="Book Antiqua" w:hAnsi="Book Antiqua" w:cs="Helvetica"/>
          <w:sz w:val="24"/>
          <w:szCs w:val="24"/>
        </w:rPr>
        <w:t>Grade E (Poor): 0</w:t>
      </w:r>
      <w:bookmarkEnd w:id="216"/>
      <w:bookmarkEnd w:id="217"/>
      <w:bookmarkEnd w:id="218"/>
    </w:p>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019092AA" w14:textId="77777777" w:rsidR="008449C8" w:rsidRPr="00B727B0" w:rsidRDefault="008449C8" w:rsidP="007312CD">
      <w:pPr>
        <w:adjustRightInd w:val="0"/>
        <w:snapToGrid w:val="0"/>
        <w:spacing w:after="0" w:line="360" w:lineRule="auto"/>
        <w:jc w:val="both"/>
        <w:rPr>
          <w:rFonts w:ascii="Book Antiqua" w:eastAsia="宋体" w:hAnsi="Book Antiqua"/>
          <w:sz w:val="24"/>
          <w:szCs w:val="24"/>
          <w:lang w:eastAsia="zh-CN"/>
        </w:rPr>
      </w:pPr>
    </w:p>
    <w:bookmarkEnd w:id="151"/>
    <w:bookmarkEnd w:id="152"/>
    <w:p w14:paraId="2CC0E55C" w14:textId="77777777" w:rsidR="00C95E27" w:rsidRPr="00B727B0" w:rsidRDefault="00C95E27" w:rsidP="007312CD">
      <w:pPr>
        <w:adjustRightInd w:val="0"/>
        <w:snapToGrid w:val="0"/>
        <w:spacing w:after="0" w:line="360" w:lineRule="auto"/>
        <w:ind w:left="426" w:hanging="426"/>
        <w:jc w:val="both"/>
        <w:rPr>
          <w:rFonts w:ascii="Book Antiqua" w:hAnsi="Book Antiqua"/>
          <w:sz w:val="24"/>
          <w:szCs w:val="24"/>
        </w:rPr>
      </w:pPr>
    </w:p>
    <w:p w14:paraId="4DD004C0" w14:textId="6C4E7ED2" w:rsidR="001B7A50" w:rsidRPr="00B727B0" w:rsidRDefault="001B7A50" w:rsidP="007312CD">
      <w:pPr>
        <w:adjustRightInd w:val="0"/>
        <w:snapToGrid w:val="0"/>
        <w:spacing w:after="0" w:line="360" w:lineRule="auto"/>
        <w:ind w:firstLine="720"/>
        <w:jc w:val="both"/>
        <w:rPr>
          <w:rFonts w:ascii="Book Antiqua" w:hAnsi="Book Antiqua" w:cstheme="majorBidi"/>
          <w:sz w:val="24"/>
          <w:szCs w:val="24"/>
        </w:rPr>
      </w:pPr>
      <w:r w:rsidRPr="00B727B0">
        <w:rPr>
          <w:rFonts w:ascii="Book Antiqua" w:hAnsi="Book Antiqua" w:cstheme="majorBidi"/>
          <w:sz w:val="24"/>
          <w:szCs w:val="24"/>
        </w:rPr>
        <w:br w:type="page"/>
      </w:r>
    </w:p>
    <w:p w14:paraId="11094D2E" w14:textId="77777777" w:rsidR="001B7A50" w:rsidRPr="00B727B0" w:rsidRDefault="001B7A50" w:rsidP="007312CD">
      <w:pPr>
        <w:autoSpaceDE w:val="0"/>
        <w:autoSpaceDN w:val="0"/>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noProof/>
          <w:sz w:val="24"/>
          <w:szCs w:val="24"/>
          <w:lang w:eastAsia="zh-CN"/>
        </w:rPr>
        <w:lastRenderedPageBreak/>
        <w:drawing>
          <wp:inline distT="0" distB="0" distL="0" distR="0" wp14:anchorId="45EDAE0E" wp14:editId="756B4B13">
            <wp:extent cx="5208270" cy="4578227"/>
            <wp:effectExtent l="76200" t="76200" r="151130" b="146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65" t="30595" r="48857" b="37900"/>
                    <a:stretch/>
                  </pic:blipFill>
                  <pic:spPr bwMode="auto">
                    <a:xfrm>
                      <a:off x="0" y="0"/>
                      <a:ext cx="5208270" cy="457822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FF9A30" w14:textId="4A7AA1B5" w:rsidR="00BF1789" w:rsidRPr="00B727B0" w:rsidRDefault="00BF1789" w:rsidP="007312CD">
      <w:pPr>
        <w:autoSpaceDE w:val="0"/>
        <w:autoSpaceDN w:val="0"/>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宋体" w:hAnsi="Book Antiqua" w:cstheme="majorBidi"/>
          <w:b/>
          <w:sz w:val="24"/>
          <w:szCs w:val="24"/>
          <w:lang w:eastAsia="zh-CN"/>
        </w:rPr>
        <w:t xml:space="preserve">Figure 1 Patient survival in ten years. </w:t>
      </w:r>
      <w:r w:rsidRPr="00B727B0">
        <w:rPr>
          <w:rFonts w:ascii="Book Antiqua" w:eastAsia="宋体" w:hAnsi="Book Antiqua" w:cstheme="majorBidi"/>
          <w:sz w:val="24"/>
          <w:szCs w:val="24"/>
          <w:lang w:eastAsia="zh-CN"/>
        </w:rPr>
        <w:t xml:space="preserve">A statistical significance was shown in four groups (adapted from Mashaly </w:t>
      </w:r>
      <w:r w:rsidRPr="00B727B0">
        <w:rPr>
          <w:rFonts w:ascii="Book Antiqua" w:eastAsia="宋体" w:hAnsi="Book Antiqua" w:cstheme="majorBidi"/>
          <w:i/>
          <w:sz w:val="24"/>
          <w:szCs w:val="24"/>
          <w:lang w:eastAsia="zh-CN"/>
        </w:rPr>
        <w:t xml:space="preserve">et </w:t>
      </w:r>
      <w:proofErr w:type="gramStart"/>
      <w:r w:rsidRPr="00B727B0">
        <w:rPr>
          <w:rFonts w:ascii="Book Antiqua" w:eastAsia="宋体" w:hAnsi="Book Antiqua" w:cstheme="majorBidi"/>
          <w:i/>
          <w:sz w:val="24"/>
          <w:szCs w:val="24"/>
          <w:lang w:eastAsia="zh-CN"/>
        </w:rPr>
        <w:t>al</w:t>
      </w:r>
      <w:r w:rsidRPr="00B727B0">
        <w:rPr>
          <w:rFonts w:ascii="Book Antiqua" w:eastAsia="宋体" w:hAnsi="Book Antiqua" w:cstheme="majorBidi"/>
          <w:sz w:val="24"/>
          <w:szCs w:val="24"/>
          <w:vertAlign w:val="superscript"/>
          <w:lang w:eastAsia="zh-CN"/>
        </w:rPr>
        <w:t>[</w:t>
      </w:r>
      <w:proofErr w:type="gramEnd"/>
      <w:r w:rsidRPr="00B727B0">
        <w:rPr>
          <w:rFonts w:ascii="Book Antiqua" w:eastAsia="宋体" w:hAnsi="Book Antiqua" w:cstheme="majorBidi"/>
          <w:sz w:val="24"/>
          <w:szCs w:val="24"/>
          <w:vertAlign w:val="superscript"/>
          <w:lang w:eastAsia="zh-CN"/>
        </w:rPr>
        <w:t>19]</w:t>
      </w:r>
      <w:r w:rsidRPr="00B727B0">
        <w:rPr>
          <w:rFonts w:ascii="Book Antiqua" w:eastAsia="宋体" w:hAnsi="Book Antiqua" w:cstheme="majorBidi"/>
          <w:sz w:val="24"/>
          <w:szCs w:val="24"/>
          <w:lang w:eastAsia="zh-CN"/>
        </w:rPr>
        <w:t>).</w:t>
      </w:r>
    </w:p>
    <w:p w14:paraId="0DC5AF22" w14:textId="2982133A" w:rsidR="001B7A50" w:rsidRPr="00B727B0" w:rsidRDefault="001B7A50" w:rsidP="007312CD">
      <w:pPr>
        <w:adjustRightInd w:val="0"/>
        <w:snapToGrid w:val="0"/>
        <w:spacing w:after="0" w:line="360" w:lineRule="auto"/>
        <w:ind w:firstLine="720"/>
        <w:jc w:val="both"/>
        <w:rPr>
          <w:rFonts w:ascii="Book Antiqua" w:hAnsi="Book Antiqua" w:cstheme="majorBidi"/>
          <w:sz w:val="24"/>
          <w:szCs w:val="24"/>
        </w:rPr>
      </w:pPr>
      <w:r w:rsidRPr="00B727B0">
        <w:rPr>
          <w:rFonts w:ascii="Book Antiqua" w:hAnsi="Book Antiqua" w:cstheme="majorBidi"/>
          <w:sz w:val="24"/>
          <w:szCs w:val="24"/>
        </w:rPr>
        <w:br w:type="page"/>
      </w:r>
    </w:p>
    <w:p w14:paraId="0C7127D9" w14:textId="77777777" w:rsidR="00C26DC2" w:rsidRPr="00B727B0" w:rsidRDefault="00C26DC2" w:rsidP="007312CD">
      <w:pPr>
        <w:autoSpaceDE w:val="0"/>
        <w:autoSpaceDN w:val="0"/>
        <w:adjustRightInd w:val="0"/>
        <w:snapToGrid w:val="0"/>
        <w:spacing w:after="0" w:line="360" w:lineRule="auto"/>
        <w:jc w:val="both"/>
        <w:rPr>
          <w:rFonts w:ascii="Book Antiqua" w:eastAsia="宋体" w:hAnsi="Book Antiqua" w:cstheme="majorBidi"/>
          <w:noProof/>
          <w:sz w:val="24"/>
          <w:szCs w:val="24"/>
          <w:lang w:eastAsia="zh-CN"/>
        </w:rPr>
      </w:pPr>
    </w:p>
    <w:p w14:paraId="73DC75AD" w14:textId="77777777" w:rsidR="001B7A50" w:rsidRPr="00B727B0" w:rsidRDefault="001B7A50" w:rsidP="007312CD">
      <w:pPr>
        <w:autoSpaceDE w:val="0"/>
        <w:autoSpaceDN w:val="0"/>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noProof/>
          <w:sz w:val="24"/>
          <w:szCs w:val="24"/>
          <w:lang w:eastAsia="zh-CN"/>
        </w:rPr>
        <w:drawing>
          <wp:inline distT="0" distB="0" distL="0" distR="0" wp14:anchorId="59CEE714" wp14:editId="631735A0">
            <wp:extent cx="4815839" cy="2392680"/>
            <wp:effectExtent l="76200" t="76200" r="137795" b="140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750" t="30355" r="33093" b="43010"/>
                    <a:stretch/>
                  </pic:blipFill>
                  <pic:spPr bwMode="auto">
                    <a:xfrm>
                      <a:off x="0" y="0"/>
                      <a:ext cx="4858455" cy="2413853"/>
                    </a:xfrm>
                    <a:prstGeom prst="rect">
                      <a:avLst/>
                    </a:prstGeom>
                    <a:ln w="38100"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190D3BA" w14:textId="1BD5A178" w:rsidR="00C26DC2" w:rsidRPr="00B727B0" w:rsidRDefault="00C26DC2" w:rsidP="007312CD">
      <w:pPr>
        <w:autoSpaceDE w:val="0"/>
        <w:autoSpaceDN w:val="0"/>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宋体" w:hAnsi="Book Antiqua" w:cstheme="majorBidi"/>
          <w:b/>
          <w:sz w:val="24"/>
          <w:szCs w:val="24"/>
          <w:lang w:eastAsia="zh-CN"/>
        </w:rPr>
        <w:t xml:space="preserve">Figure 2 Graft survival in ten years. </w:t>
      </w:r>
      <w:r w:rsidRPr="00B727B0">
        <w:rPr>
          <w:rFonts w:ascii="Book Antiqua" w:eastAsia="宋体" w:hAnsi="Book Antiqua" w:cstheme="majorBidi"/>
          <w:sz w:val="24"/>
          <w:szCs w:val="24"/>
          <w:lang w:eastAsia="zh-CN"/>
        </w:rPr>
        <w:t xml:space="preserve">A statistical significance was shown in four groups (adapted from Mashaly </w:t>
      </w:r>
      <w:r w:rsidRPr="00B727B0">
        <w:rPr>
          <w:rFonts w:ascii="Book Antiqua" w:eastAsia="宋体" w:hAnsi="Book Antiqua" w:cstheme="majorBidi"/>
          <w:i/>
          <w:sz w:val="24"/>
          <w:szCs w:val="24"/>
          <w:lang w:eastAsia="zh-CN"/>
        </w:rPr>
        <w:t xml:space="preserve">et </w:t>
      </w:r>
      <w:proofErr w:type="gramStart"/>
      <w:r w:rsidRPr="00B727B0">
        <w:rPr>
          <w:rFonts w:ascii="Book Antiqua" w:eastAsia="宋体" w:hAnsi="Book Antiqua" w:cstheme="majorBidi"/>
          <w:i/>
          <w:sz w:val="24"/>
          <w:szCs w:val="24"/>
          <w:lang w:eastAsia="zh-CN"/>
        </w:rPr>
        <w:t>al</w:t>
      </w:r>
      <w:r w:rsidRPr="00B727B0">
        <w:rPr>
          <w:rFonts w:ascii="Book Antiqua" w:eastAsia="宋体" w:hAnsi="Book Antiqua" w:cstheme="majorBidi"/>
          <w:sz w:val="24"/>
          <w:szCs w:val="24"/>
          <w:vertAlign w:val="superscript"/>
          <w:lang w:eastAsia="zh-CN"/>
        </w:rPr>
        <w:t>[</w:t>
      </w:r>
      <w:proofErr w:type="gramEnd"/>
      <w:r w:rsidRPr="00B727B0">
        <w:rPr>
          <w:rFonts w:ascii="Book Antiqua" w:eastAsia="宋体" w:hAnsi="Book Antiqua" w:cstheme="majorBidi"/>
          <w:sz w:val="24"/>
          <w:szCs w:val="24"/>
          <w:vertAlign w:val="superscript"/>
          <w:lang w:eastAsia="zh-CN"/>
        </w:rPr>
        <w:t>19]</w:t>
      </w:r>
      <w:r w:rsidR="0018236A" w:rsidRPr="00B727B0">
        <w:rPr>
          <w:rFonts w:ascii="Book Antiqua" w:eastAsia="Times New Roman" w:hAnsi="Book Antiqua" w:cstheme="majorBidi"/>
          <w:b/>
          <w:sz w:val="24"/>
          <w:szCs w:val="24"/>
        </w:rPr>
        <w:t xml:space="preserve"> </w:t>
      </w:r>
      <w:r w:rsidR="0018236A" w:rsidRPr="00B727B0">
        <w:rPr>
          <w:rFonts w:ascii="Book Antiqua" w:eastAsia="Times New Roman" w:hAnsi="Book Antiqua" w:cstheme="majorBidi"/>
          <w:sz w:val="24"/>
          <w:szCs w:val="24"/>
        </w:rPr>
        <w:t>with permission</w:t>
      </w:r>
      <w:r w:rsidRPr="00B727B0">
        <w:rPr>
          <w:rFonts w:ascii="Book Antiqua" w:eastAsia="宋体" w:hAnsi="Book Antiqua" w:cstheme="majorBidi"/>
          <w:sz w:val="24"/>
          <w:szCs w:val="24"/>
          <w:lang w:eastAsia="zh-CN"/>
        </w:rPr>
        <w:t>).</w:t>
      </w:r>
    </w:p>
    <w:p w14:paraId="1A64331B" w14:textId="6B2EA1A1" w:rsidR="001B7A50" w:rsidRPr="00B727B0" w:rsidRDefault="001B7A50"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sz w:val="24"/>
          <w:szCs w:val="24"/>
        </w:rPr>
        <w:br w:type="page"/>
      </w:r>
    </w:p>
    <w:p w14:paraId="5019998D" w14:textId="77777777" w:rsidR="001B7A50" w:rsidRPr="00B727B0" w:rsidRDefault="001B7A50"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cstheme="majorBidi"/>
          <w:noProof/>
          <w:sz w:val="24"/>
          <w:szCs w:val="24"/>
          <w:lang w:eastAsia="zh-CN"/>
        </w:rPr>
        <w:lastRenderedPageBreak/>
        <w:drawing>
          <wp:inline distT="0" distB="0" distL="0" distR="0" wp14:anchorId="73ABDC7D" wp14:editId="2336A225">
            <wp:extent cx="4567580" cy="2975212"/>
            <wp:effectExtent l="76200" t="76200" r="137795" b="130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0" t="36352" r="55570" b="12831"/>
                    <a:stretch/>
                  </pic:blipFill>
                  <pic:spPr bwMode="auto">
                    <a:xfrm>
                      <a:off x="0" y="0"/>
                      <a:ext cx="4635385" cy="3019379"/>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4B9394" w14:textId="6135FDB5" w:rsidR="001B7A50" w:rsidRPr="00B727B0" w:rsidRDefault="00CE6E4E"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sz w:val="24"/>
          <w:szCs w:val="24"/>
        </w:rPr>
        <w:t>Figure 3 Kaplan Meier of allogr</w:t>
      </w:r>
      <w:r w:rsidR="003561A4" w:rsidRPr="00B727B0">
        <w:rPr>
          <w:rFonts w:ascii="Book Antiqua" w:eastAsia="Times New Roman" w:hAnsi="Book Antiqua" w:cstheme="majorBidi"/>
          <w:b/>
          <w:sz w:val="24"/>
          <w:szCs w:val="24"/>
        </w:rPr>
        <w:t>afts’ survival in patients with</w:t>
      </w:r>
      <w:r w:rsidR="003561A4" w:rsidRPr="00B727B0">
        <w:rPr>
          <w:rFonts w:ascii="Book Antiqua" w:eastAsia="宋体" w:hAnsi="Book Antiqua" w:cstheme="majorBidi"/>
          <w:b/>
          <w:sz w:val="24"/>
          <w:szCs w:val="24"/>
          <w:lang w:eastAsia="zh-CN"/>
        </w:rPr>
        <w:t xml:space="preserve"> </w:t>
      </w:r>
      <w:r w:rsidR="003561A4" w:rsidRPr="00B727B0">
        <w:rPr>
          <w:rFonts w:ascii="Book Antiqua" w:eastAsia="Times New Roman" w:hAnsi="Book Antiqua" w:cstheme="majorBidi"/>
          <w:b/>
          <w:sz w:val="24"/>
          <w:szCs w:val="24"/>
        </w:rPr>
        <w:t>membranoproliferative glomerulonephritis</w:t>
      </w:r>
      <w:r w:rsidRPr="00B727B0">
        <w:rPr>
          <w:rFonts w:ascii="Book Antiqua" w:eastAsia="Times New Roman" w:hAnsi="Book Antiqua" w:cstheme="majorBidi"/>
          <w:b/>
          <w:sz w:val="24"/>
          <w:szCs w:val="24"/>
        </w:rPr>
        <w:t xml:space="preserve"> of </w:t>
      </w:r>
      <w:r w:rsidR="003561A4" w:rsidRPr="00B727B0">
        <w:rPr>
          <w:rFonts w:ascii="Book Antiqua" w:hAnsi="Book Antiqua" w:cstheme="majorBidi"/>
          <w:b/>
          <w:sz w:val="24"/>
          <w:szCs w:val="24"/>
        </w:rPr>
        <w:t>immune complex mediated</w:t>
      </w:r>
      <w:r w:rsidRPr="00B727B0">
        <w:rPr>
          <w:rFonts w:ascii="Book Antiqua" w:eastAsia="Times New Roman" w:hAnsi="Book Antiqua" w:cstheme="majorBidi"/>
          <w:b/>
          <w:sz w:val="24"/>
          <w:szCs w:val="24"/>
        </w:rPr>
        <w:t xml:space="preserve"> type as original disease (adapted from Alasfar </w:t>
      </w:r>
      <w:r w:rsidRPr="00B727B0">
        <w:rPr>
          <w:rFonts w:ascii="Book Antiqua" w:eastAsia="Times New Roman" w:hAnsi="Book Antiqua" w:cstheme="majorBidi"/>
          <w:b/>
          <w:i/>
          <w:sz w:val="24"/>
          <w:szCs w:val="24"/>
        </w:rPr>
        <w:t xml:space="preserve">et </w:t>
      </w:r>
      <w:proofErr w:type="gramStart"/>
      <w:r w:rsidRPr="00B727B0">
        <w:rPr>
          <w:rFonts w:ascii="Book Antiqua" w:eastAsia="Times New Roman" w:hAnsi="Book Antiqua" w:cstheme="majorBidi"/>
          <w:b/>
          <w:i/>
          <w:sz w:val="24"/>
          <w:szCs w:val="24"/>
        </w:rPr>
        <w:t>al</w:t>
      </w:r>
      <w:r w:rsidRPr="00B727B0">
        <w:rPr>
          <w:rFonts w:ascii="Book Antiqua" w:eastAsia="Times New Roman" w:hAnsi="Book Antiqua" w:cstheme="majorBidi"/>
          <w:b/>
          <w:sz w:val="24"/>
          <w:szCs w:val="24"/>
          <w:vertAlign w:val="superscript"/>
        </w:rPr>
        <w:t>[</w:t>
      </w:r>
      <w:proofErr w:type="gramEnd"/>
      <w:r w:rsidRPr="00B727B0">
        <w:rPr>
          <w:rFonts w:ascii="Book Antiqua" w:eastAsia="Times New Roman" w:hAnsi="Book Antiqua" w:cstheme="majorBidi"/>
          <w:b/>
          <w:sz w:val="24"/>
          <w:szCs w:val="24"/>
          <w:vertAlign w:val="superscript"/>
        </w:rPr>
        <w:t>30]</w:t>
      </w:r>
      <w:r w:rsidR="00630C63" w:rsidRPr="00B727B0">
        <w:rPr>
          <w:rFonts w:ascii="Book Antiqua" w:eastAsia="宋体" w:hAnsi="Book Antiqua" w:cstheme="majorBidi"/>
          <w:b/>
          <w:sz w:val="24"/>
          <w:szCs w:val="24"/>
          <w:vertAlign w:val="superscript"/>
          <w:lang w:eastAsia="zh-CN"/>
        </w:rPr>
        <w:t xml:space="preserve"> </w:t>
      </w:r>
      <w:r w:rsidR="00630C63" w:rsidRPr="00B727B0">
        <w:rPr>
          <w:rFonts w:ascii="Book Antiqua" w:eastAsia="Times New Roman" w:hAnsi="Book Antiqua" w:cstheme="majorBidi"/>
          <w:b/>
          <w:sz w:val="24"/>
          <w:szCs w:val="24"/>
        </w:rPr>
        <w:t>with permission</w:t>
      </w:r>
      <w:r w:rsidRPr="00B727B0">
        <w:rPr>
          <w:rFonts w:ascii="Book Antiqua" w:eastAsia="Times New Roman" w:hAnsi="Book Antiqua" w:cstheme="majorBidi"/>
          <w:b/>
          <w:sz w:val="24"/>
          <w:szCs w:val="24"/>
        </w:rPr>
        <w:t>).</w:t>
      </w:r>
    </w:p>
    <w:p w14:paraId="1E9B3930" w14:textId="3E90664E" w:rsidR="00CE6E4E" w:rsidRPr="00B727B0" w:rsidRDefault="00CE6E4E" w:rsidP="007312CD">
      <w:pPr>
        <w:spacing w:after="160" w:line="259" w:lineRule="auto"/>
        <w:jc w:val="both"/>
        <w:rPr>
          <w:rFonts w:ascii="Book Antiqua" w:eastAsia="宋体" w:hAnsi="Book Antiqua" w:cstheme="majorBidi"/>
          <w:sz w:val="24"/>
          <w:szCs w:val="24"/>
          <w:lang w:eastAsia="zh-CN"/>
        </w:rPr>
      </w:pPr>
    </w:p>
    <w:p w14:paraId="695088BD" w14:textId="77777777" w:rsidR="00630C63" w:rsidRPr="00B727B0" w:rsidRDefault="00630C63">
      <w:pPr>
        <w:spacing w:after="160" w:line="259" w:lineRule="auto"/>
        <w:rPr>
          <w:rFonts w:ascii="Book Antiqua" w:eastAsia="Times New Roman" w:hAnsi="Book Antiqua" w:cstheme="majorBidi"/>
          <w:i/>
          <w:iCs/>
          <w:sz w:val="24"/>
          <w:szCs w:val="24"/>
          <w:u w:val="single"/>
        </w:rPr>
      </w:pPr>
      <w:r w:rsidRPr="00B727B0">
        <w:rPr>
          <w:rFonts w:ascii="Book Antiqua" w:eastAsia="Times New Roman" w:hAnsi="Book Antiqua" w:cstheme="majorBidi"/>
          <w:i/>
          <w:iCs/>
          <w:sz w:val="24"/>
          <w:szCs w:val="24"/>
          <w:u w:val="single"/>
        </w:rPr>
        <w:br w:type="page"/>
      </w:r>
    </w:p>
    <w:p w14:paraId="0EEBED44" w14:textId="44B18538" w:rsidR="001B7A50" w:rsidRPr="00B727B0" w:rsidRDefault="001B7A50" w:rsidP="007312CD">
      <w:pPr>
        <w:adjustRightInd w:val="0"/>
        <w:snapToGrid w:val="0"/>
        <w:spacing w:after="0" w:line="360" w:lineRule="auto"/>
        <w:jc w:val="both"/>
        <w:rPr>
          <w:rFonts w:ascii="Book Antiqua" w:eastAsia="Times New Roman" w:hAnsi="Book Antiqua" w:cstheme="majorBidi"/>
          <w:i/>
          <w:iCs/>
          <w:sz w:val="24"/>
          <w:szCs w:val="24"/>
          <w:u w:val="single"/>
        </w:rPr>
      </w:pPr>
      <w:r w:rsidRPr="00B727B0">
        <w:rPr>
          <w:rFonts w:ascii="Book Antiqua" w:hAnsi="Book Antiqua" w:cstheme="majorBidi"/>
          <w:noProof/>
          <w:sz w:val="24"/>
          <w:szCs w:val="24"/>
          <w:lang w:eastAsia="zh-CN"/>
        </w:rPr>
        <w:lastRenderedPageBreak/>
        <w:drawing>
          <wp:inline distT="0" distB="0" distL="0" distR="0" wp14:anchorId="0E8FB51D" wp14:editId="3A23CE5C">
            <wp:extent cx="5097439" cy="2783616"/>
            <wp:effectExtent l="76200" t="76200" r="141605" b="131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556" r="15002" b="9956"/>
                    <a:stretch/>
                  </pic:blipFill>
                  <pic:spPr bwMode="auto">
                    <a:xfrm>
                      <a:off x="0" y="0"/>
                      <a:ext cx="5097439" cy="2783616"/>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466E7D" w14:textId="095DEAAF" w:rsidR="003561A4" w:rsidRPr="00B727B0" w:rsidRDefault="003561A4" w:rsidP="007312CD">
      <w:pPr>
        <w:adjustRightInd w:val="0"/>
        <w:snapToGrid w:val="0"/>
        <w:spacing w:after="0" w:line="360" w:lineRule="auto"/>
        <w:jc w:val="both"/>
        <w:rPr>
          <w:rFonts w:ascii="Book Antiqua" w:eastAsia="宋体" w:hAnsi="Book Antiqua" w:cstheme="majorBidi"/>
          <w:b/>
          <w:sz w:val="24"/>
          <w:szCs w:val="24"/>
          <w:lang w:eastAsia="zh-CN"/>
        </w:rPr>
      </w:pPr>
      <w:r w:rsidRPr="00B727B0">
        <w:rPr>
          <w:rFonts w:ascii="Book Antiqua" w:eastAsia="Times New Roman" w:hAnsi="Book Antiqua" w:cstheme="majorBidi"/>
          <w:b/>
          <w:sz w:val="24"/>
          <w:szCs w:val="24"/>
        </w:rPr>
        <w:t xml:space="preserve">Figure 4 Variables associated with </w:t>
      </w:r>
      <w:bookmarkStart w:id="221" w:name="OLE_LINK1160"/>
      <w:bookmarkStart w:id="222" w:name="OLE_LINK1161"/>
      <w:r w:rsidRPr="00B727B0">
        <w:rPr>
          <w:rFonts w:ascii="Book Antiqua" w:eastAsia="Times New Roman" w:hAnsi="Book Antiqua" w:cstheme="majorBidi"/>
          <w:b/>
          <w:sz w:val="24"/>
          <w:szCs w:val="24"/>
        </w:rPr>
        <w:t>membranoproliferative glomerulonephritis</w:t>
      </w:r>
      <w:bookmarkEnd w:id="221"/>
      <w:bookmarkEnd w:id="222"/>
      <w:r w:rsidRPr="00B727B0">
        <w:rPr>
          <w:rFonts w:ascii="Book Antiqua" w:eastAsia="Times New Roman" w:hAnsi="Book Antiqua" w:cstheme="majorBidi"/>
          <w:b/>
          <w:sz w:val="24"/>
          <w:szCs w:val="24"/>
        </w:rPr>
        <w:t xml:space="preserve"> </w:t>
      </w:r>
      <w:r w:rsidRPr="00B727B0">
        <w:rPr>
          <w:rFonts w:ascii="Book Antiqua" w:hAnsi="Book Antiqua" w:cstheme="majorBidi"/>
          <w:b/>
          <w:sz w:val="24"/>
          <w:szCs w:val="24"/>
        </w:rPr>
        <w:t>immune complex mediated</w:t>
      </w:r>
      <w:r w:rsidRPr="00B727B0">
        <w:rPr>
          <w:rFonts w:ascii="Book Antiqua" w:eastAsia="Times New Roman" w:hAnsi="Book Antiqua" w:cstheme="majorBidi"/>
          <w:b/>
          <w:sz w:val="24"/>
          <w:szCs w:val="24"/>
        </w:rPr>
        <w:t xml:space="preserve"> glomerulonephritis-type recurrence after kidney transplantation by univariate Cox analysis (adapted from </w:t>
      </w:r>
      <w:r w:rsidR="00FB317A" w:rsidRPr="00B727B0">
        <w:rPr>
          <w:rFonts w:ascii="Book Antiqua" w:eastAsia="Times New Roman" w:hAnsi="Book Antiqua" w:cstheme="majorBidi"/>
          <w:b/>
          <w:sz w:val="24"/>
          <w:szCs w:val="24"/>
        </w:rPr>
        <w:t xml:space="preserve">Alasfar </w:t>
      </w:r>
      <w:r w:rsidR="00FB317A" w:rsidRPr="00B727B0">
        <w:rPr>
          <w:rFonts w:ascii="Book Antiqua" w:eastAsia="Times New Roman" w:hAnsi="Book Antiqua" w:cstheme="majorBidi"/>
          <w:b/>
          <w:i/>
          <w:sz w:val="24"/>
          <w:szCs w:val="24"/>
        </w:rPr>
        <w:t xml:space="preserve">et </w:t>
      </w:r>
      <w:proofErr w:type="gramStart"/>
      <w:r w:rsidR="00FB317A" w:rsidRPr="00B727B0">
        <w:rPr>
          <w:rFonts w:ascii="Book Antiqua" w:eastAsia="Times New Roman" w:hAnsi="Book Antiqua" w:cstheme="majorBidi"/>
          <w:b/>
          <w:i/>
          <w:sz w:val="24"/>
          <w:szCs w:val="24"/>
        </w:rPr>
        <w:t>al</w:t>
      </w:r>
      <w:r w:rsidR="00FB317A" w:rsidRPr="00B727B0">
        <w:rPr>
          <w:rFonts w:ascii="Book Antiqua" w:eastAsia="Times New Roman" w:hAnsi="Book Antiqua" w:cstheme="majorBidi"/>
          <w:b/>
          <w:sz w:val="24"/>
          <w:szCs w:val="24"/>
          <w:vertAlign w:val="superscript"/>
        </w:rPr>
        <w:t>[</w:t>
      </w:r>
      <w:proofErr w:type="gramEnd"/>
      <w:r w:rsidR="00FB317A" w:rsidRPr="00B727B0">
        <w:rPr>
          <w:rFonts w:ascii="Book Antiqua" w:eastAsia="Times New Roman" w:hAnsi="Book Antiqua" w:cstheme="majorBidi"/>
          <w:b/>
          <w:sz w:val="24"/>
          <w:szCs w:val="24"/>
          <w:vertAlign w:val="superscript"/>
        </w:rPr>
        <w:t>30]</w:t>
      </w:r>
      <w:r w:rsidR="00FB317A" w:rsidRPr="00B727B0">
        <w:rPr>
          <w:rFonts w:ascii="Book Antiqua" w:eastAsia="Times New Roman" w:hAnsi="Book Antiqua" w:cstheme="majorBidi"/>
          <w:b/>
          <w:sz w:val="24"/>
          <w:szCs w:val="24"/>
        </w:rPr>
        <w:t xml:space="preserve"> with permission</w:t>
      </w:r>
      <w:r w:rsidRPr="00B727B0">
        <w:rPr>
          <w:rFonts w:ascii="Book Antiqua" w:eastAsia="Times New Roman" w:hAnsi="Book Antiqua" w:cstheme="majorBidi"/>
          <w:b/>
          <w:sz w:val="24"/>
          <w:szCs w:val="24"/>
        </w:rPr>
        <w:t>).</w:t>
      </w:r>
    </w:p>
    <w:p w14:paraId="5F09888D" w14:textId="0BC86C95" w:rsidR="003561A4" w:rsidRPr="00B727B0" w:rsidRDefault="003561A4" w:rsidP="007312CD">
      <w:pPr>
        <w:spacing w:after="160" w:line="259" w:lineRule="auto"/>
        <w:jc w:val="both"/>
        <w:rPr>
          <w:rFonts w:ascii="Book Antiqua" w:eastAsia="宋体" w:hAnsi="Book Antiqua" w:cstheme="majorBidi"/>
          <w:b/>
          <w:sz w:val="24"/>
          <w:szCs w:val="24"/>
          <w:lang w:eastAsia="zh-CN"/>
        </w:rPr>
      </w:pPr>
      <w:r w:rsidRPr="00B727B0">
        <w:rPr>
          <w:rFonts w:ascii="Book Antiqua" w:eastAsia="宋体" w:hAnsi="Book Antiqua" w:cstheme="majorBidi"/>
          <w:b/>
          <w:sz w:val="24"/>
          <w:szCs w:val="24"/>
          <w:lang w:eastAsia="zh-CN"/>
        </w:rPr>
        <w:br w:type="page"/>
      </w:r>
    </w:p>
    <w:p w14:paraId="3EFF4AAD" w14:textId="77777777" w:rsidR="001B7A50" w:rsidRPr="00B727B0" w:rsidRDefault="001B7A50" w:rsidP="007312CD">
      <w:pPr>
        <w:adjustRightInd w:val="0"/>
        <w:snapToGrid w:val="0"/>
        <w:spacing w:after="0" w:line="360" w:lineRule="auto"/>
        <w:jc w:val="both"/>
        <w:rPr>
          <w:rFonts w:ascii="Book Antiqua" w:hAnsi="Book Antiqua" w:cstheme="majorBidi"/>
          <w:sz w:val="24"/>
          <w:szCs w:val="24"/>
        </w:rPr>
      </w:pPr>
      <w:r w:rsidRPr="00B727B0">
        <w:rPr>
          <w:rFonts w:ascii="Book Antiqua" w:hAnsi="Book Antiqua"/>
          <w:noProof/>
          <w:sz w:val="24"/>
          <w:szCs w:val="24"/>
          <w:lang w:eastAsia="zh-CN"/>
        </w:rPr>
        <w:lastRenderedPageBreak/>
        <w:drawing>
          <wp:inline distT="0" distB="0" distL="0" distR="0" wp14:anchorId="6DC14B0E" wp14:editId="2B693AEB">
            <wp:extent cx="5441950" cy="3369179"/>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80" r="1604" b="1652"/>
                    <a:stretch/>
                  </pic:blipFill>
                  <pic:spPr bwMode="auto">
                    <a:xfrm>
                      <a:off x="0" y="0"/>
                      <a:ext cx="5519649" cy="3417284"/>
                    </a:xfrm>
                    <a:prstGeom prst="rect">
                      <a:avLst/>
                    </a:prstGeom>
                    <a:noFill/>
                    <a:ln>
                      <a:noFill/>
                    </a:ln>
                    <a:extLst>
                      <a:ext uri="{53640926-AAD7-44D8-BBD7-CCE9431645EC}">
                        <a14:shadowObscured xmlns:a14="http://schemas.microsoft.com/office/drawing/2010/main"/>
                      </a:ext>
                    </a:extLst>
                  </pic:spPr>
                </pic:pic>
              </a:graphicData>
            </a:graphic>
          </wp:inline>
        </w:drawing>
      </w:r>
    </w:p>
    <w:p w14:paraId="5C58C047" w14:textId="05741896" w:rsidR="001B7A50" w:rsidRPr="00B727B0" w:rsidRDefault="007312CD" w:rsidP="007312CD">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eastAsia="Times New Roman" w:hAnsi="Book Antiqua" w:cstheme="majorBidi"/>
          <w:b/>
          <w:sz w:val="24"/>
          <w:szCs w:val="24"/>
        </w:rPr>
        <w:t>Figure 5</w:t>
      </w:r>
      <w:r w:rsidRPr="00B727B0">
        <w:rPr>
          <w:rFonts w:ascii="Book Antiqua" w:eastAsia="Times New Roman" w:hAnsi="Book Antiqua" w:cstheme="majorBidi"/>
          <w:b/>
          <w:sz w:val="24"/>
          <w:szCs w:val="24"/>
          <w:lang w:bidi="ar-EG"/>
        </w:rPr>
        <w:t xml:space="preserve"> </w:t>
      </w:r>
      <w:r w:rsidRPr="00B727B0">
        <w:rPr>
          <w:rFonts w:ascii="Book Antiqua" w:eastAsia="Times New Roman" w:hAnsi="Book Antiqua" w:cstheme="majorBidi"/>
          <w:b/>
          <w:sz w:val="24"/>
          <w:szCs w:val="24"/>
        </w:rPr>
        <w:t>Response of post-transplant membranoproliferative glomerulonephritis</w:t>
      </w:r>
      <w:r w:rsidRPr="00B727B0">
        <w:rPr>
          <w:rFonts w:ascii="Book Antiqua" w:eastAsia="宋体" w:hAnsi="Book Antiqua" w:cstheme="majorBidi"/>
          <w:b/>
          <w:sz w:val="24"/>
          <w:szCs w:val="24"/>
          <w:lang w:eastAsia="zh-CN"/>
        </w:rPr>
        <w:t xml:space="preserve"> </w:t>
      </w:r>
      <w:r w:rsidRPr="00B727B0">
        <w:rPr>
          <w:rFonts w:ascii="Book Antiqua" w:eastAsia="Times New Roman" w:hAnsi="Book Antiqua" w:cstheme="majorBidi"/>
          <w:b/>
          <w:sz w:val="24"/>
          <w:szCs w:val="24"/>
        </w:rPr>
        <w:t>recurrence to different treatments (response to therapy defined by improvement in GFR and no subsequent graft loss)</w:t>
      </w:r>
      <w:r w:rsidRPr="00B727B0">
        <w:rPr>
          <w:rFonts w:ascii="Book Antiqua" w:eastAsia="宋体" w:hAnsi="Book Antiqua" w:cstheme="majorBidi"/>
          <w:b/>
          <w:sz w:val="24"/>
          <w:szCs w:val="24"/>
          <w:lang w:eastAsia="zh-CN"/>
        </w:rPr>
        <w:t>.</w:t>
      </w:r>
      <w:r w:rsidRPr="00B727B0">
        <w:rPr>
          <w:rFonts w:ascii="Book Antiqua" w:eastAsia="宋体" w:hAnsi="Book Antiqua" w:cstheme="majorBidi"/>
          <w:sz w:val="24"/>
          <w:szCs w:val="24"/>
          <w:lang w:eastAsia="zh-CN"/>
        </w:rPr>
        <w:t xml:space="preserve"> </w:t>
      </w:r>
      <w:r w:rsidRPr="00B727B0">
        <w:rPr>
          <w:rFonts w:ascii="Book Antiqua" w:eastAsia="Times New Roman" w:hAnsi="Book Antiqua" w:cstheme="majorBidi"/>
          <w:sz w:val="24"/>
          <w:szCs w:val="24"/>
        </w:rPr>
        <w:t xml:space="preserve">Adapted from </w:t>
      </w:r>
      <w:r w:rsidR="00FB317A" w:rsidRPr="00B727B0">
        <w:rPr>
          <w:rFonts w:ascii="Book Antiqua" w:eastAsia="Times New Roman" w:hAnsi="Book Antiqua" w:cstheme="majorBidi"/>
          <w:sz w:val="24"/>
          <w:szCs w:val="24"/>
        </w:rPr>
        <w:t>Alasfar </w:t>
      </w:r>
      <w:r w:rsidR="00FB317A" w:rsidRPr="00B727B0">
        <w:rPr>
          <w:rFonts w:ascii="Book Antiqua" w:eastAsia="Times New Roman" w:hAnsi="Book Antiqua" w:cstheme="majorBidi"/>
          <w:i/>
          <w:sz w:val="24"/>
          <w:szCs w:val="24"/>
        </w:rPr>
        <w:t xml:space="preserve">et </w:t>
      </w:r>
      <w:proofErr w:type="gramStart"/>
      <w:r w:rsidR="00FB317A" w:rsidRPr="00B727B0">
        <w:rPr>
          <w:rFonts w:ascii="Book Antiqua" w:eastAsia="Times New Roman" w:hAnsi="Book Antiqua" w:cstheme="majorBidi"/>
          <w:i/>
          <w:sz w:val="24"/>
          <w:szCs w:val="24"/>
        </w:rPr>
        <w:t>al</w:t>
      </w:r>
      <w:r w:rsidR="00FB317A" w:rsidRPr="00B727B0">
        <w:rPr>
          <w:rFonts w:ascii="Book Antiqua" w:eastAsia="Times New Roman" w:hAnsi="Book Antiqua" w:cstheme="majorBidi"/>
          <w:sz w:val="24"/>
          <w:szCs w:val="24"/>
          <w:vertAlign w:val="superscript"/>
        </w:rPr>
        <w:t>[</w:t>
      </w:r>
      <w:proofErr w:type="gramEnd"/>
      <w:r w:rsidR="00FB317A" w:rsidRPr="00B727B0">
        <w:rPr>
          <w:rFonts w:ascii="Book Antiqua" w:eastAsia="Times New Roman" w:hAnsi="Book Antiqua" w:cstheme="majorBidi"/>
          <w:sz w:val="24"/>
          <w:szCs w:val="24"/>
          <w:vertAlign w:val="superscript"/>
        </w:rPr>
        <w:t>30]</w:t>
      </w:r>
      <w:r w:rsidR="00FB317A" w:rsidRPr="00B727B0">
        <w:rPr>
          <w:rFonts w:ascii="Book Antiqua" w:eastAsia="宋体" w:hAnsi="Book Antiqua" w:cstheme="majorBidi"/>
          <w:sz w:val="24"/>
          <w:szCs w:val="24"/>
          <w:lang w:eastAsia="zh-CN"/>
        </w:rPr>
        <w:t xml:space="preserve"> </w:t>
      </w:r>
      <w:r w:rsidR="00FB317A" w:rsidRPr="00B727B0">
        <w:rPr>
          <w:rFonts w:ascii="Book Antiqua" w:eastAsia="Times New Roman" w:hAnsi="Book Antiqua" w:cstheme="majorBidi"/>
          <w:sz w:val="24"/>
          <w:szCs w:val="24"/>
        </w:rPr>
        <w:t>with permission</w:t>
      </w:r>
      <w:r w:rsidR="00FB317A" w:rsidRPr="00B727B0">
        <w:rPr>
          <w:rFonts w:ascii="Book Antiqua" w:eastAsia="宋体" w:hAnsi="Book Antiqua" w:cstheme="majorBidi"/>
          <w:sz w:val="24"/>
          <w:szCs w:val="24"/>
          <w:lang w:eastAsia="zh-CN"/>
        </w:rPr>
        <w:t>.</w:t>
      </w:r>
    </w:p>
    <w:p w14:paraId="4F51ED73" w14:textId="031D2DD5" w:rsidR="007312CD" w:rsidRPr="00B727B0" w:rsidRDefault="007312CD">
      <w:pPr>
        <w:spacing w:after="160" w:line="259" w:lineRule="auto"/>
        <w:rPr>
          <w:rFonts w:ascii="Book Antiqua" w:eastAsia="宋体" w:hAnsi="Book Antiqua" w:cstheme="majorBidi"/>
          <w:sz w:val="24"/>
          <w:szCs w:val="24"/>
          <w:lang w:eastAsia="zh-CN"/>
        </w:rPr>
      </w:pPr>
      <w:r w:rsidRPr="00B727B0">
        <w:rPr>
          <w:rFonts w:ascii="Book Antiqua" w:eastAsia="宋体" w:hAnsi="Book Antiqua" w:cstheme="majorBidi"/>
          <w:sz w:val="24"/>
          <w:szCs w:val="24"/>
          <w:lang w:eastAsia="zh-CN"/>
        </w:rPr>
        <w:br w:type="page"/>
      </w:r>
    </w:p>
    <w:p w14:paraId="53D541C1" w14:textId="77777777" w:rsidR="001B7A50" w:rsidRPr="00B727B0" w:rsidRDefault="001B7A50" w:rsidP="004E7556">
      <w:pPr>
        <w:adjustRightInd w:val="0"/>
        <w:snapToGrid w:val="0"/>
        <w:spacing w:after="0" w:line="360" w:lineRule="auto"/>
        <w:jc w:val="both"/>
        <w:rPr>
          <w:rFonts w:ascii="Book Antiqua" w:hAnsi="Book Antiqua" w:cstheme="majorBidi"/>
          <w:noProof/>
          <w:sz w:val="24"/>
          <w:szCs w:val="24"/>
        </w:rPr>
      </w:pPr>
      <w:r w:rsidRPr="00B727B0">
        <w:rPr>
          <w:rFonts w:ascii="Book Antiqua" w:hAnsi="Book Antiqua" w:cstheme="majorBidi"/>
          <w:noProof/>
          <w:sz w:val="24"/>
          <w:szCs w:val="24"/>
          <w:lang w:eastAsia="zh-CN"/>
        </w:rPr>
        <w:lastRenderedPageBreak/>
        <w:drawing>
          <wp:inline distT="0" distB="0" distL="0" distR="0" wp14:anchorId="7F061352" wp14:editId="27203BB5">
            <wp:extent cx="5028809" cy="2785707"/>
            <wp:effectExtent l="76200" t="76200" r="133985" b="129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320" t="11835" r="12390" b="3097"/>
                    <a:stretch/>
                  </pic:blipFill>
                  <pic:spPr bwMode="auto">
                    <a:xfrm>
                      <a:off x="0" y="0"/>
                      <a:ext cx="5065333" cy="2805939"/>
                    </a:xfrm>
                    <a:prstGeom prst="rect">
                      <a:avLst/>
                    </a:prstGeom>
                    <a:ln w="38100" cap="sq" cmpd="sng" algn="ctr">
                      <a:solidFill>
                        <a:srgbClr val="C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FB809E" w14:textId="0DF5714C" w:rsidR="001B7A50" w:rsidRPr="00B727B0" w:rsidRDefault="004920BE" w:rsidP="004920BE">
      <w:pPr>
        <w:adjustRightInd w:val="0"/>
        <w:snapToGrid w:val="0"/>
        <w:spacing w:after="0" w:line="360" w:lineRule="auto"/>
        <w:jc w:val="both"/>
        <w:rPr>
          <w:rFonts w:ascii="Book Antiqua" w:hAnsi="Book Antiqua" w:cstheme="majorBidi"/>
          <w:sz w:val="24"/>
          <w:szCs w:val="24"/>
        </w:rPr>
      </w:pPr>
      <w:r w:rsidRPr="00B727B0">
        <w:rPr>
          <w:rFonts w:ascii="Book Antiqua" w:eastAsia="Times New Roman" w:hAnsi="Book Antiqua" w:cstheme="majorBidi"/>
          <w:b/>
          <w:sz w:val="24"/>
          <w:szCs w:val="24"/>
        </w:rPr>
        <w:t xml:space="preserve">Figure 6 Variables associated with allograft loss among patients with </w:t>
      </w:r>
      <w:r w:rsidR="00F801AE" w:rsidRPr="00B727B0">
        <w:rPr>
          <w:rFonts w:ascii="Book Antiqua" w:eastAsia="Times New Roman" w:hAnsi="Book Antiqua" w:cstheme="majorBidi"/>
          <w:b/>
          <w:sz w:val="24"/>
          <w:szCs w:val="24"/>
        </w:rPr>
        <w:t xml:space="preserve">membranoproliferative glomerulonephritis </w:t>
      </w:r>
      <w:r w:rsidR="00F801AE" w:rsidRPr="00B727B0">
        <w:rPr>
          <w:rFonts w:ascii="Book Antiqua" w:hAnsi="Book Antiqua" w:cstheme="majorBidi"/>
          <w:b/>
          <w:sz w:val="24"/>
          <w:szCs w:val="24"/>
        </w:rPr>
        <w:t>immune complex mediated</w:t>
      </w:r>
      <w:r w:rsidR="00F801AE" w:rsidRPr="00B727B0">
        <w:rPr>
          <w:rFonts w:ascii="Book Antiqua" w:eastAsia="Times New Roman" w:hAnsi="Book Antiqua" w:cstheme="majorBidi"/>
          <w:b/>
          <w:sz w:val="24"/>
          <w:szCs w:val="24"/>
        </w:rPr>
        <w:t xml:space="preserve"> glomerulonephritis</w:t>
      </w:r>
      <w:r w:rsidRPr="00B727B0">
        <w:rPr>
          <w:rFonts w:ascii="Book Antiqua" w:eastAsia="Times New Roman" w:hAnsi="Book Antiqua" w:cstheme="majorBidi"/>
          <w:b/>
          <w:sz w:val="24"/>
          <w:szCs w:val="24"/>
        </w:rPr>
        <w:t xml:space="preserve">-type recurrence after KTx by univariate Cox </w:t>
      </w:r>
      <w:bookmarkStart w:id="223" w:name="_GoBack"/>
      <w:bookmarkEnd w:id="223"/>
      <w:r w:rsidRPr="00B727B0">
        <w:rPr>
          <w:rFonts w:ascii="Book Antiqua" w:eastAsia="Times New Roman" w:hAnsi="Book Antiqua" w:cstheme="majorBidi"/>
          <w:b/>
          <w:sz w:val="24"/>
          <w:szCs w:val="24"/>
        </w:rPr>
        <w:t>analysis (</w:t>
      </w:r>
      <w:r w:rsidRPr="00B727B0">
        <w:rPr>
          <w:rFonts w:ascii="Book Antiqua" w:eastAsia="Times New Roman" w:hAnsi="Book Antiqua" w:cstheme="majorBidi"/>
          <w:b/>
          <w:i/>
          <w:iCs/>
          <w:sz w:val="24"/>
          <w:szCs w:val="24"/>
        </w:rPr>
        <w:t>n</w:t>
      </w:r>
      <w:r w:rsidRPr="00B727B0">
        <w:rPr>
          <w:rFonts w:ascii="Times New Roman" w:eastAsia="Times New Roman" w:hAnsi="Times New Roman" w:cs="Times New Roman"/>
          <w:b/>
          <w:sz w:val="24"/>
          <w:szCs w:val="24"/>
        </w:rPr>
        <w:t> </w:t>
      </w:r>
      <w:r w:rsidRPr="00B727B0">
        <w:rPr>
          <w:rFonts w:ascii="Book Antiqua" w:eastAsia="Times New Roman" w:hAnsi="Book Antiqua" w:cstheme="majorBidi"/>
          <w:b/>
          <w:sz w:val="24"/>
          <w:szCs w:val="24"/>
        </w:rPr>
        <w:t>=</w:t>
      </w:r>
      <w:r w:rsidRPr="00B727B0">
        <w:rPr>
          <w:rFonts w:ascii="Times New Roman" w:eastAsia="Times New Roman" w:hAnsi="Times New Roman" w:cs="Times New Roman"/>
          <w:b/>
          <w:sz w:val="24"/>
          <w:szCs w:val="24"/>
        </w:rPr>
        <w:t> </w:t>
      </w:r>
      <w:r w:rsidR="00F801AE" w:rsidRPr="00B727B0">
        <w:rPr>
          <w:rFonts w:ascii="Book Antiqua" w:eastAsia="Times New Roman" w:hAnsi="Book Antiqua" w:cstheme="majorBidi"/>
          <w:b/>
          <w:sz w:val="24"/>
          <w:szCs w:val="24"/>
        </w:rPr>
        <w:t>16).</w:t>
      </w:r>
      <w:r w:rsidR="00F801AE" w:rsidRPr="00B727B0">
        <w:rPr>
          <w:rFonts w:ascii="Book Antiqua" w:eastAsia="Times New Roman" w:hAnsi="Book Antiqua" w:cstheme="majorBidi"/>
          <w:sz w:val="24"/>
          <w:szCs w:val="24"/>
        </w:rPr>
        <w:t xml:space="preserve"> Adapted from </w:t>
      </w:r>
      <w:r w:rsidR="00FB317A" w:rsidRPr="00B727B0">
        <w:rPr>
          <w:rFonts w:ascii="Book Antiqua" w:eastAsia="Times New Roman" w:hAnsi="Book Antiqua" w:cstheme="majorBidi"/>
          <w:sz w:val="24"/>
          <w:szCs w:val="24"/>
        </w:rPr>
        <w:t>Alasfar </w:t>
      </w:r>
      <w:r w:rsidR="00FB317A" w:rsidRPr="00B727B0">
        <w:rPr>
          <w:rFonts w:ascii="Book Antiqua" w:eastAsia="Times New Roman" w:hAnsi="Book Antiqua" w:cstheme="majorBidi"/>
          <w:i/>
          <w:sz w:val="24"/>
          <w:szCs w:val="24"/>
        </w:rPr>
        <w:t xml:space="preserve">et </w:t>
      </w:r>
      <w:proofErr w:type="gramStart"/>
      <w:r w:rsidR="00FB317A" w:rsidRPr="00B727B0">
        <w:rPr>
          <w:rFonts w:ascii="Book Antiqua" w:eastAsia="Times New Roman" w:hAnsi="Book Antiqua" w:cstheme="majorBidi"/>
          <w:i/>
          <w:sz w:val="24"/>
          <w:szCs w:val="24"/>
        </w:rPr>
        <w:t>al</w:t>
      </w:r>
      <w:r w:rsidR="00FB317A" w:rsidRPr="00B727B0">
        <w:rPr>
          <w:rFonts w:ascii="Book Antiqua" w:eastAsia="Times New Roman" w:hAnsi="Book Antiqua" w:cstheme="majorBidi"/>
          <w:sz w:val="24"/>
          <w:szCs w:val="24"/>
          <w:vertAlign w:val="superscript"/>
        </w:rPr>
        <w:t>[</w:t>
      </w:r>
      <w:proofErr w:type="gramEnd"/>
      <w:r w:rsidR="00FB317A" w:rsidRPr="00B727B0">
        <w:rPr>
          <w:rFonts w:ascii="Book Antiqua" w:eastAsia="Times New Roman" w:hAnsi="Book Antiqua" w:cstheme="majorBidi"/>
          <w:sz w:val="24"/>
          <w:szCs w:val="24"/>
          <w:vertAlign w:val="superscript"/>
        </w:rPr>
        <w:t>30]</w:t>
      </w:r>
      <w:r w:rsidR="00FB317A" w:rsidRPr="00B727B0">
        <w:rPr>
          <w:rFonts w:ascii="Book Antiqua" w:eastAsia="宋体" w:hAnsi="Book Antiqua" w:cstheme="majorBidi"/>
          <w:sz w:val="24"/>
          <w:szCs w:val="24"/>
          <w:lang w:eastAsia="zh-CN"/>
        </w:rPr>
        <w:t xml:space="preserve"> </w:t>
      </w:r>
      <w:r w:rsidRPr="00B727B0">
        <w:rPr>
          <w:rFonts w:ascii="Book Antiqua" w:eastAsia="Times New Roman" w:hAnsi="Book Antiqua" w:cstheme="majorBidi"/>
          <w:sz w:val="24"/>
          <w:szCs w:val="24"/>
        </w:rPr>
        <w:t xml:space="preserve">with permission. </w:t>
      </w:r>
      <w:r w:rsidR="001B7A50" w:rsidRPr="00B727B0">
        <w:rPr>
          <w:rFonts w:ascii="Book Antiqua" w:hAnsi="Book Antiqua" w:cstheme="majorBidi"/>
          <w:sz w:val="24"/>
          <w:szCs w:val="24"/>
        </w:rPr>
        <w:br w:type="page"/>
      </w:r>
    </w:p>
    <w:p w14:paraId="04384541" w14:textId="77777777" w:rsidR="001B7A50" w:rsidRPr="00B727B0" w:rsidRDefault="001B7A50" w:rsidP="005062AF">
      <w:pPr>
        <w:adjustRightInd w:val="0"/>
        <w:snapToGrid w:val="0"/>
        <w:spacing w:after="0" w:line="360" w:lineRule="auto"/>
        <w:jc w:val="both"/>
        <w:rPr>
          <w:rFonts w:ascii="Book Antiqua" w:eastAsia="Times New Roman" w:hAnsi="Book Antiqua" w:cstheme="majorBidi"/>
          <w:sz w:val="24"/>
          <w:szCs w:val="24"/>
        </w:rPr>
      </w:pPr>
      <w:r w:rsidRPr="00B727B0">
        <w:rPr>
          <w:rFonts w:ascii="Book Antiqua" w:hAnsi="Book Antiqua" w:cstheme="majorBidi"/>
          <w:noProof/>
          <w:sz w:val="24"/>
          <w:szCs w:val="24"/>
          <w:lang w:eastAsia="zh-CN"/>
        </w:rPr>
        <w:lastRenderedPageBreak/>
        <w:drawing>
          <wp:inline distT="0" distB="0" distL="0" distR="0" wp14:anchorId="1F9AA152" wp14:editId="0A2B7FAA">
            <wp:extent cx="4006850" cy="3194050"/>
            <wp:effectExtent l="0" t="0" r="0" b="6350"/>
            <wp:docPr id="2" name="Picture 2" descr="https://static-content.springer.com/image/art%3A10.1186%2Fs12882-015-0219-x/MediaObjects/12882_2015_219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ontent.springer.com/image/art%3A10.1186%2Fs12882-015-0219-x/MediaObjects/12882_2015_219_Fig1_HTML.gif"/>
                    <pic:cNvPicPr>
                      <a:picLocks noChangeAspect="1" noChangeArrowheads="1"/>
                    </pic:cNvPicPr>
                  </pic:nvPicPr>
                  <pic:blipFill rotWithShape="1">
                    <a:blip r:embed="rId20">
                      <a:extLst>
                        <a:ext uri="{28A0092B-C50C-407E-A947-70E740481C1C}">
                          <a14:useLocalDpi xmlns:a14="http://schemas.microsoft.com/office/drawing/2010/main" val="0"/>
                        </a:ext>
                      </a:extLst>
                    </a:blip>
                    <a:srcRect l="1330" t="1" r="2116" b="1208"/>
                    <a:stretch/>
                  </pic:blipFill>
                  <pic:spPr bwMode="auto">
                    <a:xfrm>
                      <a:off x="0" y="0"/>
                      <a:ext cx="4205382" cy="3352309"/>
                    </a:xfrm>
                    <a:prstGeom prst="rect">
                      <a:avLst/>
                    </a:prstGeom>
                    <a:noFill/>
                    <a:ln>
                      <a:noFill/>
                    </a:ln>
                    <a:extLst>
                      <a:ext uri="{53640926-AAD7-44D8-BBD7-CCE9431645EC}">
                        <a14:shadowObscured xmlns:a14="http://schemas.microsoft.com/office/drawing/2010/main"/>
                      </a:ext>
                    </a:extLst>
                  </pic:spPr>
                </pic:pic>
              </a:graphicData>
            </a:graphic>
          </wp:inline>
        </w:drawing>
      </w:r>
      <w:r w:rsidRPr="00B727B0">
        <w:rPr>
          <w:rFonts w:ascii="Book Antiqua" w:hAnsi="Book Antiqua" w:cstheme="majorBidi"/>
          <w:noProof/>
          <w:sz w:val="24"/>
          <w:szCs w:val="24"/>
          <w:lang w:eastAsia="zh-CN"/>
        </w:rPr>
        <w:drawing>
          <wp:inline distT="0" distB="0" distL="0" distR="0" wp14:anchorId="41CD4B10" wp14:editId="7BC58864">
            <wp:extent cx="4044950" cy="2825749"/>
            <wp:effectExtent l="0" t="0" r="0" b="0"/>
            <wp:docPr id="1" name="Picture 1" descr="https://static-content.springer.com/image/art%3A10.1186%2Fs12882-015-0219-x/MediaObjects/12882_2015_219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ontent.springer.com/image/art%3A10.1186%2Fs12882-015-0219-x/MediaObjects/12882_2015_219_Fig1_HTML.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707" t="1" r="1641" b="2340"/>
                    <a:stretch/>
                  </pic:blipFill>
                  <pic:spPr bwMode="auto">
                    <a:xfrm>
                      <a:off x="0" y="0"/>
                      <a:ext cx="4226246" cy="2952400"/>
                    </a:xfrm>
                    <a:prstGeom prst="rect">
                      <a:avLst/>
                    </a:prstGeom>
                    <a:noFill/>
                    <a:ln>
                      <a:noFill/>
                    </a:ln>
                    <a:extLst>
                      <a:ext uri="{53640926-AAD7-44D8-BBD7-CCE9431645EC}">
                        <a14:shadowObscured xmlns:a14="http://schemas.microsoft.com/office/drawing/2010/main"/>
                      </a:ext>
                    </a:extLst>
                  </pic:spPr>
                </pic:pic>
              </a:graphicData>
            </a:graphic>
          </wp:inline>
        </w:drawing>
      </w:r>
    </w:p>
    <w:p w14:paraId="0BCAF57C" w14:textId="600CB064" w:rsidR="001B7A50" w:rsidRPr="00B727B0" w:rsidRDefault="005062AF" w:rsidP="005062AF">
      <w:pPr>
        <w:adjustRightInd w:val="0"/>
        <w:snapToGrid w:val="0"/>
        <w:spacing w:after="0" w:line="360" w:lineRule="auto"/>
        <w:jc w:val="both"/>
        <w:rPr>
          <w:rFonts w:ascii="Book Antiqua" w:hAnsi="Book Antiqua" w:cstheme="majorBidi"/>
          <w:sz w:val="24"/>
          <w:szCs w:val="24"/>
        </w:rPr>
      </w:pPr>
      <w:r w:rsidRPr="00B727B0">
        <w:rPr>
          <w:rFonts w:ascii="Book Antiqua" w:eastAsia="Times New Roman" w:hAnsi="Book Antiqua" w:cstheme="majorBidi"/>
          <w:b/>
          <w:sz w:val="24"/>
          <w:szCs w:val="24"/>
        </w:rPr>
        <w:t>Figure 7 Histological changes of membranoproliferative glomerulonephritis in kidney transplant biopsies.</w:t>
      </w:r>
      <w:r w:rsidRPr="00B727B0">
        <w:rPr>
          <w:rFonts w:ascii="Book Antiqua" w:eastAsia="Times New Roman" w:hAnsi="Book Antiqua" w:cstheme="majorBidi"/>
          <w:sz w:val="24"/>
          <w:szCs w:val="24"/>
        </w:rPr>
        <w:t xml:space="preserve"> Typical LM, EM and IF finding in cases previously classified as MPGN. </w:t>
      </w:r>
      <w:r w:rsidRPr="00B727B0">
        <w:rPr>
          <w:rFonts w:ascii="Book Antiqua" w:eastAsia="宋体" w:hAnsi="Book Antiqua" w:cstheme="majorBidi"/>
          <w:sz w:val="24"/>
          <w:szCs w:val="24"/>
          <w:lang w:eastAsia="zh-CN"/>
        </w:rPr>
        <w:t xml:space="preserve">First </w:t>
      </w:r>
      <w:r w:rsidRPr="00B727B0">
        <w:rPr>
          <w:rFonts w:ascii="Book Antiqua" w:eastAsia="Times New Roman" w:hAnsi="Book Antiqua" w:cstheme="majorBidi"/>
          <w:sz w:val="24"/>
          <w:szCs w:val="24"/>
        </w:rPr>
        <w:t xml:space="preserve">panel shows a case reclassified as ICGN with C3 abnormalities, including (A) the classic MPGN pattern GN on LM (B) large sub-endothelial electron dense deposits on EM and granular mesangial and capillary wall staining for both (C) IgG and (D) C3 on IF. </w:t>
      </w:r>
      <w:r w:rsidRPr="00B727B0">
        <w:rPr>
          <w:rFonts w:ascii="Book Antiqua" w:eastAsia="宋体" w:hAnsi="Book Antiqua" w:cstheme="majorBidi"/>
          <w:sz w:val="24"/>
          <w:szCs w:val="24"/>
          <w:lang w:eastAsia="zh-CN"/>
        </w:rPr>
        <w:t>Second</w:t>
      </w:r>
      <w:r w:rsidRPr="00B727B0">
        <w:rPr>
          <w:rFonts w:ascii="Book Antiqua" w:eastAsia="Times New Roman" w:hAnsi="Book Antiqua" w:cstheme="majorBidi"/>
          <w:sz w:val="24"/>
          <w:szCs w:val="24"/>
        </w:rPr>
        <w:t xml:space="preserve"> panel shows a case reclassified as a C3 glomerulopathy, with (E) a similar MPGN pattern on LM, (F) smaller sub-endothelial deposits on EM and granular </w:t>
      </w:r>
      <w:r w:rsidRPr="00B727B0">
        <w:rPr>
          <w:rFonts w:ascii="Book Antiqua" w:eastAsia="Times New Roman" w:hAnsi="Book Antiqua" w:cstheme="majorBidi"/>
          <w:sz w:val="24"/>
          <w:szCs w:val="24"/>
        </w:rPr>
        <w:lastRenderedPageBreak/>
        <w:t>mesangial and capillary wall staining for (G) C3, but no significant staining for (H) IgG. Adapted from Alasfar </w:t>
      </w:r>
      <w:r w:rsidRPr="00B727B0">
        <w:rPr>
          <w:rFonts w:ascii="Book Antiqua" w:eastAsia="Times New Roman" w:hAnsi="Book Antiqua" w:cstheme="majorBidi"/>
          <w:i/>
          <w:sz w:val="24"/>
          <w:szCs w:val="24"/>
        </w:rPr>
        <w:t xml:space="preserve">et </w:t>
      </w:r>
      <w:proofErr w:type="gramStart"/>
      <w:r w:rsidRPr="00B727B0">
        <w:rPr>
          <w:rFonts w:ascii="Book Antiqua" w:eastAsia="Times New Roman" w:hAnsi="Book Antiqua" w:cstheme="majorBidi"/>
          <w:i/>
          <w:sz w:val="24"/>
          <w:szCs w:val="24"/>
        </w:rPr>
        <w:t>al</w:t>
      </w:r>
      <w:r w:rsidRPr="00B727B0">
        <w:rPr>
          <w:rFonts w:ascii="Book Antiqua" w:eastAsia="Times New Roman" w:hAnsi="Book Antiqua" w:cstheme="majorBidi"/>
          <w:sz w:val="24"/>
          <w:szCs w:val="24"/>
          <w:vertAlign w:val="superscript"/>
        </w:rPr>
        <w:t>[</w:t>
      </w:r>
      <w:proofErr w:type="gramEnd"/>
      <w:r w:rsidRPr="00B727B0">
        <w:rPr>
          <w:rFonts w:ascii="Book Antiqua" w:eastAsia="Times New Roman" w:hAnsi="Book Antiqua" w:cstheme="majorBidi"/>
          <w:sz w:val="24"/>
          <w:szCs w:val="24"/>
          <w:vertAlign w:val="superscript"/>
        </w:rPr>
        <w:t>30]</w:t>
      </w:r>
      <w:r w:rsidRPr="00B727B0">
        <w:rPr>
          <w:rFonts w:ascii="Book Antiqua" w:eastAsia="宋体" w:hAnsi="Book Antiqua" w:cstheme="majorBidi"/>
          <w:sz w:val="24"/>
          <w:szCs w:val="24"/>
          <w:lang w:eastAsia="zh-CN"/>
        </w:rPr>
        <w:t xml:space="preserve"> </w:t>
      </w:r>
      <w:r w:rsidRPr="00B727B0">
        <w:rPr>
          <w:rFonts w:ascii="Book Antiqua" w:eastAsia="Times New Roman" w:hAnsi="Book Antiqua" w:cstheme="majorBidi"/>
          <w:sz w:val="24"/>
          <w:szCs w:val="24"/>
        </w:rPr>
        <w:t>with permission</w:t>
      </w:r>
      <w:r w:rsidRPr="00B727B0">
        <w:rPr>
          <w:rFonts w:ascii="Book Antiqua" w:eastAsia="宋体" w:hAnsi="Book Antiqua" w:cstheme="majorBidi"/>
          <w:sz w:val="24"/>
          <w:szCs w:val="24"/>
          <w:lang w:eastAsia="zh-CN"/>
        </w:rPr>
        <w:t xml:space="preserve">. </w:t>
      </w:r>
      <w:r w:rsidRPr="00B727B0">
        <w:rPr>
          <w:rFonts w:ascii="Book Antiqua" w:eastAsia="Times New Roman" w:hAnsi="Book Antiqua" w:cstheme="majorBidi"/>
          <w:sz w:val="24"/>
          <w:szCs w:val="24"/>
        </w:rPr>
        <w:t>LM</w:t>
      </w:r>
      <w:r w:rsidRPr="00B727B0">
        <w:rPr>
          <w:rFonts w:ascii="Book Antiqua" w:eastAsia="宋体" w:hAnsi="Book Antiqua" w:cstheme="majorBidi"/>
          <w:sz w:val="24"/>
          <w:szCs w:val="24"/>
          <w:lang w:eastAsia="zh-CN"/>
        </w:rPr>
        <w:t>:</w:t>
      </w:r>
      <w:r w:rsidRPr="00B727B0">
        <w:rPr>
          <w:rFonts w:ascii="Book Antiqua" w:eastAsia="Times New Roman" w:hAnsi="Book Antiqua" w:cstheme="majorBidi"/>
          <w:sz w:val="24"/>
          <w:szCs w:val="24"/>
        </w:rPr>
        <w:t xml:space="preserve"> Light microscopic</w:t>
      </w:r>
      <w:r w:rsidRPr="00B727B0">
        <w:rPr>
          <w:rFonts w:ascii="Book Antiqua" w:eastAsia="宋体" w:hAnsi="Book Antiqua" w:cstheme="majorBidi"/>
          <w:sz w:val="24"/>
          <w:szCs w:val="24"/>
          <w:lang w:eastAsia="zh-CN"/>
        </w:rPr>
        <w:t>;</w:t>
      </w:r>
      <w:r w:rsidRPr="00B727B0">
        <w:rPr>
          <w:rFonts w:ascii="Book Antiqua" w:eastAsia="Times New Roman" w:hAnsi="Book Antiqua" w:cstheme="majorBidi"/>
          <w:sz w:val="24"/>
          <w:szCs w:val="24"/>
        </w:rPr>
        <w:t xml:space="preserve"> EM</w:t>
      </w:r>
      <w:r w:rsidRPr="00B727B0">
        <w:rPr>
          <w:rFonts w:ascii="Book Antiqua" w:eastAsia="宋体" w:hAnsi="Book Antiqua" w:cstheme="majorBidi"/>
          <w:sz w:val="24"/>
          <w:szCs w:val="24"/>
          <w:lang w:eastAsia="zh-CN"/>
        </w:rPr>
        <w:t>:</w:t>
      </w:r>
      <w:r w:rsidRPr="00B727B0">
        <w:rPr>
          <w:rFonts w:ascii="Book Antiqua" w:eastAsia="Times New Roman" w:hAnsi="Book Antiqua" w:cstheme="majorBidi"/>
          <w:sz w:val="24"/>
          <w:szCs w:val="24"/>
        </w:rPr>
        <w:t xml:space="preserve"> Electron microscopy</w:t>
      </w:r>
      <w:r w:rsidRPr="00B727B0">
        <w:rPr>
          <w:rFonts w:ascii="Book Antiqua" w:eastAsia="宋体" w:hAnsi="Book Antiqua" w:cstheme="majorBidi"/>
          <w:sz w:val="24"/>
          <w:szCs w:val="24"/>
          <w:lang w:eastAsia="zh-CN"/>
        </w:rPr>
        <w:t>;</w:t>
      </w:r>
      <w:r w:rsidRPr="00B727B0">
        <w:rPr>
          <w:rFonts w:ascii="Book Antiqua" w:eastAsia="Times New Roman" w:hAnsi="Book Antiqua" w:cstheme="majorBidi"/>
          <w:sz w:val="24"/>
          <w:szCs w:val="24"/>
        </w:rPr>
        <w:t xml:space="preserve"> </w:t>
      </w:r>
      <w:r w:rsidRPr="00B727B0">
        <w:rPr>
          <w:rFonts w:ascii="Book Antiqua" w:eastAsia="宋体" w:hAnsi="Book Antiqua" w:cstheme="majorBidi"/>
          <w:sz w:val="24"/>
          <w:szCs w:val="24"/>
          <w:lang w:eastAsia="zh-CN"/>
        </w:rPr>
        <w:t>IF:</w:t>
      </w:r>
      <w:r w:rsidRPr="00B727B0">
        <w:rPr>
          <w:rFonts w:ascii="Book Antiqua" w:eastAsia="Times New Roman" w:hAnsi="Book Antiqua" w:cstheme="majorBidi"/>
          <w:sz w:val="24"/>
          <w:szCs w:val="24"/>
        </w:rPr>
        <w:t xml:space="preserve"> Immunofluorescence</w:t>
      </w:r>
      <w:r w:rsidRPr="00B727B0">
        <w:rPr>
          <w:rFonts w:ascii="Book Antiqua" w:eastAsia="宋体" w:hAnsi="Book Antiqua" w:cstheme="majorBidi"/>
          <w:sz w:val="24"/>
          <w:szCs w:val="24"/>
          <w:lang w:eastAsia="zh-CN"/>
        </w:rPr>
        <w:t>.</w:t>
      </w:r>
      <w:r w:rsidR="001B7A50" w:rsidRPr="00B727B0">
        <w:rPr>
          <w:rFonts w:ascii="Book Antiqua" w:hAnsi="Book Antiqua" w:cstheme="majorBidi"/>
          <w:sz w:val="24"/>
          <w:szCs w:val="24"/>
        </w:rPr>
        <w:br w:type="page"/>
      </w:r>
    </w:p>
    <w:p w14:paraId="13C10EC9" w14:textId="1D87C88C" w:rsidR="001B7A50" w:rsidRPr="00B727B0" w:rsidRDefault="00C7371E" w:rsidP="00C7371E">
      <w:pPr>
        <w:adjustRightInd w:val="0"/>
        <w:snapToGrid w:val="0"/>
        <w:spacing w:after="0" w:line="360" w:lineRule="auto"/>
        <w:jc w:val="both"/>
        <w:outlineLvl w:val="1"/>
        <w:rPr>
          <w:rFonts w:ascii="Book Antiqua" w:eastAsia="宋体" w:hAnsi="Book Antiqua" w:cstheme="majorBidi"/>
          <w:b/>
          <w:sz w:val="24"/>
          <w:szCs w:val="24"/>
          <w:lang w:eastAsia="zh-CN"/>
        </w:rPr>
      </w:pPr>
      <w:r w:rsidRPr="00B727B0">
        <w:rPr>
          <w:rFonts w:ascii="Book Antiqua" w:hAnsi="Book Antiqua" w:cstheme="majorBidi"/>
          <w:b/>
          <w:iCs/>
          <w:sz w:val="24"/>
          <w:szCs w:val="24"/>
        </w:rPr>
        <w:lastRenderedPageBreak/>
        <w:t xml:space="preserve">Table 1 The </w:t>
      </w:r>
      <w:r w:rsidRPr="00B727B0">
        <w:rPr>
          <w:rFonts w:ascii="Book Antiqua" w:eastAsia="Times New Roman" w:hAnsi="Book Antiqua" w:cstheme="majorBidi"/>
          <w:b/>
          <w:sz w:val="24"/>
          <w:szCs w:val="24"/>
        </w:rPr>
        <w:t xml:space="preserve">membranoproliferative glomerulonephritis </w:t>
      </w:r>
      <w:r w:rsidRPr="00B727B0">
        <w:rPr>
          <w:rFonts w:ascii="Book Antiqua" w:hAnsi="Book Antiqua" w:cstheme="majorBidi"/>
          <w:b/>
          <w:iCs/>
          <w:sz w:val="24"/>
          <w:szCs w:val="24"/>
        </w:rPr>
        <w:t xml:space="preserve">new classification depends on the mechanism of glomerular injury instead of deposits </w:t>
      </w:r>
      <w:proofErr w:type="gramStart"/>
      <w:r w:rsidRPr="00B727B0">
        <w:rPr>
          <w:rFonts w:ascii="Book Antiqua" w:hAnsi="Book Antiqua" w:cstheme="majorBidi"/>
          <w:b/>
          <w:iCs/>
          <w:sz w:val="24"/>
          <w:szCs w:val="24"/>
        </w:rPr>
        <w:t>distribution</w:t>
      </w:r>
      <w:r w:rsidRPr="00B727B0">
        <w:rPr>
          <w:rFonts w:ascii="Book Antiqua" w:hAnsi="Book Antiqua" w:cstheme="majorBidi"/>
          <w:b/>
          <w:iCs/>
          <w:sz w:val="24"/>
          <w:szCs w:val="24"/>
          <w:vertAlign w:val="superscript"/>
        </w:rPr>
        <w:t>[</w:t>
      </w:r>
      <w:proofErr w:type="gramEnd"/>
      <w:r w:rsidRPr="00B727B0">
        <w:rPr>
          <w:rFonts w:ascii="Book Antiqua" w:hAnsi="Book Antiqua" w:cstheme="majorBidi"/>
          <w:b/>
          <w:iCs/>
          <w:sz w:val="24"/>
          <w:szCs w:val="24"/>
          <w:vertAlign w:val="superscript"/>
        </w:rPr>
        <w:t>30]</w:t>
      </w:r>
    </w:p>
    <w:tbl>
      <w:tblPr>
        <w:tblStyle w:val="TableGrid"/>
        <w:tblW w:w="8946" w:type="dxa"/>
        <w:tblInd w:w="-176" w:type="dxa"/>
        <w:tblLook w:val="04A0" w:firstRow="1" w:lastRow="0" w:firstColumn="1" w:lastColumn="0" w:noHBand="0" w:noVBand="1"/>
      </w:tblPr>
      <w:tblGrid>
        <w:gridCol w:w="710"/>
        <w:gridCol w:w="992"/>
        <w:gridCol w:w="3685"/>
        <w:gridCol w:w="3559"/>
      </w:tblGrid>
      <w:tr w:rsidR="001B7A50" w:rsidRPr="00B727B0" w14:paraId="19BBB430" w14:textId="77777777" w:rsidTr="00353DB7">
        <w:tc>
          <w:tcPr>
            <w:tcW w:w="710" w:type="dxa"/>
          </w:tcPr>
          <w:p w14:paraId="6B6097E0" w14:textId="7AB9D968" w:rsidR="001B7A50" w:rsidRPr="00B727B0" w:rsidRDefault="001C7001" w:rsidP="001C7001">
            <w:pPr>
              <w:adjustRightInd w:val="0"/>
              <w:snapToGrid w:val="0"/>
              <w:spacing w:after="0" w:line="360" w:lineRule="auto"/>
              <w:ind w:firstLine="34"/>
              <w:jc w:val="center"/>
              <w:outlineLvl w:val="1"/>
              <w:rPr>
                <w:rFonts w:ascii="Book Antiqua" w:eastAsia="宋体" w:hAnsi="Book Antiqua" w:cstheme="majorBidi"/>
                <w:b/>
                <w:sz w:val="24"/>
                <w:szCs w:val="24"/>
                <w:lang w:eastAsia="zh-CN"/>
              </w:rPr>
            </w:pPr>
            <w:r w:rsidRPr="00B727B0">
              <w:rPr>
                <w:rFonts w:ascii="Book Antiqua" w:eastAsia="宋体" w:hAnsi="Book Antiqua" w:cstheme="majorBidi"/>
                <w:b/>
                <w:sz w:val="24"/>
                <w:szCs w:val="24"/>
                <w:lang w:eastAsia="zh-CN"/>
              </w:rPr>
              <w:t>N</w:t>
            </w:r>
            <w:r w:rsidR="00C7371E" w:rsidRPr="00B727B0">
              <w:rPr>
                <w:rFonts w:ascii="Book Antiqua" w:eastAsia="宋体" w:hAnsi="Book Antiqua" w:cstheme="majorBidi"/>
                <w:b/>
                <w:sz w:val="24"/>
                <w:szCs w:val="24"/>
                <w:lang w:eastAsia="zh-CN"/>
              </w:rPr>
              <w:t>o</w:t>
            </w:r>
          </w:p>
        </w:tc>
        <w:tc>
          <w:tcPr>
            <w:tcW w:w="992" w:type="dxa"/>
          </w:tcPr>
          <w:p w14:paraId="73AF4CBB" w14:textId="77777777" w:rsidR="001B7A50" w:rsidRPr="00B727B0" w:rsidRDefault="001B7A50" w:rsidP="001C7001">
            <w:pPr>
              <w:adjustRightInd w:val="0"/>
              <w:snapToGrid w:val="0"/>
              <w:spacing w:after="0" w:line="360" w:lineRule="auto"/>
              <w:jc w:val="center"/>
              <w:outlineLvl w:val="1"/>
              <w:rPr>
                <w:rFonts w:ascii="Book Antiqua" w:hAnsi="Book Antiqua" w:cstheme="majorBidi"/>
                <w:b/>
                <w:sz w:val="24"/>
                <w:szCs w:val="24"/>
              </w:rPr>
            </w:pPr>
            <w:r w:rsidRPr="00B727B0">
              <w:rPr>
                <w:rFonts w:ascii="Book Antiqua" w:hAnsi="Book Antiqua" w:cstheme="majorBidi"/>
                <w:b/>
                <w:sz w:val="24"/>
                <w:szCs w:val="24"/>
              </w:rPr>
              <w:t>Type</w:t>
            </w:r>
          </w:p>
        </w:tc>
        <w:tc>
          <w:tcPr>
            <w:tcW w:w="3685" w:type="dxa"/>
          </w:tcPr>
          <w:p w14:paraId="271F9267" w14:textId="77777777" w:rsidR="001B7A50" w:rsidRPr="00B727B0" w:rsidRDefault="001B7A50" w:rsidP="001C7001">
            <w:pPr>
              <w:adjustRightInd w:val="0"/>
              <w:snapToGrid w:val="0"/>
              <w:spacing w:after="0" w:line="360" w:lineRule="auto"/>
              <w:jc w:val="center"/>
              <w:outlineLvl w:val="1"/>
              <w:rPr>
                <w:rFonts w:ascii="Book Antiqua" w:hAnsi="Book Antiqua" w:cstheme="majorBidi"/>
                <w:b/>
                <w:sz w:val="24"/>
                <w:szCs w:val="24"/>
              </w:rPr>
            </w:pPr>
            <w:r w:rsidRPr="00B727B0">
              <w:rPr>
                <w:rFonts w:ascii="Book Antiqua" w:hAnsi="Book Antiqua" w:cstheme="majorBidi"/>
                <w:b/>
                <w:sz w:val="24"/>
                <w:szCs w:val="24"/>
              </w:rPr>
              <w:t>Criteria</w:t>
            </w:r>
          </w:p>
        </w:tc>
        <w:tc>
          <w:tcPr>
            <w:tcW w:w="3559" w:type="dxa"/>
          </w:tcPr>
          <w:p w14:paraId="014045A0" w14:textId="77777777" w:rsidR="001B7A50" w:rsidRPr="00B727B0" w:rsidRDefault="001B7A50" w:rsidP="001C7001">
            <w:pPr>
              <w:adjustRightInd w:val="0"/>
              <w:snapToGrid w:val="0"/>
              <w:spacing w:after="0" w:line="360" w:lineRule="auto"/>
              <w:jc w:val="center"/>
              <w:outlineLvl w:val="1"/>
              <w:rPr>
                <w:rFonts w:ascii="Book Antiqua" w:hAnsi="Book Antiqua" w:cstheme="majorBidi"/>
                <w:b/>
                <w:sz w:val="24"/>
                <w:szCs w:val="24"/>
              </w:rPr>
            </w:pPr>
            <w:r w:rsidRPr="00B727B0">
              <w:rPr>
                <w:rFonts w:ascii="Book Antiqua" w:hAnsi="Book Antiqua" w:cstheme="majorBidi"/>
                <w:b/>
                <w:sz w:val="24"/>
                <w:szCs w:val="24"/>
              </w:rPr>
              <w:t>Prevalence</w:t>
            </w:r>
          </w:p>
        </w:tc>
      </w:tr>
      <w:tr w:rsidR="00B727B0" w:rsidRPr="00B727B0" w14:paraId="58B25985" w14:textId="77777777" w:rsidTr="00353DB7">
        <w:tc>
          <w:tcPr>
            <w:tcW w:w="710" w:type="dxa"/>
          </w:tcPr>
          <w:p w14:paraId="50FC5D98" w14:textId="7CFCA0B5" w:rsidR="001B7A50" w:rsidRPr="00B727B0" w:rsidRDefault="001C7001" w:rsidP="00F8334B">
            <w:pPr>
              <w:adjustRightInd w:val="0"/>
              <w:snapToGrid w:val="0"/>
              <w:spacing w:after="0" w:line="360" w:lineRule="auto"/>
              <w:jc w:val="center"/>
              <w:outlineLvl w:val="1"/>
              <w:rPr>
                <w:rFonts w:ascii="Book Antiqua" w:eastAsia="宋体" w:hAnsi="Book Antiqua" w:cstheme="majorBidi"/>
                <w:sz w:val="24"/>
                <w:szCs w:val="24"/>
                <w:lang w:eastAsia="zh-CN"/>
              </w:rPr>
            </w:pPr>
            <w:r w:rsidRPr="00B727B0">
              <w:rPr>
                <w:rFonts w:ascii="Book Antiqua" w:eastAsia="宋体" w:hAnsi="Book Antiqua" w:cstheme="majorBidi"/>
                <w:sz w:val="24"/>
                <w:szCs w:val="24"/>
                <w:lang w:eastAsia="zh-CN"/>
              </w:rPr>
              <w:t>1</w:t>
            </w:r>
          </w:p>
        </w:tc>
        <w:tc>
          <w:tcPr>
            <w:tcW w:w="992" w:type="dxa"/>
          </w:tcPr>
          <w:p w14:paraId="7C9F727C" w14:textId="0C2A6788" w:rsidR="001B7A50" w:rsidRPr="00B727B0" w:rsidRDefault="001B7A50" w:rsidP="00F8334B">
            <w:pPr>
              <w:adjustRightInd w:val="0"/>
              <w:snapToGrid w:val="0"/>
              <w:spacing w:after="0" w:line="360" w:lineRule="auto"/>
              <w:jc w:val="center"/>
              <w:outlineLvl w:val="1"/>
              <w:rPr>
                <w:rFonts w:ascii="Book Antiqua" w:eastAsia="宋体" w:hAnsi="Book Antiqua" w:cstheme="majorBidi"/>
                <w:sz w:val="24"/>
                <w:szCs w:val="24"/>
                <w:lang w:eastAsia="zh-CN"/>
              </w:rPr>
            </w:pPr>
            <w:r w:rsidRPr="00B727B0">
              <w:rPr>
                <w:rFonts w:ascii="Book Antiqua" w:hAnsi="Book Antiqua" w:cstheme="majorBidi"/>
                <w:bCs/>
                <w:sz w:val="24"/>
                <w:szCs w:val="24"/>
              </w:rPr>
              <w:t>ICGN</w:t>
            </w:r>
          </w:p>
        </w:tc>
        <w:tc>
          <w:tcPr>
            <w:tcW w:w="3685" w:type="dxa"/>
          </w:tcPr>
          <w:p w14:paraId="0BF7F49D" w14:textId="1521A006" w:rsidR="001B7A50" w:rsidRPr="00B727B0" w:rsidRDefault="001B7A50" w:rsidP="001C7001">
            <w:pPr>
              <w:adjustRightInd w:val="0"/>
              <w:snapToGrid w:val="0"/>
              <w:spacing w:after="0" w:line="360" w:lineRule="auto"/>
              <w:jc w:val="center"/>
              <w:outlineLvl w:val="1"/>
              <w:rPr>
                <w:rFonts w:ascii="Book Antiqua" w:eastAsia="宋体" w:hAnsi="Book Antiqua" w:cstheme="majorBidi"/>
                <w:sz w:val="24"/>
                <w:szCs w:val="24"/>
                <w:lang w:eastAsia="zh-CN"/>
              </w:rPr>
            </w:pPr>
            <w:r w:rsidRPr="00B727B0">
              <w:rPr>
                <w:rFonts w:ascii="Book Antiqua" w:hAnsi="Book Antiqua" w:cstheme="majorBidi"/>
                <w:sz w:val="24"/>
                <w:szCs w:val="24"/>
              </w:rPr>
              <w:t xml:space="preserve">Contains immune complexes </w:t>
            </w:r>
            <w:r w:rsidRPr="00B727B0">
              <w:rPr>
                <w:rFonts w:ascii="Book Antiqua" w:hAnsi="Book Antiqua" w:cstheme="majorBidi"/>
                <w:bCs/>
                <w:sz w:val="24"/>
                <w:szCs w:val="24"/>
              </w:rPr>
              <w:t>+</w:t>
            </w:r>
            <w:r w:rsidR="00F8334B" w:rsidRPr="00B727B0">
              <w:rPr>
                <w:rFonts w:ascii="Book Antiqua" w:hAnsi="Book Antiqua" w:cstheme="majorBidi"/>
                <w:sz w:val="24"/>
                <w:szCs w:val="24"/>
              </w:rPr>
              <w:t xml:space="preserve"> Complement compounds)</w:t>
            </w:r>
          </w:p>
        </w:tc>
        <w:tc>
          <w:tcPr>
            <w:tcW w:w="3559" w:type="dxa"/>
          </w:tcPr>
          <w:p w14:paraId="426FDE5C" w14:textId="66B192FC" w:rsidR="001B7A50" w:rsidRPr="00B727B0" w:rsidRDefault="001B7A50" w:rsidP="001C7001">
            <w:pPr>
              <w:adjustRightInd w:val="0"/>
              <w:snapToGrid w:val="0"/>
              <w:spacing w:after="0" w:line="360" w:lineRule="auto"/>
              <w:jc w:val="center"/>
              <w:outlineLvl w:val="1"/>
              <w:rPr>
                <w:rFonts w:ascii="Book Antiqua" w:eastAsia="宋体" w:hAnsi="Book Antiqua" w:cstheme="majorBidi"/>
                <w:sz w:val="24"/>
                <w:szCs w:val="24"/>
                <w:lang w:eastAsia="zh-CN"/>
              </w:rPr>
            </w:pPr>
            <w:r w:rsidRPr="00B727B0">
              <w:rPr>
                <w:rFonts w:ascii="Book Antiqua" w:hAnsi="Book Antiqua" w:cstheme="majorBidi"/>
                <w:sz w:val="24"/>
                <w:szCs w:val="24"/>
              </w:rPr>
              <w:t xml:space="preserve">More common (most of the recurrent cases are </w:t>
            </w:r>
            <w:r w:rsidRPr="00B727B0">
              <w:rPr>
                <w:rFonts w:ascii="Book Antiqua" w:hAnsi="Book Antiqua" w:cstheme="majorBidi"/>
                <w:bCs/>
                <w:sz w:val="24"/>
                <w:szCs w:val="24"/>
              </w:rPr>
              <w:t>ICGN</w:t>
            </w:r>
            <w:r w:rsidR="00353DB7" w:rsidRPr="00B727B0">
              <w:rPr>
                <w:rFonts w:ascii="Book Antiqua" w:hAnsi="Book Antiqua" w:cstheme="majorBidi"/>
                <w:sz w:val="24"/>
                <w:szCs w:val="24"/>
              </w:rPr>
              <w:t>)</w:t>
            </w:r>
          </w:p>
        </w:tc>
      </w:tr>
      <w:tr w:rsidR="00B727B0" w:rsidRPr="00B727B0" w14:paraId="156FB2BC" w14:textId="77777777" w:rsidTr="00353DB7">
        <w:tc>
          <w:tcPr>
            <w:tcW w:w="710" w:type="dxa"/>
          </w:tcPr>
          <w:p w14:paraId="4D2124F3" w14:textId="02AE36AB" w:rsidR="001B7A50" w:rsidRPr="00B727B0" w:rsidRDefault="001C7001" w:rsidP="00F8334B">
            <w:pPr>
              <w:adjustRightInd w:val="0"/>
              <w:snapToGrid w:val="0"/>
              <w:spacing w:after="0" w:line="360" w:lineRule="auto"/>
              <w:jc w:val="center"/>
              <w:outlineLvl w:val="1"/>
              <w:rPr>
                <w:rFonts w:ascii="Book Antiqua" w:eastAsia="宋体" w:hAnsi="Book Antiqua" w:cstheme="majorBidi"/>
                <w:sz w:val="24"/>
                <w:szCs w:val="24"/>
                <w:lang w:eastAsia="zh-CN"/>
              </w:rPr>
            </w:pPr>
            <w:r w:rsidRPr="00B727B0">
              <w:rPr>
                <w:rFonts w:ascii="Book Antiqua" w:eastAsia="宋体" w:hAnsi="Book Antiqua" w:cstheme="majorBidi"/>
                <w:sz w:val="24"/>
                <w:szCs w:val="24"/>
                <w:lang w:eastAsia="zh-CN"/>
              </w:rPr>
              <w:t>2</w:t>
            </w:r>
          </w:p>
        </w:tc>
        <w:tc>
          <w:tcPr>
            <w:tcW w:w="992" w:type="dxa"/>
          </w:tcPr>
          <w:p w14:paraId="0B934BC2" w14:textId="6EC6137D" w:rsidR="001B7A50" w:rsidRPr="00B727B0" w:rsidRDefault="001B7A50" w:rsidP="00F8334B">
            <w:pPr>
              <w:adjustRightInd w:val="0"/>
              <w:snapToGrid w:val="0"/>
              <w:spacing w:after="0" w:line="360" w:lineRule="auto"/>
              <w:jc w:val="center"/>
              <w:outlineLvl w:val="1"/>
              <w:rPr>
                <w:rFonts w:ascii="Book Antiqua" w:hAnsi="Book Antiqua" w:cstheme="majorBidi"/>
                <w:sz w:val="24"/>
                <w:szCs w:val="24"/>
              </w:rPr>
            </w:pPr>
            <w:r w:rsidRPr="00B727B0">
              <w:rPr>
                <w:rFonts w:ascii="Book Antiqua" w:hAnsi="Book Antiqua" w:cstheme="majorBidi"/>
                <w:bCs/>
                <w:sz w:val="24"/>
                <w:szCs w:val="24"/>
              </w:rPr>
              <w:t>CGN</w:t>
            </w:r>
            <w:r w:rsidRPr="00B727B0">
              <w:rPr>
                <w:rFonts w:ascii="Book Antiqua" w:hAnsi="Book Antiqua" w:cstheme="majorBidi"/>
                <w:sz w:val="24"/>
                <w:szCs w:val="24"/>
              </w:rPr>
              <w:t xml:space="preserve"> </w:t>
            </w:r>
          </w:p>
        </w:tc>
        <w:tc>
          <w:tcPr>
            <w:tcW w:w="3685" w:type="dxa"/>
          </w:tcPr>
          <w:p w14:paraId="2CCDFDE9" w14:textId="77777777" w:rsidR="001B7A50" w:rsidRPr="00B727B0" w:rsidRDefault="001B7A50" w:rsidP="001C7001">
            <w:pPr>
              <w:adjustRightInd w:val="0"/>
              <w:snapToGrid w:val="0"/>
              <w:spacing w:after="0" w:line="360" w:lineRule="auto"/>
              <w:jc w:val="center"/>
              <w:outlineLvl w:val="1"/>
              <w:rPr>
                <w:rFonts w:ascii="Book Antiqua" w:hAnsi="Book Antiqua" w:cstheme="majorBidi"/>
                <w:sz w:val="24"/>
                <w:szCs w:val="24"/>
              </w:rPr>
            </w:pPr>
            <w:r w:rsidRPr="00B727B0">
              <w:rPr>
                <w:rFonts w:ascii="Book Antiqua" w:hAnsi="Book Antiqua" w:cstheme="majorBidi"/>
                <w:sz w:val="24"/>
                <w:szCs w:val="24"/>
              </w:rPr>
              <w:t>Contains complement compounds only</w:t>
            </w:r>
          </w:p>
        </w:tc>
        <w:tc>
          <w:tcPr>
            <w:tcW w:w="3559" w:type="dxa"/>
          </w:tcPr>
          <w:p w14:paraId="7592A277" w14:textId="40B1B86A" w:rsidR="001B7A50" w:rsidRPr="00B727B0" w:rsidRDefault="001B7A50" w:rsidP="001C7001">
            <w:pPr>
              <w:adjustRightInd w:val="0"/>
              <w:snapToGrid w:val="0"/>
              <w:spacing w:after="0" w:line="360" w:lineRule="auto"/>
              <w:jc w:val="center"/>
              <w:outlineLvl w:val="1"/>
              <w:rPr>
                <w:rFonts w:ascii="Book Antiqua" w:eastAsia="宋体" w:hAnsi="Book Antiqua" w:cstheme="majorBidi"/>
                <w:sz w:val="24"/>
                <w:szCs w:val="24"/>
                <w:lang w:eastAsia="zh-CN"/>
              </w:rPr>
            </w:pPr>
            <w:r w:rsidRPr="00B727B0">
              <w:rPr>
                <w:rFonts w:ascii="Book Antiqua" w:hAnsi="Book Antiqua" w:cstheme="majorBidi"/>
                <w:sz w:val="24"/>
                <w:szCs w:val="24"/>
              </w:rPr>
              <w:t>Less prevalent (change from one type to another is p</w:t>
            </w:r>
            <w:r w:rsidR="00F8334B" w:rsidRPr="00B727B0">
              <w:rPr>
                <w:rFonts w:ascii="Book Antiqua" w:hAnsi="Book Antiqua" w:cstheme="majorBidi"/>
                <w:sz w:val="24"/>
                <w:szCs w:val="24"/>
              </w:rPr>
              <w:t>ossible)</w:t>
            </w:r>
          </w:p>
        </w:tc>
      </w:tr>
    </w:tbl>
    <w:p w14:paraId="08381A96" w14:textId="2DF4C929" w:rsidR="00503135" w:rsidRPr="00B727B0" w:rsidRDefault="001C7001" w:rsidP="001C7001">
      <w:pPr>
        <w:adjustRightInd w:val="0"/>
        <w:snapToGrid w:val="0"/>
        <w:spacing w:after="0" w:line="360" w:lineRule="auto"/>
        <w:jc w:val="both"/>
        <w:rPr>
          <w:rFonts w:ascii="Book Antiqua" w:eastAsia="宋体" w:hAnsi="Book Antiqua" w:cstheme="majorBidi"/>
          <w:sz w:val="24"/>
          <w:szCs w:val="24"/>
          <w:lang w:eastAsia="zh-CN"/>
        </w:rPr>
      </w:pPr>
      <w:r w:rsidRPr="00B727B0">
        <w:rPr>
          <w:rFonts w:ascii="Book Antiqua" w:hAnsi="Book Antiqua" w:cstheme="majorBidi"/>
          <w:bCs/>
          <w:sz w:val="24"/>
          <w:szCs w:val="24"/>
        </w:rPr>
        <w:t>ICGN</w:t>
      </w:r>
      <w:r w:rsidRPr="00B727B0">
        <w:rPr>
          <w:rFonts w:ascii="Book Antiqua" w:eastAsia="宋体" w:hAnsi="Book Antiqua" w:cstheme="majorBidi"/>
          <w:bCs/>
          <w:sz w:val="24"/>
          <w:szCs w:val="24"/>
          <w:lang w:eastAsia="zh-CN"/>
        </w:rPr>
        <w:t xml:space="preserve">: </w:t>
      </w:r>
      <w:r w:rsidRPr="00B727B0">
        <w:rPr>
          <w:rFonts w:ascii="Book Antiqua" w:hAnsi="Book Antiqua" w:cstheme="majorBidi"/>
          <w:sz w:val="24"/>
          <w:szCs w:val="24"/>
        </w:rPr>
        <w:t xml:space="preserve">Immune complex-mediated </w:t>
      </w:r>
      <w:r w:rsidRPr="00B727B0">
        <w:rPr>
          <w:rFonts w:ascii="Book Antiqua" w:eastAsia="Times New Roman" w:hAnsi="Book Antiqua" w:cstheme="majorBidi"/>
          <w:sz w:val="24"/>
          <w:szCs w:val="24"/>
        </w:rPr>
        <w:t>glomerulonephritis</w:t>
      </w:r>
      <w:r w:rsidRPr="00B727B0">
        <w:rPr>
          <w:rFonts w:ascii="Book Antiqua" w:eastAsia="宋体" w:hAnsi="Book Antiqua" w:cstheme="majorBidi"/>
          <w:sz w:val="24"/>
          <w:szCs w:val="24"/>
          <w:lang w:eastAsia="zh-CN"/>
        </w:rPr>
        <w:t>;</w:t>
      </w:r>
      <w:r w:rsidRPr="00B727B0">
        <w:rPr>
          <w:rFonts w:ascii="Book Antiqua" w:hAnsi="Book Antiqua" w:cstheme="majorBidi"/>
          <w:bCs/>
          <w:sz w:val="24"/>
          <w:szCs w:val="24"/>
        </w:rPr>
        <w:t xml:space="preserve"> CGN</w:t>
      </w:r>
      <w:r w:rsidRPr="00B727B0">
        <w:rPr>
          <w:rFonts w:ascii="Book Antiqua" w:eastAsia="宋体" w:hAnsi="Book Antiqua" w:cstheme="majorBidi"/>
          <w:bCs/>
          <w:sz w:val="24"/>
          <w:szCs w:val="24"/>
          <w:lang w:eastAsia="zh-CN"/>
        </w:rPr>
        <w:t>:</w:t>
      </w:r>
      <w:r w:rsidRPr="00B727B0">
        <w:rPr>
          <w:rFonts w:ascii="Book Antiqua" w:hAnsi="Book Antiqua" w:cstheme="majorBidi"/>
          <w:sz w:val="24"/>
          <w:szCs w:val="24"/>
        </w:rPr>
        <w:t xml:space="preserve"> Complement-mediated </w:t>
      </w:r>
      <w:r w:rsidRPr="00B727B0">
        <w:rPr>
          <w:rFonts w:ascii="Book Antiqua" w:eastAsia="Times New Roman" w:hAnsi="Book Antiqua" w:cstheme="majorBidi"/>
          <w:sz w:val="24"/>
          <w:szCs w:val="24"/>
        </w:rPr>
        <w:t>glomerulonephritis</w:t>
      </w:r>
      <w:r w:rsidRPr="00B727B0">
        <w:rPr>
          <w:rFonts w:ascii="Book Antiqua" w:eastAsia="宋体" w:hAnsi="Book Antiqua" w:cstheme="majorBidi"/>
          <w:sz w:val="24"/>
          <w:szCs w:val="24"/>
          <w:lang w:eastAsia="zh-CN"/>
        </w:rPr>
        <w:t>.</w:t>
      </w:r>
    </w:p>
    <w:sectPr w:rsidR="00503135" w:rsidRPr="00B727B0" w:rsidSect="000A2236">
      <w:footerReference w:type="default" r:id="rId22"/>
      <w:pgSz w:w="12240" w:h="15840"/>
      <w:pgMar w:top="1134" w:right="1418" w:bottom="1418" w:left="2268"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4BDE3" w14:textId="77777777" w:rsidR="0011426C" w:rsidRDefault="0011426C">
      <w:pPr>
        <w:spacing w:after="0" w:line="240" w:lineRule="auto"/>
      </w:pPr>
      <w:r>
        <w:separator/>
      </w:r>
    </w:p>
  </w:endnote>
  <w:endnote w:type="continuationSeparator" w:id="0">
    <w:p w14:paraId="64C789BC" w14:textId="77777777" w:rsidR="0011426C" w:rsidRDefault="00114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767520"/>
      <w:docPartObj>
        <w:docPartGallery w:val="Page Numbers (Bottom of Page)"/>
        <w:docPartUnique/>
      </w:docPartObj>
    </w:sdtPr>
    <w:sdtEndPr>
      <w:rPr>
        <w:noProof/>
      </w:rPr>
    </w:sdtEndPr>
    <w:sdtContent>
      <w:p w14:paraId="54DBF48D" w14:textId="10B103CD" w:rsidR="00FA7145" w:rsidRDefault="00FA7145">
        <w:pPr>
          <w:pStyle w:val="Footer"/>
          <w:jc w:val="right"/>
        </w:pPr>
        <w:r>
          <w:fldChar w:fldCharType="begin"/>
        </w:r>
        <w:r>
          <w:instrText xml:space="preserve"> PAGE   \* MERGEFORMAT </w:instrText>
        </w:r>
        <w:r>
          <w:fldChar w:fldCharType="separate"/>
        </w:r>
        <w:r w:rsidR="00E524CE">
          <w:rPr>
            <w:noProof/>
          </w:rPr>
          <w:t>58</w:t>
        </w:r>
        <w:r>
          <w:rPr>
            <w:noProof/>
          </w:rPr>
          <w:fldChar w:fldCharType="end"/>
        </w:r>
      </w:p>
    </w:sdtContent>
  </w:sdt>
  <w:p w14:paraId="55F21006" w14:textId="77777777" w:rsidR="00FA7145" w:rsidRPr="004D60F1" w:rsidRDefault="00FA7145" w:rsidP="0003079E">
    <w:pPr>
      <w:pStyle w:val="Footer"/>
      <w:shd w:val="clear" w:color="auto" w:fill="FFFFFF" w:themeFill="background1"/>
      <w:jc w:val="center"/>
      <w:rPr>
        <w:b/>
        <w:bCs/>
        <w:i/>
        <w:iCs/>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C14E3" w14:textId="77777777" w:rsidR="0011426C" w:rsidRDefault="0011426C">
      <w:pPr>
        <w:spacing w:after="0" w:line="240" w:lineRule="auto"/>
      </w:pPr>
      <w:r>
        <w:separator/>
      </w:r>
    </w:p>
  </w:footnote>
  <w:footnote w:type="continuationSeparator" w:id="0">
    <w:p w14:paraId="513760DA" w14:textId="77777777" w:rsidR="0011426C" w:rsidRDefault="0011426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22627"/>
    <w:multiLevelType w:val="hybridMultilevel"/>
    <w:tmpl w:val="3D58D3E2"/>
    <w:lvl w:ilvl="0" w:tplc="1C6C9E94">
      <w:start w:val="1"/>
      <w:numFmt w:val="decimal"/>
      <w:lvlText w:val="[%1]"/>
      <w:lvlJc w:val="left"/>
      <w:pPr>
        <w:ind w:left="630" w:hanging="360"/>
      </w:pPr>
      <w:rPr>
        <w:rFonts w:hint="default"/>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19644835"/>
    <w:multiLevelType w:val="hybridMultilevel"/>
    <w:tmpl w:val="0B368BEA"/>
    <w:lvl w:ilvl="0" w:tplc="0AA817E8">
      <w:start w:val="1"/>
      <w:numFmt w:val="decimal"/>
      <w:lvlText w:val="%1)"/>
      <w:lvlJc w:val="left"/>
      <w:pPr>
        <w:ind w:left="360" w:hanging="360"/>
      </w:pPr>
      <w:rPr>
        <w:rFonts w:hint="default"/>
        <w:b w:val="0"/>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D052EE"/>
    <w:multiLevelType w:val="hybridMultilevel"/>
    <w:tmpl w:val="99803910"/>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144EDD"/>
    <w:multiLevelType w:val="hybridMultilevel"/>
    <w:tmpl w:val="5F40B4A4"/>
    <w:lvl w:ilvl="0" w:tplc="1C6C9E9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22C340D3"/>
    <w:multiLevelType w:val="hybridMultilevel"/>
    <w:tmpl w:val="5378797E"/>
    <w:lvl w:ilvl="0" w:tplc="9F34048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BEE13E0"/>
    <w:multiLevelType w:val="hybridMultilevel"/>
    <w:tmpl w:val="25BAD668"/>
    <w:lvl w:ilvl="0" w:tplc="9F340486">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6">
    <w:nsid w:val="2F632334"/>
    <w:multiLevelType w:val="hybridMultilevel"/>
    <w:tmpl w:val="64547BA0"/>
    <w:lvl w:ilvl="0" w:tplc="04090011">
      <w:start w:val="1"/>
      <w:numFmt w:val="decimal"/>
      <w:lvlText w:val="%1)"/>
      <w:lvlJc w:val="left"/>
      <w:pPr>
        <w:ind w:left="450" w:hanging="360"/>
      </w:pPr>
    </w:lvl>
    <w:lvl w:ilvl="1" w:tplc="04090019">
      <w:start w:val="1"/>
      <w:numFmt w:val="lowerLetter"/>
      <w:lvlText w:val="%2."/>
      <w:lvlJc w:val="left"/>
      <w:pPr>
        <w:ind w:left="1246" w:hanging="360"/>
      </w:pPr>
    </w:lvl>
    <w:lvl w:ilvl="2" w:tplc="0409001B">
      <w:start w:val="1"/>
      <w:numFmt w:val="lowerRoman"/>
      <w:lvlText w:val="%3."/>
      <w:lvlJc w:val="right"/>
      <w:pPr>
        <w:ind w:left="1966" w:hanging="180"/>
      </w:pPr>
    </w:lvl>
    <w:lvl w:ilvl="3" w:tplc="0409000F">
      <w:start w:val="1"/>
      <w:numFmt w:val="decimal"/>
      <w:lvlText w:val="%4."/>
      <w:lvlJc w:val="left"/>
      <w:pPr>
        <w:ind w:left="2686" w:hanging="360"/>
      </w:pPr>
    </w:lvl>
    <w:lvl w:ilvl="4" w:tplc="04090019">
      <w:start w:val="1"/>
      <w:numFmt w:val="lowerLetter"/>
      <w:lvlText w:val="%5."/>
      <w:lvlJc w:val="left"/>
      <w:pPr>
        <w:ind w:left="3406" w:hanging="360"/>
      </w:pPr>
    </w:lvl>
    <w:lvl w:ilvl="5" w:tplc="0409001B">
      <w:start w:val="1"/>
      <w:numFmt w:val="lowerRoman"/>
      <w:lvlText w:val="%6."/>
      <w:lvlJc w:val="right"/>
      <w:pPr>
        <w:ind w:left="4126" w:hanging="180"/>
      </w:pPr>
    </w:lvl>
    <w:lvl w:ilvl="6" w:tplc="0409000F">
      <w:start w:val="1"/>
      <w:numFmt w:val="decimal"/>
      <w:lvlText w:val="%7."/>
      <w:lvlJc w:val="left"/>
      <w:pPr>
        <w:ind w:left="4846" w:hanging="360"/>
      </w:pPr>
    </w:lvl>
    <w:lvl w:ilvl="7" w:tplc="04090019">
      <w:start w:val="1"/>
      <w:numFmt w:val="lowerLetter"/>
      <w:lvlText w:val="%8."/>
      <w:lvlJc w:val="left"/>
      <w:pPr>
        <w:ind w:left="5566" w:hanging="360"/>
      </w:pPr>
    </w:lvl>
    <w:lvl w:ilvl="8" w:tplc="0409001B">
      <w:start w:val="1"/>
      <w:numFmt w:val="lowerRoman"/>
      <w:lvlText w:val="%9."/>
      <w:lvlJc w:val="right"/>
      <w:pPr>
        <w:ind w:left="6286" w:hanging="180"/>
      </w:pPr>
    </w:lvl>
  </w:abstractNum>
  <w:abstractNum w:abstractNumId="7">
    <w:nsid w:val="327F7F5E"/>
    <w:multiLevelType w:val="hybridMultilevel"/>
    <w:tmpl w:val="0DFCB7C4"/>
    <w:lvl w:ilvl="0" w:tplc="1C6C9E94">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3B1C551F"/>
    <w:multiLevelType w:val="hybridMultilevel"/>
    <w:tmpl w:val="8C6A58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40117E"/>
    <w:multiLevelType w:val="hybridMultilevel"/>
    <w:tmpl w:val="709EBF7C"/>
    <w:lvl w:ilvl="0" w:tplc="8F9E3B80">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3F5D0DE6"/>
    <w:multiLevelType w:val="multilevel"/>
    <w:tmpl w:val="DCD2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833300"/>
    <w:multiLevelType w:val="hybridMultilevel"/>
    <w:tmpl w:val="B99C494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32373D5"/>
    <w:multiLevelType w:val="hybridMultilevel"/>
    <w:tmpl w:val="1688D4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BD0E61"/>
    <w:multiLevelType w:val="hybridMultilevel"/>
    <w:tmpl w:val="70FAB4B4"/>
    <w:lvl w:ilvl="0" w:tplc="1C6C9E9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685D788B"/>
    <w:multiLevelType w:val="hybridMultilevel"/>
    <w:tmpl w:val="8954F7AA"/>
    <w:lvl w:ilvl="0" w:tplc="1C6C9E94">
      <w:start w:val="1"/>
      <w:numFmt w:val="decimal"/>
      <w:lvlText w:val="[%1]"/>
      <w:lvlJc w:val="left"/>
      <w:pPr>
        <w:ind w:left="360"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5">
    <w:nsid w:val="789F3B0E"/>
    <w:multiLevelType w:val="hybridMultilevel"/>
    <w:tmpl w:val="AB80EA02"/>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7D881F1D"/>
    <w:multiLevelType w:val="hybridMultilevel"/>
    <w:tmpl w:val="DD800A42"/>
    <w:lvl w:ilvl="0" w:tplc="F1087216">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5"/>
  </w:num>
  <w:num w:numId="4">
    <w:abstractNumId w:val="1"/>
  </w:num>
  <w:num w:numId="5">
    <w:abstractNumId w:val="0"/>
  </w:num>
  <w:num w:numId="6">
    <w:abstractNumId w:val="3"/>
  </w:num>
  <w:num w:numId="7">
    <w:abstractNumId w:val="12"/>
  </w:num>
  <w:num w:numId="8">
    <w:abstractNumId w:val="9"/>
  </w:num>
  <w:num w:numId="9">
    <w:abstractNumId w:val="15"/>
  </w:num>
  <w:num w:numId="10">
    <w:abstractNumId w:val="4"/>
  </w:num>
  <w:num w:numId="11">
    <w:abstractNumId w:val="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num>
  <w:num w:numId="15">
    <w:abstractNumId w:val="16"/>
  </w:num>
  <w:num w:numId="16">
    <w:abstractNumId w:val="10"/>
  </w:num>
  <w:num w:numId="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2F"/>
    <w:rsid w:val="000012C4"/>
    <w:rsid w:val="000066C7"/>
    <w:rsid w:val="0000758E"/>
    <w:rsid w:val="00007590"/>
    <w:rsid w:val="00020B0F"/>
    <w:rsid w:val="00022C6E"/>
    <w:rsid w:val="00023F86"/>
    <w:rsid w:val="0003079E"/>
    <w:rsid w:val="00032850"/>
    <w:rsid w:val="00040A57"/>
    <w:rsid w:val="00051B44"/>
    <w:rsid w:val="00056F51"/>
    <w:rsid w:val="0006335A"/>
    <w:rsid w:val="00075568"/>
    <w:rsid w:val="00081419"/>
    <w:rsid w:val="00082D26"/>
    <w:rsid w:val="000917B6"/>
    <w:rsid w:val="000966F7"/>
    <w:rsid w:val="00097BC9"/>
    <w:rsid w:val="000A2236"/>
    <w:rsid w:val="000A761F"/>
    <w:rsid w:val="000B3DE8"/>
    <w:rsid w:val="000B581C"/>
    <w:rsid w:val="000B5AA4"/>
    <w:rsid w:val="000B7463"/>
    <w:rsid w:val="000C0F8B"/>
    <w:rsid w:val="000C1293"/>
    <w:rsid w:val="000D0B26"/>
    <w:rsid w:val="000D2181"/>
    <w:rsid w:val="000D270B"/>
    <w:rsid w:val="000E0C47"/>
    <w:rsid w:val="000E11DE"/>
    <w:rsid w:val="000E4285"/>
    <w:rsid w:val="00101C0C"/>
    <w:rsid w:val="0010282C"/>
    <w:rsid w:val="00102E47"/>
    <w:rsid w:val="0011426C"/>
    <w:rsid w:val="00121E7C"/>
    <w:rsid w:val="0013141A"/>
    <w:rsid w:val="00142F61"/>
    <w:rsid w:val="00146850"/>
    <w:rsid w:val="00167CB9"/>
    <w:rsid w:val="0018236A"/>
    <w:rsid w:val="00191854"/>
    <w:rsid w:val="001A0BB3"/>
    <w:rsid w:val="001A41F4"/>
    <w:rsid w:val="001A779E"/>
    <w:rsid w:val="001B2870"/>
    <w:rsid w:val="001B5A48"/>
    <w:rsid w:val="001B7A50"/>
    <w:rsid w:val="001C7001"/>
    <w:rsid w:val="001C742C"/>
    <w:rsid w:val="001D6D6E"/>
    <w:rsid w:val="001D768A"/>
    <w:rsid w:val="001E0706"/>
    <w:rsid w:val="001E1035"/>
    <w:rsid w:val="001E210E"/>
    <w:rsid w:val="001F0ADD"/>
    <w:rsid w:val="001F197E"/>
    <w:rsid w:val="001F1EB4"/>
    <w:rsid w:val="001F7C92"/>
    <w:rsid w:val="0020481B"/>
    <w:rsid w:val="00207CD9"/>
    <w:rsid w:val="00211F00"/>
    <w:rsid w:val="00214324"/>
    <w:rsid w:val="00221381"/>
    <w:rsid w:val="00221566"/>
    <w:rsid w:val="00222E45"/>
    <w:rsid w:val="0023009D"/>
    <w:rsid w:val="00235170"/>
    <w:rsid w:val="0023688E"/>
    <w:rsid w:val="00242807"/>
    <w:rsid w:val="00244DA1"/>
    <w:rsid w:val="00253F61"/>
    <w:rsid w:val="00260B75"/>
    <w:rsid w:val="002632A4"/>
    <w:rsid w:val="00267B31"/>
    <w:rsid w:val="00270DC8"/>
    <w:rsid w:val="0027158C"/>
    <w:rsid w:val="002744C4"/>
    <w:rsid w:val="002769CD"/>
    <w:rsid w:val="00281226"/>
    <w:rsid w:val="00290D4D"/>
    <w:rsid w:val="00293143"/>
    <w:rsid w:val="00293861"/>
    <w:rsid w:val="002A5DB3"/>
    <w:rsid w:val="002B0FD7"/>
    <w:rsid w:val="002D0457"/>
    <w:rsid w:val="002E3F4D"/>
    <w:rsid w:val="002E65CA"/>
    <w:rsid w:val="0030202C"/>
    <w:rsid w:val="003026FD"/>
    <w:rsid w:val="003120A8"/>
    <w:rsid w:val="003173B3"/>
    <w:rsid w:val="00320946"/>
    <w:rsid w:val="003222E4"/>
    <w:rsid w:val="003255E9"/>
    <w:rsid w:val="00333590"/>
    <w:rsid w:val="00335500"/>
    <w:rsid w:val="00344914"/>
    <w:rsid w:val="00346677"/>
    <w:rsid w:val="0035004C"/>
    <w:rsid w:val="00350269"/>
    <w:rsid w:val="003505CF"/>
    <w:rsid w:val="00353DB7"/>
    <w:rsid w:val="003561A4"/>
    <w:rsid w:val="003617F7"/>
    <w:rsid w:val="00363690"/>
    <w:rsid w:val="00365419"/>
    <w:rsid w:val="0036559F"/>
    <w:rsid w:val="00365925"/>
    <w:rsid w:val="00371A1B"/>
    <w:rsid w:val="003768D8"/>
    <w:rsid w:val="00380698"/>
    <w:rsid w:val="003850C4"/>
    <w:rsid w:val="0038510D"/>
    <w:rsid w:val="003902A0"/>
    <w:rsid w:val="00395863"/>
    <w:rsid w:val="003D4A4D"/>
    <w:rsid w:val="003D7551"/>
    <w:rsid w:val="003E2893"/>
    <w:rsid w:val="003E4226"/>
    <w:rsid w:val="003F7766"/>
    <w:rsid w:val="004003EF"/>
    <w:rsid w:val="0040298B"/>
    <w:rsid w:val="0040373C"/>
    <w:rsid w:val="00410BAF"/>
    <w:rsid w:val="0041119E"/>
    <w:rsid w:val="0041530B"/>
    <w:rsid w:val="004167B0"/>
    <w:rsid w:val="004175EA"/>
    <w:rsid w:val="00423ABF"/>
    <w:rsid w:val="00425988"/>
    <w:rsid w:val="00431F48"/>
    <w:rsid w:val="00435B52"/>
    <w:rsid w:val="00447D9F"/>
    <w:rsid w:val="00472557"/>
    <w:rsid w:val="00472ADA"/>
    <w:rsid w:val="00473F7F"/>
    <w:rsid w:val="004920BE"/>
    <w:rsid w:val="00492813"/>
    <w:rsid w:val="00496EFC"/>
    <w:rsid w:val="0049779E"/>
    <w:rsid w:val="004A3165"/>
    <w:rsid w:val="004A41EE"/>
    <w:rsid w:val="004A4E29"/>
    <w:rsid w:val="004B0B4F"/>
    <w:rsid w:val="004B212E"/>
    <w:rsid w:val="004C111A"/>
    <w:rsid w:val="004D52B4"/>
    <w:rsid w:val="004D7001"/>
    <w:rsid w:val="004E1A82"/>
    <w:rsid w:val="004E2204"/>
    <w:rsid w:val="004E2CF6"/>
    <w:rsid w:val="004E66B6"/>
    <w:rsid w:val="004E7556"/>
    <w:rsid w:val="004F28C4"/>
    <w:rsid w:val="004F4D06"/>
    <w:rsid w:val="0050060F"/>
    <w:rsid w:val="00503135"/>
    <w:rsid w:val="005062AF"/>
    <w:rsid w:val="005108F4"/>
    <w:rsid w:val="005118E6"/>
    <w:rsid w:val="00516FE7"/>
    <w:rsid w:val="00531689"/>
    <w:rsid w:val="00532C54"/>
    <w:rsid w:val="00534549"/>
    <w:rsid w:val="0054194F"/>
    <w:rsid w:val="0054247A"/>
    <w:rsid w:val="005432E1"/>
    <w:rsid w:val="00545A10"/>
    <w:rsid w:val="005501EA"/>
    <w:rsid w:val="00566CE0"/>
    <w:rsid w:val="00581595"/>
    <w:rsid w:val="00587467"/>
    <w:rsid w:val="00587C7D"/>
    <w:rsid w:val="00587FF1"/>
    <w:rsid w:val="005908AF"/>
    <w:rsid w:val="005937C7"/>
    <w:rsid w:val="005A66E3"/>
    <w:rsid w:val="005B7018"/>
    <w:rsid w:val="005B73FC"/>
    <w:rsid w:val="005C00DB"/>
    <w:rsid w:val="005C16DD"/>
    <w:rsid w:val="005C349D"/>
    <w:rsid w:val="005C6475"/>
    <w:rsid w:val="005D10FE"/>
    <w:rsid w:val="005D39C3"/>
    <w:rsid w:val="005D3DC2"/>
    <w:rsid w:val="005E6A1C"/>
    <w:rsid w:val="005E6BE9"/>
    <w:rsid w:val="005F2708"/>
    <w:rsid w:val="00602E2A"/>
    <w:rsid w:val="00604623"/>
    <w:rsid w:val="006074A2"/>
    <w:rsid w:val="0061388D"/>
    <w:rsid w:val="00616026"/>
    <w:rsid w:val="00616116"/>
    <w:rsid w:val="006200FA"/>
    <w:rsid w:val="00620234"/>
    <w:rsid w:val="00620589"/>
    <w:rsid w:val="00630C63"/>
    <w:rsid w:val="00631637"/>
    <w:rsid w:val="00633CEA"/>
    <w:rsid w:val="00640527"/>
    <w:rsid w:val="0065498D"/>
    <w:rsid w:val="00657E91"/>
    <w:rsid w:val="0066593B"/>
    <w:rsid w:val="0067053E"/>
    <w:rsid w:val="00672F2A"/>
    <w:rsid w:val="006764F2"/>
    <w:rsid w:val="00693814"/>
    <w:rsid w:val="006A2731"/>
    <w:rsid w:val="006B16AB"/>
    <w:rsid w:val="006C45B3"/>
    <w:rsid w:val="006C5031"/>
    <w:rsid w:val="006D12FA"/>
    <w:rsid w:val="006D3A08"/>
    <w:rsid w:val="006D3EDE"/>
    <w:rsid w:val="006D6D7F"/>
    <w:rsid w:val="006E4173"/>
    <w:rsid w:val="006E487F"/>
    <w:rsid w:val="006E686A"/>
    <w:rsid w:val="006F19CE"/>
    <w:rsid w:val="006F226F"/>
    <w:rsid w:val="006F3F8D"/>
    <w:rsid w:val="0070521A"/>
    <w:rsid w:val="0070607C"/>
    <w:rsid w:val="00706588"/>
    <w:rsid w:val="0071707A"/>
    <w:rsid w:val="007204E1"/>
    <w:rsid w:val="007304E1"/>
    <w:rsid w:val="00730E10"/>
    <w:rsid w:val="007312CD"/>
    <w:rsid w:val="0073218F"/>
    <w:rsid w:val="00736845"/>
    <w:rsid w:val="00741B60"/>
    <w:rsid w:val="007530D9"/>
    <w:rsid w:val="00755DAF"/>
    <w:rsid w:val="00770278"/>
    <w:rsid w:val="00782EEB"/>
    <w:rsid w:val="007834CE"/>
    <w:rsid w:val="007A0A73"/>
    <w:rsid w:val="007A5114"/>
    <w:rsid w:val="007C1009"/>
    <w:rsid w:val="007C1A97"/>
    <w:rsid w:val="007C3320"/>
    <w:rsid w:val="007C6DD8"/>
    <w:rsid w:val="007C7454"/>
    <w:rsid w:val="007D37C1"/>
    <w:rsid w:val="007D453A"/>
    <w:rsid w:val="007E44B8"/>
    <w:rsid w:val="007E536E"/>
    <w:rsid w:val="007E5FAF"/>
    <w:rsid w:val="007E74F8"/>
    <w:rsid w:val="007E79FE"/>
    <w:rsid w:val="007F5F48"/>
    <w:rsid w:val="007F71AB"/>
    <w:rsid w:val="00800173"/>
    <w:rsid w:val="008032A8"/>
    <w:rsid w:val="008135B5"/>
    <w:rsid w:val="008169D9"/>
    <w:rsid w:val="00832A3B"/>
    <w:rsid w:val="008357DC"/>
    <w:rsid w:val="0083596B"/>
    <w:rsid w:val="0084049E"/>
    <w:rsid w:val="008449C8"/>
    <w:rsid w:val="00846B1B"/>
    <w:rsid w:val="008511BB"/>
    <w:rsid w:val="00860D2D"/>
    <w:rsid w:val="00873E7B"/>
    <w:rsid w:val="00880111"/>
    <w:rsid w:val="00880C35"/>
    <w:rsid w:val="00886081"/>
    <w:rsid w:val="00886979"/>
    <w:rsid w:val="00895E3F"/>
    <w:rsid w:val="008963C4"/>
    <w:rsid w:val="008A2EBF"/>
    <w:rsid w:val="008A457F"/>
    <w:rsid w:val="008A65C5"/>
    <w:rsid w:val="008A7B8B"/>
    <w:rsid w:val="008B3FBD"/>
    <w:rsid w:val="008B4997"/>
    <w:rsid w:val="008B6F5C"/>
    <w:rsid w:val="008C1549"/>
    <w:rsid w:val="008C6F04"/>
    <w:rsid w:val="008E26F7"/>
    <w:rsid w:val="008E72A1"/>
    <w:rsid w:val="008F0A30"/>
    <w:rsid w:val="008F4739"/>
    <w:rsid w:val="00901027"/>
    <w:rsid w:val="00904B24"/>
    <w:rsid w:val="00916F2F"/>
    <w:rsid w:val="00920523"/>
    <w:rsid w:val="009218D1"/>
    <w:rsid w:val="00921C70"/>
    <w:rsid w:val="00926031"/>
    <w:rsid w:val="00926430"/>
    <w:rsid w:val="00931266"/>
    <w:rsid w:val="00934C4E"/>
    <w:rsid w:val="009411B6"/>
    <w:rsid w:val="00946E6C"/>
    <w:rsid w:val="00947355"/>
    <w:rsid w:val="00950B48"/>
    <w:rsid w:val="00957F35"/>
    <w:rsid w:val="00966881"/>
    <w:rsid w:val="00967EE6"/>
    <w:rsid w:val="00977E3F"/>
    <w:rsid w:val="009812F4"/>
    <w:rsid w:val="00982701"/>
    <w:rsid w:val="00987CF4"/>
    <w:rsid w:val="00991F19"/>
    <w:rsid w:val="009948DF"/>
    <w:rsid w:val="0099527E"/>
    <w:rsid w:val="009A3C2B"/>
    <w:rsid w:val="009B18E8"/>
    <w:rsid w:val="009D08C7"/>
    <w:rsid w:val="009D4D4D"/>
    <w:rsid w:val="009E6804"/>
    <w:rsid w:val="009E7B44"/>
    <w:rsid w:val="009F5F3E"/>
    <w:rsid w:val="00A01D7B"/>
    <w:rsid w:val="00A023D1"/>
    <w:rsid w:val="00A04706"/>
    <w:rsid w:val="00A12157"/>
    <w:rsid w:val="00A126C2"/>
    <w:rsid w:val="00A14522"/>
    <w:rsid w:val="00A20E2C"/>
    <w:rsid w:val="00A234C2"/>
    <w:rsid w:val="00A30AFA"/>
    <w:rsid w:val="00A30CDC"/>
    <w:rsid w:val="00A3371E"/>
    <w:rsid w:val="00A3680B"/>
    <w:rsid w:val="00A43A5A"/>
    <w:rsid w:val="00A46DF5"/>
    <w:rsid w:val="00A5428A"/>
    <w:rsid w:val="00A556B4"/>
    <w:rsid w:val="00A56F78"/>
    <w:rsid w:val="00A6282F"/>
    <w:rsid w:val="00A639FE"/>
    <w:rsid w:val="00A65CA4"/>
    <w:rsid w:val="00A663B0"/>
    <w:rsid w:val="00A72B80"/>
    <w:rsid w:val="00A814A9"/>
    <w:rsid w:val="00A821F4"/>
    <w:rsid w:val="00A92E02"/>
    <w:rsid w:val="00A94BFF"/>
    <w:rsid w:val="00A954FE"/>
    <w:rsid w:val="00A95AA5"/>
    <w:rsid w:val="00AA6907"/>
    <w:rsid w:val="00AA7429"/>
    <w:rsid w:val="00AB0A08"/>
    <w:rsid w:val="00AB4FF9"/>
    <w:rsid w:val="00AC7C68"/>
    <w:rsid w:val="00AD4B36"/>
    <w:rsid w:val="00AD6261"/>
    <w:rsid w:val="00AD7370"/>
    <w:rsid w:val="00AE1D7C"/>
    <w:rsid w:val="00AE6D7F"/>
    <w:rsid w:val="00AF038F"/>
    <w:rsid w:val="00AF37A1"/>
    <w:rsid w:val="00AF3AE6"/>
    <w:rsid w:val="00AF6178"/>
    <w:rsid w:val="00B06D1C"/>
    <w:rsid w:val="00B14D7F"/>
    <w:rsid w:val="00B23121"/>
    <w:rsid w:val="00B32143"/>
    <w:rsid w:val="00B41FCC"/>
    <w:rsid w:val="00B426A2"/>
    <w:rsid w:val="00B45BC2"/>
    <w:rsid w:val="00B509E8"/>
    <w:rsid w:val="00B672A9"/>
    <w:rsid w:val="00B727B0"/>
    <w:rsid w:val="00B736D2"/>
    <w:rsid w:val="00B8002F"/>
    <w:rsid w:val="00B812F0"/>
    <w:rsid w:val="00B9220F"/>
    <w:rsid w:val="00B93BDC"/>
    <w:rsid w:val="00B95E0B"/>
    <w:rsid w:val="00B972E5"/>
    <w:rsid w:val="00BA4F86"/>
    <w:rsid w:val="00BB071E"/>
    <w:rsid w:val="00BC1E24"/>
    <w:rsid w:val="00BC4B04"/>
    <w:rsid w:val="00BC5E06"/>
    <w:rsid w:val="00BD5A25"/>
    <w:rsid w:val="00BE091B"/>
    <w:rsid w:val="00BF1789"/>
    <w:rsid w:val="00C12D4B"/>
    <w:rsid w:val="00C24C74"/>
    <w:rsid w:val="00C26DC2"/>
    <w:rsid w:val="00C270CE"/>
    <w:rsid w:val="00C31B12"/>
    <w:rsid w:val="00C3275D"/>
    <w:rsid w:val="00C43E1B"/>
    <w:rsid w:val="00C518A8"/>
    <w:rsid w:val="00C6185A"/>
    <w:rsid w:val="00C64B49"/>
    <w:rsid w:val="00C65BE4"/>
    <w:rsid w:val="00C67787"/>
    <w:rsid w:val="00C7236A"/>
    <w:rsid w:val="00C7371E"/>
    <w:rsid w:val="00C852AB"/>
    <w:rsid w:val="00C86435"/>
    <w:rsid w:val="00C870C1"/>
    <w:rsid w:val="00C91845"/>
    <w:rsid w:val="00C93013"/>
    <w:rsid w:val="00C94994"/>
    <w:rsid w:val="00C95E27"/>
    <w:rsid w:val="00CA1F7F"/>
    <w:rsid w:val="00CB187C"/>
    <w:rsid w:val="00CB2D54"/>
    <w:rsid w:val="00CB67B6"/>
    <w:rsid w:val="00CC5AB8"/>
    <w:rsid w:val="00CC68C9"/>
    <w:rsid w:val="00CC6DA6"/>
    <w:rsid w:val="00CD14FA"/>
    <w:rsid w:val="00CD178F"/>
    <w:rsid w:val="00CD5081"/>
    <w:rsid w:val="00CD646E"/>
    <w:rsid w:val="00CE138B"/>
    <w:rsid w:val="00CE2348"/>
    <w:rsid w:val="00CE2FB5"/>
    <w:rsid w:val="00CE3552"/>
    <w:rsid w:val="00CE449F"/>
    <w:rsid w:val="00CE573F"/>
    <w:rsid w:val="00CE6E4E"/>
    <w:rsid w:val="00CE7517"/>
    <w:rsid w:val="00CF02AA"/>
    <w:rsid w:val="00CF2DBB"/>
    <w:rsid w:val="00CF30B0"/>
    <w:rsid w:val="00D21F18"/>
    <w:rsid w:val="00D30A96"/>
    <w:rsid w:val="00D32F60"/>
    <w:rsid w:val="00D45B87"/>
    <w:rsid w:val="00D46461"/>
    <w:rsid w:val="00D47CAB"/>
    <w:rsid w:val="00D56A03"/>
    <w:rsid w:val="00D57DE9"/>
    <w:rsid w:val="00D6062A"/>
    <w:rsid w:val="00D62D06"/>
    <w:rsid w:val="00D73D39"/>
    <w:rsid w:val="00D75E0D"/>
    <w:rsid w:val="00D760B7"/>
    <w:rsid w:val="00D77890"/>
    <w:rsid w:val="00D916EE"/>
    <w:rsid w:val="00D91BB3"/>
    <w:rsid w:val="00DA1F4E"/>
    <w:rsid w:val="00DA23FE"/>
    <w:rsid w:val="00DB172A"/>
    <w:rsid w:val="00DB3305"/>
    <w:rsid w:val="00DB7F6E"/>
    <w:rsid w:val="00DC1E6B"/>
    <w:rsid w:val="00DC22DF"/>
    <w:rsid w:val="00DC2D2F"/>
    <w:rsid w:val="00DC6AC0"/>
    <w:rsid w:val="00DD2B1A"/>
    <w:rsid w:val="00DD6431"/>
    <w:rsid w:val="00DE5ADB"/>
    <w:rsid w:val="00DF2924"/>
    <w:rsid w:val="00DF2ADB"/>
    <w:rsid w:val="00DF361A"/>
    <w:rsid w:val="00DF49EF"/>
    <w:rsid w:val="00DF50E5"/>
    <w:rsid w:val="00E163D8"/>
    <w:rsid w:val="00E20629"/>
    <w:rsid w:val="00E21F5F"/>
    <w:rsid w:val="00E22F31"/>
    <w:rsid w:val="00E23209"/>
    <w:rsid w:val="00E23C06"/>
    <w:rsid w:val="00E26BF2"/>
    <w:rsid w:val="00E30634"/>
    <w:rsid w:val="00E33374"/>
    <w:rsid w:val="00E44203"/>
    <w:rsid w:val="00E45381"/>
    <w:rsid w:val="00E524CE"/>
    <w:rsid w:val="00E56407"/>
    <w:rsid w:val="00E56451"/>
    <w:rsid w:val="00E56FEB"/>
    <w:rsid w:val="00E64BE4"/>
    <w:rsid w:val="00E77F73"/>
    <w:rsid w:val="00E84B97"/>
    <w:rsid w:val="00E87D10"/>
    <w:rsid w:val="00E90654"/>
    <w:rsid w:val="00E94119"/>
    <w:rsid w:val="00E95D30"/>
    <w:rsid w:val="00EB7EF6"/>
    <w:rsid w:val="00EC4314"/>
    <w:rsid w:val="00EC644F"/>
    <w:rsid w:val="00EC6F14"/>
    <w:rsid w:val="00ED0BC7"/>
    <w:rsid w:val="00ED0DFB"/>
    <w:rsid w:val="00ED7FE7"/>
    <w:rsid w:val="00EE0128"/>
    <w:rsid w:val="00EE0DC6"/>
    <w:rsid w:val="00EE29C6"/>
    <w:rsid w:val="00EE4138"/>
    <w:rsid w:val="00EE7FFE"/>
    <w:rsid w:val="00EF0B2E"/>
    <w:rsid w:val="00EF3605"/>
    <w:rsid w:val="00F01F3B"/>
    <w:rsid w:val="00F04AEF"/>
    <w:rsid w:val="00F10C38"/>
    <w:rsid w:val="00F23082"/>
    <w:rsid w:val="00F27B60"/>
    <w:rsid w:val="00F305E4"/>
    <w:rsid w:val="00F40D5C"/>
    <w:rsid w:val="00F669D3"/>
    <w:rsid w:val="00F71858"/>
    <w:rsid w:val="00F739B5"/>
    <w:rsid w:val="00F801AE"/>
    <w:rsid w:val="00F8334B"/>
    <w:rsid w:val="00F91DF2"/>
    <w:rsid w:val="00F947E6"/>
    <w:rsid w:val="00FA104D"/>
    <w:rsid w:val="00FA12B1"/>
    <w:rsid w:val="00FA13DD"/>
    <w:rsid w:val="00FA258A"/>
    <w:rsid w:val="00FA4C7F"/>
    <w:rsid w:val="00FA549E"/>
    <w:rsid w:val="00FA7145"/>
    <w:rsid w:val="00FB2097"/>
    <w:rsid w:val="00FB317A"/>
    <w:rsid w:val="00FC03A0"/>
    <w:rsid w:val="00FC468B"/>
    <w:rsid w:val="00FC4DEC"/>
    <w:rsid w:val="00FD7168"/>
    <w:rsid w:val="00FE0C17"/>
    <w:rsid w:val="00FE15A5"/>
    <w:rsid w:val="00FE18DA"/>
    <w:rsid w:val="00FE4899"/>
    <w:rsid w:val="00FF5536"/>
    <w:rsid w:val="00FF6B5A"/>
    <w:rsid w:val="00FF76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B323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6435"/>
    <w:pPr>
      <w:spacing w:after="200" w:line="276" w:lineRule="auto"/>
    </w:pPr>
    <w:rPr>
      <w:rFonts w:eastAsiaTheme="minorEastAsia"/>
    </w:rPr>
  </w:style>
  <w:style w:type="paragraph" w:styleId="Heading1">
    <w:name w:val="heading 1"/>
    <w:basedOn w:val="Normal"/>
    <w:next w:val="Normal"/>
    <w:link w:val="Heading1Char"/>
    <w:uiPriority w:val="9"/>
    <w:qFormat/>
    <w:rsid w:val="00C8643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C8643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8643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8643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8643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8643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8643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8643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8643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43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8643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8643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8643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8643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8643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8643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8643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86435"/>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C86435"/>
    <w:pPr>
      <w:ind w:left="720"/>
      <w:contextualSpacing/>
    </w:pPr>
  </w:style>
  <w:style w:type="paragraph" w:styleId="BalloonText">
    <w:name w:val="Balloon Text"/>
    <w:basedOn w:val="Normal"/>
    <w:link w:val="BalloonTextChar"/>
    <w:uiPriority w:val="99"/>
    <w:semiHidden/>
    <w:unhideWhenUsed/>
    <w:rsid w:val="00C86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435"/>
    <w:rPr>
      <w:rFonts w:ascii="Tahoma" w:eastAsiaTheme="minorEastAsia" w:hAnsi="Tahoma" w:cs="Tahoma"/>
      <w:sz w:val="16"/>
      <w:szCs w:val="16"/>
    </w:rPr>
  </w:style>
  <w:style w:type="paragraph" w:styleId="NormalWeb">
    <w:name w:val="Normal (Web)"/>
    <w:basedOn w:val="Normal"/>
    <w:uiPriority w:val="99"/>
    <w:unhideWhenUsed/>
    <w:rsid w:val="00C864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
    <w:name w:val="cit"/>
    <w:basedOn w:val="DefaultParagraphFont"/>
    <w:rsid w:val="00C86435"/>
  </w:style>
  <w:style w:type="character" w:styleId="Hyperlink">
    <w:name w:val="Hyperlink"/>
    <w:basedOn w:val="DefaultParagraphFont"/>
    <w:uiPriority w:val="99"/>
    <w:unhideWhenUsed/>
    <w:rsid w:val="00C86435"/>
    <w:rPr>
      <w:color w:val="0000FF"/>
      <w:u w:val="single"/>
    </w:rPr>
  </w:style>
  <w:style w:type="paragraph" w:customStyle="1" w:styleId="p">
    <w:name w:val="p"/>
    <w:basedOn w:val="Normal"/>
    <w:rsid w:val="00C864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DefaultParagraphFont"/>
    <w:rsid w:val="00C86435"/>
  </w:style>
  <w:style w:type="character" w:customStyle="1" w:styleId="ref-journal">
    <w:name w:val="ref-journal"/>
    <w:basedOn w:val="DefaultParagraphFont"/>
    <w:rsid w:val="00C86435"/>
  </w:style>
  <w:style w:type="character" w:customStyle="1" w:styleId="ref-vol">
    <w:name w:val="ref-vol"/>
    <w:basedOn w:val="DefaultParagraphFont"/>
    <w:rsid w:val="00C86435"/>
  </w:style>
  <w:style w:type="character" w:styleId="Strong">
    <w:name w:val="Strong"/>
    <w:uiPriority w:val="22"/>
    <w:qFormat/>
    <w:rsid w:val="00C86435"/>
    <w:rPr>
      <w:b/>
      <w:bCs/>
    </w:rPr>
  </w:style>
  <w:style w:type="character" w:customStyle="1" w:styleId="xdtextbox">
    <w:name w:val="xdtextbox"/>
    <w:basedOn w:val="DefaultParagraphFont"/>
    <w:rsid w:val="00C86435"/>
  </w:style>
  <w:style w:type="paragraph" w:styleId="PlainText">
    <w:name w:val="Plain Text"/>
    <w:basedOn w:val="Normal"/>
    <w:link w:val="PlainTextChar"/>
    <w:uiPriority w:val="99"/>
    <w:unhideWhenUsed/>
    <w:rsid w:val="00C86435"/>
    <w:pPr>
      <w:spacing w:after="0" w:line="240" w:lineRule="auto"/>
    </w:pPr>
    <w:rPr>
      <w:rFonts w:ascii="Arial" w:hAnsi="Arial"/>
      <w:szCs w:val="21"/>
      <w:lang w:val="en-GB"/>
    </w:rPr>
  </w:style>
  <w:style w:type="character" w:customStyle="1" w:styleId="PlainTextChar">
    <w:name w:val="Plain Text Char"/>
    <w:basedOn w:val="DefaultParagraphFont"/>
    <w:link w:val="PlainText"/>
    <w:uiPriority w:val="99"/>
    <w:rsid w:val="00C86435"/>
    <w:rPr>
      <w:rFonts w:ascii="Arial" w:eastAsiaTheme="minorEastAsia" w:hAnsi="Arial"/>
      <w:szCs w:val="21"/>
      <w:lang w:val="en-GB"/>
    </w:rPr>
  </w:style>
  <w:style w:type="paragraph" w:styleId="Header">
    <w:name w:val="header"/>
    <w:basedOn w:val="Normal"/>
    <w:link w:val="HeaderChar"/>
    <w:uiPriority w:val="99"/>
    <w:unhideWhenUsed/>
    <w:rsid w:val="00C86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435"/>
    <w:rPr>
      <w:rFonts w:eastAsiaTheme="minorEastAsia"/>
    </w:rPr>
  </w:style>
  <w:style w:type="paragraph" w:styleId="Footer">
    <w:name w:val="footer"/>
    <w:basedOn w:val="Normal"/>
    <w:link w:val="FooterChar"/>
    <w:uiPriority w:val="99"/>
    <w:unhideWhenUsed/>
    <w:rsid w:val="00C86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435"/>
    <w:rPr>
      <w:rFonts w:eastAsiaTheme="minorEastAsia"/>
    </w:rPr>
  </w:style>
  <w:style w:type="paragraph" w:styleId="NoSpacing">
    <w:name w:val="No Spacing"/>
    <w:basedOn w:val="Normal"/>
    <w:link w:val="NoSpacingChar"/>
    <w:uiPriority w:val="1"/>
    <w:qFormat/>
    <w:rsid w:val="00C86435"/>
    <w:pPr>
      <w:spacing w:after="0" w:line="240" w:lineRule="auto"/>
    </w:pPr>
  </w:style>
  <w:style w:type="character" w:customStyle="1" w:styleId="NoSpacingChar">
    <w:name w:val="No Spacing Char"/>
    <w:basedOn w:val="DefaultParagraphFont"/>
    <w:link w:val="NoSpacing"/>
    <w:uiPriority w:val="1"/>
    <w:rsid w:val="00C86435"/>
    <w:rPr>
      <w:rFonts w:eastAsiaTheme="minorEastAsia"/>
    </w:rPr>
  </w:style>
  <w:style w:type="paragraph" w:styleId="FootnoteText">
    <w:name w:val="footnote text"/>
    <w:basedOn w:val="Normal"/>
    <w:link w:val="FootnoteTextChar"/>
    <w:uiPriority w:val="99"/>
    <w:semiHidden/>
    <w:unhideWhenUsed/>
    <w:rsid w:val="00C864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6435"/>
    <w:rPr>
      <w:rFonts w:eastAsiaTheme="minorEastAsia"/>
      <w:sz w:val="20"/>
      <w:szCs w:val="20"/>
    </w:rPr>
  </w:style>
  <w:style w:type="character" w:styleId="FootnoteReference">
    <w:name w:val="footnote reference"/>
    <w:basedOn w:val="DefaultParagraphFont"/>
    <w:uiPriority w:val="99"/>
    <w:semiHidden/>
    <w:unhideWhenUsed/>
    <w:rsid w:val="00C86435"/>
    <w:rPr>
      <w:vertAlign w:val="superscript"/>
    </w:rPr>
  </w:style>
  <w:style w:type="paragraph" w:styleId="EndnoteText">
    <w:name w:val="endnote text"/>
    <w:basedOn w:val="Normal"/>
    <w:link w:val="EndnoteTextChar"/>
    <w:uiPriority w:val="99"/>
    <w:semiHidden/>
    <w:unhideWhenUsed/>
    <w:rsid w:val="00C864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6435"/>
    <w:rPr>
      <w:rFonts w:eastAsiaTheme="minorEastAsia"/>
      <w:sz w:val="20"/>
      <w:szCs w:val="20"/>
    </w:rPr>
  </w:style>
  <w:style w:type="character" w:styleId="EndnoteReference">
    <w:name w:val="endnote reference"/>
    <w:basedOn w:val="DefaultParagraphFont"/>
    <w:uiPriority w:val="99"/>
    <w:semiHidden/>
    <w:unhideWhenUsed/>
    <w:rsid w:val="00C86435"/>
    <w:rPr>
      <w:vertAlign w:val="superscript"/>
    </w:rPr>
  </w:style>
  <w:style w:type="character" w:customStyle="1" w:styleId="publication-meta-journal">
    <w:name w:val="publication-meta-journal"/>
    <w:basedOn w:val="DefaultParagraphFont"/>
    <w:rsid w:val="00C86435"/>
  </w:style>
  <w:style w:type="character" w:customStyle="1" w:styleId="publication-meta-date">
    <w:name w:val="publication-meta-date"/>
    <w:basedOn w:val="DefaultParagraphFont"/>
    <w:rsid w:val="00C86435"/>
  </w:style>
  <w:style w:type="paragraph" w:customStyle="1" w:styleId="svarticle">
    <w:name w:val="svarticle"/>
    <w:basedOn w:val="Normal"/>
    <w:rsid w:val="00C8643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8643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6435"/>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643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6435"/>
    <w:rPr>
      <w:rFonts w:ascii="Arial" w:eastAsiaTheme="minorEastAsia" w:hAnsi="Arial" w:cs="Arial"/>
      <w:vanish/>
      <w:sz w:val="16"/>
      <w:szCs w:val="16"/>
    </w:rPr>
  </w:style>
  <w:style w:type="character" w:styleId="Emphasis">
    <w:name w:val="Emphasis"/>
    <w:uiPriority w:val="20"/>
    <w:qFormat/>
    <w:rsid w:val="00C86435"/>
    <w:rPr>
      <w:b/>
      <w:bCs/>
      <w:i/>
      <w:iCs/>
      <w:spacing w:val="10"/>
      <w:bdr w:val="none" w:sz="0" w:space="0" w:color="auto"/>
      <w:shd w:val="clear" w:color="auto" w:fill="auto"/>
    </w:rPr>
  </w:style>
  <w:style w:type="character" w:customStyle="1" w:styleId="nowrap">
    <w:name w:val="nowrap"/>
    <w:basedOn w:val="DefaultParagraphFont"/>
    <w:rsid w:val="00C86435"/>
  </w:style>
  <w:style w:type="character" w:styleId="FollowedHyperlink">
    <w:name w:val="FollowedHyperlink"/>
    <w:basedOn w:val="DefaultParagraphFont"/>
    <w:uiPriority w:val="99"/>
    <w:semiHidden/>
    <w:unhideWhenUsed/>
    <w:rsid w:val="00C86435"/>
    <w:rPr>
      <w:color w:val="954F72" w:themeColor="followedHyperlink"/>
      <w:u w:val="single"/>
    </w:rPr>
  </w:style>
  <w:style w:type="paragraph" w:styleId="Title">
    <w:name w:val="Title"/>
    <w:basedOn w:val="Normal"/>
    <w:next w:val="Normal"/>
    <w:link w:val="TitleChar"/>
    <w:uiPriority w:val="10"/>
    <w:qFormat/>
    <w:rsid w:val="00C8643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8643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864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86435"/>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C86435"/>
    <w:pPr>
      <w:spacing w:before="200" w:after="0"/>
      <w:ind w:left="360" w:right="360"/>
    </w:pPr>
    <w:rPr>
      <w:i/>
      <w:iCs/>
    </w:rPr>
  </w:style>
  <w:style w:type="character" w:customStyle="1" w:styleId="QuoteChar">
    <w:name w:val="Quote Char"/>
    <w:basedOn w:val="DefaultParagraphFont"/>
    <w:link w:val="Quote"/>
    <w:uiPriority w:val="29"/>
    <w:rsid w:val="00C86435"/>
    <w:rPr>
      <w:rFonts w:eastAsiaTheme="minorEastAsia"/>
      <w:i/>
      <w:iCs/>
    </w:rPr>
  </w:style>
  <w:style w:type="paragraph" w:styleId="IntenseQuote">
    <w:name w:val="Intense Quote"/>
    <w:basedOn w:val="Normal"/>
    <w:next w:val="Normal"/>
    <w:link w:val="IntenseQuoteChar"/>
    <w:uiPriority w:val="30"/>
    <w:qFormat/>
    <w:rsid w:val="00C8643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86435"/>
    <w:rPr>
      <w:rFonts w:eastAsiaTheme="minorEastAsia"/>
      <w:b/>
      <w:bCs/>
      <w:i/>
      <w:iCs/>
    </w:rPr>
  </w:style>
  <w:style w:type="character" w:styleId="SubtleEmphasis">
    <w:name w:val="Subtle Emphasis"/>
    <w:uiPriority w:val="19"/>
    <w:qFormat/>
    <w:rsid w:val="00C86435"/>
    <w:rPr>
      <w:i/>
      <w:iCs/>
    </w:rPr>
  </w:style>
  <w:style w:type="character" w:styleId="IntenseEmphasis">
    <w:name w:val="Intense Emphasis"/>
    <w:uiPriority w:val="21"/>
    <w:qFormat/>
    <w:rsid w:val="00C86435"/>
    <w:rPr>
      <w:b/>
      <w:bCs/>
    </w:rPr>
  </w:style>
  <w:style w:type="character" w:styleId="SubtleReference">
    <w:name w:val="Subtle Reference"/>
    <w:uiPriority w:val="31"/>
    <w:qFormat/>
    <w:rsid w:val="00C86435"/>
    <w:rPr>
      <w:smallCaps/>
    </w:rPr>
  </w:style>
  <w:style w:type="character" w:styleId="IntenseReference">
    <w:name w:val="Intense Reference"/>
    <w:uiPriority w:val="32"/>
    <w:qFormat/>
    <w:rsid w:val="00C86435"/>
    <w:rPr>
      <w:smallCaps/>
      <w:spacing w:val="5"/>
      <w:u w:val="single"/>
    </w:rPr>
  </w:style>
  <w:style w:type="character" w:styleId="BookTitle">
    <w:name w:val="Book Title"/>
    <w:uiPriority w:val="33"/>
    <w:qFormat/>
    <w:rsid w:val="00C86435"/>
    <w:rPr>
      <w:i/>
      <w:iCs/>
      <w:smallCaps/>
      <w:spacing w:val="5"/>
    </w:rPr>
  </w:style>
  <w:style w:type="paragraph" w:styleId="TOCHeading">
    <w:name w:val="TOC Heading"/>
    <w:basedOn w:val="Heading1"/>
    <w:next w:val="Normal"/>
    <w:uiPriority w:val="39"/>
    <w:semiHidden/>
    <w:unhideWhenUsed/>
    <w:qFormat/>
    <w:rsid w:val="00C86435"/>
    <w:pPr>
      <w:outlineLvl w:val="9"/>
    </w:pPr>
    <w:rPr>
      <w:lang w:bidi="en-US"/>
    </w:rPr>
  </w:style>
  <w:style w:type="character" w:customStyle="1" w:styleId="a">
    <w:name w:val="_"/>
    <w:basedOn w:val="DefaultParagraphFont"/>
    <w:rsid w:val="00C86435"/>
  </w:style>
  <w:style w:type="table" w:styleId="TableGrid">
    <w:name w:val="Table Grid"/>
    <w:basedOn w:val="TableNormal"/>
    <w:uiPriority w:val="39"/>
    <w:rsid w:val="00C86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7679730166msonormal">
    <w:name w:val="yiv7679730166msonormal"/>
    <w:basedOn w:val="Normal"/>
    <w:uiPriority w:val="99"/>
    <w:rsid w:val="00C864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C86435"/>
  </w:style>
  <w:style w:type="character" w:customStyle="1" w:styleId="highlight">
    <w:name w:val="highlight"/>
    <w:basedOn w:val="DefaultParagraphFont"/>
    <w:rsid w:val="00C86435"/>
  </w:style>
  <w:style w:type="character" w:customStyle="1" w:styleId="article-headermeta-info-label">
    <w:name w:val="article-header__meta-info-label"/>
    <w:basedOn w:val="DefaultParagraphFont"/>
    <w:rsid w:val="00C86435"/>
  </w:style>
  <w:style w:type="character" w:customStyle="1" w:styleId="article-headermeta-info-data">
    <w:name w:val="article-header__meta-info-data"/>
    <w:basedOn w:val="DefaultParagraphFont"/>
    <w:rsid w:val="00C86435"/>
  </w:style>
  <w:style w:type="character" w:customStyle="1" w:styleId="5yl5">
    <w:name w:val="_5yl5"/>
    <w:basedOn w:val="DefaultParagraphFont"/>
    <w:rsid w:val="00C86435"/>
  </w:style>
  <w:style w:type="character" w:styleId="CommentReference">
    <w:name w:val="annotation reference"/>
    <w:basedOn w:val="DefaultParagraphFont"/>
    <w:uiPriority w:val="99"/>
    <w:semiHidden/>
    <w:unhideWhenUsed/>
    <w:rsid w:val="0065498D"/>
    <w:rPr>
      <w:sz w:val="16"/>
      <w:szCs w:val="16"/>
    </w:rPr>
  </w:style>
  <w:style w:type="paragraph" w:styleId="CommentText">
    <w:name w:val="annotation text"/>
    <w:basedOn w:val="Normal"/>
    <w:link w:val="CommentTextChar"/>
    <w:uiPriority w:val="99"/>
    <w:semiHidden/>
    <w:unhideWhenUsed/>
    <w:rsid w:val="0065498D"/>
    <w:pPr>
      <w:spacing w:line="240" w:lineRule="auto"/>
    </w:pPr>
    <w:rPr>
      <w:sz w:val="20"/>
      <w:szCs w:val="20"/>
    </w:rPr>
  </w:style>
  <w:style w:type="character" w:customStyle="1" w:styleId="CommentTextChar">
    <w:name w:val="Comment Text Char"/>
    <w:basedOn w:val="DefaultParagraphFont"/>
    <w:link w:val="CommentText"/>
    <w:uiPriority w:val="99"/>
    <w:semiHidden/>
    <w:rsid w:val="0065498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5498D"/>
    <w:rPr>
      <w:b/>
      <w:bCs/>
    </w:rPr>
  </w:style>
  <w:style w:type="character" w:customStyle="1" w:styleId="CommentSubjectChar">
    <w:name w:val="Comment Subject Char"/>
    <w:basedOn w:val="CommentTextChar"/>
    <w:link w:val="CommentSubject"/>
    <w:uiPriority w:val="99"/>
    <w:semiHidden/>
    <w:rsid w:val="0065498D"/>
    <w:rPr>
      <w:rFonts w:eastAsiaTheme="minorEastAsia"/>
      <w:b/>
      <w:bCs/>
      <w:sz w:val="20"/>
      <w:szCs w:val="20"/>
    </w:rPr>
  </w:style>
  <w:style w:type="paragraph" w:customStyle="1" w:styleId="content">
    <w:name w:val="content"/>
    <w:basedOn w:val="Normal"/>
    <w:uiPriority w:val="99"/>
    <w:rsid w:val="00244DA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503135"/>
    <w:rPr>
      <w:i/>
      <w:iCs/>
    </w:rPr>
  </w:style>
  <w:style w:type="character" w:customStyle="1" w:styleId="author">
    <w:name w:val="author"/>
    <w:basedOn w:val="DefaultParagraphFont"/>
    <w:rsid w:val="00503135"/>
  </w:style>
  <w:style w:type="character" w:customStyle="1" w:styleId="articletitle">
    <w:name w:val="articletitle"/>
    <w:basedOn w:val="DefaultParagraphFont"/>
    <w:rsid w:val="00503135"/>
  </w:style>
  <w:style w:type="character" w:customStyle="1" w:styleId="journaltitle">
    <w:name w:val="journaltitle"/>
    <w:basedOn w:val="DefaultParagraphFont"/>
    <w:rsid w:val="00503135"/>
  </w:style>
  <w:style w:type="character" w:customStyle="1" w:styleId="pubyear">
    <w:name w:val="pubyear"/>
    <w:basedOn w:val="DefaultParagraphFont"/>
    <w:rsid w:val="00503135"/>
  </w:style>
  <w:style w:type="character" w:customStyle="1" w:styleId="vol">
    <w:name w:val="vol"/>
    <w:basedOn w:val="DefaultParagraphFont"/>
    <w:rsid w:val="00503135"/>
  </w:style>
  <w:style w:type="character" w:customStyle="1" w:styleId="pagefirst">
    <w:name w:val="pagefirst"/>
    <w:basedOn w:val="DefaultParagraphFont"/>
    <w:rsid w:val="00503135"/>
  </w:style>
  <w:style w:type="character" w:customStyle="1" w:styleId="pagelast">
    <w:name w:val="pagelast"/>
    <w:basedOn w:val="DefaultParagraphFont"/>
    <w:rsid w:val="00503135"/>
  </w:style>
  <w:style w:type="character" w:customStyle="1" w:styleId="bullet">
    <w:name w:val="bullet"/>
    <w:basedOn w:val="DefaultParagraphFont"/>
    <w:rsid w:val="00503135"/>
  </w:style>
  <w:style w:type="character" w:customStyle="1" w:styleId="paddingr15">
    <w:name w:val="paddingr15"/>
    <w:basedOn w:val="DefaultParagraphFont"/>
    <w:rsid w:val="004F28C4"/>
  </w:style>
  <w:style w:type="character" w:customStyle="1" w:styleId="previewtxt">
    <w:name w:val="previewtxt"/>
    <w:basedOn w:val="DefaultParagraphFont"/>
    <w:rsid w:val="004F28C4"/>
  </w:style>
  <w:style w:type="character" w:customStyle="1" w:styleId="previewtxt1">
    <w:name w:val="previewtxt1"/>
    <w:basedOn w:val="DefaultParagraphFont"/>
    <w:rsid w:val="004F28C4"/>
  </w:style>
  <w:style w:type="character" w:customStyle="1" w:styleId="doi">
    <w:name w:val="doi"/>
    <w:basedOn w:val="DefaultParagraphFont"/>
    <w:rsid w:val="004F28C4"/>
  </w:style>
  <w:style w:type="character" w:customStyle="1" w:styleId="slug-doi">
    <w:name w:val="slug-doi"/>
    <w:basedOn w:val="DefaultParagraphFont"/>
    <w:rsid w:val="004F28C4"/>
  </w:style>
  <w:style w:type="character" w:customStyle="1" w:styleId="doi1">
    <w:name w:val="doi1"/>
    <w:basedOn w:val="DefaultParagraphFont"/>
    <w:rsid w:val="004F28C4"/>
    <w:rPr>
      <w:color w:val="666666"/>
    </w:rPr>
  </w:style>
  <w:style w:type="paragraph" w:customStyle="1" w:styleId="article-doi">
    <w:name w:val="article-doi"/>
    <w:basedOn w:val="Normal"/>
    <w:rsid w:val="004F28C4"/>
    <w:pPr>
      <w:spacing w:after="0" w:line="240" w:lineRule="auto"/>
    </w:pPr>
    <w:rPr>
      <w:rFonts w:ascii="Times New Roman" w:eastAsia="Times New Roman" w:hAnsi="Times New Roman" w:cs="Times New Roman"/>
      <w:sz w:val="24"/>
      <w:szCs w:val="24"/>
    </w:rPr>
  </w:style>
  <w:style w:type="character" w:customStyle="1" w:styleId="cit-doi3">
    <w:name w:val="cit-doi3"/>
    <w:basedOn w:val="DefaultParagraphFont"/>
    <w:rsid w:val="004F28C4"/>
  </w:style>
  <w:style w:type="character" w:customStyle="1" w:styleId="cit-sep2">
    <w:name w:val="cit-sep2"/>
    <w:basedOn w:val="DefaultParagraphFont"/>
    <w:rsid w:val="004F28C4"/>
  </w:style>
  <w:style w:type="character" w:customStyle="1" w:styleId="expandtext">
    <w:name w:val="expandtext"/>
    <w:basedOn w:val="DefaultParagraphFont"/>
    <w:rsid w:val="004F28C4"/>
  </w:style>
  <w:style w:type="character" w:customStyle="1" w:styleId="Mention1">
    <w:name w:val="Mention1"/>
    <w:basedOn w:val="DefaultParagraphFont"/>
    <w:uiPriority w:val="99"/>
    <w:semiHidden/>
    <w:unhideWhenUsed/>
    <w:rsid w:val="004F28C4"/>
    <w:rPr>
      <w:color w:val="2B579A"/>
      <w:shd w:val="clear" w:color="auto" w:fill="E6E6E6"/>
    </w:rPr>
  </w:style>
  <w:style w:type="character" w:customStyle="1" w:styleId="title-text">
    <w:name w:val="title-text"/>
    <w:basedOn w:val="DefaultParagraphFont"/>
    <w:rsid w:val="004F28C4"/>
  </w:style>
  <w:style w:type="character" w:customStyle="1" w:styleId="article-citation">
    <w:name w:val="article-citation"/>
    <w:basedOn w:val="DefaultParagraphFont"/>
    <w:rsid w:val="004F28C4"/>
  </w:style>
  <w:style w:type="character" w:customStyle="1" w:styleId="labs-docsum-citation-part">
    <w:name w:val="labs-docsum-citation-part"/>
    <w:basedOn w:val="DefaultParagraphFont"/>
    <w:rsid w:val="004F28C4"/>
  </w:style>
  <w:style w:type="character" w:customStyle="1" w:styleId="citedissue">
    <w:name w:val="citedissue"/>
    <w:basedOn w:val="DefaultParagraphFont"/>
    <w:rsid w:val="004F28C4"/>
  </w:style>
  <w:style w:type="character" w:customStyle="1" w:styleId="Mention2">
    <w:name w:val="Mention2"/>
    <w:basedOn w:val="DefaultParagraphFont"/>
    <w:uiPriority w:val="99"/>
    <w:semiHidden/>
    <w:unhideWhenUsed/>
    <w:rsid w:val="004F28C4"/>
    <w:rPr>
      <w:color w:val="2B579A"/>
      <w:shd w:val="clear" w:color="auto" w:fill="E6E6E6"/>
    </w:rPr>
  </w:style>
  <w:style w:type="character" w:customStyle="1" w:styleId="Mention3">
    <w:name w:val="Mention3"/>
    <w:basedOn w:val="DefaultParagraphFont"/>
    <w:uiPriority w:val="99"/>
    <w:semiHidden/>
    <w:unhideWhenUsed/>
    <w:rsid w:val="0070521A"/>
    <w:rPr>
      <w:color w:val="2B579A"/>
      <w:shd w:val="clear" w:color="auto" w:fill="E6E6E6"/>
    </w:rPr>
  </w:style>
  <w:style w:type="paragraph" w:customStyle="1" w:styleId="yiv6943483279msonormal">
    <w:name w:val="yiv6943483279msonormal"/>
    <w:basedOn w:val="Normal"/>
    <w:rsid w:val="00C618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22379">
      <w:bodyDiv w:val="1"/>
      <w:marLeft w:val="0"/>
      <w:marRight w:val="0"/>
      <w:marTop w:val="0"/>
      <w:marBottom w:val="0"/>
      <w:divBdr>
        <w:top w:val="none" w:sz="0" w:space="0" w:color="auto"/>
        <w:left w:val="none" w:sz="0" w:space="0" w:color="auto"/>
        <w:bottom w:val="none" w:sz="0" w:space="0" w:color="auto"/>
        <w:right w:val="none" w:sz="0" w:space="0" w:color="auto"/>
      </w:divBdr>
    </w:div>
    <w:div w:id="1825314837">
      <w:bodyDiv w:val="1"/>
      <w:marLeft w:val="0"/>
      <w:marRight w:val="0"/>
      <w:marTop w:val="0"/>
      <w:marBottom w:val="0"/>
      <w:divBdr>
        <w:top w:val="none" w:sz="0" w:space="0" w:color="auto"/>
        <w:left w:val="none" w:sz="0" w:space="0" w:color="auto"/>
        <w:bottom w:val="none" w:sz="0" w:space="0" w:color="auto"/>
        <w:right w:val="none" w:sz="0" w:space="0" w:color="auto"/>
      </w:divBdr>
    </w:div>
    <w:div w:id="1848712369">
      <w:bodyDiv w:val="1"/>
      <w:marLeft w:val="0"/>
      <w:marRight w:val="0"/>
      <w:marTop w:val="0"/>
      <w:marBottom w:val="0"/>
      <w:divBdr>
        <w:top w:val="none" w:sz="0" w:space="0" w:color="auto"/>
        <w:left w:val="none" w:sz="0" w:space="0" w:color="auto"/>
        <w:bottom w:val="none" w:sz="0" w:space="0" w:color="auto"/>
        <w:right w:val="none" w:sz="0" w:space="0" w:color="auto"/>
      </w:divBdr>
      <w:divsChild>
        <w:div w:id="474757670">
          <w:marLeft w:val="0"/>
          <w:marRight w:val="0"/>
          <w:marTop w:val="0"/>
          <w:marBottom w:val="0"/>
          <w:divBdr>
            <w:top w:val="none" w:sz="0" w:space="0" w:color="auto"/>
            <w:left w:val="none" w:sz="0" w:space="0" w:color="auto"/>
            <w:bottom w:val="none" w:sz="0" w:space="0" w:color="auto"/>
            <w:right w:val="none" w:sz="0" w:space="0" w:color="auto"/>
          </w:divBdr>
          <w:divsChild>
            <w:div w:id="775950698">
              <w:marLeft w:val="0"/>
              <w:marRight w:val="0"/>
              <w:marTop w:val="0"/>
              <w:marBottom w:val="0"/>
              <w:divBdr>
                <w:top w:val="none" w:sz="0" w:space="0" w:color="auto"/>
                <w:left w:val="none" w:sz="0" w:space="0" w:color="auto"/>
                <w:bottom w:val="none" w:sz="0" w:space="0" w:color="auto"/>
                <w:right w:val="none" w:sz="0" w:space="0" w:color="auto"/>
              </w:divBdr>
              <w:divsChild>
                <w:div w:id="74862976">
                  <w:marLeft w:val="0"/>
                  <w:marRight w:val="0"/>
                  <w:marTop w:val="0"/>
                  <w:marBottom w:val="0"/>
                  <w:divBdr>
                    <w:top w:val="none" w:sz="0" w:space="0" w:color="auto"/>
                    <w:left w:val="none" w:sz="0" w:space="0" w:color="auto"/>
                    <w:bottom w:val="none" w:sz="0" w:space="0" w:color="auto"/>
                    <w:right w:val="none" w:sz="0" w:space="0" w:color="auto"/>
                  </w:divBdr>
                  <w:divsChild>
                    <w:div w:id="1892644379">
                      <w:marLeft w:val="0"/>
                      <w:marRight w:val="0"/>
                      <w:marTop w:val="0"/>
                      <w:marBottom w:val="0"/>
                      <w:divBdr>
                        <w:top w:val="none" w:sz="0" w:space="0" w:color="auto"/>
                        <w:left w:val="none" w:sz="0" w:space="0" w:color="auto"/>
                        <w:bottom w:val="none" w:sz="0" w:space="0" w:color="auto"/>
                        <w:right w:val="none" w:sz="0" w:space="0" w:color="auto"/>
                      </w:divBdr>
                      <w:divsChild>
                        <w:div w:id="165706673">
                          <w:marLeft w:val="0"/>
                          <w:marRight w:val="0"/>
                          <w:marTop w:val="0"/>
                          <w:marBottom w:val="0"/>
                          <w:divBdr>
                            <w:top w:val="none" w:sz="0" w:space="0" w:color="auto"/>
                            <w:left w:val="none" w:sz="0" w:space="0" w:color="auto"/>
                            <w:bottom w:val="none" w:sz="0" w:space="0" w:color="auto"/>
                            <w:right w:val="none" w:sz="0" w:space="0" w:color="auto"/>
                          </w:divBdr>
                          <w:divsChild>
                            <w:div w:id="616446306">
                              <w:marLeft w:val="0"/>
                              <w:marRight w:val="0"/>
                              <w:marTop w:val="0"/>
                              <w:marBottom w:val="0"/>
                              <w:divBdr>
                                <w:top w:val="none" w:sz="0" w:space="0" w:color="auto"/>
                                <w:left w:val="none" w:sz="0" w:space="0" w:color="auto"/>
                                <w:bottom w:val="none" w:sz="0" w:space="0" w:color="auto"/>
                                <w:right w:val="none" w:sz="0" w:space="0" w:color="auto"/>
                              </w:divBdr>
                              <w:divsChild>
                                <w:div w:id="475345304">
                                  <w:marLeft w:val="0"/>
                                  <w:marRight w:val="0"/>
                                  <w:marTop w:val="0"/>
                                  <w:marBottom w:val="0"/>
                                  <w:divBdr>
                                    <w:top w:val="none" w:sz="0" w:space="0" w:color="auto"/>
                                    <w:left w:val="none" w:sz="0" w:space="0" w:color="auto"/>
                                    <w:bottom w:val="none" w:sz="0" w:space="0" w:color="auto"/>
                                    <w:right w:val="none" w:sz="0" w:space="0" w:color="auto"/>
                                  </w:divBdr>
                                  <w:divsChild>
                                    <w:div w:id="32384297">
                                      <w:marLeft w:val="0"/>
                                      <w:marRight w:val="0"/>
                                      <w:marTop w:val="0"/>
                                      <w:marBottom w:val="0"/>
                                      <w:divBdr>
                                        <w:top w:val="none" w:sz="0" w:space="0" w:color="auto"/>
                                        <w:left w:val="none" w:sz="0" w:space="0" w:color="auto"/>
                                        <w:bottom w:val="none" w:sz="0" w:space="0" w:color="auto"/>
                                        <w:right w:val="none" w:sz="0" w:space="0" w:color="auto"/>
                                      </w:divBdr>
                                      <w:divsChild>
                                        <w:div w:id="1220823532">
                                          <w:marLeft w:val="0"/>
                                          <w:marRight w:val="0"/>
                                          <w:marTop w:val="0"/>
                                          <w:marBottom w:val="0"/>
                                          <w:divBdr>
                                            <w:top w:val="none" w:sz="0" w:space="0" w:color="auto"/>
                                            <w:left w:val="none" w:sz="0" w:space="0" w:color="auto"/>
                                            <w:bottom w:val="none" w:sz="0" w:space="0" w:color="auto"/>
                                            <w:right w:val="none" w:sz="0" w:space="0" w:color="auto"/>
                                          </w:divBdr>
                                          <w:divsChild>
                                            <w:div w:id="2143771052">
                                              <w:marLeft w:val="0"/>
                                              <w:marRight w:val="0"/>
                                              <w:marTop w:val="0"/>
                                              <w:marBottom w:val="0"/>
                                              <w:divBdr>
                                                <w:top w:val="none" w:sz="0" w:space="0" w:color="auto"/>
                                                <w:left w:val="none" w:sz="0" w:space="0" w:color="auto"/>
                                                <w:bottom w:val="none" w:sz="0" w:space="0" w:color="auto"/>
                                                <w:right w:val="none" w:sz="0" w:space="0" w:color="auto"/>
                                              </w:divBdr>
                                              <w:divsChild>
                                                <w:div w:id="2122140273">
                                                  <w:marLeft w:val="0"/>
                                                  <w:marRight w:val="0"/>
                                                  <w:marTop w:val="0"/>
                                                  <w:marBottom w:val="0"/>
                                                  <w:divBdr>
                                                    <w:top w:val="none" w:sz="0" w:space="0" w:color="auto"/>
                                                    <w:left w:val="none" w:sz="0" w:space="0" w:color="auto"/>
                                                    <w:bottom w:val="none" w:sz="0" w:space="0" w:color="auto"/>
                                                    <w:right w:val="none" w:sz="0" w:space="0" w:color="auto"/>
                                                  </w:divBdr>
                                                  <w:divsChild>
                                                    <w:div w:id="136650317">
                                                      <w:marLeft w:val="0"/>
                                                      <w:marRight w:val="0"/>
                                                      <w:marTop w:val="0"/>
                                                      <w:marBottom w:val="0"/>
                                                      <w:divBdr>
                                                        <w:top w:val="none" w:sz="0" w:space="0" w:color="auto"/>
                                                        <w:left w:val="none" w:sz="0" w:space="0" w:color="auto"/>
                                                        <w:bottom w:val="none" w:sz="0" w:space="0" w:color="auto"/>
                                                        <w:right w:val="none" w:sz="0" w:space="0" w:color="auto"/>
                                                      </w:divBdr>
                                                      <w:divsChild>
                                                        <w:div w:id="1793015542">
                                                          <w:marLeft w:val="0"/>
                                                          <w:marRight w:val="0"/>
                                                          <w:marTop w:val="0"/>
                                                          <w:marBottom w:val="0"/>
                                                          <w:divBdr>
                                                            <w:top w:val="none" w:sz="0" w:space="0" w:color="auto"/>
                                                            <w:left w:val="none" w:sz="0" w:space="0" w:color="auto"/>
                                                            <w:bottom w:val="none" w:sz="0" w:space="0" w:color="auto"/>
                                                            <w:right w:val="none" w:sz="0" w:space="0" w:color="auto"/>
                                                          </w:divBdr>
                                                          <w:divsChild>
                                                            <w:div w:id="2142452556">
                                                              <w:marLeft w:val="0"/>
                                                              <w:marRight w:val="0"/>
                                                              <w:marTop w:val="0"/>
                                                              <w:marBottom w:val="0"/>
                                                              <w:divBdr>
                                                                <w:top w:val="none" w:sz="0" w:space="0" w:color="auto"/>
                                                                <w:left w:val="none" w:sz="0" w:space="0" w:color="auto"/>
                                                                <w:bottom w:val="none" w:sz="0" w:space="0" w:color="auto"/>
                                                                <w:right w:val="none" w:sz="0" w:space="0" w:color="auto"/>
                                                              </w:divBdr>
                                                              <w:divsChild>
                                                                <w:div w:id="36011507">
                                                                  <w:marLeft w:val="0"/>
                                                                  <w:marRight w:val="0"/>
                                                                  <w:marTop w:val="0"/>
                                                                  <w:marBottom w:val="0"/>
                                                                  <w:divBdr>
                                                                    <w:top w:val="none" w:sz="0" w:space="0" w:color="auto"/>
                                                                    <w:left w:val="none" w:sz="0" w:space="0" w:color="auto"/>
                                                                    <w:bottom w:val="none" w:sz="0" w:space="0" w:color="auto"/>
                                                                    <w:right w:val="none" w:sz="0" w:space="0" w:color="auto"/>
                                                                  </w:divBdr>
                                                                  <w:divsChild>
                                                                    <w:div w:id="1320814763">
                                                                      <w:marLeft w:val="0"/>
                                                                      <w:marRight w:val="0"/>
                                                                      <w:marTop w:val="0"/>
                                                                      <w:marBottom w:val="0"/>
                                                                      <w:divBdr>
                                                                        <w:top w:val="none" w:sz="0" w:space="0" w:color="auto"/>
                                                                        <w:left w:val="none" w:sz="0" w:space="0" w:color="auto"/>
                                                                        <w:bottom w:val="none" w:sz="0" w:space="0" w:color="auto"/>
                                                                        <w:right w:val="none" w:sz="0" w:space="0" w:color="auto"/>
                                                                      </w:divBdr>
                                                                      <w:divsChild>
                                                                        <w:div w:id="1684014272">
                                                                          <w:marLeft w:val="0"/>
                                                                          <w:marRight w:val="0"/>
                                                                          <w:marTop w:val="0"/>
                                                                          <w:marBottom w:val="0"/>
                                                                          <w:divBdr>
                                                                            <w:top w:val="none" w:sz="0" w:space="0" w:color="auto"/>
                                                                            <w:left w:val="none" w:sz="0" w:space="0" w:color="auto"/>
                                                                            <w:bottom w:val="none" w:sz="0" w:space="0" w:color="auto"/>
                                                                            <w:right w:val="none" w:sz="0" w:space="0" w:color="auto"/>
                                                                          </w:divBdr>
                                                                          <w:divsChild>
                                                                            <w:div w:id="1476944759">
                                                                              <w:marLeft w:val="0"/>
                                                                              <w:marRight w:val="0"/>
                                                                              <w:marTop w:val="0"/>
                                                                              <w:marBottom w:val="0"/>
                                                                              <w:divBdr>
                                                                                <w:top w:val="none" w:sz="0" w:space="0" w:color="auto"/>
                                                                                <w:left w:val="none" w:sz="0" w:space="0" w:color="auto"/>
                                                                                <w:bottom w:val="none" w:sz="0" w:space="0" w:color="auto"/>
                                                                                <w:right w:val="none" w:sz="0" w:space="0" w:color="auto"/>
                                                                              </w:divBdr>
                                                                              <w:divsChild>
                                                                                <w:div w:id="3537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javascript:newPictureWindow('imginfo.php?year=&amp;volume=&amp;issue=&amp;supplement=0&amp;makale_no=0&amp;spage_number=&amp;source=doi_10.6002/ect.2015.0200_012.png')"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javascript:;" TargetMode="External"/><Relationship Id="rId11" Type="http://schemas.openxmlformats.org/officeDocument/2006/relationships/hyperlink" Target="javascript:;" TargetMode="External"/><Relationship Id="rId12" Type="http://schemas.openxmlformats.org/officeDocument/2006/relationships/hyperlink" Target="http://www.sciencedirect.com/science/article/pii/S0085253816304847" TargetMode="External"/><Relationship Id="rId13" Type="http://schemas.openxmlformats.org/officeDocument/2006/relationships/hyperlink" Target="https://www.ncbi.nlm.nih.gov/pubmed/?term=Savin%20VJ%5BAuthor%5D&amp;cauthor=true&amp;cauthor_uid=18514139"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javascript:newPictureWindow('imginfo.php?year=&amp;volume=&amp;issue=&amp;supplement=0&amp;makale_no=0&amp;spage_number=&amp;source=doi_10.6002/ect.2015.0200_01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90668-4241-704E-94C0-657820EF4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13370</Words>
  <Characters>76213</Characters>
  <Application>Microsoft Macintosh Word</Application>
  <DocSecurity>0</DocSecurity>
  <Lines>635</Lines>
  <Paragraphs>178</Paragraphs>
  <ScaleCrop>false</ScaleCrop>
  <HeadingPairs>
    <vt:vector size="4" baseType="variant">
      <vt:variant>
        <vt:lpstr>Title</vt:lpstr>
      </vt:variant>
      <vt:variant>
        <vt:i4>1</vt:i4>
      </vt:variant>
      <vt:variant>
        <vt:lpstr>标题</vt:lpstr>
      </vt:variant>
      <vt:variant>
        <vt:i4>12</vt:i4>
      </vt:variant>
    </vt:vector>
  </HeadingPairs>
  <TitlesOfParts>
    <vt:vector size="13" baseType="lpstr">
      <vt:lpstr/>
      <vt:lpstr>        </vt:lpstr>
      <vt:lpstr>        Impact of anti-PLA2R on graft survival: Serial survey of the anti-PLA2R antibodi</vt:lpstr>
      <vt:lpstr>        </vt:lpstr>
      <vt:lpstr>        Non-anti-PLA2R MN recurrence: Not all the patients with primary MN express anti-</vt:lpstr>
      <vt:lpstr>        Of note that if the anti-PLA2R antibody titer is negative, we should search for </vt:lpstr>
      <vt:lpstr>        A growing body of evidence that three markers of an active disease indicates a g</vt:lpstr>
      <vt:lpstr>        </vt:lpstr>
      <vt:lpstr>        Risk factors of IgAN recurrence include: (1) young RTR; (2) aggressive course of</vt:lpstr>
      <vt:lpstr>        </vt:lpstr>
      <vt:lpstr>        ROLE OF IMMUNOSUPPRESSION</vt:lpstr>
      <vt:lpstr>        A definite role of immunosuppression on recurrent GN prevalence was previously d</vt:lpstr>
      <vt:lpstr>    Table 1 The membranoproliferative glomerulonephritis new classification depends </vt:lpstr>
    </vt:vector>
  </TitlesOfParts>
  <Company>Sheffield Teaching Hospital NHS Foundation Trust</Company>
  <LinksUpToDate>false</LinksUpToDate>
  <CharactersWithSpaces>89405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Fedaey</dc:creator>
  <cp:lastModifiedBy>Na Ma</cp:lastModifiedBy>
  <cp:revision>2</cp:revision>
  <dcterms:created xsi:type="dcterms:W3CDTF">2017-11-22T18:23:00Z</dcterms:created>
  <dcterms:modified xsi:type="dcterms:W3CDTF">2017-11-22T18:23:00Z</dcterms:modified>
</cp:coreProperties>
</file>