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358D2" w14:textId="1162AFBB" w:rsidR="000178C4" w:rsidRPr="002F547C" w:rsidRDefault="004A5426" w:rsidP="004A5426">
      <w:pPr>
        <w:spacing w:line="480" w:lineRule="auto"/>
        <w:rPr>
          <w:rFonts w:ascii="Arial" w:hAnsi="Arial" w:cs="Arial"/>
          <w:b/>
          <w:sz w:val="28"/>
        </w:rPr>
      </w:pPr>
      <w:r w:rsidRPr="002F547C">
        <w:rPr>
          <w:rFonts w:ascii="Arial" w:hAnsi="Arial" w:cs="Arial"/>
          <w:b/>
          <w:sz w:val="28"/>
        </w:rPr>
        <w:t xml:space="preserve">Table 1: </w:t>
      </w:r>
      <w:r w:rsidR="00AF49E4" w:rsidRPr="002F547C">
        <w:rPr>
          <w:rFonts w:ascii="Arial" w:hAnsi="Arial" w:cs="Arial"/>
          <w:b/>
          <w:sz w:val="28"/>
        </w:rPr>
        <w:t xml:space="preserve">Definition of </w:t>
      </w:r>
      <w:r w:rsidR="00545425">
        <w:rPr>
          <w:rFonts w:ascii="Arial" w:hAnsi="Arial" w:cs="Arial"/>
          <w:b/>
          <w:sz w:val="28"/>
        </w:rPr>
        <w:t xml:space="preserve">used </w:t>
      </w:r>
      <w:proofErr w:type="spellStart"/>
      <w:r w:rsidR="00AF49E4" w:rsidRPr="002F547C">
        <w:rPr>
          <w:rFonts w:ascii="Arial" w:hAnsi="Arial" w:cs="Arial"/>
          <w:b/>
          <w:sz w:val="28"/>
        </w:rPr>
        <w:t>Parelsnoer</w:t>
      </w:r>
      <w:proofErr w:type="spellEnd"/>
      <w:r w:rsidR="00AF49E4" w:rsidRPr="002F547C">
        <w:rPr>
          <w:rFonts w:ascii="Arial" w:hAnsi="Arial" w:cs="Arial"/>
          <w:b/>
          <w:sz w:val="28"/>
        </w:rPr>
        <w:t xml:space="preserve"> Information Model </w:t>
      </w:r>
      <w:r w:rsidR="00545425">
        <w:rPr>
          <w:rFonts w:ascii="Arial" w:hAnsi="Arial" w:cs="Arial"/>
          <w:b/>
          <w:sz w:val="28"/>
        </w:rPr>
        <w:t>items</w:t>
      </w:r>
    </w:p>
    <w:tbl>
      <w:tblPr>
        <w:tblStyle w:val="TableGrid"/>
        <w:tblW w:w="0" w:type="auto"/>
        <w:tblLook w:val="04A0" w:firstRow="1" w:lastRow="0" w:firstColumn="1" w:lastColumn="0" w:noHBand="0" w:noVBand="1"/>
      </w:tblPr>
      <w:tblGrid>
        <w:gridCol w:w="4219"/>
        <w:gridCol w:w="9639"/>
      </w:tblGrid>
      <w:tr w:rsidR="00545425" w:rsidRPr="002F547C" w14:paraId="0935E4FD" w14:textId="77777777" w:rsidTr="004D54FD">
        <w:tc>
          <w:tcPr>
            <w:tcW w:w="4219" w:type="dxa"/>
            <w:shd w:val="clear" w:color="auto" w:fill="D9D9D9" w:themeFill="background1" w:themeFillShade="D9"/>
            <w:vAlign w:val="center"/>
          </w:tcPr>
          <w:p w14:paraId="0D225FCF" w14:textId="77777777" w:rsidR="00545425" w:rsidRPr="002F547C" w:rsidRDefault="00545425" w:rsidP="004D54FD">
            <w:pPr>
              <w:spacing w:after="60"/>
              <w:rPr>
                <w:rFonts w:ascii="Arial" w:hAnsi="Arial" w:cs="Arial"/>
                <w:b/>
              </w:rPr>
            </w:pPr>
            <w:r>
              <w:rPr>
                <w:rFonts w:ascii="Arial" w:hAnsi="Arial" w:cs="Arial"/>
                <w:b/>
              </w:rPr>
              <w:t>Diagnosis of IBD</w:t>
            </w:r>
          </w:p>
        </w:tc>
        <w:tc>
          <w:tcPr>
            <w:tcW w:w="9639" w:type="dxa"/>
            <w:shd w:val="clear" w:color="auto" w:fill="D9D9D9" w:themeFill="background1" w:themeFillShade="D9"/>
            <w:vAlign w:val="center"/>
          </w:tcPr>
          <w:p w14:paraId="7AC2409E" w14:textId="77777777" w:rsidR="00545425" w:rsidRPr="002F547C" w:rsidRDefault="00545425" w:rsidP="004D54FD">
            <w:pPr>
              <w:spacing w:after="60"/>
              <w:rPr>
                <w:rFonts w:ascii="Arial" w:hAnsi="Arial" w:cs="Arial"/>
                <w:b/>
              </w:rPr>
            </w:pPr>
          </w:p>
        </w:tc>
      </w:tr>
      <w:tr w:rsidR="00545425" w:rsidRPr="002F547C" w14:paraId="486CAAED" w14:textId="77777777" w:rsidTr="004D54FD">
        <w:tc>
          <w:tcPr>
            <w:tcW w:w="4219" w:type="dxa"/>
            <w:vAlign w:val="center"/>
          </w:tcPr>
          <w:p w14:paraId="739E6D7D" w14:textId="77777777" w:rsidR="00545425" w:rsidRDefault="00545425" w:rsidP="004D54FD">
            <w:pPr>
              <w:spacing w:after="60"/>
              <w:rPr>
                <w:rFonts w:ascii="Arial" w:hAnsi="Arial" w:cs="Arial"/>
              </w:rPr>
            </w:pPr>
            <w:proofErr w:type="spellStart"/>
            <w:r>
              <w:rPr>
                <w:rFonts w:ascii="Arial" w:hAnsi="Arial" w:cs="Arial"/>
              </w:rPr>
              <w:t>Crohn’s</w:t>
            </w:r>
            <w:proofErr w:type="spellEnd"/>
            <w:r>
              <w:rPr>
                <w:rFonts w:ascii="Arial" w:hAnsi="Arial" w:cs="Arial"/>
              </w:rPr>
              <w:t xml:space="preserve"> disease</w:t>
            </w:r>
          </w:p>
          <w:p w14:paraId="1FDB3B5D" w14:textId="77777777" w:rsidR="00545425" w:rsidRDefault="00545425" w:rsidP="004D54FD">
            <w:pPr>
              <w:spacing w:after="60"/>
              <w:rPr>
                <w:rFonts w:ascii="Arial" w:hAnsi="Arial" w:cs="Arial"/>
              </w:rPr>
            </w:pPr>
            <w:r>
              <w:rPr>
                <w:rFonts w:ascii="Arial" w:hAnsi="Arial" w:cs="Arial"/>
              </w:rPr>
              <w:t>Ulcerative colitis</w:t>
            </w:r>
          </w:p>
          <w:p w14:paraId="38812871" w14:textId="77777777" w:rsidR="00545425" w:rsidRDefault="00545425" w:rsidP="004D54FD">
            <w:pPr>
              <w:spacing w:after="60"/>
              <w:rPr>
                <w:rFonts w:ascii="Arial" w:hAnsi="Arial" w:cs="Arial"/>
              </w:rPr>
            </w:pPr>
            <w:r>
              <w:rPr>
                <w:rFonts w:ascii="Arial" w:hAnsi="Arial" w:cs="Arial"/>
              </w:rPr>
              <w:t>IBD-unclassified</w:t>
            </w:r>
          </w:p>
          <w:p w14:paraId="4DF93FBB" w14:textId="77777777" w:rsidR="00545425" w:rsidRPr="002F547C" w:rsidRDefault="00545425" w:rsidP="004D54FD">
            <w:pPr>
              <w:spacing w:after="60"/>
              <w:rPr>
                <w:rFonts w:ascii="Arial" w:hAnsi="Arial" w:cs="Arial"/>
              </w:rPr>
            </w:pPr>
            <w:r>
              <w:rPr>
                <w:rFonts w:ascii="Arial" w:hAnsi="Arial" w:cs="Arial"/>
              </w:rPr>
              <w:t xml:space="preserve">IBD-Indeterminate </w:t>
            </w:r>
          </w:p>
        </w:tc>
        <w:tc>
          <w:tcPr>
            <w:tcW w:w="9639" w:type="dxa"/>
            <w:vAlign w:val="center"/>
          </w:tcPr>
          <w:p w14:paraId="6E0ECA1D" w14:textId="5A915E17" w:rsidR="00545425" w:rsidRPr="002F547C" w:rsidRDefault="00545425" w:rsidP="006B07CC">
            <w:pPr>
              <w:spacing w:after="60"/>
              <w:rPr>
                <w:rFonts w:ascii="Arial" w:hAnsi="Arial" w:cs="Arial"/>
              </w:rPr>
            </w:pPr>
            <w:r w:rsidRPr="00545425">
              <w:rPr>
                <w:rFonts w:ascii="Arial" w:hAnsi="Arial" w:cs="Arial"/>
              </w:rPr>
              <w:t xml:space="preserve">Diagnosis of IBD was defined by clinical symptoms of the disease and confirmed by endoscopy, radiology or histology. If differentiation between CD and UC was not possible, patient were classified as Inflammatory Bowel Disease Unclassified (IBD-U). In the case that a pathologist was not able to differentiate between CD </w:t>
            </w:r>
            <w:proofErr w:type="gramStart"/>
            <w:r w:rsidRPr="00545425">
              <w:rPr>
                <w:rFonts w:ascii="Arial" w:hAnsi="Arial" w:cs="Arial"/>
              </w:rPr>
              <w:t>or</w:t>
            </w:r>
            <w:proofErr w:type="gramEnd"/>
            <w:r w:rsidRPr="00545425">
              <w:rPr>
                <w:rFonts w:ascii="Arial" w:hAnsi="Arial" w:cs="Arial"/>
              </w:rPr>
              <w:t xml:space="preserve"> UC following colectomy, the patient was classified as Inflammatory Bowel Disease Indeterminate (IBD-I). </w:t>
            </w:r>
          </w:p>
        </w:tc>
      </w:tr>
      <w:tr w:rsidR="006B07CC" w:rsidRPr="002F547C" w14:paraId="4523E163" w14:textId="77777777" w:rsidTr="005D11C6">
        <w:tc>
          <w:tcPr>
            <w:tcW w:w="4219" w:type="dxa"/>
            <w:shd w:val="clear" w:color="auto" w:fill="D9D9D9" w:themeFill="background1" w:themeFillShade="D9"/>
            <w:vAlign w:val="center"/>
          </w:tcPr>
          <w:p w14:paraId="5AD1A66F" w14:textId="77777777" w:rsidR="006B07CC" w:rsidRPr="005A286F" w:rsidRDefault="006B07CC" w:rsidP="005D11C6">
            <w:pPr>
              <w:pStyle w:val="MediumGrid21"/>
              <w:spacing w:after="60"/>
              <w:rPr>
                <w:rFonts w:ascii="Arial" w:hAnsi="Arial" w:cs="Arial"/>
                <w:b/>
              </w:rPr>
            </w:pPr>
            <w:r w:rsidRPr="005A286F">
              <w:rPr>
                <w:rFonts w:ascii="Arial" w:hAnsi="Arial" w:cs="Arial"/>
                <w:b/>
              </w:rPr>
              <w:t>Family history of IBD</w:t>
            </w:r>
          </w:p>
        </w:tc>
        <w:tc>
          <w:tcPr>
            <w:tcW w:w="9639" w:type="dxa"/>
            <w:shd w:val="clear" w:color="auto" w:fill="D9D9D9" w:themeFill="background1" w:themeFillShade="D9"/>
            <w:vAlign w:val="center"/>
          </w:tcPr>
          <w:p w14:paraId="37EAC8BE" w14:textId="77777777" w:rsidR="006B07CC" w:rsidRPr="002F547C" w:rsidRDefault="006B07CC" w:rsidP="005D11C6">
            <w:pPr>
              <w:spacing w:after="60"/>
              <w:rPr>
                <w:rFonts w:ascii="Arial" w:hAnsi="Arial" w:cs="Arial"/>
              </w:rPr>
            </w:pPr>
          </w:p>
        </w:tc>
      </w:tr>
      <w:tr w:rsidR="006B07CC" w:rsidRPr="002F547C" w14:paraId="0AAA44FB" w14:textId="77777777" w:rsidTr="005D11C6">
        <w:tc>
          <w:tcPr>
            <w:tcW w:w="4219" w:type="dxa"/>
            <w:vAlign w:val="center"/>
          </w:tcPr>
          <w:p w14:paraId="0C8A6DEE" w14:textId="77777777" w:rsidR="006B07CC" w:rsidRPr="002F547C" w:rsidRDefault="006B07CC" w:rsidP="005D11C6">
            <w:pPr>
              <w:spacing w:after="60"/>
              <w:rPr>
                <w:rFonts w:ascii="Arial" w:hAnsi="Arial" w:cs="Arial"/>
              </w:rPr>
            </w:pPr>
          </w:p>
        </w:tc>
        <w:tc>
          <w:tcPr>
            <w:tcW w:w="9639" w:type="dxa"/>
            <w:vAlign w:val="center"/>
          </w:tcPr>
          <w:p w14:paraId="35A80A92" w14:textId="77777777" w:rsidR="006B07CC" w:rsidRPr="002F547C" w:rsidRDefault="006B07CC" w:rsidP="005D11C6">
            <w:pPr>
              <w:spacing w:after="60"/>
              <w:rPr>
                <w:rFonts w:ascii="Arial" w:hAnsi="Arial" w:cs="Arial"/>
              </w:rPr>
            </w:pPr>
            <w:r w:rsidRPr="00545425">
              <w:rPr>
                <w:rFonts w:ascii="Arial" w:hAnsi="Arial" w:cs="Arial"/>
              </w:rPr>
              <w:t>Family history of IBD was registered up to 3rd degree relatives</w:t>
            </w:r>
          </w:p>
        </w:tc>
      </w:tr>
      <w:tr w:rsidR="00545425" w:rsidRPr="002F547C" w14:paraId="3B12BB6A" w14:textId="77777777" w:rsidTr="004D54FD">
        <w:tc>
          <w:tcPr>
            <w:tcW w:w="4219" w:type="dxa"/>
            <w:shd w:val="clear" w:color="auto" w:fill="D9D9D9" w:themeFill="background1" w:themeFillShade="D9"/>
            <w:vAlign w:val="center"/>
          </w:tcPr>
          <w:p w14:paraId="19CFAB90" w14:textId="02694F87" w:rsidR="00545425" w:rsidRPr="002F547C" w:rsidRDefault="00545425" w:rsidP="004D54FD">
            <w:pPr>
              <w:pStyle w:val="MediumGrid21"/>
              <w:spacing w:after="60"/>
              <w:rPr>
                <w:rFonts w:ascii="Arial" w:hAnsi="Arial" w:cs="Arial"/>
                <w:b/>
              </w:rPr>
            </w:pPr>
            <w:r>
              <w:rPr>
                <w:rFonts w:ascii="Arial" w:hAnsi="Arial" w:cs="Arial"/>
                <w:b/>
              </w:rPr>
              <w:t>Smoking status</w:t>
            </w:r>
          </w:p>
        </w:tc>
        <w:tc>
          <w:tcPr>
            <w:tcW w:w="9639" w:type="dxa"/>
            <w:shd w:val="clear" w:color="auto" w:fill="D9D9D9" w:themeFill="background1" w:themeFillShade="D9"/>
            <w:vAlign w:val="center"/>
          </w:tcPr>
          <w:p w14:paraId="4EF57EEA" w14:textId="77777777" w:rsidR="00545425" w:rsidRPr="002F547C" w:rsidRDefault="00545425" w:rsidP="004D54FD">
            <w:pPr>
              <w:spacing w:after="60"/>
              <w:rPr>
                <w:rFonts w:ascii="Arial" w:hAnsi="Arial" w:cs="Arial"/>
              </w:rPr>
            </w:pPr>
          </w:p>
        </w:tc>
      </w:tr>
      <w:tr w:rsidR="00545425" w:rsidRPr="002F547C" w14:paraId="5797646D" w14:textId="77777777" w:rsidTr="004D54FD">
        <w:tc>
          <w:tcPr>
            <w:tcW w:w="4219" w:type="dxa"/>
            <w:vAlign w:val="center"/>
          </w:tcPr>
          <w:p w14:paraId="58AC9445" w14:textId="77777777" w:rsidR="00545425" w:rsidRPr="002F547C" w:rsidRDefault="00545425" w:rsidP="004D54FD">
            <w:pPr>
              <w:spacing w:after="60"/>
              <w:rPr>
                <w:rFonts w:ascii="Arial" w:hAnsi="Arial" w:cs="Arial"/>
              </w:rPr>
            </w:pPr>
          </w:p>
        </w:tc>
        <w:tc>
          <w:tcPr>
            <w:tcW w:w="9639" w:type="dxa"/>
            <w:vAlign w:val="center"/>
          </w:tcPr>
          <w:p w14:paraId="6FC0EED5" w14:textId="4BFA7B1E" w:rsidR="00545425" w:rsidRPr="002F547C" w:rsidRDefault="00B418BF" w:rsidP="006B42FB">
            <w:pPr>
              <w:spacing w:after="60"/>
              <w:rPr>
                <w:rFonts w:ascii="Arial" w:hAnsi="Arial" w:cs="Arial"/>
              </w:rPr>
            </w:pPr>
            <w:r w:rsidRPr="00545425">
              <w:rPr>
                <w:rFonts w:ascii="Arial" w:hAnsi="Arial" w:cs="Arial"/>
              </w:rPr>
              <w:t>Smoking status at diagnosis was documented. Patients were classified as never smokers, current smokers or former smokers</w:t>
            </w:r>
          </w:p>
        </w:tc>
      </w:tr>
      <w:tr w:rsidR="00545425" w:rsidRPr="002F547C" w14:paraId="25C7DD1C" w14:textId="77777777" w:rsidTr="004D54FD">
        <w:tc>
          <w:tcPr>
            <w:tcW w:w="4219" w:type="dxa"/>
            <w:shd w:val="clear" w:color="auto" w:fill="D9D9D9" w:themeFill="background1" w:themeFillShade="D9"/>
            <w:vAlign w:val="center"/>
          </w:tcPr>
          <w:p w14:paraId="65F49DF6" w14:textId="60CB0BC7" w:rsidR="00545425" w:rsidRPr="002F547C" w:rsidRDefault="00545425" w:rsidP="004D54FD">
            <w:pPr>
              <w:pStyle w:val="MediumGrid21"/>
              <w:spacing w:after="60"/>
              <w:rPr>
                <w:rFonts w:ascii="Arial" w:hAnsi="Arial" w:cs="Arial"/>
                <w:b/>
              </w:rPr>
            </w:pPr>
            <w:r>
              <w:rPr>
                <w:rFonts w:ascii="Arial" w:hAnsi="Arial" w:cs="Arial"/>
                <w:b/>
              </w:rPr>
              <w:t>Education level</w:t>
            </w:r>
          </w:p>
        </w:tc>
        <w:tc>
          <w:tcPr>
            <w:tcW w:w="9639" w:type="dxa"/>
            <w:shd w:val="clear" w:color="auto" w:fill="D9D9D9" w:themeFill="background1" w:themeFillShade="D9"/>
            <w:vAlign w:val="center"/>
          </w:tcPr>
          <w:p w14:paraId="745CC393" w14:textId="77777777" w:rsidR="00545425" w:rsidRPr="002F547C" w:rsidRDefault="00545425" w:rsidP="004D54FD">
            <w:pPr>
              <w:spacing w:after="60"/>
              <w:rPr>
                <w:rFonts w:ascii="Arial" w:hAnsi="Arial" w:cs="Arial"/>
              </w:rPr>
            </w:pPr>
          </w:p>
        </w:tc>
      </w:tr>
      <w:tr w:rsidR="00545425" w:rsidRPr="002F547C" w14:paraId="230ED29D" w14:textId="77777777" w:rsidTr="004D54FD">
        <w:tc>
          <w:tcPr>
            <w:tcW w:w="4219" w:type="dxa"/>
            <w:vAlign w:val="center"/>
          </w:tcPr>
          <w:p w14:paraId="7F7A34A3" w14:textId="77777777" w:rsidR="00545425" w:rsidRPr="002F547C" w:rsidRDefault="00545425" w:rsidP="004D54FD">
            <w:pPr>
              <w:spacing w:after="60"/>
              <w:rPr>
                <w:rFonts w:ascii="Arial" w:hAnsi="Arial" w:cs="Arial"/>
              </w:rPr>
            </w:pPr>
          </w:p>
        </w:tc>
        <w:tc>
          <w:tcPr>
            <w:tcW w:w="9639" w:type="dxa"/>
            <w:vAlign w:val="center"/>
          </w:tcPr>
          <w:p w14:paraId="0E425DA2" w14:textId="67271165" w:rsidR="00545425" w:rsidRPr="002F547C" w:rsidRDefault="006B42FB" w:rsidP="008C0588">
            <w:pPr>
              <w:spacing w:after="60"/>
              <w:rPr>
                <w:rFonts w:ascii="Arial" w:hAnsi="Arial" w:cs="Arial"/>
              </w:rPr>
            </w:pPr>
            <w:r>
              <w:rPr>
                <w:rFonts w:ascii="Arial" w:hAnsi="Arial" w:cs="Arial"/>
              </w:rPr>
              <w:t xml:space="preserve">Patients were classified in two groups; low education (Lower general education; Lower vocational education; General secondary education; </w:t>
            </w:r>
            <w:r w:rsidRPr="008C0588">
              <w:rPr>
                <w:rFonts w:ascii="Arial" w:hAnsi="Arial" w:cs="Arial"/>
              </w:rPr>
              <w:t>Vocational secon</w:t>
            </w:r>
            <w:r>
              <w:rPr>
                <w:rFonts w:ascii="Arial" w:hAnsi="Arial" w:cs="Arial"/>
              </w:rPr>
              <w:t xml:space="preserve">dary education; </w:t>
            </w:r>
            <w:r w:rsidRPr="008C0588">
              <w:rPr>
                <w:rFonts w:ascii="Arial" w:hAnsi="Arial" w:cs="Arial"/>
              </w:rPr>
              <w:t>Did not finish primary school</w:t>
            </w:r>
            <w:r>
              <w:rPr>
                <w:rFonts w:ascii="Arial" w:hAnsi="Arial" w:cs="Arial"/>
              </w:rPr>
              <w:t>) and high education (</w:t>
            </w:r>
            <w:r w:rsidRPr="008C0588">
              <w:rPr>
                <w:rFonts w:ascii="Arial" w:hAnsi="Arial" w:cs="Arial"/>
              </w:rPr>
              <w:t>Pre-un</w:t>
            </w:r>
            <w:r>
              <w:rPr>
                <w:rFonts w:ascii="Arial" w:hAnsi="Arial" w:cs="Arial"/>
              </w:rPr>
              <w:t xml:space="preserve">iversity secondary education; </w:t>
            </w:r>
            <w:r w:rsidRPr="008C0588">
              <w:rPr>
                <w:rFonts w:ascii="Arial" w:hAnsi="Arial" w:cs="Arial"/>
              </w:rPr>
              <w:t>Vocational post-sec</w:t>
            </w:r>
            <w:r>
              <w:rPr>
                <w:rFonts w:ascii="Arial" w:hAnsi="Arial" w:cs="Arial"/>
              </w:rPr>
              <w:t>ondary education; University)</w:t>
            </w:r>
          </w:p>
        </w:tc>
      </w:tr>
      <w:tr w:rsidR="00AF49E4" w:rsidRPr="00D70353" w14:paraId="7E62E00E" w14:textId="77777777" w:rsidTr="002F547C">
        <w:tc>
          <w:tcPr>
            <w:tcW w:w="4219" w:type="dxa"/>
            <w:shd w:val="clear" w:color="auto" w:fill="D9D9D9" w:themeFill="background1" w:themeFillShade="D9"/>
            <w:vAlign w:val="center"/>
          </w:tcPr>
          <w:p w14:paraId="2B735A64" w14:textId="71746FE7" w:rsidR="00AF49E4" w:rsidRPr="002F547C" w:rsidRDefault="00AF49E4" w:rsidP="002F547C">
            <w:pPr>
              <w:spacing w:after="60"/>
              <w:rPr>
                <w:rFonts w:ascii="Arial" w:hAnsi="Arial" w:cs="Arial"/>
                <w:b/>
              </w:rPr>
            </w:pPr>
            <w:r w:rsidRPr="002F547C">
              <w:rPr>
                <w:rFonts w:ascii="Arial" w:hAnsi="Arial" w:cs="Arial"/>
                <w:b/>
              </w:rPr>
              <w:t xml:space="preserve">Disease </w:t>
            </w:r>
            <w:r w:rsidR="00D70353" w:rsidRPr="00D70353">
              <w:rPr>
                <w:rFonts w:ascii="Arial" w:hAnsi="Arial" w:cs="Arial"/>
                <w:b/>
              </w:rPr>
              <w:t>behavior</w:t>
            </w:r>
          </w:p>
        </w:tc>
        <w:tc>
          <w:tcPr>
            <w:tcW w:w="9639" w:type="dxa"/>
            <w:shd w:val="clear" w:color="auto" w:fill="D9D9D9" w:themeFill="background1" w:themeFillShade="D9"/>
            <w:vAlign w:val="center"/>
          </w:tcPr>
          <w:p w14:paraId="035F699A" w14:textId="66EE127E" w:rsidR="00AF49E4" w:rsidRPr="002F547C" w:rsidRDefault="008912BB" w:rsidP="002F547C">
            <w:pPr>
              <w:spacing w:after="60"/>
              <w:rPr>
                <w:rFonts w:ascii="Arial" w:hAnsi="Arial" w:cs="Arial"/>
                <w:b/>
              </w:rPr>
            </w:pPr>
            <w:r w:rsidRPr="002F547C">
              <w:rPr>
                <w:rFonts w:ascii="Arial" w:hAnsi="Arial" w:cs="Arial"/>
              </w:rPr>
              <w:t xml:space="preserve">Disease </w:t>
            </w:r>
            <w:r w:rsidR="00D70353" w:rsidRPr="00D70353">
              <w:rPr>
                <w:rFonts w:ascii="Arial" w:hAnsi="Arial" w:cs="Arial"/>
              </w:rPr>
              <w:t>behavior</w:t>
            </w:r>
            <w:r w:rsidRPr="002F547C">
              <w:rPr>
                <w:rFonts w:ascii="Arial" w:hAnsi="Arial" w:cs="Arial"/>
              </w:rPr>
              <w:t xml:space="preserve"> is </w:t>
            </w:r>
            <w:r w:rsidR="00F07CC0" w:rsidRPr="002F547C">
              <w:rPr>
                <w:rFonts w:ascii="Arial" w:hAnsi="Arial" w:cs="Arial"/>
              </w:rPr>
              <w:t xml:space="preserve">reported </w:t>
            </w:r>
            <w:r w:rsidR="000B66F1" w:rsidRPr="002F547C">
              <w:rPr>
                <w:rFonts w:ascii="Arial" w:hAnsi="Arial" w:cs="Arial"/>
              </w:rPr>
              <w:t xml:space="preserve">if it </w:t>
            </w:r>
            <w:r w:rsidR="00F07CC0" w:rsidRPr="002F547C">
              <w:rPr>
                <w:rFonts w:ascii="Arial" w:hAnsi="Arial" w:cs="Arial"/>
              </w:rPr>
              <w:t>occurred</w:t>
            </w:r>
            <w:r w:rsidRPr="002F547C">
              <w:rPr>
                <w:rFonts w:ascii="Arial" w:hAnsi="Arial" w:cs="Arial"/>
              </w:rPr>
              <w:t xml:space="preserve"> </w:t>
            </w:r>
            <w:r w:rsidR="000B66F1" w:rsidRPr="002F547C">
              <w:rPr>
                <w:rFonts w:ascii="Arial" w:hAnsi="Arial" w:cs="Arial"/>
              </w:rPr>
              <w:t>at any point</w:t>
            </w:r>
            <w:r w:rsidR="000B66F1" w:rsidRPr="002F547C">
              <w:rPr>
                <w:rFonts w:ascii="Arial" w:hAnsi="Arial" w:cs="Arial"/>
                <w:shd w:val="clear" w:color="auto" w:fill="D9D9D9" w:themeFill="background1" w:themeFillShade="D9"/>
              </w:rPr>
              <w:t xml:space="preserve"> </w:t>
            </w:r>
            <w:r w:rsidR="000B66F1" w:rsidRPr="002F547C">
              <w:rPr>
                <w:rFonts w:ascii="Arial" w:hAnsi="Arial" w:cs="Arial"/>
                <w:color w:val="000000"/>
                <w:shd w:val="clear" w:color="auto" w:fill="D9D9D9" w:themeFill="background1" w:themeFillShade="D9"/>
              </w:rPr>
              <w:t xml:space="preserve">in </w:t>
            </w:r>
            <w:r w:rsidRPr="002F547C">
              <w:rPr>
                <w:rFonts w:ascii="Arial" w:hAnsi="Arial" w:cs="Arial"/>
                <w:color w:val="000000"/>
                <w:shd w:val="clear" w:color="auto" w:fill="D9D9D9" w:themeFill="background1" w:themeFillShade="D9"/>
              </w:rPr>
              <w:t>the disease course</w:t>
            </w:r>
            <w:r w:rsidR="000B66F1" w:rsidRPr="002F547C">
              <w:rPr>
                <w:rFonts w:ascii="Arial" w:hAnsi="Arial" w:cs="Arial"/>
                <w:color w:val="000000"/>
                <w:shd w:val="clear" w:color="auto" w:fill="D9D9D9" w:themeFill="background1" w:themeFillShade="D9"/>
              </w:rPr>
              <w:t xml:space="preserve"> </w:t>
            </w:r>
            <w:r w:rsidR="007C52B6" w:rsidRPr="002F547C">
              <w:rPr>
                <w:rFonts w:ascii="Arial" w:hAnsi="Arial" w:cs="Arial"/>
                <w:color w:val="000000"/>
                <w:shd w:val="clear" w:color="auto" w:fill="D9D9D9" w:themeFill="background1" w:themeFillShade="D9"/>
              </w:rPr>
              <w:t>up to</w:t>
            </w:r>
            <w:r w:rsidR="00FA7EF2" w:rsidRPr="002F547C">
              <w:rPr>
                <w:rFonts w:ascii="Arial" w:hAnsi="Arial" w:cs="Arial"/>
                <w:color w:val="000000"/>
                <w:shd w:val="clear" w:color="auto" w:fill="D9D9D9" w:themeFill="background1" w:themeFillShade="D9"/>
              </w:rPr>
              <w:t xml:space="preserve"> </w:t>
            </w:r>
            <w:r w:rsidRPr="002F547C">
              <w:rPr>
                <w:rFonts w:ascii="Arial" w:hAnsi="Arial" w:cs="Arial"/>
                <w:color w:val="000000"/>
                <w:shd w:val="clear" w:color="auto" w:fill="D9D9D9" w:themeFill="background1" w:themeFillShade="D9"/>
              </w:rPr>
              <w:t>baseline.</w:t>
            </w:r>
          </w:p>
        </w:tc>
      </w:tr>
      <w:tr w:rsidR="00AF49E4" w:rsidRPr="00D70353" w14:paraId="63A7681F" w14:textId="77777777" w:rsidTr="002F547C">
        <w:tc>
          <w:tcPr>
            <w:tcW w:w="4219" w:type="dxa"/>
            <w:vAlign w:val="center"/>
          </w:tcPr>
          <w:p w14:paraId="323A723F" w14:textId="77777777" w:rsidR="00AF49E4" w:rsidRPr="002F547C" w:rsidRDefault="00AF49E4" w:rsidP="002F547C">
            <w:pPr>
              <w:spacing w:after="60"/>
              <w:ind w:right="1207"/>
              <w:rPr>
                <w:rFonts w:ascii="Arial" w:hAnsi="Arial" w:cs="Arial"/>
              </w:rPr>
            </w:pPr>
            <w:proofErr w:type="spellStart"/>
            <w:r w:rsidRPr="002F547C">
              <w:rPr>
                <w:rFonts w:ascii="Arial" w:hAnsi="Arial" w:cs="Arial"/>
              </w:rPr>
              <w:t>Fistulising</w:t>
            </w:r>
            <w:proofErr w:type="spellEnd"/>
            <w:r w:rsidRPr="002F547C">
              <w:rPr>
                <w:rFonts w:ascii="Arial" w:hAnsi="Arial" w:cs="Arial"/>
              </w:rPr>
              <w:t xml:space="preserve"> disease</w:t>
            </w:r>
          </w:p>
        </w:tc>
        <w:tc>
          <w:tcPr>
            <w:tcW w:w="9639" w:type="dxa"/>
            <w:vAlign w:val="center"/>
          </w:tcPr>
          <w:p w14:paraId="073DA9CA" w14:textId="3814659A" w:rsidR="00AF49E4" w:rsidRPr="002F547C" w:rsidRDefault="00AF49E4" w:rsidP="002F547C">
            <w:pPr>
              <w:spacing w:after="60"/>
              <w:rPr>
                <w:rFonts w:ascii="Arial" w:hAnsi="Arial" w:cs="Arial"/>
              </w:rPr>
            </w:pPr>
            <w:proofErr w:type="spellStart"/>
            <w:r w:rsidRPr="002F547C">
              <w:rPr>
                <w:rFonts w:ascii="Arial" w:hAnsi="Arial" w:cs="Arial"/>
              </w:rPr>
              <w:t>Fistulising</w:t>
            </w:r>
            <w:proofErr w:type="spellEnd"/>
            <w:r w:rsidRPr="002F547C">
              <w:rPr>
                <w:rFonts w:ascii="Arial" w:hAnsi="Arial" w:cs="Arial"/>
              </w:rPr>
              <w:t xml:space="preserve"> </w:t>
            </w:r>
            <w:r w:rsidR="008912BB" w:rsidRPr="002F547C">
              <w:rPr>
                <w:rFonts w:ascii="Arial" w:hAnsi="Arial" w:cs="Arial"/>
              </w:rPr>
              <w:t>disease is</w:t>
            </w:r>
            <w:r w:rsidRPr="002F547C">
              <w:rPr>
                <w:rFonts w:ascii="Arial" w:hAnsi="Arial" w:cs="Arial"/>
              </w:rPr>
              <w:t xml:space="preserve"> confirmed by physical examination, radiological or endoscopy assessment.</w:t>
            </w:r>
          </w:p>
        </w:tc>
      </w:tr>
      <w:tr w:rsidR="00AF49E4" w:rsidRPr="00D70353" w14:paraId="79F0DCAC" w14:textId="77777777" w:rsidTr="002F547C">
        <w:tc>
          <w:tcPr>
            <w:tcW w:w="4219" w:type="dxa"/>
            <w:vAlign w:val="center"/>
          </w:tcPr>
          <w:p w14:paraId="285260E1" w14:textId="77777777" w:rsidR="00AF49E4" w:rsidRPr="002F547C" w:rsidRDefault="00AF49E4" w:rsidP="002F547C">
            <w:pPr>
              <w:spacing w:after="60"/>
              <w:rPr>
                <w:rFonts w:ascii="Arial" w:hAnsi="Arial" w:cs="Arial"/>
              </w:rPr>
            </w:pPr>
            <w:proofErr w:type="spellStart"/>
            <w:r w:rsidRPr="002F547C">
              <w:rPr>
                <w:rFonts w:ascii="Arial" w:hAnsi="Arial" w:cs="Arial"/>
              </w:rPr>
              <w:t>Stricturing</w:t>
            </w:r>
            <w:proofErr w:type="spellEnd"/>
            <w:r w:rsidRPr="002F547C">
              <w:rPr>
                <w:rFonts w:ascii="Arial" w:hAnsi="Arial" w:cs="Arial"/>
              </w:rPr>
              <w:t xml:space="preserve"> disease</w:t>
            </w:r>
          </w:p>
        </w:tc>
        <w:tc>
          <w:tcPr>
            <w:tcW w:w="9639" w:type="dxa"/>
            <w:vAlign w:val="center"/>
          </w:tcPr>
          <w:p w14:paraId="1A969028" w14:textId="6CD955E9" w:rsidR="00CC3C77" w:rsidRPr="002F547C" w:rsidRDefault="00AF49E4" w:rsidP="002F547C">
            <w:pPr>
              <w:spacing w:after="60"/>
              <w:rPr>
                <w:rFonts w:ascii="Arial" w:hAnsi="Arial" w:cs="Arial"/>
              </w:rPr>
            </w:pPr>
            <w:r w:rsidRPr="002F547C">
              <w:rPr>
                <w:rFonts w:ascii="Arial" w:hAnsi="Arial" w:cs="Arial"/>
              </w:rPr>
              <w:t>A stricture had to be symptomatic</w:t>
            </w:r>
            <w:r w:rsidR="00F07CC0" w:rsidRPr="002F547C">
              <w:rPr>
                <w:rFonts w:ascii="Arial" w:hAnsi="Arial" w:cs="Arial"/>
              </w:rPr>
              <w:t>.</w:t>
            </w:r>
            <w:r w:rsidRPr="002F547C">
              <w:rPr>
                <w:rFonts w:ascii="Arial" w:hAnsi="Arial" w:cs="Arial"/>
              </w:rPr>
              <w:t xml:space="preserve"> </w:t>
            </w:r>
          </w:p>
          <w:p w14:paraId="7B5B55A0" w14:textId="4C7C5281" w:rsidR="00AF49E4" w:rsidRPr="002F547C" w:rsidRDefault="00C50AE6" w:rsidP="002F547C">
            <w:pPr>
              <w:spacing w:after="60"/>
              <w:rPr>
                <w:rFonts w:ascii="Arial" w:hAnsi="Arial" w:cs="Arial"/>
              </w:rPr>
            </w:pPr>
            <w:r w:rsidRPr="002F547C">
              <w:rPr>
                <w:rFonts w:ascii="Arial" w:hAnsi="Arial" w:cs="Arial"/>
              </w:rPr>
              <w:t xml:space="preserve">An anal stenosis </w:t>
            </w:r>
            <w:r w:rsidR="00485132" w:rsidRPr="002F547C">
              <w:rPr>
                <w:rFonts w:ascii="Arial" w:hAnsi="Arial" w:cs="Arial"/>
              </w:rPr>
              <w:t>had to be</w:t>
            </w:r>
            <w:r w:rsidRPr="002F547C">
              <w:rPr>
                <w:rFonts w:ascii="Arial" w:hAnsi="Arial" w:cs="Arial"/>
              </w:rPr>
              <w:t xml:space="preserve"> symptomatic and confirmed by physical examination</w:t>
            </w:r>
            <w:r w:rsidR="000B66F1" w:rsidRPr="002F547C">
              <w:rPr>
                <w:rFonts w:ascii="Arial" w:hAnsi="Arial" w:cs="Arial"/>
              </w:rPr>
              <w:t>.</w:t>
            </w:r>
          </w:p>
        </w:tc>
      </w:tr>
      <w:tr w:rsidR="00AF49E4" w:rsidRPr="00D70353" w14:paraId="431E11A7" w14:textId="77777777" w:rsidTr="002F547C">
        <w:tc>
          <w:tcPr>
            <w:tcW w:w="4219" w:type="dxa"/>
            <w:vAlign w:val="center"/>
          </w:tcPr>
          <w:p w14:paraId="284EB4F0" w14:textId="77777777" w:rsidR="00AF49E4" w:rsidRPr="002F547C" w:rsidRDefault="00AF49E4" w:rsidP="002F547C">
            <w:pPr>
              <w:spacing w:after="60"/>
              <w:rPr>
                <w:rFonts w:ascii="Arial" w:hAnsi="Arial" w:cs="Arial"/>
              </w:rPr>
            </w:pPr>
            <w:r w:rsidRPr="002F547C">
              <w:rPr>
                <w:rFonts w:ascii="Arial" w:hAnsi="Arial" w:cs="Arial"/>
              </w:rPr>
              <w:t>Penetrating disease</w:t>
            </w:r>
          </w:p>
        </w:tc>
        <w:tc>
          <w:tcPr>
            <w:tcW w:w="9639" w:type="dxa"/>
            <w:vAlign w:val="center"/>
          </w:tcPr>
          <w:p w14:paraId="6E8017CD" w14:textId="0F6A4213" w:rsidR="00AF49E4" w:rsidRPr="002F547C" w:rsidRDefault="00AF49E4" w:rsidP="002F547C">
            <w:pPr>
              <w:spacing w:after="60"/>
              <w:rPr>
                <w:rFonts w:ascii="Arial" w:hAnsi="Arial" w:cs="Arial"/>
              </w:rPr>
            </w:pPr>
            <w:r w:rsidRPr="002F547C">
              <w:rPr>
                <w:rFonts w:ascii="Arial" w:hAnsi="Arial" w:cs="Arial"/>
              </w:rPr>
              <w:t xml:space="preserve">Penetrating disease is defined as an intestinal abscess or intestinal perforation due to </w:t>
            </w:r>
            <w:r w:rsidRPr="002F547C">
              <w:rPr>
                <w:rFonts w:ascii="Arial" w:hAnsi="Arial" w:cs="Arial"/>
              </w:rPr>
              <w:lastRenderedPageBreak/>
              <w:t>disease activity</w:t>
            </w:r>
            <w:r w:rsidR="008912BB" w:rsidRPr="002F547C">
              <w:rPr>
                <w:rFonts w:ascii="Arial" w:hAnsi="Arial" w:cs="Arial"/>
              </w:rPr>
              <w:t>.</w:t>
            </w:r>
            <w:r w:rsidRPr="002F547C">
              <w:rPr>
                <w:rFonts w:ascii="Arial" w:hAnsi="Arial" w:cs="Arial"/>
              </w:rPr>
              <w:t xml:space="preserve"> </w:t>
            </w:r>
          </w:p>
        </w:tc>
      </w:tr>
      <w:tr w:rsidR="00545425" w:rsidRPr="002F547C" w14:paraId="5B423FF9" w14:textId="77777777" w:rsidTr="004D54FD">
        <w:tc>
          <w:tcPr>
            <w:tcW w:w="4219" w:type="dxa"/>
            <w:shd w:val="clear" w:color="auto" w:fill="D9D9D9" w:themeFill="background1" w:themeFillShade="D9"/>
            <w:vAlign w:val="center"/>
          </w:tcPr>
          <w:p w14:paraId="42A812BA" w14:textId="0238CA13" w:rsidR="00545425" w:rsidRPr="002F547C" w:rsidRDefault="00545425" w:rsidP="004D54FD">
            <w:pPr>
              <w:spacing w:after="60"/>
              <w:rPr>
                <w:rFonts w:ascii="Arial" w:hAnsi="Arial" w:cs="Arial"/>
                <w:b/>
              </w:rPr>
            </w:pPr>
            <w:r>
              <w:rPr>
                <w:rFonts w:ascii="Arial" w:hAnsi="Arial" w:cs="Arial"/>
                <w:b/>
              </w:rPr>
              <w:lastRenderedPageBreak/>
              <w:t>Prescribed medication</w:t>
            </w:r>
          </w:p>
        </w:tc>
        <w:tc>
          <w:tcPr>
            <w:tcW w:w="9639" w:type="dxa"/>
            <w:shd w:val="clear" w:color="auto" w:fill="D9D9D9" w:themeFill="background1" w:themeFillShade="D9"/>
            <w:vAlign w:val="center"/>
          </w:tcPr>
          <w:p w14:paraId="44E333AD" w14:textId="77777777" w:rsidR="00545425" w:rsidRPr="002F547C" w:rsidRDefault="00545425" w:rsidP="004D54FD">
            <w:pPr>
              <w:spacing w:after="60"/>
              <w:rPr>
                <w:rFonts w:ascii="Arial" w:hAnsi="Arial" w:cs="Arial"/>
                <w:b/>
              </w:rPr>
            </w:pPr>
          </w:p>
        </w:tc>
      </w:tr>
      <w:tr w:rsidR="00545425" w:rsidRPr="00D70353" w14:paraId="20A059F7" w14:textId="77777777" w:rsidTr="002F547C">
        <w:tc>
          <w:tcPr>
            <w:tcW w:w="4219" w:type="dxa"/>
            <w:vAlign w:val="center"/>
          </w:tcPr>
          <w:p w14:paraId="37BBF12B" w14:textId="395F1F65" w:rsidR="00545425" w:rsidRPr="002F547C" w:rsidRDefault="00545425" w:rsidP="002F547C">
            <w:pPr>
              <w:spacing w:after="60"/>
              <w:rPr>
                <w:rFonts w:ascii="Arial" w:hAnsi="Arial" w:cs="Arial"/>
              </w:rPr>
            </w:pPr>
            <w:r>
              <w:rPr>
                <w:rFonts w:ascii="Arial" w:hAnsi="Arial" w:cs="Arial"/>
              </w:rPr>
              <w:t>Anti-tumor necrosis factor alpha</w:t>
            </w:r>
          </w:p>
        </w:tc>
        <w:tc>
          <w:tcPr>
            <w:tcW w:w="9639" w:type="dxa"/>
            <w:vAlign w:val="center"/>
          </w:tcPr>
          <w:p w14:paraId="401FD7A3" w14:textId="7B04C9D4" w:rsidR="00545425" w:rsidRPr="002F547C" w:rsidRDefault="00545425" w:rsidP="00545425">
            <w:pPr>
              <w:spacing w:after="60"/>
              <w:rPr>
                <w:rFonts w:ascii="Arial" w:hAnsi="Arial" w:cs="Arial"/>
              </w:rPr>
            </w:pPr>
            <w:r w:rsidRPr="00545425">
              <w:rPr>
                <w:rFonts w:ascii="Arial" w:hAnsi="Arial" w:cs="Arial"/>
              </w:rPr>
              <w:t>Prescribed medication included anti-tumor necrosis factor alpha (TNF-alpha) agents (inflixim</w:t>
            </w:r>
            <w:r>
              <w:rPr>
                <w:rFonts w:ascii="Arial" w:hAnsi="Arial" w:cs="Arial"/>
              </w:rPr>
              <w:t xml:space="preserve">ab, </w:t>
            </w:r>
            <w:proofErr w:type="spellStart"/>
            <w:r>
              <w:rPr>
                <w:rFonts w:ascii="Arial" w:hAnsi="Arial" w:cs="Arial"/>
              </w:rPr>
              <w:t>adalimumab</w:t>
            </w:r>
            <w:proofErr w:type="spellEnd"/>
            <w:r>
              <w:rPr>
                <w:rFonts w:ascii="Arial" w:hAnsi="Arial" w:cs="Arial"/>
              </w:rPr>
              <w:t xml:space="preserve"> or </w:t>
            </w:r>
            <w:proofErr w:type="spellStart"/>
            <w:r>
              <w:rPr>
                <w:rFonts w:ascii="Arial" w:hAnsi="Arial" w:cs="Arial"/>
              </w:rPr>
              <w:t>certolizumab</w:t>
            </w:r>
            <w:proofErr w:type="spellEnd"/>
            <w:r>
              <w:rPr>
                <w:rFonts w:ascii="Arial" w:hAnsi="Arial" w:cs="Arial"/>
              </w:rPr>
              <w:t xml:space="preserve">). </w:t>
            </w:r>
            <w:r w:rsidRPr="00545425">
              <w:rPr>
                <w:rFonts w:ascii="Arial" w:hAnsi="Arial" w:cs="Arial"/>
              </w:rPr>
              <w:t>Data on medication use was available for the entire disease course; medication use was therefore defined as medication ‘ever used’</w:t>
            </w:r>
          </w:p>
        </w:tc>
      </w:tr>
      <w:tr w:rsidR="00545425" w:rsidRPr="00D70353" w14:paraId="689B4ED6" w14:textId="77777777" w:rsidTr="00545425">
        <w:tc>
          <w:tcPr>
            <w:tcW w:w="4219" w:type="dxa"/>
            <w:shd w:val="clear" w:color="auto" w:fill="FFFFFF" w:themeFill="background1"/>
            <w:vAlign w:val="center"/>
          </w:tcPr>
          <w:p w14:paraId="09BBB5AA" w14:textId="2B048810" w:rsidR="00545425" w:rsidRPr="00B418BF" w:rsidRDefault="00FA7EF2" w:rsidP="002F547C">
            <w:pPr>
              <w:pStyle w:val="MediumGrid21"/>
              <w:spacing w:after="60"/>
              <w:rPr>
                <w:rFonts w:ascii="Arial" w:hAnsi="Arial" w:cs="Arial"/>
              </w:rPr>
            </w:pPr>
            <w:r w:rsidRPr="00D70353">
              <w:br w:type="page"/>
            </w:r>
            <w:proofErr w:type="spellStart"/>
            <w:r w:rsidR="00545425" w:rsidRPr="00B418BF">
              <w:rPr>
                <w:rFonts w:ascii="Arial" w:hAnsi="Arial" w:cs="Arial"/>
              </w:rPr>
              <w:t>Immunomodulators</w:t>
            </w:r>
            <w:proofErr w:type="spellEnd"/>
          </w:p>
        </w:tc>
        <w:tc>
          <w:tcPr>
            <w:tcW w:w="9639" w:type="dxa"/>
            <w:shd w:val="clear" w:color="auto" w:fill="FFFFFF" w:themeFill="background1"/>
            <w:vAlign w:val="center"/>
          </w:tcPr>
          <w:p w14:paraId="0134FB5A" w14:textId="22F3A1B9" w:rsidR="00545425" w:rsidRPr="00545425" w:rsidRDefault="00545425" w:rsidP="002F547C">
            <w:pPr>
              <w:spacing w:after="60"/>
              <w:rPr>
                <w:rFonts w:ascii="Arial" w:hAnsi="Arial" w:cs="Arial"/>
              </w:rPr>
            </w:pPr>
            <w:proofErr w:type="spellStart"/>
            <w:proofErr w:type="gramStart"/>
            <w:r w:rsidRPr="00545425">
              <w:rPr>
                <w:rFonts w:ascii="Arial" w:hAnsi="Arial" w:cs="Arial"/>
              </w:rPr>
              <w:t>immunomodulators</w:t>
            </w:r>
            <w:proofErr w:type="spellEnd"/>
            <w:proofErr w:type="gramEnd"/>
            <w:r w:rsidRPr="00545425">
              <w:rPr>
                <w:rFonts w:ascii="Arial" w:hAnsi="Arial" w:cs="Arial"/>
              </w:rPr>
              <w:t xml:space="preserve"> (</w:t>
            </w:r>
            <w:proofErr w:type="spellStart"/>
            <w:r w:rsidRPr="00545425">
              <w:rPr>
                <w:rFonts w:ascii="Arial" w:hAnsi="Arial" w:cs="Arial"/>
              </w:rPr>
              <w:t>mercaptopurine</w:t>
            </w:r>
            <w:proofErr w:type="spellEnd"/>
            <w:r w:rsidRPr="00545425">
              <w:rPr>
                <w:rFonts w:ascii="Arial" w:hAnsi="Arial" w:cs="Arial"/>
              </w:rPr>
              <w:t xml:space="preserve">, azathioprine, </w:t>
            </w:r>
            <w:proofErr w:type="spellStart"/>
            <w:r w:rsidRPr="00545425">
              <w:rPr>
                <w:rFonts w:ascii="Arial" w:hAnsi="Arial" w:cs="Arial"/>
              </w:rPr>
              <w:t>thioguanine</w:t>
            </w:r>
            <w:proofErr w:type="spellEnd"/>
            <w:r w:rsidRPr="00545425">
              <w:rPr>
                <w:rFonts w:ascii="Arial" w:hAnsi="Arial" w:cs="Arial"/>
              </w:rPr>
              <w:t xml:space="preserve"> or methotrexate). Data on medication use was available for the entire disease course; medication use was therefore defined as medication ‘ever used’</w:t>
            </w:r>
          </w:p>
        </w:tc>
      </w:tr>
      <w:tr w:rsidR="00AF49E4" w:rsidRPr="00D70353" w14:paraId="30CAD70E" w14:textId="77777777" w:rsidTr="002F547C">
        <w:tc>
          <w:tcPr>
            <w:tcW w:w="4219" w:type="dxa"/>
            <w:shd w:val="clear" w:color="auto" w:fill="D9D9D9" w:themeFill="background1" w:themeFillShade="D9"/>
            <w:vAlign w:val="center"/>
          </w:tcPr>
          <w:p w14:paraId="3E138A79" w14:textId="0708E00C" w:rsidR="00AF49E4" w:rsidRPr="002F547C" w:rsidRDefault="00545425" w:rsidP="002F547C">
            <w:pPr>
              <w:pStyle w:val="MediumGrid21"/>
              <w:spacing w:after="60"/>
              <w:rPr>
                <w:rFonts w:ascii="Arial" w:hAnsi="Arial" w:cs="Arial"/>
                <w:b/>
              </w:rPr>
            </w:pPr>
            <w:r w:rsidRPr="00545425">
              <w:rPr>
                <w:rFonts w:ascii="Arial" w:hAnsi="Arial" w:cs="Arial"/>
                <w:b/>
              </w:rPr>
              <w:t>IBD-related surgical interventions</w:t>
            </w:r>
          </w:p>
        </w:tc>
        <w:tc>
          <w:tcPr>
            <w:tcW w:w="9639" w:type="dxa"/>
            <w:shd w:val="clear" w:color="auto" w:fill="D9D9D9" w:themeFill="background1" w:themeFillShade="D9"/>
            <w:vAlign w:val="center"/>
          </w:tcPr>
          <w:p w14:paraId="0EB42A63" w14:textId="77777777" w:rsidR="00AF49E4" w:rsidRPr="002F547C" w:rsidRDefault="00AF49E4" w:rsidP="002F547C">
            <w:pPr>
              <w:spacing w:after="60"/>
              <w:rPr>
                <w:rFonts w:ascii="Arial" w:hAnsi="Arial" w:cs="Arial"/>
              </w:rPr>
            </w:pPr>
          </w:p>
        </w:tc>
      </w:tr>
      <w:tr w:rsidR="00AF49E4" w:rsidRPr="00D70353" w14:paraId="326B0C3D" w14:textId="77777777" w:rsidTr="002F547C">
        <w:tc>
          <w:tcPr>
            <w:tcW w:w="4219" w:type="dxa"/>
            <w:vAlign w:val="center"/>
          </w:tcPr>
          <w:p w14:paraId="70A90BAD" w14:textId="07923047" w:rsidR="00AF49E4" w:rsidRPr="002F547C" w:rsidRDefault="00AF49E4" w:rsidP="002F547C">
            <w:pPr>
              <w:spacing w:after="60"/>
              <w:rPr>
                <w:rFonts w:ascii="Arial" w:hAnsi="Arial" w:cs="Arial"/>
              </w:rPr>
            </w:pPr>
          </w:p>
        </w:tc>
        <w:tc>
          <w:tcPr>
            <w:tcW w:w="9639" w:type="dxa"/>
            <w:vAlign w:val="center"/>
          </w:tcPr>
          <w:p w14:paraId="2031D2A7" w14:textId="1FD9F4D4" w:rsidR="00AF49E4" w:rsidRPr="002F547C" w:rsidRDefault="00545425" w:rsidP="002F547C">
            <w:pPr>
              <w:spacing w:after="60"/>
              <w:rPr>
                <w:rFonts w:ascii="Arial" w:hAnsi="Arial" w:cs="Arial"/>
              </w:rPr>
            </w:pPr>
            <w:r w:rsidRPr="00545425">
              <w:rPr>
                <w:rFonts w:ascii="Arial" w:hAnsi="Arial" w:cs="Arial"/>
              </w:rPr>
              <w:t xml:space="preserve">IBD-related surgical interventions included small bowel resection, </w:t>
            </w:r>
            <w:proofErr w:type="spellStart"/>
            <w:r w:rsidRPr="00545425">
              <w:rPr>
                <w:rFonts w:ascii="Arial" w:hAnsi="Arial" w:cs="Arial"/>
              </w:rPr>
              <w:t>ileocecal</w:t>
            </w:r>
            <w:proofErr w:type="spellEnd"/>
            <w:r w:rsidRPr="00545425">
              <w:rPr>
                <w:rFonts w:ascii="Arial" w:hAnsi="Arial" w:cs="Arial"/>
              </w:rPr>
              <w:t xml:space="preserve"> resection, colon resection, resection other, </w:t>
            </w:r>
            <w:proofErr w:type="spellStart"/>
            <w:r w:rsidRPr="00545425">
              <w:rPr>
                <w:rFonts w:ascii="Arial" w:hAnsi="Arial" w:cs="Arial"/>
              </w:rPr>
              <w:t>strictureplasty</w:t>
            </w:r>
            <w:proofErr w:type="spellEnd"/>
            <w:r w:rsidRPr="00545425">
              <w:rPr>
                <w:rFonts w:ascii="Arial" w:hAnsi="Arial" w:cs="Arial"/>
              </w:rPr>
              <w:t>, ileostomy/colostomy, surgery for abscesses or fistula, stoma and pouch</w:t>
            </w:r>
          </w:p>
        </w:tc>
      </w:tr>
      <w:tr w:rsidR="00AF49E4" w:rsidRPr="00D70353" w14:paraId="78320E38" w14:textId="77777777" w:rsidTr="002F547C">
        <w:tc>
          <w:tcPr>
            <w:tcW w:w="4219" w:type="dxa"/>
            <w:shd w:val="clear" w:color="auto" w:fill="D9D9D9" w:themeFill="background1" w:themeFillShade="D9"/>
            <w:vAlign w:val="center"/>
          </w:tcPr>
          <w:p w14:paraId="4FC14325" w14:textId="43BB6B3F" w:rsidR="00AF49E4" w:rsidRPr="002F547C" w:rsidRDefault="00465C86" w:rsidP="002F547C">
            <w:pPr>
              <w:spacing w:after="60"/>
              <w:rPr>
                <w:rFonts w:ascii="Arial" w:hAnsi="Arial" w:cs="Arial"/>
                <w:b/>
              </w:rPr>
            </w:pPr>
            <w:r w:rsidRPr="002F547C">
              <w:rPr>
                <w:rFonts w:ascii="Arial" w:hAnsi="Arial" w:cs="Arial"/>
                <w:b/>
              </w:rPr>
              <w:t xml:space="preserve">Extra-intestinal </w:t>
            </w:r>
            <w:r w:rsidR="00485132" w:rsidRPr="002F547C">
              <w:rPr>
                <w:rFonts w:ascii="Arial" w:hAnsi="Arial" w:cs="Arial"/>
                <w:b/>
              </w:rPr>
              <w:t xml:space="preserve">manifestations </w:t>
            </w:r>
          </w:p>
        </w:tc>
        <w:tc>
          <w:tcPr>
            <w:tcW w:w="9639" w:type="dxa"/>
            <w:shd w:val="clear" w:color="auto" w:fill="D9D9D9" w:themeFill="background1" w:themeFillShade="D9"/>
            <w:vAlign w:val="center"/>
          </w:tcPr>
          <w:p w14:paraId="4439CB1E" w14:textId="321A144C" w:rsidR="00AF49E4" w:rsidRPr="002F547C" w:rsidRDefault="00AF49E4" w:rsidP="002F547C">
            <w:pPr>
              <w:spacing w:after="60"/>
              <w:rPr>
                <w:rFonts w:ascii="Arial" w:hAnsi="Arial" w:cs="Arial"/>
              </w:rPr>
            </w:pPr>
          </w:p>
        </w:tc>
      </w:tr>
      <w:tr w:rsidR="00465C86" w:rsidRPr="00D70353" w14:paraId="1BA1706A" w14:textId="77777777" w:rsidTr="002F547C">
        <w:tc>
          <w:tcPr>
            <w:tcW w:w="4219" w:type="dxa"/>
            <w:vAlign w:val="center"/>
          </w:tcPr>
          <w:p w14:paraId="33586FC2" w14:textId="3BF61498" w:rsidR="00465C86" w:rsidRPr="002F547C" w:rsidRDefault="00465C86" w:rsidP="002F547C">
            <w:pPr>
              <w:spacing w:after="60"/>
              <w:rPr>
                <w:rFonts w:ascii="Arial" w:hAnsi="Arial" w:cs="Arial"/>
              </w:rPr>
            </w:pPr>
            <w:r w:rsidRPr="002F547C">
              <w:rPr>
                <w:rFonts w:ascii="Arial" w:hAnsi="Arial" w:cs="Arial"/>
              </w:rPr>
              <w:t>Skin manifestations</w:t>
            </w:r>
          </w:p>
        </w:tc>
        <w:tc>
          <w:tcPr>
            <w:tcW w:w="9639" w:type="dxa"/>
            <w:vAlign w:val="center"/>
          </w:tcPr>
          <w:p w14:paraId="62C4313A" w14:textId="6ECCDD5B" w:rsidR="00465C86" w:rsidRPr="002F547C" w:rsidRDefault="00465C86" w:rsidP="002F547C">
            <w:pPr>
              <w:spacing w:after="60"/>
              <w:rPr>
                <w:rFonts w:ascii="Arial" w:hAnsi="Arial" w:cs="Arial"/>
              </w:rPr>
            </w:pPr>
            <w:r w:rsidRPr="002F547C">
              <w:rPr>
                <w:rFonts w:ascii="Arial" w:hAnsi="Arial" w:cs="Arial"/>
              </w:rPr>
              <w:t xml:space="preserve">Skin manifestations unrelated to the use of IBD medication such as </w:t>
            </w:r>
            <w:proofErr w:type="spellStart"/>
            <w:r w:rsidRPr="002F547C">
              <w:rPr>
                <w:rFonts w:ascii="Arial" w:hAnsi="Arial" w:cs="Arial"/>
              </w:rPr>
              <w:t>pyoderma</w:t>
            </w:r>
            <w:proofErr w:type="spellEnd"/>
            <w:r w:rsidRPr="002F547C">
              <w:rPr>
                <w:rFonts w:ascii="Arial" w:hAnsi="Arial" w:cs="Arial"/>
              </w:rPr>
              <w:t xml:space="preserve"> </w:t>
            </w:r>
            <w:proofErr w:type="spellStart"/>
            <w:r w:rsidRPr="002F547C">
              <w:rPr>
                <w:rFonts w:ascii="Arial" w:hAnsi="Arial" w:cs="Arial"/>
              </w:rPr>
              <w:t>gangrenosum</w:t>
            </w:r>
            <w:proofErr w:type="spellEnd"/>
            <w:r w:rsidRPr="002F547C">
              <w:rPr>
                <w:rFonts w:ascii="Arial" w:hAnsi="Arial" w:cs="Arial"/>
              </w:rPr>
              <w:t xml:space="preserve">, erythema </w:t>
            </w:r>
            <w:proofErr w:type="spellStart"/>
            <w:r w:rsidRPr="002F547C">
              <w:rPr>
                <w:rFonts w:ascii="Arial" w:hAnsi="Arial" w:cs="Arial"/>
              </w:rPr>
              <w:t>nodosum</w:t>
            </w:r>
            <w:proofErr w:type="spellEnd"/>
            <w:r w:rsidRPr="002F547C">
              <w:rPr>
                <w:rFonts w:ascii="Arial" w:hAnsi="Arial" w:cs="Arial"/>
              </w:rPr>
              <w:t xml:space="preserve">, </w:t>
            </w:r>
            <w:proofErr w:type="spellStart"/>
            <w:r w:rsidRPr="002F547C">
              <w:rPr>
                <w:rFonts w:ascii="Arial" w:hAnsi="Arial" w:cs="Arial"/>
              </w:rPr>
              <w:t>hidradenitis</w:t>
            </w:r>
            <w:proofErr w:type="spellEnd"/>
            <w:r w:rsidRPr="002F547C">
              <w:rPr>
                <w:rFonts w:ascii="Arial" w:hAnsi="Arial" w:cs="Arial"/>
              </w:rPr>
              <w:t xml:space="preserve"> </w:t>
            </w:r>
            <w:proofErr w:type="spellStart"/>
            <w:r w:rsidRPr="002F547C">
              <w:rPr>
                <w:rFonts w:ascii="Arial" w:hAnsi="Arial" w:cs="Arial"/>
              </w:rPr>
              <w:t>suppurativa</w:t>
            </w:r>
            <w:proofErr w:type="spellEnd"/>
            <w:r w:rsidRPr="002F547C">
              <w:rPr>
                <w:rFonts w:ascii="Arial" w:hAnsi="Arial" w:cs="Arial"/>
              </w:rPr>
              <w:t xml:space="preserve">, psoriasis or </w:t>
            </w:r>
            <w:proofErr w:type="spellStart"/>
            <w:r w:rsidRPr="002F547C">
              <w:rPr>
                <w:rFonts w:ascii="Arial" w:hAnsi="Arial" w:cs="Arial"/>
              </w:rPr>
              <w:t>palmoplantar</w:t>
            </w:r>
            <w:proofErr w:type="spellEnd"/>
            <w:r w:rsidRPr="002F547C">
              <w:rPr>
                <w:rFonts w:ascii="Arial" w:hAnsi="Arial" w:cs="Arial"/>
              </w:rPr>
              <w:t xml:space="preserve"> </w:t>
            </w:r>
            <w:proofErr w:type="spellStart"/>
            <w:r w:rsidRPr="002F547C">
              <w:rPr>
                <w:rFonts w:ascii="Arial" w:hAnsi="Arial" w:cs="Arial"/>
              </w:rPr>
              <w:t>psoriasiform</w:t>
            </w:r>
            <w:proofErr w:type="spellEnd"/>
            <w:r w:rsidRPr="002F547C">
              <w:rPr>
                <w:rFonts w:ascii="Arial" w:hAnsi="Arial" w:cs="Arial"/>
              </w:rPr>
              <w:t xml:space="preserve"> </w:t>
            </w:r>
            <w:proofErr w:type="spellStart"/>
            <w:r w:rsidRPr="002F547C">
              <w:rPr>
                <w:rFonts w:ascii="Arial" w:hAnsi="Arial" w:cs="Arial"/>
              </w:rPr>
              <w:t>pustolosis</w:t>
            </w:r>
            <w:proofErr w:type="spellEnd"/>
            <w:r w:rsidRPr="002F547C">
              <w:rPr>
                <w:rFonts w:ascii="Arial" w:hAnsi="Arial" w:cs="Arial"/>
              </w:rPr>
              <w:t>, and metastatic CD</w:t>
            </w:r>
            <w:r w:rsidR="00DB2F7F" w:rsidRPr="002F547C">
              <w:rPr>
                <w:rFonts w:ascii="Arial" w:hAnsi="Arial" w:cs="Arial"/>
              </w:rPr>
              <w:t>.</w:t>
            </w:r>
          </w:p>
        </w:tc>
      </w:tr>
      <w:tr w:rsidR="00465C86" w:rsidRPr="00D70353" w14:paraId="04876D76" w14:textId="77777777" w:rsidTr="002F547C">
        <w:tc>
          <w:tcPr>
            <w:tcW w:w="4219" w:type="dxa"/>
            <w:vAlign w:val="center"/>
          </w:tcPr>
          <w:p w14:paraId="1B624D08" w14:textId="6CE7EBED" w:rsidR="00465C86" w:rsidRPr="002F547C" w:rsidRDefault="004452C2" w:rsidP="002F547C">
            <w:pPr>
              <w:spacing w:after="60"/>
              <w:rPr>
                <w:rFonts w:ascii="Arial" w:hAnsi="Arial" w:cs="Arial"/>
              </w:rPr>
            </w:pPr>
            <w:r w:rsidRPr="002F547C">
              <w:rPr>
                <w:rFonts w:ascii="Arial" w:hAnsi="Arial" w:cs="Arial"/>
              </w:rPr>
              <w:t>M</w:t>
            </w:r>
            <w:r w:rsidR="00465C86" w:rsidRPr="002F547C">
              <w:rPr>
                <w:rFonts w:ascii="Arial" w:hAnsi="Arial" w:cs="Arial"/>
              </w:rPr>
              <w:t>usculoskeletal manifestations</w:t>
            </w:r>
          </w:p>
        </w:tc>
        <w:tc>
          <w:tcPr>
            <w:tcW w:w="9639" w:type="dxa"/>
            <w:vAlign w:val="center"/>
          </w:tcPr>
          <w:p w14:paraId="7AF2CEE2" w14:textId="4454E8BD" w:rsidR="008912BB" w:rsidRPr="002F547C" w:rsidRDefault="009E3A74" w:rsidP="002F547C">
            <w:pPr>
              <w:spacing w:after="60"/>
              <w:rPr>
                <w:rFonts w:ascii="Arial" w:hAnsi="Arial" w:cs="Arial"/>
              </w:rPr>
            </w:pPr>
            <w:r w:rsidRPr="002F547C">
              <w:rPr>
                <w:rFonts w:ascii="Arial" w:hAnsi="Arial" w:cs="Arial"/>
              </w:rPr>
              <w:t>Arthritis was</w:t>
            </w:r>
            <w:r w:rsidR="008E46C6" w:rsidRPr="002F547C">
              <w:rPr>
                <w:rFonts w:ascii="Arial" w:hAnsi="Arial" w:cs="Arial"/>
              </w:rPr>
              <w:t xml:space="preserve"> defined as red and swollen joints, </w:t>
            </w:r>
            <w:proofErr w:type="spellStart"/>
            <w:r w:rsidR="008E46C6" w:rsidRPr="002F547C">
              <w:rPr>
                <w:rFonts w:ascii="Arial" w:hAnsi="Arial" w:cs="Arial"/>
              </w:rPr>
              <w:t>dactylitis</w:t>
            </w:r>
            <w:proofErr w:type="spellEnd"/>
            <w:r w:rsidR="008E46C6" w:rsidRPr="002F547C">
              <w:rPr>
                <w:rFonts w:ascii="Arial" w:hAnsi="Arial" w:cs="Arial"/>
              </w:rPr>
              <w:t xml:space="preserve">, reactive arthritis and gout. </w:t>
            </w:r>
          </w:p>
          <w:p w14:paraId="2531DA10" w14:textId="08717E18" w:rsidR="00465C86" w:rsidRPr="002F547C" w:rsidRDefault="008E46C6" w:rsidP="002F547C">
            <w:pPr>
              <w:spacing w:after="60"/>
              <w:rPr>
                <w:rFonts w:ascii="Arial" w:hAnsi="Arial" w:cs="Arial"/>
              </w:rPr>
            </w:pPr>
            <w:proofErr w:type="spellStart"/>
            <w:r w:rsidRPr="002F547C">
              <w:rPr>
                <w:rFonts w:ascii="Arial" w:hAnsi="Arial" w:cs="Arial"/>
              </w:rPr>
              <w:t>Arthropathy</w:t>
            </w:r>
            <w:proofErr w:type="spellEnd"/>
            <w:r w:rsidR="009E3A74" w:rsidRPr="002F547C">
              <w:rPr>
                <w:rFonts w:ascii="Arial" w:hAnsi="Arial" w:cs="Arial"/>
              </w:rPr>
              <w:t xml:space="preserve"> was</w:t>
            </w:r>
            <w:r w:rsidRPr="002F547C">
              <w:rPr>
                <w:rFonts w:ascii="Arial" w:hAnsi="Arial" w:cs="Arial"/>
              </w:rPr>
              <w:t xml:space="preserve"> defined as painful joints, without any swelling or redness, with an inflammatory pattern: pain at night or at rest </w:t>
            </w:r>
            <w:r w:rsidR="00D70353" w:rsidRPr="002F547C">
              <w:rPr>
                <w:rFonts w:ascii="Arial" w:hAnsi="Arial" w:cs="Arial"/>
              </w:rPr>
              <w:t>(</w:t>
            </w:r>
            <w:r w:rsidRPr="002F547C">
              <w:rPr>
                <w:rFonts w:ascii="Arial" w:hAnsi="Arial" w:cs="Arial"/>
              </w:rPr>
              <w:t xml:space="preserve">e.g. </w:t>
            </w:r>
            <w:proofErr w:type="spellStart"/>
            <w:r w:rsidRPr="002F547C">
              <w:rPr>
                <w:rFonts w:ascii="Arial" w:hAnsi="Arial" w:cs="Arial"/>
              </w:rPr>
              <w:t>sacroiliitis</w:t>
            </w:r>
            <w:proofErr w:type="spellEnd"/>
            <w:r w:rsidRPr="002F547C">
              <w:rPr>
                <w:rFonts w:ascii="Arial" w:hAnsi="Arial" w:cs="Arial"/>
              </w:rPr>
              <w:t xml:space="preserve">, </w:t>
            </w:r>
            <w:proofErr w:type="spellStart"/>
            <w:r w:rsidRPr="002F547C">
              <w:rPr>
                <w:rFonts w:ascii="Arial" w:hAnsi="Arial" w:cs="Arial"/>
              </w:rPr>
              <w:t>ankylosing</w:t>
            </w:r>
            <w:proofErr w:type="spellEnd"/>
            <w:r w:rsidRPr="002F547C">
              <w:rPr>
                <w:rFonts w:ascii="Arial" w:hAnsi="Arial" w:cs="Arial"/>
              </w:rPr>
              <w:t xml:space="preserve"> spondylitis, </w:t>
            </w:r>
            <w:proofErr w:type="spellStart"/>
            <w:r w:rsidRPr="002F547C">
              <w:rPr>
                <w:rFonts w:ascii="Arial" w:hAnsi="Arial" w:cs="Arial"/>
              </w:rPr>
              <w:t>enthesitis</w:t>
            </w:r>
            <w:proofErr w:type="spellEnd"/>
            <w:r w:rsidRPr="002F547C">
              <w:rPr>
                <w:rFonts w:ascii="Arial" w:hAnsi="Arial" w:cs="Arial"/>
              </w:rPr>
              <w:t>, and inflammatory back</w:t>
            </w:r>
            <w:r w:rsidR="00FA7EF2" w:rsidRPr="002F547C">
              <w:rPr>
                <w:rFonts w:ascii="Arial" w:hAnsi="Arial" w:cs="Arial"/>
              </w:rPr>
              <w:t xml:space="preserve"> </w:t>
            </w:r>
            <w:r w:rsidRPr="002F547C">
              <w:rPr>
                <w:rFonts w:ascii="Arial" w:hAnsi="Arial" w:cs="Arial"/>
              </w:rPr>
              <w:t>pain</w:t>
            </w:r>
            <w:r w:rsidR="00D70353" w:rsidRPr="002F547C">
              <w:rPr>
                <w:rFonts w:ascii="Arial" w:hAnsi="Arial" w:cs="Arial"/>
              </w:rPr>
              <w:t>)</w:t>
            </w:r>
            <w:r w:rsidRPr="002F547C">
              <w:rPr>
                <w:rFonts w:ascii="Arial" w:hAnsi="Arial" w:cs="Arial"/>
              </w:rPr>
              <w:t>.</w:t>
            </w:r>
          </w:p>
        </w:tc>
      </w:tr>
      <w:tr w:rsidR="00465C86" w:rsidRPr="00D70353" w14:paraId="05906083" w14:textId="77777777" w:rsidTr="002F547C">
        <w:tc>
          <w:tcPr>
            <w:tcW w:w="4219" w:type="dxa"/>
            <w:vAlign w:val="center"/>
          </w:tcPr>
          <w:p w14:paraId="5A7EEC95" w14:textId="3F87DB6E" w:rsidR="00465C86" w:rsidRPr="002F547C" w:rsidRDefault="008E46C6" w:rsidP="002F547C">
            <w:pPr>
              <w:spacing w:after="60"/>
              <w:rPr>
                <w:rFonts w:ascii="Arial" w:hAnsi="Arial" w:cs="Arial"/>
              </w:rPr>
            </w:pPr>
            <w:r w:rsidRPr="002F547C">
              <w:rPr>
                <w:rFonts w:ascii="Arial" w:hAnsi="Arial" w:cs="Arial"/>
              </w:rPr>
              <w:t>Ocular manifestations</w:t>
            </w:r>
          </w:p>
        </w:tc>
        <w:tc>
          <w:tcPr>
            <w:tcW w:w="9639" w:type="dxa"/>
            <w:vAlign w:val="center"/>
          </w:tcPr>
          <w:p w14:paraId="5246EA1E" w14:textId="04FF139F" w:rsidR="00465C86" w:rsidRPr="002F547C" w:rsidRDefault="009E3A74" w:rsidP="002F547C">
            <w:pPr>
              <w:spacing w:after="60"/>
              <w:rPr>
                <w:rFonts w:ascii="Arial" w:hAnsi="Arial" w:cs="Arial"/>
              </w:rPr>
            </w:pPr>
            <w:r w:rsidRPr="002F547C">
              <w:rPr>
                <w:rFonts w:ascii="Arial" w:hAnsi="Arial" w:cs="Arial"/>
              </w:rPr>
              <w:t>Ocular manifestations included</w:t>
            </w:r>
            <w:r w:rsidR="008E46C6" w:rsidRPr="002F547C">
              <w:rPr>
                <w:rFonts w:ascii="Arial" w:hAnsi="Arial" w:cs="Arial"/>
              </w:rPr>
              <w:t xml:space="preserve"> uveitis and </w:t>
            </w:r>
            <w:proofErr w:type="spellStart"/>
            <w:r w:rsidR="008E46C6" w:rsidRPr="002F547C">
              <w:rPr>
                <w:rFonts w:ascii="Arial" w:hAnsi="Arial" w:cs="Arial"/>
              </w:rPr>
              <w:t>episcleritis</w:t>
            </w:r>
            <w:proofErr w:type="spellEnd"/>
            <w:r w:rsidR="000B66F1" w:rsidRPr="002F547C">
              <w:rPr>
                <w:rFonts w:ascii="Arial" w:hAnsi="Arial" w:cs="Arial"/>
              </w:rPr>
              <w:t>.</w:t>
            </w:r>
          </w:p>
        </w:tc>
      </w:tr>
      <w:tr w:rsidR="00BC4C5E" w:rsidRPr="00D70353" w14:paraId="50F107DC" w14:textId="77777777" w:rsidTr="002F547C">
        <w:tc>
          <w:tcPr>
            <w:tcW w:w="4219" w:type="dxa"/>
            <w:shd w:val="clear" w:color="auto" w:fill="D9D9D9" w:themeFill="background1" w:themeFillShade="D9"/>
            <w:vAlign w:val="center"/>
          </w:tcPr>
          <w:p w14:paraId="2F98D510" w14:textId="49C7581D" w:rsidR="00BC4C5E" w:rsidRPr="002F547C" w:rsidRDefault="00BC4C5E" w:rsidP="002F547C">
            <w:pPr>
              <w:spacing w:after="60"/>
              <w:rPr>
                <w:rFonts w:ascii="Arial" w:hAnsi="Arial" w:cs="Arial"/>
                <w:b/>
              </w:rPr>
            </w:pPr>
            <w:r w:rsidRPr="002F547C">
              <w:rPr>
                <w:rFonts w:ascii="Arial" w:hAnsi="Arial" w:cs="Arial"/>
                <w:b/>
              </w:rPr>
              <w:t>Complications</w:t>
            </w:r>
          </w:p>
        </w:tc>
        <w:tc>
          <w:tcPr>
            <w:tcW w:w="9639" w:type="dxa"/>
            <w:shd w:val="clear" w:color="auto" w:fill="D9D9D9" w:themeFill="background1" w:themeFillShade="D9"/>
            <w:vAlign w:val="center"/>
          </w:tcPr>
          <w:p w14:paraId="153297AA" w14:textId="77777777" w:rsidR="00BC4C5E" w:rsidRPr="002F547C" w:rsidRDefault="00BC4C5E" w:rsidP="002F547C">
            <w:pPr>
              <w:spacing w:after="60"/>
              <w:rPr>
                <w:rFonts w:ascii="Arial" w:hAnsi="Arial" w:cs="Arial"/>
              </w:rPr>
            </w:pPr>
          </w:p>
        </w:tc>
      </w:tr>
      <w:tr w:rsidR="00465C86" w:rsidRPr="00D70353" w14:paraId="5C9DC8E7" w14:textId="77777777" w:rsidTr="002F547C">
        <w:tc>
          <w:tcPr>
            <w:tcW w:w="4219" w:type="dxa"/>
            <w:vAlign w:val="center"/>
          </w:tcPr>
          <w:p w14:paraId="0ED32C61" w14:textId="2BFB28F5" w:rsidR="00465C86" w:rsidRPr="002F547C" w:rsidRDefault="008B40F1" w:rsidP="002F547C">
            <w:pPr>
              <w:spacing w:after="60"/>
              <w:rPr>
                <w:rFonts w:ascii="Arial" w:hAnsi="Arial" w:cs="Arial"/>
              </w:rPr>
            </w:pPr>
            <w:r w:rsidRPr="002F547C">
              <w:rPr>
                <w:rFonts w:ascii="Arial" w:hAnsi="Arial" w:cs="Arial"/>
              </w:rPr>
              <w:t>O</w:t>
            </w:r>
            <w:r w:rsidR="008E46C6" w:rsidRPr="002F547C">
              <w:rPr>
                <w:rFonts w:ascii="Arial" w:hAnsi="Arial" w:cs="Arial"/>
              </w:rPr>
              <w:t>steopenia</w:t>
            </w:r>
          </w:p>
        </w:tc>
        <w:tc>
          <w:tcPr>
            <w:tcW w:w="9639" w:type="dxa"/>
            <w:vAlign w:val="center"/>
          </w:tcPr>
          <w:p w14:paraId="565A2DD9" w14:textId="48A07761" w:rsidR="00465C86" w:rsidRPr="002F547C" w:rsidRDefault="009E3A74" w:rsidP="002F547C">
            <w:pPr>
              <w:spacing w:after="60"/>
              <w:rPr>
                <w:rFonts w:ascii="Arial" w:hAnsi="Arial" w:cs="Arial"/>
              </w:rPr>
            </w:pPr>
            <w:r w:rsidRPr="002F547C">
              <w:rPr>
                <w:rFonts w:ascii="Arial" w:hAnsi="Arial" w:cs="Arial"/>
              </w:rPr>
              <w:t>Osteopenia was</w:t>
            </w:r>
            <w:r w:rsidR="008912BB" w:rsidRPr="002F547C">
              <w:rPr>
                <w:rFonts w:ascii="Arial" w:hAnsi="Arial" w:cs="Arial"/>
              </w:rPr>
              <w:t xml:space="preserve"> </w:t>
            </w:r>
            <w:r w:rsidR="008E46C6" w:rsidRPr="002F547C">
              <w:rPr>
                <w:rFonts w:ascii="Arial" w:hAnsi="Arial" w:cs="Arial"/>
              </w:rPr>
              <w:t>defined as a bone mineral density T-score lower than -1</w:t>
            </w:r>
            <w:r w:rsidR="000B66F1" w:rsidRPr="002F547C">
              <w:rPr>
                <w:rFonts w:ascii="Arial" w:hAnsi="Arial" w:cs="Arial"/>
              </w:rPr>
              <w:t>.</w:t>
            </w:r>
          </w:p>
        </w:tc>
      </w:tr>
      <w:tr w:rsidR="00465C86" w:rsidRPr="00D70353" w14:paraId="46144099" w14:textId="77777777" w:rsidTr="002F547C">
        <w:tc>
          <w:tcPr>
            <w:tcW w:w="4219" w:type="dxa"/>
            <w:vAlign w:val="center"/>
          </w:tcPr>
          <w:p w14:paraId="2C31356A" w14:textId="12BC7142" w:rsidR="00465C86" w:rsidRPr="002F547C" w:rsidRDefault="008B40F1" w:rsidP="002F547C">
            <w:pPr>
              <w:spacing w:after="60"/>
              <w:rPr>
                <w:rFonts w:ascii="Arial" w:hAnsi="Arial" w:cs="Arial"/>
              </w:rPr>
            </w:pPr>
            <w:r w:rsidRPr="002F547C">
              <w:rPr>
                <w:rFonts w:ascii="Arial" w:hAnsi="Arial" w:cs="Arial"/>
              </w:rPr>
              <w:t>T</w:t>
            </w:r>
            <w:r w:rsidR="008E46C6" w:rsidRPr="002F547C">
              <w:rPr>
                <w:rFonts w:ascii="Arial" w:hAnsi="Arial" w:cs="Arial"/>
              </w:rPr>
              <w:t>hromboembolic event</w:t>
            </w:r>
          </w:p>
        </w:tc>
        <w:tc>
          <w:tcPr>
            <w:tcW w:w="9639" w:type="dxa"/>
            <w:vAlign w:val="center"/>
          </w:tcPr>
          <w:p w14:paraId="76DAE1C5" w14:textId="3A38B3DD" w:rsidR="00465C86" w:rsidRPr="002F547C" w:rsidRDefault="008E46C6" w:rsidP="002F547C">
            <w:pPr>
              <w:spacing w:after="60"/>
              <w:rPr>
                <w:rFonts w:ascii="Arial" w:hAnsi="Arial" w:cs="Arial"/>
              </w:rPr>
            </w:pPr>
            <w:r w:rsidRPr="002F547C">
              <w:rPr>
                <w:rFonts w:ascii="Arial" w:hAnsi="Arial" w:cs="Arial"/>
              </w:rPr>
              <w:t xml:space="preserve">A thromboembolic event </w:t>
            </w:r>
            <w:r w:rsidR="009E3A74" w:rsidRPr="002F547C">
              <w:rPr>
                <w:rFonts w:ascii="Arial" w:hAnsi="Arial" w:cs="Arial"/>
              </w:rPr>
              <w:t>was</w:t>
            </w:r>
            <w:r w:rsidRPr="002F547C">
              <w:rPr>
                <w:rFonts w:ascii="Arial" w:hAnsi="Arial" w:cs="Arial"/>
              </w:rPr>
              <w:t xml:space="preserve"> confirmed by additional tests (radiology, endoscopy or histology).</w:t>
            </w:r>
          </w:p>
        </w:tc>
      </w:tr>
    </w:tbl>
    <w:p w14:paraId="7A4B9EC2" w14:textId="62FEA344" w:rsidR="00E9268F" w:rsidRDefault="004A5426" w:rsidP="00BD66B4">
      <w:pPr>
        <w:spacing w:after="60" w:line="480" w:lineRule="auto"/>
        <w:rPr>
          <w:rFonts w:ascii="Arial" w:hAnsi="Arial" w:cs="Arial"/>
        </w:rPr>
      </w:pPr>
      <w:r w:rsidRPr="002F547C">
        <w:rPr>
          <w:rFonts w:ascii="Arial" w:hAnsi="Arial" w:cs="Arial"/>
        </w:rPr>
        <w:t xml:space="preserve">IBD: inflammatory bowel disease; CD: </w:t>
      </w:r>
      <w:proofErr w:type="spellStart"/>
      <w:r w:rsidRPr="002F547C">
        <w:rPr>
          <w:rFonts w:ascii="Arial" w:hAnsi="Arial" w:cs="Arial"/>
        </w:rPr>
        <w:t>Crohn’s</w:t>
      </w:r>
      <w:proofErr w:type="spellEnd"/>
      <w:r w:rsidRPr="002F547C">
        <w:rPr>
          <w:rFonts w:ascii="Arial" w:hAnsi="Arial" w:cs="Arial"/>
        </w:rPr>
        <w:t xml:space="preserve"> disease</w:t>
      </w:r>
      <w:r w:rsidR="00FA7EF2" w:rsidRPr="002F547C">
        <w:rPr>
          <w:rFonts w:ascii="Arial" w:hAnsi="Arial" w:cs="Arial"/>
        </w:rPr>
        <w:t>; UC: Ulcerative colitis</w:t>
      </w:r>
      <w:bookmarkStart w:id="0" w:name="_GoBack"/>
      <w:bookmarkEnd w:id="0"/>
    </w:p>
    <w:sectPr w:rsidR="00E9268F" w:rsidSect="002F547C">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3F"/>
    <w:rsid w:val="000178C4"/>
    <w:rsid w:val="000321DD"/>
    <w:rsid w:val="00035F73"/>
    <w:rsid w:val="000B66F1"/>
    <w:rsid w:val="00167E4E"/>
    <w:rsid w:val="00170CA3"/>
    <w:rsid w:val="00261447"/>
    <w:rsid w:val="002C4165"/>
    <w:rsid w:val="002F547C"/>
    <w:rsid w:val="0042576C"/>
    <w:rsid w:val="0042613D"/>
    <w:rsid w:val="00433F50"/>
    <w:rsid w:val="004452C2"/>
    <w:rsid w:val="004521B8"/>
    <w:rsid w:val="00465C86"/>
    <w:rsid w:val="0047105B"/>
    <w:rsid w:val="00485132"/>
    <w:rsid w:val="004904A6"/>
    <w:rsid w:val="004A5426"/>
    <w:rsid w:val="00521E26"/>
    <w:rsid w:val="00545425"/>
    <w:rsid w:val="00586B7C"/>
    <w:rsid w:val="006B07CC"/>
    <w:rsid w:val="006B42FB"/>
    <w:rsid w:val="007271C3"/>
    <w:rsid w:val="007C15CE"/>
    <w:rsid w:val="007C52B6"/>
    <w:rsid w:val="008912BB"/>
    <w:rsid w:val="008B40F1"/>
    <w:rsid w:val="008C0588"/>
    <w:rsid w:val="008E46C6"/>
    <w:rsid w:val="009E3A74"/>
    <w:rsid w:val="00A20B1A"/>
    <w:rsid w:val="00AF49E4"/>
    <w:rsid w:val="00B418BF"/>
    <w:rsid w:val="00BC4C5E"/>
    <w:rsid w:val="00BD66B4"/>
    <w:rsid w:val="00C50AE6"/>
    <w:rsid w:val="00C73957"/>
    <w:rsid w:val="00CC3C77"/>
    <w:rsid w:val="00CC6C24"/>
    <w:rsid w:val="00D65218"/>
    <w:rsid w:val="00D66F62"/>
    <w:rsid w:val="00D70353"/>
    <w:rsid w:val="00DB2F7F"/>
    <w:rsid w:val="00DF3E65"/>
    <w:rsid w:val="00E9268F"/>
    <w:rsid w:val="00EA275A"/>
    <w:rsid w:val="00EB0CE4"/>
    <w:rsid w:val="00EE58A4"/>
    <w:rsid w:val="00F07CC0"/>
    <w:rsid w:val="00F14F3F"/>
    <w:rsid w:val="00FA7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3A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465C86"/>
    <w:rPr>
      <w:rFonts w:ascii="Cambria" w:eastAsia="MS Minngs" w:hAnsi="Cambria" w:cs="Times New Roman"/>
    </w:rPr>
  </w:style>
  <w:style w:type="paragraph" w:styleId="BalloonText">
    <w:name w:val="Balloon Text"/>
    <w:basedOn w:val="Normal"/>
    <w:link w:val="BalloonTextChar"/>
    <w:uiPriority w:val="99"/>
    <w:semiHidden/>
    <w:unhideWhenUsed/>
    <w:rsid w:val="000B66F1"/>
    <w:rPr>
      <w:rFonts w:ascii="Tahoma" w:hAnsi="Tahoma" w:cs="Tahoma"/>
      <w:sz w:val="16"/>
      <w:szCs w:val="16"/>
    </w:rPr>
  </w:style>
  <w:style w:type="character" w:customStyle="1" w:styleId="BalloonTextChar">
    <w:name w:val="Balloon Text Char"/>
    <w:basedOn w:val="DefaultParagraphFont"/>
    <w:link w:val="BalloonText"/>
    <w:uiPriority w:val="99"/>
    <w:semiHidden/>
    <w:rsid w:val="000B66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4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465C86"/>
    <w:rPr>
      <w:rFonts w:ascii="Cambria" w:eastAsia="MS Minngs" w:hAnsi="Cambria" w:cs="Times New Roman"/>
    </w:rPr>
  </w:style>
  <w:style w:type="paragraph" w:styleId="BalloonText">
    <w:name w:val="Balloon Text"/>
    <w:basedOn w:val="Normal"/>
    <w:link w:val="BalloonTextChar"/>
    <w:uiPriority w:val="99"/>
    <w:semiHidden/>
    <w:unhideWhenUsed/>
    <w:rsid w:val="000B66F1"/>
    <w:rPr>
      <w:rFonts w:ascii="Tahoma" w:hAnsi="Tahoma" w:cs="Tahoma"/>
      <w:sz w:val="16"/>
      <w:szCs w:val="16"/>
    </w:rPr>
  </w:style>
  <w:style w:type="character" w:customStyle="1" w:styleId="BalloonTextChar">
    <w:name w:val="Balloon Text Char"/>
    <w:basedOn w:val="DefaultParagraphFont"/>
    <w:link w:val="BalloonText"/>
    <w:uiPriority w:val="99"/>
    <w:semiHidden/>
    <w:rsid w:val="000B6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43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662C-DDA7-5940-A5DF-7B4E373B1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506</Words>
  <Characters>2887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UMCG</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 Spekhorst</dc:creator>
  <cp:lastModifiedBy>Lieke Spekhorst</cp:lastModifiedBy>
  <cp:revision>12</cp:revision>
  <dcterms:created xsi:type="dcterms:W3CDTF">2016-11-10T09:56:00Z</dcterms:created>
  <dcterms:modified xsi:type="dcterms:W3CDTF">2017-02-14T10:17:00Z</dcterms:modified>
</cp:coreProperties>
</file>