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CF" w:rsidRDefault="00BE00CF" w:rsidP="00BE00CF">
      <w:pPr>
        <w:spacing w:line="360" w:lineRule="auto"/>
        <w:jc w:val="both"/>
        <w:outlineLvl w:val="0"/>
        <w:rPr>
          <w:rFonts w:ascii="Book Antiqua" w:hAnsi="Book Antiqua" w:cs="Times New Roman"/>
          <w:b/>
          <w:szCs w:val="24"/>
          <w:lang w:val="en-GB"/>
        </w:rPr>
      </w:pPr>
      <w:r>
        <w:rPr>
          <w:rFonts w:ascii="Book Antiqua" w:hAnsi="Book Antiqua" w:cs="Times New Roman"/>
          <w:b/>
          <w:szCs w:val="24"/>
          <w:lang w:val="en-GB"/>
        </w:rPr>
        <w:t xml:space="preserve">Name of Journal: </w:t>
      </w:r>
      <w:r>
        <w:rPr>
          <w:rFonts w:ascii="Book Antiqua" w:hAnsi="Book Antiqua" w:cs="Times New Roman"/>
          <w:b/>
          <w:i/>
          <w:szCs w:val="24"/>
          <w:lang w:val="en-GB"/>
        </w:rPr>
        <w:t>World Journal of Gastroenterology</w:t>
      </w:r>
      <w:r>
        <w:rPr>
          <w:rFonts w:ascii="Book Antiqua" w:hAnsi="Book Antiqua" w:cs="Times New Roman"/>
          <w:b/>
          <w:szCs w:val="24"/>
          <w:lang w:val="en-GB"/>
        </w:rPr>
        <w:t xml:space="preserve"> </w:t>
      </w:r>
    </w:p>
    <w:p w:rsidR="00BE00CF" w:rsidRDefault="00BE00CF" w:rsidP="00BE00CF">
      <w:pPr>
        <w:spacing w:line="360" w:lineRule="auto"/>
        <w:jc w:val="both"/>
        <w:outlineLvl w:val="0"/>
        <w:rPr>
          <w:rFonts w:ascii="Book Antiqua" w:hAnsi="Book Antiqua" w:cs="Times New Roman"/>
          <w:b/>
          <w:szCs w:val="24"/>
          <w:lang w:val="en-GB"/>
        </w:rPr>
      </w:pPr>
      <w:r>
        <w:rPr>
          <w:rFonts w:ascii="Book Antiqua" w:hAnsi="Book Antiqua" w:cs="Times New Roman"/>
          <w:b/>
          <w:szCs w:val="24"/>
          <w:lang w:val="en-GB"/>
        </w:rPr>
        <w:t>ESPS Manuscript NO: 35281</w:t>
      </w:r>
    </w:p>
    <w:p w:rsidR="00BE00CF" w:rsidRDefault="00BE00CF" w:rsidP="00BE00CF">
      <w:pPr>
        <w:spacing w:line="360" w:lineRule="auto"/>
        <w:jc w:val="both"/>
        <w:outlineLvl w:val="0"/>
        <w:rPr>
          <w:rFonts w:ascii="Book Antiqua" w:hAnsi="Book Antiqua" w:cs="Times New Roman"/>
          <w:b/>
          <w:szCs w:val="24"/>
          <w:lang w:val="en-GB"/>
        </w:rPr>
      </w:pPr>
      <w:r>
        <w:rPr>
          <w:rFonts w:ascii="Book Antiqua" w:hAnsi="Book Antiqua" w:cs="Times New Roman"/>
          <w:b/>
          <w:szCs w:val="24"/>
          <w:lang w:val="en-GB"/>
        </w:rPr>
        <w:t>Manuscript Type: EDITORIAL</w:t>
      </w:r>
    </w:p>
    <w:p w:rsidR="00BE00CF" w:rsidRDefault="00BE00CF" w:rsidP="00BE00CF">
      <w:pPr>
        <w:spacing w:line="360" w:lineRule="auto"/>
        <w:jc w:val="both"/>
        <w:rPr>
          <w:rFonts w:ascii="Book Antiqua" w:hAnsi="Book Antiqua" w:cs="Times New Roman"/>
          <w:b/>
          <w:szCs w:val="24"/>
          <w:lang w:val="en-GB"/>
        </w:rPr>
      </w:pPr>
    </w:p>
    <w:p w:rsidR="00BE00CF" w:rsidRDefault="00BE00CF" w:rsidP="00BE00CF">
      <w:pPr>
        <w:spacing w:line="360" w:lineRule="auto"/>
        <w:jc w:val="both"/>
        <w:outlineLvl w:val="0"/>
        <w:rPr>
          <w:rFonts w:ascii="Book Antiqua" w:hAnsi="Book Antiqua" w:cs="Times New Roman"/>
          <w:b/>
          <w:szCs w:val="24"/>
          <w:lang w:val="en-GB"/>
        </w:rPr>
      </w:pPr>
      <w:r>
        <w:rPr>
          <w:rFonts w:ascii="Book Antiqua" w:hAnsi="Book Antiqua" w:cs="Times New Roman"/>
          <w:b/>
          <w:szCs w:val="24"/>
          <w:lang w:val="en-GB"/>
        </w:rPr>
        <w:t xml:space="preserve">Evolving role of FDG-PET/CT in prognostic evaluation of resectable gastric cancer </w:t>
      </w:r>
    </w:p>
    <w:p w:rsidR="00BE00CF" w:rsidRDefault="00BE00CF" w:rsidP="00BE00CF">
      <w:pPr>
        <w:spacing w:line="360" w:lineRule="auto"/>
        <w:jc w:val="both"/>
        <w:rPr>
          <w:rFonts w:ascii="Book Antiqua" w:hAnsi="Book Antiqua" w:cs="Times New Roman"/>
          <w:b/>
          <w:szCs w:val="24"/>
          <w:lang w:val="en-GB"/>
        </w:rPr>
      </w:pPr>
    </w:p>
    <w:p w:rsidR="00BE00CF" w:rsidRPr="0079357C" w:rsidRDefault="00BE00CF" w:rsidP="00BE00CF">
      <w:pPr>
        <w:spacing w:line="360" w:lineRule="auto"/>
        <w:jc w:val="both"/>
        <w:outlineLvl w:val="0"/>
        <w:rPr>
          <w:rFonts w:ascii="Book Antiqua" w:eastAsiaTheme="minorEastAsia" w:hAnsi="Book Antiqua" w:cs="Times New Roman"/>
          <w:szCs w:val="24"/>
          <w:lang w:val="en-GB"/>
        </w:rPr>
      </w:pPr>
      <w:r>
        <w:rPr>
          <w:rFonts w:ascii="Book Antiqua" w:hAnsi="Book Antiqua" w:cs="Times New Roman"/>
          <w:szCs w:val="24"/>
          <w:lang w:val="en-GB"/>
        </w:rPr>
        <w:t xml:space="preserve">De Raffele E </w:t>
      </w:r>
      <w:r>
        <w:rPr>
          <w:rFonts w:ascii="Book Antiqua" w:hAnsi="Book Antiqua" w:cs="Times New Roman"/>
          <w:i/>
          <w:szCs w:val="24"/>
          <w:lang w:val="en-GB"/>
        </w:rPr>
        <w:t>et al</w:t>
      </w:r>
      <w:r>
        <w:rPr>
          <w:rFonts w:ascii="Book Antiqua" w:hAnsi="Book Antiqua" w:cs="Times New Roman"/>
          <w:szCs w:val="24"/>
          <w:lang w:val="en-GB"/>
        </w:rPr>
        <w:t xml:space="preserve">. FDG-PET/CT in </w:t>
      </w:r>
      <w:r w:rsidR="0079357C">
        <w:rPr>
          <w:rFonts w:ascii="Book Antiqua" w:eastAsiaTheme="minorEastAsia" w:hAnsi="Book Antiqua" w:cs="Times New Roman" w:hint="eastAsia"/>
          <w:szCs w:val="24"/>
          <w:lang w:val="en-GB"/>
        </w:rPr>
        <w:t>GC</w:t>
      </w:r>
    </w:p>
    <w:p w:rsidR="00BE00CF" w:rsidRDefault="00BE00CF" w:rsidP="00BE00CF">
      <w:pPr>
        <w:spacing w:line="360" w:lineRule="auto"/>
        <w:jc w:val="both"/>
        <w:rPr>
          <w:rFonts w:ascii="Book Antiqua" w:hAnsi="Book Antiqua" w:cs="Times New Roman"/>
          <w:b/>
          <w:szCs w:val="24"/>
          <w:lang w:val="en-GB"/>
        </w:rPr>
      </w:pPr>
    </w:p>
    <w:p w:rsidR="00BE00CF" w:rsidRDefault="00BE00CF" w:rsidP="00BE00CF">
      <w:pPr>
        <w:spacing w:line="360" w:lineRule="auto"/>
        <w:jc w:val="both"/>
        <w:outlineLvl w:val="0"/>
        <w:rPr>
          <w:rFonts w:ascii="Book Antiqua" w:hAnsi="Book Antiqua" w:cs="Times New Roman"/>
          <w:szCs w:val="24"/>
          <w:lang w:val="en-GB"/>
        </w:rPr>
      </w:pPr>
      <w:r>
        <w:rPr>
          <w:rFonts w:ascii="Book Antiqua" w:hAnsi="Book Antiqua" w:cs="Times New Roman"/>
          <w:szCs w:val="24"/>
          <w:lang w:val="en-GB"/>
        </w:rPr>
        <w:t xml:space="preserve">Emilio De Raffele, Mariateresa Mirarchi, Dajana Cuicchi, Ferdinando Lecce, Bruno Cola </w:t>
      </w:r>
    </w:p>
    <w:p w:rsidR="00BE00CF" w:rsidRDefault="00BE00CF" w:rsidP="00BE00CF">
      <w:pPr>
        <w:spacing w:line="360" w:lineRule="auto"/>
        <w:jc w:val="both"/>
        <w:rPr>
          <w:rFonts w:ascii="Book Antiqua" w:hAnsi="Book Antiqua" w:cs="Times New Roman"/>
          <w:b/>
          <w:szCs w:val="24"/>
          <w:lang w:val="en-GB"/>
        </w:rPr>
      </w:pPr>
    </w:p>
    <w:p w:rsidR="00BE00CF" w:rsidRPr="00483C9F" w:rsidRDefault="00BE00CF" w:rsidP="00BE00CF">
      <w:pPr>
        <w:spacing w:line="360" w:lineRule="auto"/>
        <w:jc w:val="both"/>
        <w:rPr>
          <w:rFonts w:ascii="Book Antiqua" w:hAnsi="Book Antiqua" w:cs="Book Antiqua"/>
          <w:szCs w:val="24"/>
          <w:lang w:val="en-GB"/>
        </w:rPr>
      </w:pPr>
      <w:r w:rsidRPr="00B903DF">
        <w:rPr>
          <w:rFonts w:ascii="Book Antiqua" w:hAnsi="Book Antiqua" w:cs="Times New Roman"/>
          <w:b/>
          <w:szCs w:val="24"/>
          <w:lang w:val="en-GB"/>
        </w:rPr>
        <w:t xml:space="preserve">Emilio De Raffele, Dajana Cuicchi, Ferdinando Lecce, Bruno Cola, </w:t>
      </w:r>
      <w:r w:rsidRPr="00B903DF">
        <w:rPr>
          <w:rFonts w:ascii="Book Antiqua" w:hAnsi="Book Antiqua" w:cs="Book Antiqua"/>
          <w:szCs w:val="24"/>
          <w:lang w:val="en-GB"/>
        </w:rPr>
        <w:t>Unità Operativa di Chirurgia Generale, Dipartimento dell’Apparato Digerente, Azienda Ospedaliero-U</w:t>
      </w:r>
      <w:r w:rsidRPr="00483C9F">
        <w:rPr>
          <w:rFonts w:ascii="Book Antiqua" w:hAnsi="Book Antiqua" w:cs="Book Antiqua"/>
          <w:szCs w:val="24"/>
          <w:lang w:val="en-GB"/>
        </w:rPr>
        <w:t xml:space="preserve">niversitaria di Bologna, Policlinico S. Orsola-Malpighi, </w:t>
      </w:r>
      <w:r w:rsidR="002453BF" w:rsidRPr="00483C9F">
        <w:rPr>
          <w:rFonts w:ascii="Book Antiqua" w:hAnsi="Book Antiqua" w:cs="Book Antiqua"/>
          <w:szCs w:val="24"/>
          <w:lang w:val="en-GB"/>
        </w:rPr>
        <w:t xml:space="preserve">40138 </w:t>
      </w:r>
      <w:r w:rsidRPr="00483C9F">
        <w:rPr>
          <w:rFonts w:ascii="Book Antiqua" w:hAnsi="Book Antiqua" w:cs="Times New Roman"/>
          <w:szCs w:val="24"/>
          <w:lang w:val="en-GB"/>
        </w:rPr>
        <w:t xml:space="preserve">Bologna, Italy </w:t>
      </w:r>
    </w:p>
    <w:p w:rsidR="00BE00CF" w:rsidRPr="00483C9F" w:rsidRDefault="00BE00CF" w:rsidP="00BE00CF">
      <w:pPr>
        <w:spacing w:line="360" w:lineRule="auto"/>
        <w:jc w:val="both"/>
        <w:rPr>
          <w:rFonts w:ascii="Book Antiqua" w:hAnsi="Book Antiqua" w:cs="Times New Roman"/>
          <w:b/>
          <w:szCs w:val="24"/>
          <w:lang w:val="en-GB"/>
        </w:rPr>
      </w:pPr>
    </w:p>
    <w:p w:rsidR="00BE00CF" w:rsidRDefault="00BE00CF" w:rsidP="00BE00CF">
      <w:pPr>
        <w:spacing w:line="360" w:lineRule="auto"/>
        <w:jc w:val="both"/>
        <w:rPr>
          <w:rFonts w:ascii="Book Antiqua" w:eastAsiaTheme="minorEastAsia" w:hAnsi="Book Antiqua" w:cs="Times New Roman"/>
          <w:szCs w:val="24"/>
          <w:lang w:val="en-GB"/>
        </w:rPr>
      </w:pPr>
      <w:r w:rsidRPr="00483C9F">
        <w:rPr>
          <w:rFonts w:ascii="Book Antiqua" w:hAnsi="Book Antiqua" w:cs="Times New Roman"/>
          <w:b/>
          <w:szCs w:val="24"/>
          <w:lang w:val="en-GB"/>
        </w:rPr>
        <w:t xml:space="preserve">Mariateresa Mirarchi, </w:t>
      </w:r>
      <w:r w:rsidRPr="00483C9F">
        <w:rPr>
          <w:rFonts w:ascii="Book Antiqua" w:hAnsi="Book Antiqua" w:cs="Times New Roman"/>
          <w:szCs w:val="24"/>
          <w:lang w:val="en-GB"/>
        </w:rPr>
        <w:t xml:space="preserve">U.O. di Chirurgia Generale, Dipartimento Strutturale Chirurgico, Ospedale "SS Antonio e Margherita", </w:t>
      </w:r>
      <w:r w:rsidR="00483C9F" w:rsidRPr="00483C9F">
        <w:rPr>
          <w:rFonts w:ascii="Book Antiqua" w:hAnsi="Book Antiqua" w:cs="Times New Roman"/>
          <w:szCs w:val="24"/>
          <w:lang w:val="en-GB"/>
        </w:rPr>
        <w:t xml:space="preserve">15057 </w:t>
      </w:r>
      <w:r w:rsidRPr="00483C9F">
        <w:rPr>
          <w:rFonts w:ascii="Book Antiqua" w:hAnsi="Book Antiqua" w:cs="Times New Roman"/>
          <w:szCs w:val="24"/>
          <w:lang w:val="en-GB"/>
        </w:rPr>
        <w:t>Tortona, Italy</w:t>
      </w:r>
    </w:p>
    <w:p w:rsidR="002453BF" w:rsidRPr="002453BF" w:rsidRDefault="002453BF" w:rsidP="00BE00CF">
      <w:pPr>
        <w:spacing w:line="360" w:lineRule="auto"/>
        <w:jc w:val="both"/>
        <w:rPr>
          <w:rFonts w:ascii="Book Antiqua" w:eastAsiaTheme="minorEastAsia" w:hAnsi="Book Antiqua" w:cs="Times New Roman"/>
          <w:szCs w:val="24"/>
          <w:lang w:val="en-GB"/>
        </w:rPr>
      </w:pPr>
    </w:p>
    <w:p w:rsidR="002453BF" w:rsidRDefault="002453BF" w:rsidP="002453BF">
      <w:pPr>
        <w:spacing w:line="360" w:lineRule="auto"/>
        <w:jc w:val="both"/>
        <w:outlineLvl w:val="0"/>
        <w:rPr>
          <w:rFonts w:ascii="Book Antiqua" w:hAnsi="Book Antiqua" w:cs="Times New Roman"/>
          <w:szCs w:val="24"/>
          <w:lang w:val="en-GB"/>
        </w:rPr>
      </w:pPr>
      <w:r w:rsidRPr="00DD461B">
        <w:rPr>
          <w:rFonts w:ascii="Book Antiqua" w:hAnsi="Book Antiqua"/>
          <w:b/>
          <w:bCs/>
        </w:rPr>
        <w:t>ORCID number:</w:t>
      </w:r>
      <w:r w:rsidRPr="002453BF">
        <w:rPr>
          <w:rFonts w:ascii="Book Antiqua" w:hAnsi="Book Antiqua" w:cs="Times New Roman"/>
          <w:szCs w:val="24"/>
          <w:lang w:val="en-GB"/>
        </w:rPr>
        <w:t xml:space="preserve"> </w:t>
      </w:r>
      <w:r>
        <w:rPr>
          <w:rFonts w:ascii="Book Antiqua" w:hAnsi="Book Antiqua" w:cs="Times New Roman"/>
          <w:szCs w:val="24"/>
          <w:lang w:val="en-GB"/>
        </w:rPr>
        <w:t>Emilio De Raffele</w:t>
      </w:r>
      <w:r>
        <w:rPr>
          <w:rFonts w:ascii="Book Antiqua" w:eastAsiaTheme="minorEastAsia" w:hAnsi="Book Antiqua" w:cs="Times New Roman" w:hint="eastAsia"/>
          <w:szCs w:val="24"/>
          <w:lang w:val="en-GB"/>
        </w:rPr>
        <w:t xml:space="preserve"> (</w:t>
      </w:r>
      <w:r w:rsidRPr="002453BF">
        <w:rPr>
          <w:rFonts w:ascii="Book Antiqua" w:eastAsiaTheme="minorEastAsia" w:hAnsi="Book Antiqua" w:cs="Times New Roman"/>
          <w:szCs w:val="24"/>
          <w:lang w:val="en-GB"/>
        </w:rPr>
        <w:t>0000-0003-1743-7471</w:t>
      </w:r>
      <w:r>
        <w:rPr>
          <w:rFonts w:ascii="Book Antiqua" w:eastAsiaTheme="minorEastAsia" w:hAnsi="Book Antiqua" w:cs="Times New Roman" w:hint="eastAsia"/>
          <w:szCs w:val="24"/>
          <w:lang w:val="en-GB"/>
        </w:rPr>
        <w:t>);</w:t>
      </w:r>
      <w:r>
        <w:rPr>
          <w:rFonts w:ascii="Book Antiqua" w:hAnsi="Book Antiqua" w:cs="Times New Roman"/>
          <w:szCs w:val="24"/>
          <w:lang w:val="en-GB"/>
        </w:rPr>
        <w:t xml:space="preserve"> Mariateresa Mirarchi</w:t>
      </w:r>
      <w:r>
        <w:rPr>
          <w:rFonts w:ascii="Book Antiqua" w:eastAsiaTheme="minorEastAsia" w:hAnsi="Book Antiqua" w:cs="Times New Roman" w:hint="eastAsia"/>
          <w:szCs w:val="24"/>
          <w:lang w:val="en-GB"/>
        </w:rPr>
        <w:t xml:space="preserve"> (</w:t>
      </w:r>
      <w:r w:rsidRPr="002453BF">
        <w:rPr>
          <w:rFonts w:ascii="Book Antiqua" w:eastAsiaTheme="minorEastAsia" w:hAnsi="Book Antiqua" w:cs="Times New Roman"/>
          <w:szCs w:val="24"/>
          <w:lang w:val="en-GB"/>
        </w:rPr>
        <w:t>0000-0003-1896-2438</w:t>
      </w:r>
      <w:r>
        <w:rPr>
          <w:rFonts w:ascii="Book Antiqua" w:eastAsiaTheme="minorEastAsia" w:hAnsi="Book Antiqua" w:cs="Times New Roman" w:hint="eastAsia"/>
          <w:szCs w:val="24"/>
          <w:lang w:val="en-GB"/>
        </w:rPr>
        <w:t>);</w:t>
      </w:r>
      <w:r>
        <w:rPr>
          <w:rFonts w:ascii="Book Antiqua" w:hAnsi="Book Antiqua" w:cs="Times New Roman"/>
          <w:szCs w:val="24"/>
          <w:lang w:val="en-GB"/>
        </w:rPr>
        <w:t xml:space="preserve"> Dajana Cuicchi</w:t>
      </w:r>
      <w:r>
        <w:rPr>
          <w:rFonts w:ascii="Book Antiqua" w:eastAsiaTheme="minorEastAsia" w:hAnsi="Book Antiqua" w:cs="Times New Roman" w:hint="eastAsia"/>
          <w:szCs w:val="24"/>
          <w:lang w:val="en-GB"/>
        </w:rPr>
        <w:t xml:space="preserve"> (</w:t>
      </w:r>
      <w:r w:rsidRPr="002453BF">
        <w:rPr>
          <w:rFonts w:ascii="Book Antiqua" w:eastAsiaTheme="minorEastAsia" w:hAnsi="Book Antiqua" w:cs="Times New Roman"/>
          <w:szCs w:val="24"/>
          <w:lang w:val="en-GB"/>
        </w:rPr>
        <w:t>0000-0002-1504-4888</w:t>
      </w:r>
      <w:r>
        <w:rPr>
          <w:rFonts w:ascii="Book Antiqua" w:eastAsiaTheme="minorEastAsia" w:hAnsi="Book Antiqua" w:cs="Times New Roman" w:hint="eastAsia"/>
          <w:szCs w:val="24"/>
          <w:lang w:val="en-GB"/>
        </w:rPr>
        <w:t>);</w:t>
      </w:r>
      <w:r>
        <w:rPr>
          <w:rFonts w:ascii="Book Antiqua" w:hAnsi="Book Antiqua" w:cs="Times New Roman"/>
          <w:szCs w:val="24"/>
          <w:lang w:val="en-GB"/>
        </w:rPr>
        <w:t xml:space="preserve"> Ferdinando Lecce</w:t>
      </w:r>
      <w:r>
        <w:rPr>
          <w:rFonts w:ascii="Book Antiqua" w:eastAsiaTheme="minorEastAsia" w:hAnsi="Book Antiqua" w:cs="Times New Roman" w:hint="eastAsia"/>
          <w:szCs w:val="24"/>
          <w:lang w:val="en-GB"/>
        </w:rPr>
        <w:t xml:space="preserve"> (</w:t>
      </w:r>
      <w:r w:rsidRPr="002453BF">
        <w:rPr>
          <w:rFonts w:ascii="Book Antiqua" w:eastAsiaTheme="minorEastAsia" w:hAnsi="Book Antiqua" w:cs="Times New Roman"/>
          <w:szCs w:val="24"/>
          <w:lang w:val="en-GB"/>
        </w:rPr>
        <w:t>0000-0003-2042-0339</w:t>
      </w:r>
      <w:r>
        <w:rPr>
          <w:rFonts w:ascii="Book Antiqua" w:eastAsiaTheme="minorEastAsia" w:hAnsi="Book Antiqua" w:cs="Times New Roman" w:hint="eastAsia"/>
          <w:szCs w:val="24"/>
          <w:lang w:val="en-GB"/>
        </w:rPr>
        <w:t>);</w:t>
      </w:r>
      <w:r>
        <w:rPr>
          <w:rFonts w:ascii="Book Antiqua" w:hAnsi="Book Antiqua" w:cs="Times New Roman"/>
          <w:szCs w:val="24"/>
          <w:lang w:val="en-GB"/>
        </w:rPr>
        <w:t xml:space="preserve"> Bruno Cola</w:t>
      </w:r>
      <w:r>
        <w:rPr>
          <w:rFonts w:ascii="Book Antiqua" w:eastAsiaTheme="minorEastAsia" w:hAnsi="Book Antiqua" w:cs="Times New Roman" w:hint="eastAsia"/>
          <w:szCs w:val="24"/>
          <w:lang w:val="en-GB"/>
        </w:rPr>
        <w:t xml:space="preserve"> (</w:t>
      </w:r>
      <w:r w:rsidRPr="002453BF">
        <w:rPr>
          <w:rFonts w:ascii="Book Antiqua" w:eastAsiaTheme="minorEastAsia" w:hAnsi="Book Antiqua" w:cs="Times New Roman"/>
          <w:szCs w:val="24"/>
          <w:lang w:val="en-GB"/>
        </w:rPr>
        <w:t>0000-0002-3568-9835</w:t>
      </w:r>
      <w:r>
        <w:rPr>
          <w:rFonts w:ascii="Book Antiqua" w:eastAsiaTheme="minorEastAsia" w:hAnsi="Book Antiqua" w:cs="Times New Roman" w:hint="eastAsia"/>
          <w:szCs w:val="24"/>
          <w:lang w:val="en-GB"/>
        </w:rPr>
        <w:t>).</w:t>
      </w:r>
    </w:p>
    <w:p w:rsidR="00BE00CF" w:rsidRPr="002453BF" w:rsidRDefault="00BE00CF" w:rsidP="00BE00CF">
      <w:pPr>
        <w:spacing w:line="360" w:lineRule="auto"/>
        <w:jc w:val="both"/>
        <w:rPr>
          <w:rFonts w:ascii="Book Antiqua" w:eastAsiaTheme="minorEastAsia" w:hAnsi="Book Antiqua" w:cs="Times New Roman"/>
          <w:szCs w:val="24"/>
          <w:lang w:val="en-GB"/>
        </w:rPr>
      </w:pPr>
    </w:p>
    <w:p w:rsidR="00BE00CF" w:rsidRDefault="00BE00CF" w:rsidP="00BE00CF">
      <w:pPr>
        <w:spacing w:line="360" w:lineRule="auto"/>
        <w:jc w:val="both"/>
        <w:rPr>
          <w:rFonts w:ascii="Book Antiqua" w:hAnsi="Book Antiqua" w:cs="Times New Roman"/>
          <w:b/>
          <w:szCs w:val="24"/>
          <w:lang w:val="en-GB"/>
        </w:rPr>
      </w:pPr>
      <w:r>
        <w:rPr>
          <w:rFonts w:ascii="Book Antiqua" w:hAnsi="Book Antiqua" w:cs="Times New Roman"/>
          <w:b/>
          <w:szCs w:val="24"/>
          <w:lang w:val="en-GB"/>
        </w:rPr>
        <w:t>Author contributions:</w:t>
      </w:r>
      <w:r>
        <w:rPr>
          <w:rFonts w:ascii="Book Antiqua" w:hAnsi="Book Antiqua" w:cs="Times New Roman"/>
          <w:szCs w:val="24"/>
          <w:lang w:val="en-GB"/>
        </w:rPr>
        <w:t xml:space="preserve"> De Raffele E conceived of and designed the study, and </w:t>
      </w:r>
      <w:r>
        <w:rPr>
          <w:rFonts w:ascii="Book Antiqua" w:hAnsi="Book Antiqua"/>
          <w:szCs w:val="24"/>
          <w:lang w:val="en-GB"/>
        </w:rPr>
        <w:t xml:space="preserve">wrote the manuscript; </w:t>
      </w:r>
      <w:r>
        <w:rPr>
          <w:rFonts w:ascii="Book Antiqua" w:hAnsi="Book Antiqua" w:cs="Times New Roman"/>
          <w:szCs w:val="24"/>
          <w:lang w:val="en-GB"/>
        </w:rPr>
        <w:t xml:space="preserve">De Raffele E, Mirarchi M, </w:t>
      </w:r>
      <w:r>
        <w:rPr>
          <w:rFonts w:ascii="Book Antiqua" w:hAnsi="Book Antiqua"/>
          <w:szCs w:val="24"/>
          <w:lang w:val="en-GB"/>
        </w:rPr>
        <w:t xml:space="preserve">Cuicchi D and Lecce F </w:t>
      </w:r>
      <w:r>
        <w:rPr>
          <w:rFonts w:ascii="Book Antiqua" w:hAnsi="Book Antiqua" w:cs="Times New Roman"/>
          <w:szCs w:val="24"/>
          <w:lang w:val="en-GB"/>
        </w:rPr>
        <w:t>contributed to acquisition, analysis and interpretation of data;</w:t>
      </w:r>
      <w:r>
        <w:rPr>
          <w:rFonts w:ascii="Book Antiqua" w:hAnsi="Book Antiqua"/>
          <w:szCs w:val="24"/>
          <w:lang w:val="en-GB"/>
        </w:rPr>
        <w:t xml:space="preserve"> Cola B </w:t>
      </w:r>
      <w:r>
        <w:rPr>
          <w:rFonts w:ascii="Book Antiqua" w:hAnsi="Book Antiqua" w:cs="Times New Roman"/>
          <w:szCs w:val="24"/>
          <w:lang w:val="en-GB"/>
        </w:rPr>
        <w:t>made critical revisions on and provided final approval of the paper</w:t>
      </w:r>
      <w:r>
        <w:rPr>
          <w:rFonts w:ascii="Book Antiqua" w:hAnsi="Book Antiqua"/>
          <w:szCs w:val="24"/>
          <w:lang w:val="en-GB"/>
        </w:rPr>
        <w:t xml:space="preserve">. </w:t>
      </w:r>
    </w:p>
    <w:p w:rsidR="00BE00CF" w:rsidRPr="002453BF" w:rsidRDefault="002453BF" w:rsidP="002453BF">
      <w:pPr>
        <w:spacing w:line="360" w:lineRule="auto"/>
        <w:jc w:val="both"/>
        <w:outlineLvl w:val="0"/>
        <w:rPr>
          <w:rFonts w:ascii="Book Antiqua" w:eastAsiaTheme="minorEastAsia" w:hAnsi="Book Antiqua" w:cs="Times New Roman"/>
          <w:szCs w:val="24"/>
          <w:lang w:val="en-GB"/>
        </w:rPr>
      </w:pPr>
      <w:r>
        <w:rPr>
          <w:rFonts w:ascii="Book Antiqua" w:eastAsiaTheme="minorEastAsia" w:hAnsi="Book Antiqua" w:cs="Times New Roman" w:hint="eastAsia"/>
          <w:b/>
          <w:szCs w:val="24"/>
          <w:lang w:val="en-GB"/>
        </w:rPr>
        <w:t xml:space="preserve"> </w:t>
      </w:r>
    </w:p>
    <w:p w:rsidR="00BE00CF" w:rsidRDefault="00BE00CF" w:rsidP="00BE00CF">
      <w:pPr>
        <w:spacing w:line="360" w:lineRule="auto"/>
        <w:jc w:val="both"/>
        <w:rPr>
          <w:rFonts w:ascii="Book Antiqua" w:hAnsi="Book Antiqua" w:cs="Times New Roman"/>
          <w:szCs w:val="24"/>
          <w:lang w:val="en-GB"/>
        </w:rPr>
      </w:pPr>
      <w:r>
        <w:rPr>
          <w:rFonts w:ascii="Book Antiqua" w:hAnsi="Book Antiqua" w:cs="Times New Roman"/>
          <w:b/>
          <w:szCs w:val="24"/>
          <w:lang w:val="en-GB"/>
        </w:rPr>
        <w:t>Conflict-of-interest statement:</w:t>
      </w:r>
      <w:r>
        <w:rPr>
          <w:rFonts w:ascii="Book Antiqua" w:hAnsi="Book Antiqua" w:cs="Times New Roman"/>
          <w:szCs w:val="24"/>
          <w:lang w:val="en-GB"/>
        </w:rPr>
        <w:t xml:space="preserve"> None of the authors have any conflict of interest related to this publication. </w:t>
      </w:r>
    </w:p>
    <w:p w:rsidR="00BE00CF" w:rsidRDefault="00BE00CF" w:rsidP="00BE00CF">
      <w:pPr>
        <w:adjustRightInd w:val="0"/>
        <w:snapToGrid w:val="0"/>
        <w:spacing w:line="360" w:lineRule="auto"/>
        <w:jc w:val="both"/>
        <w:rPr>
          <w:rFonts w:ascii="Book Antiqua" w:hAnsi="Book Antiqua"/>
          <w:b/>
          <w:lang w:val="en-GB"/>
        </w:rPr>
      </w:pPr>
    </w:p>
    <w:p w:rsidR="00BE00CF" w:rsidRDefault="00BE00CF" w:rsidP="00BE00CF">
      <w:pPr>
        <w:adjustRightInd w:val="0"/>
        <w:snapToGrid w:val="0"/>
        <w:spacing w:line="360" w:lineRule="auto"/>
        <w:jc w:val="both"/>
        <w:rPr>
          <w:rFonts w:ascii="Book Antiqua" w:hAnsi="Book Antiqua"/>
          <w:lang w:val="en-GB"/>
        </w:rPr>
      </w:pPr>
      <w:r>
        <w:rPr>
          <w:rFonts w:ascii="Book Antiqua" w:hAnsi="Book Antiqua"/>
          <w:b/>
          <w:lang w:val="en-GB"/>
        </w:rPr>
        <w:lastRenderedPageBreak/>
        <w:t xml:space="preserve">Open-Access: </w:t>
      </w:r>
      <w:r>
        <w:rPr>
          <w:rFonts w:ascii="Book Antiqua" w:hAnsi="Book Antiqua"/>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Pr>
            <w:rStyle w:val="Hyperlink"/>
            <w:rFonts w:ascii="Book Antiqua" w:hAnsi="Book Antiqua"/>
            <w:lang w:val="en-GB"/>
          </w:rPr>
          <w:t>http://creativecommons.org/licenses/by-nc/4.0/</w:t>
        </w:r>
      </w:hyperlink>
    </w:p>
    <w:p w:rsidR="00BE00CF" w:rsidRDefault="00BE00CF" w:rsidP="00BE00CF">
      <w:pPr>
        <w:suppressAutoHyphens w:val="0"/>
        <w:autoSpaceDE w:val="0"/>
        <w:spacing w:line="360" w:lineRule="auto"/>
        <w:jc w:val="both"/>
        <w:rPr>
          <w:rFonts w:ascii="Book Antiqua" w:hAnsi="Book Antiqua" w:cs="Book Antiqua"/>
          <w:b/>
          <w:lang w:val="en-GB"/>
        </w:rPr>
      </w:pPr>
    </w:p>
    <w:p w:rsidR="00BE00CF" w:rsidRDefault="00BE00CF" w:rsidP="00BE00CF">
      <w:pPr>
        <w:suppressAutoHyphens w:val="0"/>
        <w:autoSpaceDE w:val="0"/>
        <w:spacing w:line="360" w:lineRule="auto"/>
        <w:jc w:val="both"/>
        <w:outlineLvl w:val="0"/>
        <w:rPr>
          <w:rFonts w:ascii="Book Antiqua" w:hAnsi="Book Antiqua" w:cs="SimSun"/>
          <w:lang w:val="en-GB"/>
        </w:rPr>
      </w:pPr>
      <w:r>
        <w:rPr>
          <w:rFonts w:ascii="Book Antiqua" w:hAnsi="Book Antiqua" w:cs="SimSun"/>
          <w:b/>
          <w:lang w:val="en-GB"/>
        </w:rPr>
        <w:t>Manuscript source:</w:t>
      </w:r>
      <w:r>
        <w:rPr>
          <w:rFonts w:ascii="Book Antiqua" w:hAnsi="Book Antiqua" w:cs="SimSun"/>
          <w:lang w:val="en-GB"/>
        </w:rPr>
        <w:t> Invited manuscript</w:t>
      </w:r>
    </w:p>
    <w:p w:rsidR="00BE00CF" w:rsidRDefault="00BE00CF" w:rsidP="00BE00CF">
      <w:pPr>
        <w:spacing w:line="360" w:lineRule="auto"/>
        <w:jc w:val="both"/>
        <w:rPr>
          <w:rFonts w:ascii="Book Antiqua" w:hAnsi="Book Antiqua" w:cs="Times New Roman"/>
          <w:szCs w:val="24"/>
          <w:lang w:val="en-GB"/>
        </w:rPr>
      </w:pPr>
    </w:p>
    <w:p w:rsidR="00BE00CF" w:rsidRPr="002453BF" w:rsidRDefault="00BE00CF" w:rsidP="00BE00CF">
      <w:pPr>
        <w:spacing w:line="360" w:lineRule="auto"/>
        <w:jc w:val="both"/>
        <w:rPr>
          <w:rFonts w:ascii="Book Antiqua" w:hAnsi="Book Antiqua" w:cs="Times New Roman"/>
          <w:szCs w:val="24"/>
        </w:rPr>
      </w:pPr>
      <w:r>
        <w:rPr>
          <w:rFonts w:ascii="Book Antiqua" w:hAnsi="Book Antiqua" w:cs="Times New Roman"/>
          <w:b/>
          <w:szCs w:val="24"/>
          <w:lang w:val="en-GB"/>
        </w:rPr>
        <w:t xml:space="preserve">Correspondence to: Emilio De Raffele, MD, PhD, </w:t>
      </w:r>
      <w:r>
        <w:rPr>
          <w:rFonts w:ascii="Book Antiqua" w:hAnsi="Book Antiqua" w:cs="Book Antiqua"/>
          <w:szCs w:val="24"/>
          <w:lang w:val="en-GB"/>
        </w:rPr>
        <w:t xml:space="preserve">Unità Operativa di Chirurgia Generale, Dipartimento dell’Apparato Digerente, Azienda Ospedaliero-Universitaria di Bologna, Policlinico S. Orsola-Malpighi, Via Massarenti 9, 40138 Bologna, Italy. </w:t>
      </w:r>
      <w:hyperlink r:id="rId7" w:history="1">
        <w:r w:rsidRPr="002453BF">
          <w:rPr>
            <w:rStyle w:val="Hyperlink"/>
            <w:rFonts w:ascii="Book Antiqua" w:hAnsi="Book Antiqua" w:cs="Times New Roman"/>
            <w:szCs w:val="24"/>
          </w:rPr>
          <w:t>e.deraffele@aosp.bo.it</w:t>
        </w:r>
      </w:hyperlink>
    </w:p>
    <w:p w:rsidR="00BE00CF" w:rsidRPr="002453BF" w:rsidRDefault="00BE00CF" w:rsidP="00BE00CF">
      <w:pPr>
        <w:spacing w:line="360" w:lineRule="auto"/>
        <w:jc w:val="both"/>
        <w:rPr>
          <w:rFonts w:ascii="Book Antiqua" w:hAnsi="Book Antiqua" w:cs="Times New Roman"/>
          <w:szCs w:val="24"/>
        </w:rPr>
      </w:pPr>
      <w:r w:rsidRPr="002453BF">
        <w:rPr>
          <w:rFonts w:ascii="Book Antiqua" w:hAnsi="Book Antiqua" w:cs="Times New Roman"/>
          <w:b/>
          <w:szCs w:val="24"/>
        </w:rPr>
        <w:t>Telephone:</w:t>
      </w:r>
      <w:r w:rsidRPr="002453BF">
        <w:rPr>
          <w:rFonts w:ascii="Book Antiqua" w:hAnsi="Book Antiqua" w:cs="Times New Roman"/>
          <w:szCs w:val="24"/>
        </w:rPr>
        <w:t xml:space="preserve"> +39</w:t>
      </w:r>
      <w:r w:rsidR="002453BF">
        <w:rPr>
          <w:rFonts w:ascii="Book Antiqua" w:eastAsiaTheme="minorEastAsia" w:hAnsi="Book Antiqua" w:cs="Times New Roman" w:hint="eastAsia"/>
          <w:szCs w:val="24"/>
        </w:rPr>
        <w:t>-</w:t>
      </w:r>
      <w:r w:rsidRPr="002453BF">
        <w:rPr>
          <w:rFonts w:ascii="Book Antiqua" w:hAnsi="Book Antiqua" w:cs="Times New Roman"/>
          <w:szCs w:val="24"/>
        </w:rPr>
        <w:t>51</w:t>
      </w:r>
      <w:r w:rsidR="002453BF">
        <w:rPr>
          <w:rFonts w:ascii="Book Antiqua" w:eastAsiaTheme="minorEastAsia" w:hAnsi="Book Antiqua" w:cs="Times New Roman" w:hint="eastAsia"/>
          <w:szCs w:val="24"/>
        </w:rPr>
        <w:t>-</w:t>
      </w:r>
      <w:r w:rsidRPr="002453BF">
        <w:rPr>
          <w:rFonts w:ascii="Book Antiqua" w:hAnsi="Book Antiqua" w:cs="Times New Roman"/>
          <w:szCs w:val="24"/>
        </w:rPr>
        <w:t>6364235</w:t>
      </w:r>
    </w:p>
    <w:p w:rsidR="00BE00CF" w:rsidRDefault="00BE00CF" w:rsidP="00BE00CF">
      <w:pPr>
        <w:spacing w:line="360" w:lineRule="auto"/>
        <w:jc w:val="both"/>
        <w:outlineLvl w:val="0"/>
        <w:rPr>
          <w:rFonts w:ascii="Book Antiqua" w:hAnsi="Book Antiqua" w:cs="Times New Roman"/>
          <w:szCs w:val="24"/>
          <w:lang w:val="en-GB"/>
        </w:rPr>
      </w:pPr>
      <w:r>
        <w:rPr>
          <w:rFonts w:ascii="Book Antiqua" w:hAnsi="Book Antiqua" w:cs="Times New Roman"/>
          <w:b/>
          <w:szCs w:val="24"/>
          <w:lang w:val="en-GB"/>
        </w:rPr>
        <w:t>Fax:</w:t>
      </w:r>
      <w:r>
        <w:rPr>
          <w:rFonts w:ascii="Book Antiqua" w:hAnsi="Book Antiqua" w:cs="Times New Roman"/>
          <w:szCs w:val="24"/>
          <w:lang w:val="en-GB"/>
        </w:rPr>
        <w:t xml:space="preserve"> +39</w:t>
      </w:r>
      <w:r w:rsidR="002453BF">
        <w:rPr>
          <w:rFonts w:ascii="Book Antiqua" w:eastAsiaTheme="minorEastAsia" w:hAnsi="Book Antiqua" w:cs="Times New Roman" w:hint="eastAsia"/>
          <w:szCs w:val="24"/>
          <w:lang w:val="en-GB"/>
        </w:rPr>
        <w:t>-</w:t>
      </w:r>
      <w:r>
        <w:rPr>
          <w:rFonts w:ascii="Book Antiqua" w:hAnsi="Book Antiqua" w:cs="Times New Roman"/>
          <w:szCs w:val="24"/>
          <w:lang w:val="en-GB"/>
        </w:rPr>
        <w:t>51</w:t>
      </w:r>
      <w:r w:rsidR="002453BF">
        <w:rPr>
          <w:rFonts w:ascii="Book Antiqua" w:eastAsiaTheme="minorEastAsia" w:hAnsi="Book Antiqua" w:cs="Times New Roman" w:hint="eastAsia"/>
          <w:szCs w:val="24"/>
          <w:lang w:val="en-GB"/>
        </w:rPr>
        <w:t>-</w:t>
      </w:r>
      <w:r>
        <w:rPr>
          <w:rFonts w:ascii="Book Antiqua" w:hAnsi="Book Antiqua" w:cs="Times New Roman"/>
          <w:szCs w:val="24"/>
          <w:lang w:val="en-GB"/>
        </w:rPr>
        <w:t>6363412</w:t>
      </w:r>
    </w:p>
    <w:p w:rsidR="00BE00CF" w:rsidRDefault="00BE00CF" w:rsidP="00BE00CF">
      <w:pPr>
        <w:spacing w:line="360" w:lineRule="auto"/>
        <w:jc w:val="both"/>
        <w:rPr>
          <w:rFonts w:ascii="Book Antiqua" w:eastAsia="Times New Roman" w:hAnsi="Book Antiqua" w:cs="Courier New"/>
          <w:szCs w:val="24"/>
          <w:lang w:val="en-GB" w:eastAsia="it-IT"/>
        </w:rPr>
      </w:pPr>
    </w:p>
    <w:p w:rsidR="00BE00CF" w:rsidRPr="002453BF" w:rsidRDefault="00BE00CF" w:rsidP="00BE00CF">
      <w:pPr>
        <w:spacing w:line="360" w:lineRule="auto"/>
        <w:jc w:val="both"/>
        <w:outlineLvl w:val="0"/>
        <w:rPr>
          <w:rFonts w:ascii="Book Antiqua" w:eastAsiaTheme="minorEastAsia" w:hAnsi="Book Antiqua"/>
          <w:b/>
          <w:lang w:val="en-GB"/>
        </w:rPr>
      </w:pPr>
      <w:r>
        <w:rPr>
          <w:rFonts w:ascii="Book Antiqua" w:hAnsi="Book Antiqua"/>
          <w:b/>
          <w:lang w:val="en-GB"/>
        </w:rPr>
        <w:t xml:space="preserve">Received: </w:t>
      </w:r>
      <w:r w:rsidR="002453BF" w:rsidRPr="002453BF">
        <w:rPr>
          <w:rFonts w:ascii="Book Antiqua" w:eastAsiaTheme="minorEastAsia" w:hAnsi="Book Antiqua" w:hint="eastAsia"/>
          <w:lang w:val="en-GB"/>
        </w:rPr>
        <w:t>July 4, 2017</w:t>
      </w:r>
    </w:p>
    <w:p w:rsidR="00BE00CF" w:rsidRDefault="00BE00CF" w:rsidP="00BE00CF">
      <w:pPr>
        <w:spacing w:line="360" w:lineRule="auto"/>
        <w:jc w:val="both"/>
        <w:outlineLvl w:val="0"/>
        <w:rPr>
          <w:rFonts w:ascii="Book Antiqua" w:hAnsi="Book Antiqua"/>
          <w:b/>
          <w:lang w:val="en-GB"/>
        </w:rPr>
      </w:pPr>
      <w:r>
        <w:rPr>
          <w:rFonts w:ascii="Book Antiqua" w:hAnsi="Book Antiqua"/>
          <w:b/>
          <w:lang w:val="en-GB"/>
        </w:rPr>
        <w:t>Peer-review started:</w:t>
      </w:r>
      <w:r>
        <w:rPr>
          <w:rFonts w:ascii="Book Antiqua" w:hAnsi="Book Antiqua"/>
          <w:lang w:val="en-GB"/>
        </w:rPr>
        <w:t xml:space="preserve"> </w:t>
      </w:r>
      <w:r w:rsidR="002453BF" w:rsidRPr="002453BF">
        <w:rPr>
          <w:rFonts w:ascii="Book Antiqua" w:eastAsiaTheme="minorEastAsia" w:hAnsi="Book Antiqua" w:hint="eastAsia"/>
          <w:lang w:val="en-GB"/>
        </w:rPr>
        <w:t xml:space="preserve">July </w:t>
      </w:r>
      <w:r w:rsidR="002453BF">
        <w:rPr>
          <w:rFonts w:ascii="Book Antiqua" w:eastAsiaTheme="minorEastAsia" w:hAnsi="Book Antiqua" w:hint="eastAsia"/>
          <w:lang w:val="en-GB"/>
        </w:rPr>
        <w:t>5</w:t>
      </w:r>
      <w:r w:rsidR="002453BF" w:rsidRPr="002453BF">
        <w:rPr>
          <w:rFonts w:ascii="Book Antiqua" w:eastAsiaTheme="minorEastAsia" w:hAnsi="Book Antiqua" w:hint="eastAsia"/>
          <w:lang w:val="en-GB"/>
        </w:rPr>
        <w:t>, 2017</w:t>
      </w:r>
    </w:p>
    <w:p w:rsidR="00BE00CF" w:rsidRDefault="00BE00CF" w:rsidP="00BE00CF">
      <w:pPr>
        <w:spacing w:line="360" w:lineRule="auto"/>
        <w:jc w:val="both"/>
        <w:outlineLvl w:val="0"/>
        <w:rPr>
          <w:rFonts w:ascii="Book Antiqua" w:hAnsi="Book Antiqua"/>
          <w:b/>
          <w:lang w:val="en-GB"/>
        </w:rPr>
      </w:pPr>
      <w:r>
        <w:rPr>
          <w:rFonts w:ascii="Book Antiqua" w:hAnsi="Book Antiqua"/>
          <w:b/>
          <w:lang w:val="en-GB"/>
        </w:rPr>
        <w:t xml:space="preserve">First decision: </w:t>
      </w:r>
      <w:r w:rsidR="002453BF" w:rsidRPr="002453BF">
        <w:rPr>
          <w:rFonts w:ascii="Book Antiqua" w:eastAsiaTheme="minorEastAsia" w:hAnsi="Book Antiqua" w:hint="eastAsia"/>
          <w:lang w:val="en-GB"/>
        </w:rPr>
        <w:t xml:space="preserve">July </w:t>
      </w:r>
      <w:r w:rsidR="002453BF">
        <w:rPr>
          <w:rFonts w:ascii="Book Antiqua" w:eastAsiaTheme="minorEastAsia" w:hAnsi="Book Antiqua" w:hint="eastAsia"/>
          <w:lang w:val="en-GB"/>
        </w:rPr>
        <w:t>28</w:t>
      </w:r>
      <w:r w:rsidR="002453BF" w:rsidRPr="002453BF">
        <w:rPr>
          <w:rFonts w:ascii="Book Antiqua" w:eastAsiaTheme="minorEastAsia" w:hAnsi="Book Antiqua" w:hint="eastAsia"/>
          <w:lang w:val="en-GB"/>
        </w:rPr>
        <w:t>, 2017</w:t>
      </w:r>
    </w:p>
    <w:p w:rsidR="00BE00CF" w:rsidRPr="002453BF" w:rsidRDefault="00BE00CF" w:rsidP="00BE00CF">
      <w:pPr>
        <w:spacing w:line="360" w:lineRule="auto"/>
        <w:jc w:val="both"/>
        <w:outlineLvl w:val="0"/>
        <w:rPr>
          <w:rFonts w:ascii="Book Antiqua" w:eastAsiaTheme="minorEastAsia" w:hAnsi="Book Antiqua"/>
          <w:b/>
          <w:lang w:val="en-GB"/>
        </w:rPr>
      </w:pPr>
      <w:r>
        <w:rPr>
          <w:rFonts w:ascii="Book Antiqua" w:hAnsi="Book Antiqua"/>
          <w:b/>
          <w:lang w:val="en-GB"/>
        </w:rPr>
        <w:t>Revised:</w:t>
      </w:r>
      <w:r>
        <w:rPr>
          <w:rFonts w:ascii="Book Antiqua" w:hAnsi="Book Antiqua"/>
          <w:lang w:val="en-GB"/>
        </w:rPr>
        <w:t xml:space="preserve"> </w:t>
      </w:r>
      <w:r w:rsidR="002453BF">
        <w:rPr>
          <w:rFonts w:ascii="Book Antiqua" w:eastAsiaTheme="minorEastAsia" w:hAnsi="Book Antiqua" w:hint="eastAsia"/>
          <w:lang w:val="en-GB"/>
        </w:rPr>
        <w:t>August 28, 2017</w:t>
      </w:r>
    </w:p>
    <w:p w:rsidR="00BE00CF" w:rsidRDefault="00BE00CF" w:rsidP="00BE00CF">
      <w:pPr>
        <w:spacing w:line="360" w:lineRule="auto"/>
        <w:jc w:val="both"/>
        <w:outlineLvl w:val="0"/>
        <w:rPr>
          <w:rFonts w:ascii="Book Antiqua" w:hAnsi="Book Antiqua"/>
          <w:b/>
          <w:lang w:val="en-GB"/>
        </w:rPr>
      </w:pPr>
      <w:r>
        <w:rPr>
          <w:rFonts w:ascii="Book Antiqua" w:hAnsi="Book Antiqua"/>
          <w:b/>
          <w:lang w:val="en-GB"/>
        </w:rPr>
        <w:t>Accepted:</w:t>
      </w:r>
      <w:r w:rsidR="00A36C56" w:rsidRPr="00A36C56">
        <w:t xml:space="preserve"> </w:t>
      </w:r>
      <w:r w:rsidR="00A36C56" w:rsidRPr="00A36C56">
        <w:rPr>
          <w:rFonts w:ascii="Book Antiqua" w:hAnsi="Book Antiqua"/>
          <w:lang w:val="en-GB"/>
        </w:rPr>
        <w:t>September 20, 2017</w:t>
      </w:r>
      <w:r>
        <w:rPr>
          <w:rFonts w:ascii="Book Antiqua" w:hAnsi="Book Antiqua"/>
          <w:b/>
          <w:lang w:val="en-GB"/>
        </w:rPr>
        <w:t xml:space="preserve"> </w:t>
      </w:r>
    </w:p>
    <w:p w:rsidR="00BE00CF" w:rsidRDefault="00BE00CF" w:rsidP="00BE00CF">
      <w:pPr>
        <w:spacing w:line="360" w:lineRule="auto"/>
        <w:jc w:val="both"/>
        <w:outlineLvl w:val="0"/>
        <w:rPr>
          <w:rFonts w:ascii="Book Antiqua" w:hAnsi="Book Antiqua"/>
          <w:lang w:val="en-GB"/>
        </w:rPr>
      </w:pPr>
      <w:r>
        <w:rPr>
          <w:rFonts w:ascii="Book Antiqua" w:hAnsi="Book Antiqua"/>
          <w:b/>
          <w:lang w:val="en-GB"/>
        </w:rPr>
        <w:t>Article in press:</w:t>
      </w:r>
      <w:r>
        <w:rPr>
          <w:rFonts w:ascii="Book Antiqua" w:hAnsi="Book Antiqua"/>
          <w:lang w:val="en-GB"/>
        </w:rPr>
        <w:t xml:space="preserve"> </w:t>
      </w:r>
    </w:p>
    <w:p w:rsidR="00BE00CF" w:rsidRDefault="00BE00CF" w:rsidP="00BE00CF">
      <w:pPr>
        <w:spacing w:line="360" w:lineRule="auto"/>
        <w:jc w:val="both"/>
        <w:outlineLvl w:val="0"/>
        <w:rPr>
          <w:rFonts w:ascii="Book Antiqua" w:hAnsi="Book Antiqua"/>
          <w:b/>
          <w:lang w:val="en-GB"/>
        </w:rPr>
      </w:pPr>
      <w:r>
        <w:rPr>
          <w:rFonts w:ascii="Book Antiqua" w:hAnsi="Book Antiqua"/>
          <w:b/>
          <w:lang w:val="en-GB"/>
        </w:rPr>
        <w:t xml:space="preserve">Published online: </w:t>
      </w:r>
    </w:p>
    <w:p w:rsidR="00BE00CF" w:rsidRDefault="00BE00CF" w:rsidP="00BE00CF">
      <w:pPr>
        <w:spacing w:line="360" w:lineRule="auto"/>
        <w:jc w:val="both"/>
        <w:outlineLvl w:val="0"/>
        <w:rPr>
          <w:rFonts w:ascii="Book Antiqua" w:eastAsia="Times New Roman" w:hAnsi="Book Antiqua" w:cs="Courier New"/>
          <w:b/>
          <w:szCs w:val="24"/>
          <w:lang w:val="en-GB" w:eastAsia="it-IT"/>
        </w:rPr>
      </w:pPr>
      <w:r>
        <w:rPr>
          <w:rFonts w:ascii="Book Antiqua" w:eastAsia="Times New Roman" w:hAnsi="Book Antiqua" w:cs="Courier New"/>
          <w:szCs w:val="24"/>
          <w:lang w:val="en-GB" w:eastAsia="it-IT"/>
        </w:rPr>
        <w:br w:type="page"/>
      </w:r>
      <w:r>
        <w:rPr>
          <w:rFonts w:ascii="Book Antiqua" w:eastAsia="Times New Roman" w:hAnsi="Book Antiqua" w:cs="Courier New"/>
          <w:b/>
          <w:szCs w:val="24"/>
          <w:lang w:val="en-GB" w:eastAsia="it-IT"/>
        </w:rPr>
        <w:lastRenderedPageBreak/>
        <w:t>Abstract</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 xml:space="preserve">Gastric cancer (GC) remains a leading cause of cancer death worldwide. Radical gastrectomy is the only potentially curative treatment, and perioperative adjuvant therapies may improve the prognosis after curative resection. Prognosis largely depends on the tumour stage and histology, but the host systemic inflammatory response (SIR) </w:t>
      </w:r>
      <w:r>
        <w:rPr>
          <w:rFonts w:ascii="Book Antiqua" w:eastAsia="Times New Roman" w:hAnsi="Book Antiqua" w:cs="Times New Roman"/>
          <w:szCs w:val="24"/>
          <w:lang w:val="en-GB" w:eastAsia="it-IT"/>
        </w:rPr>
        <w:t>to GC may contribute as well</w:t>
      </w:r>
      <w:r>
        <w:rPr>
          <w:rFonts w:ascii="Book Antiqua" w:eastAsia="Times New Roman" w:hAnsi="Book Antiqua" w:cs="Courier New"/>
          <w:szCs w:val="24"/>
          <w:lang w:val="en-GB" w:eastAsia="it-IT"/>
        </w:rPr>
        <w:t xml:space="preserve">, as has been determined for other malignancies. In GC patients, the potential utility of positron emission tomography/computed tomography (PET/CT) with the imaging radiopharmaceutical </w:t>
      </w:r>
      <w:r>
        <w:rPr>
          <w:rFonts w:ascii="Book Antiqua" w:eastAsia="Times New Roman" w:hAnsi="Book Antiqua" w:cs="Courier New"/>
          <w:szCs w:val="24"/>
          <w:vertAlign w:val="superscript"/>
          <w:lang w:val="en-GB" w:eastAsia="it-IT"/>
        </w:rPr>
        <w:t>18</w:t>
      </w:r>
      <w:r>
        <w:rPr>
          <w:rFonts w:ascii="Book Antiqua" w:eastAsia="Times New Roman" w:hAnsi="Book Antiqua" w:cs="Courier New"/>
          <w:szCs w:val="24"/>
          <w:lang w:val="en-GB" w:eastAsia="it-IT"/>
        </w:rPr>
        <w:t xml:space="preserve">F-fluorodeoxyglucose (FDG) is still debated, due to its lower sensitivity in diagnosing and staging GC compared to other imaging modalities. There is, however, growing evidence that FDG uptake in the primary tumour and regional lymph nodes may </w:t>
      </w:r>
      <w:r>
        <w:rPr>
          <w:rFonts w:ascii="Book Antiqua" w:eastAsia="Times New Roman" w:hAnsi="Book Antiqua" w:cs="Times New Roman"/>
          <w:szCs w:val="24"/>
          <w:lang w:val="en-GB" w:eastAsia="it-IT"/>
        </w:rPr>
        <w:t>be efficient for predicting prognosis of resected patients and for monitoring tumour response to perioperative treatments, having prognostic value in that it can change therapeutic strategies. Moreover, FDG uptake in bone marrow seems to be significantly associated with SIR to GC and to represent an efficient prognostic factor after curative surgery. In conclusion, PET/CT technology is efficient in GC patients, since it is useful to integrate other imaging modalities in staging tumours and may have prognostic value that can change therapeutic strategies. With ongoing improvements, PET/CT imaging may gain further importance in the management of GC patients.</w:t>
      </w:r>
    </w:p>
    <w:p w:rsidR="00BE00CF" w:rsidRDefault="00BE00CF" w:rsidP="00BE00CF">
      <w:pPr>
        <w:spacing w:line="360" w:lineRule="auto"/>
        <w:jc w:val="both"/>
        <w:rPr>
          <w:rFonts w:ascii="Book Antiqua" w:eastAsia="Times New Roman" w:hAnsi="Book Antiqua" w:cs="Courier New"/>
          <w:szCs w:val="24"/>
          <w:lang w:val="en-GB" w:eastAsia="it-IT"/>
        </w:rPr>
      </w:pPr>
    </w:p>
    <w:p w:rsidR="00BE00CF" w:rsidRDefault="00BE00CF" w:rsidP="00BE00CF">
      <w:pPr>
        <w:spacing w:line="360" w:lineRule="auto"/>
        <w:jc w:val="both"/>
        <w:rPr>
          <w:rFonts w:ascii="Book Antiqua" w:eastAsia="Times New Roman" w:hAnsi="Book Antiqua" w:cs="Courier New"/>
          <w:b/>
          <w:szCs w:val="24"/>
          <w:lang w:val="en-GB" w:eastAsia="it-IT"/>
        </w:rPr>
      </w:pPr>
      <w:r>
        <w:rPr>
          <w:rFonts w:ascii="Book Antiqua" w:eastAsia="Times New Roman" w:hAnsi="Book Antiqua" w:cs="Courier New"/>
          <w:b/>
          <w:szCs w:val="24"/>
          <w:lang w:val="en-GB" w:eastAsia="it-IT"/>
        </w:rPr>
        <w:t xml:space="preserve">Key words: </w:t>
      </w:r>
      <w:r>
        <w:rPr>
          <w:rFonts w:ascii="Book Antiqua" w:eastAsia="Times New Roman" w:hAnsi="Book Antiqua" w:cs="Courier New"/>
          <w:szCs w:val="24"/>
          <w:lang w:val="en-GB" w:eastAsia="it-IT"/>
        </w:rPr>
        <w:t xml:space="preserve">Gastric cancer; Prognosis; </w:t>
      </w:r>
      <w:r>
        <w:rPr>
          <w:rFonts w:ascii="Book Antiqua" w:eastAsia="Times New Roman" w:hAnsi="Book Antiqua" w:cs="Courier New"/>
          <w:szCs w:val="24"/>
          <w:vertAlign w:val="superscript"/>
          <w:lang w:val="en-GB" w:eastAsia="it-IT"/>
        </w:rPr>
        <w:t>18</w:t>
      </w:r>
      <w:r>
        <w:rPr>
          <w:rFonts w:ascii="Book Antiqua" w:eastAsia="Times New Roman" w:hAnsi="Book Antiqua" w:cs="Courier New"/>
          <w:szCs w:val="24"/>
          <w:lang w:val="en-GB" w:eastAsia="it-IT"/>
        </w:rPr>
        <w:t>F-fluorodeoxyglucose; Positron emission tomography-computed tomography; Bone marrow</w:t>
      </w:r>
      <w:r>
        <w:rPr>
          <w:rFonts w:ascii="Book Antiqua" w:eastAsia="Times New Roman" w:hAnsi="Book Antiqua" w:cs="Courier New"/>
          <w:b/>
          <w:szCs w:val="24"/>
          <w:lang w:val="en-GB" w:eastAsia="it-IT"/>
        </w:rPr>
        <w:t xml:space="preserve">  </w:t>
      </w:r>
    </w:p>
    <w:p w:rsidR="00BE00CF" w:rsidRDefault="00BE00CF" w:rsidP="00BE00CF">
      <w:pPr>
        <w:spacing w:line="360" w:lineRule="auto"/>
        <w:jc w:val="both"/>
        <w:rPr>
          <w:rFonts w:ascii="Book Antiqua" w:eastAsia="Times New Roman" w:hAnsi="Book Antiqua" w:cs="Courier New"/>
          <w:szCs w:val="24"/>
          <w:lang w:val="en-GB" w:eastAsia="it-IT"/>
        </w:rPr>
      </w:pPr>
    </w:p>
    <w:p w:rsidR="00BE00CF" w:rsidRDefault="00BE00CF" w:rsidP="00BE00CF">
      <w:pPr>
        <w:spacing w:line="360" w:lineRule="auto"/>
        <w:jc w:val="both"/>
        <w:rPr>
          <w:rFonts w:ascii="Book Antiqua" w:hAnsi="Book Antiqua" w:cs="Arial"/>
          <w:lang w:val="en-GB"/>
        </w:rPr>
      </w:pPr>
      <w:r>
        <w:rPr>
          <w:rFonts w:ascii="Book Antiqua" w:hAnsi="Book Antiqua"/>
          <w:b/>
          <w:lang w:val="en-GB"/>
        </w:rPr>
        <w:t xml:space="preserve">© </w:t>
      </w:r>
      <w:r>
        <w:rPr>
          <w:rFonts w:ascii="Book Antiqua" w:hAnsi="Book Antiqua" w:cs="Arial"/>
          <w:b/>
          <w:lang w:val="en-GB"/>
        </w:rPr>
        <w:t>The Author(s) 2017.</w:t>
      </w:r>
      <w:r>
        <w:rPr>
          <w:rFonts w:ascii="Book Antiqua" w:hAnsi="Book Antiqua" w:cs="Arial"/>
          <w:lang w:val="en-GB"/>
        </w:rPr>
        <w:t xml:space="preserve"> Published by Baishideng Publishing Group Inc. All rights reserved.</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b/>
          <w:szCs w:val="24"/>
          <w:lang w:val="en-GB" w:eastAsia="it-IT"/>
        </w:rPr>
      </w:pPr>
    </w:p>
    <w:p w:rsidR="00BE00CF" w:rsidRDefault="00BE00CF" w:rsidP="00BE00CF">
      <w:pPr>
        <w:suppressAutoHyphens w:val="0"/>
        <w:autoSpaceDE w:val="0"/>
        <w:autoSpaceDN w:val="0"/>
        <w:adjustRightInd w:val="0"/>
        <w:spacing w:line="360" w:lineRule="auto"/>
        <w:jc w:val="both"/>
        <w:rPr>
          <w:rFonts w:ascii="Book Antiqua" w:eastAsia="Times New Roman" w:hAnsi="Book Antiqua" w:cs="Times New Roman"/>
          <w:szCs w:val="24"/>
          <w:lang w:val="en-GB" w:eastAsia="it-IT"/>
        </w:rPr>
      </w:pPr>
      <w:r>
        <w:rPr>
          <w:rFonts w:ascii="Book Antiqua" w:eastAsia="Times New Roman" w:hAnsi="Book Antiqua" w:cs="Courier New"/>
          <w:b/>
          <w:szCs w:val="24"/>
          <w:lang w:val="en-GB" w:eastAsia="it-IT"/>
        </w:rPr>
        <w:t xml:space="preserve">Core tip: </w:t>
      </w:r>
      <w:r>
        <w:rPr>
          <w:rFonts w:ascii="Book Antiqua" w:eastAsia="Times New Roman" w:hAnsi="Book Antiqua" w:cs="Courier New"/>
          <w:szCs w:val="24"/>
          <w:lang w:val="en-GB" w:eastAsia="it-IT"/>
        </w:rPr>
        <w:t xml:space="preserve">Gastric cancer (GC) is still a leading cause of cancer death worldwide. Prognosis depends on surgical curability, response to adjuvant therapies, tumour stage and histology, but also on the systemic inflammatory response </w:t>
      </w:r>
      <w:r>
        <w:rPr>
          <w:rFonts w:ascii="Book Antiqua" w:eastAsia="Times New Roman" w:hAnsi="Book Antiqua" w:cs="Times New Roman"/>
          <w:szCs w:val="24"/>
          <w:lang w:val="en-GB" w:eastAsia="it-IT"/>
        </w:rPr>
        <w:t>to malignancy</w:t>
      </w:r>
      <w:r>
        <w:rPr>
          <w:rFonts w:ascii="Book Antiqua" w:eastAsia="Times New Roman" w:hAnsi="Book Antiqua" w:cs="Courier New"/>
          <w:szCs w:val="24"/>
          <w:lang w:val="en-GB" w:eastAsia="it-IT"/>
        </w:rPr>
        <w:t xml:space="preserve">. While the diagnostic role of positron emission tomography with </w:t>
      </w:r>
      <w:r>
        <w:rPr>
          <w:rFonts w:ascii="Book Antiqua" w:eastAsia="Times New Roman" w:hAnsi="Book Antiqua" w:cs="Courier New"/>
          <w:szCs w:val="24"/>
          <w:vertAlign w:val="superscript"/>
          <w:lang w:val="en-GB" w:eastAsia="it-IT"/>
        </w:rPr>
        <w:lastRenderedPageBreak/>
        <w:t>18</w:t>
      </w:r>
      <w:r>
        <w:rPr>
          <w:rFonts w:ascii="Book Antiqua" w:eastAsia="Times New Roman" w:hAnsi="Book Antiqua" w:cs="Courier New"/>
          <w:szCs w:val="24"/>
          <w:lang w:val="en-GB" w:eastAsia="it-IT"/>
        </w:rPr>
        <w:t xml:space="preserve">F-fluorodeoxyglucose (FDG) in GC is still debated, due to unsatisfactory sensitivity, there is growing evidence that FDG uptake, either at the tumour sites or in the bone marrow, may </w:t>
      </w:r>
      <w:r>
        <w:rPr>
          <w:rFonts w:ascii="Book Antiqua" w:eastAsia="Times New Roman" w:hAnsi="Book Antiqua" w:cs="Times New Roman"/>
          <w:szCs w:val="24"/>
          <w:lang w:val="en-GB" w:eastAsia="it-IT"/>
        </w:rPr>
        <w:t>represent an efficient tool for predicting prognosis of resected patients and for monitoring tumour response to adjuvant treatments, and may have prognostic value in directing therapeutic strategies.</w:t>
      </w:r>
    </w:p>
    <w:p w:rsidR="00BE00CF" w:rsidRDefault="00BE00CF" w:rsidP="00BE00CF">
      <w:pPr>
        <w:spacing w:line="360" w:lineRule="auto"/>
        <w:jc w:val="both"/>
        <w:rPr>
          <w:rFonts w:ascii="Book Antiqua" w:hAnsi="Book Antiqua" w:cs="Times New Roman"/>
          <w:b/>
          <w:szCs w:val="24"/>
          <w:lang w:val="en-GB"/>
        </w:rPr>
      </w:pPr>
    </w:p>
    <w:p w:rsidR="00BE00CF" w:rsidRPr="002453BF" w:rsidRDefault="00BE00CF" w:rsidP="00BE00CF">
      <w:pPr>
        <w:spacing w:line="360" w:lineRule="auto"/>
        <w:jc w:val="both"/>
        <w:rPr>
          <w:rFonts w:ascii="Book Antiqua" w:eastAsiaTheme="minorEastAsia" w:hAnsi="Book Antiqua" w:cs="Times New Roman"/>
          <w:szCs w:val="24"/>
          <w:lang w:val="en-GB"/>
        </w:rPr>
      </w:pPr>
      <w:r>
        <w:rPr>
          <w:rFonts w:ascii="Book Antiqua" w:hAnsi="Book Antiqua" w:cs="Times New Roman"/>
          <w:szCs w:val="24"/>
          <w:lang w:val="en-GB"/>
        </w:rPr>
        <w:t>De Raffele E, Mirarchi M, Cuicchi D, Lecce F, Cola B. Evolving role of FDG-PET/CT in prognostic evaluation of resectable gastric cancer.</w:t>
      </w:r>
      <w:r>
        <w:rPr>
          <w:rFonts w:ascii="Book Antiqua" w:hAnsi="Book Antiqua" w:cs="Times New Roman"/>
          <w:b/>
          <w:szCs w:val="24"/>
          <w:lang w:val="en-GB"/>
        </w:rPr>
        <w:t xml:space="preserve"> </w:t>
      </w:r>
      <w:r>
        <w:rPr>
          <w:rFonts w:ascii="Book Antiqua" w:hAnsi="Book Antiqua"/>
          <w:i/>
          <w:iCs/>
          <w:lang w:val="en-GB"/>
        </w:rPr>
        <w:t xml:space="preserve">World J </w:t>
      </w:r>
      <w:r w:rsidR="002453BF" w:rsidRPr="0033181D">
        <w:rPr>
          <w:rFonts w:ascii="Book Antiqua" w:hAnsi="Book Antiqua" w:cs="Times New Roman"/>
          <w:i/>
          <w:szCs w:val="24"/>
          <w:lang w:val="en-GB"/>
        </w:rPr>
        <w:t>Gastroenterol</w:t>
      </w:r>
      <w:r w:rsidR="002453BF" w:rsidRPr="0033181D">
        <w:rPr>
          <w:rFonts w:ascii="Book Antiqua" w:eastAsiaTheme="minorEastAsia" w:hAnsi="Book Antiqua" w:cs="Times New Roman" w:hint="eastAsia"/>
          <w:i/>
          <w:szCs w:val="24"/>
          <w:lang w:val="en-GB"/>
        </w:rPr>
        <w:t xml:space="preserve"> </w:t>
      </w:r>
      <w:r>
        <w:rPr>
          <w:rFonts w:ascii="Book Antiqua" w:hAnsi="Book Antiqua"/>
          <w:iCs/>
          <w:lang w:val="en-GB"/>
        </w:rPr>
        <w:t xml:space="preserve">2017; </w:t>
      </w:r>
      <w:r w:rsidR="002453BF">
        <w:rPr>
          <w:rFonts w:ascii="Book Antiqua" w:eastAsiaTheme="minorEastAsia" w:hAnsi="Book Antiqua" w:hint="eastAsia"/>
          <w:iCs/>
          <w:lang w:val="en-GB"/>
        </w:rPr>
        <w:t>In press</w:t>
      </w:r>
    </w:p>
    <w:p w:rsidR="00BE00CF" w:rsidRDefault="00BE00CF" w:rsidP="00BE00CF">
      <w:pPr>
        <w:spacing w:line="360" w:lineRule="auto"/>
        <w:jc w:val="both"/>
        <w:outlineLvl w:val="0"/>
        <w:rPr>
          <w:rFonts w:ascii="Book Antiqua" w:eastAsia="Times New Roman" w:hAnsi="Book Antiqua" w:cs="Courier New"/>
          <w:b/>
          <w:szCs w:val="24"/>
          <w:lang w:val="en-GB" w:eastAsia="it-IT"/>
        </w:rPr>
      </w:pPr>
      <w:bookmarkStart w:id="0" w:name="_GoBack"/>
      <w:bookmarkEnd w:id="0"/>
      <w:r>
        <w:rPr>
          <w:rFonts w:ascii="Book Antiqua" w:eastAsia="Times New Roman" w:hAnsi="Book Antiqua" w:cs="Courier New"/>
          <w:szCs w:val="24"/>
          <w:lang w:val="en-GB" w:eastAsia="it-IT"/>
        </w:rPr>
        <w:br w:type="page"/>
      </w:r>
      <w:r>
        <w:rPr>
          <w:rFonts w:ascii="Book Antiqua" w:eastAsia="Times New Roman" w:hAnsi="Book Antiqua" w:cs="Courier New"/>
          <w:b/>
          <w:szCs w:val="24"/>
          <w:lang w:val="en-GB" w:eastAsia="it-IT"/>
        </w:rPr>
        <w:lastRenderedPageBreak/>
        <w:t>INTRODUCTION</w:t>
      </w:r>
    </w:p>
    <w:p w:rsidR="00BE00CF" w:rsidRDefault="00BE00CF" w:rsidP="00BE00CF">
      <w:pPr>
        <w:spacing w:line="360" w:lineRule="auto"/>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Gastric cancer (GC) remains a leading cause of cancer death worldwide, with poor prognosis despite significant advances in diagnosis and treatment. Survival rates are highest in Japan, due to focused management of preventive and prognosis-related factors (</w:t>
      </w:r>
      <w:r>
        <w:rPr>
          <w:rFonts w:ascii="Book Antiqua" w:eastAsia="Times New Roman" w:hAnsi="Book Antiqua" w:cs="Courier New"/>
          <w:i/>
          <w:szCs w:val="24"/>
          <w:lang w:val="en-GB" w:eastAsia="it-IT"/>
        </w:rPr>
        <w:t>i.e.</w:t>
      </w:r>
      <w:r>
        <w:rPr>
          <w:rFonts w:ascii="Book Antiqua" w:eastAsia="Times New Roman" w:hAnsi="Book Antiqua" w:cs="Courier New"/>
          <w:szCs w:val="24"/>
          <w:lang w:val="en-GB" w:eastAsia="it-IT"/>
        </w:rPr>
        <w:t xml:space="preserve"> infection and smoking, respectively)</w:t>
      </w:r>
      <w:r>
        <w:rPr>
          <w:rFonts w:ascii="Book Antiqua" w:eastAsia="Times New Roman" w:hAnsi="Book Antiqua" w:cs="Courier New"/>
          <w:szCs w:val="24"/>
          <w:vertAlign w:val="superscript"/>
          <w:lang w:val="en-GB" w:eastAsia="it-IT"/>
        </w:rPr>
        <w:t>[2]</w:t>
      </w:r>
      <w:r>
        <w:rPr>
          <w:rFonts w:ascii="Book Antiqua" w:eastAsia="Times New Roman" w:hAnsi="Book Antiqua" w:cs="Courier New"/>
          <w:szCs w:val="24"/>
          <w:lang w:val="en-GB" w:eastAsia="it-IT"/>
        </w:rPr>
        <w:t>, and are progressively increasing in western countries</w:t>
      </w:r>
      <w:r>
        <w:rPr>
          <w:rFonts w:ascii="Book Antiqua" w:eastAsia="Times New Roman" w:hAnsi="Book Antiqua" w:cs="Courier New"/>
          <w:szCs w:val="24"/>
          <w:vertAlign w:val="superscript"/>
          <w:lang w:val="en-GB" w:eastAsia="it-IT"/>
        </w:rPr>
        <w:t>[1-3]</w:t>
      </w:r>
      <w:r>
        <w:rPr>
          <w:rFonts w:ascii="Book Antiqua" w:eastAsia="Times New Roman" w:hAnsi="Book Antiqua" w:cs="Courier New"/>
          <w:szCs w:val="24"/>
          <w:lang w:val="en-GB" w:eastAsia="it-IT"/>
        </w:rPr>
        <w:t xml:space="preserve">. Prognostic factors related to GC are quite well established, such as local extension, lymph-node involvement and presence of distant metastases, and can be adequately defined by the conventional imaging modalities, including endoscopic ultrasound (EUS), computed tomography (CT) and magnetic resonance imaging (MRI). However, some emerging prognostic factors related to the metabolism of tumour cells, such as the glucose avidity, or to the systemic </w:t>
      </w:r>
      <w:r>
        <w:rPr>
          <w:rFonts w:ascii="Book Antiqua" w:eastAsia="Times New Roman" w:hAnsi="Book Antiqua" w:cs="Times New Roman"/>
          <w:szCs w:val="24"/>
          <w:lang w:val="en-GB" w:eastAsia="it-IT"/>
        </w:rPr>
        <w:t xml:space="preserve">inflammatory response (SIR) to the tumour can be better evaluated through the metabolic information that are provided by </w:t>
      </w:r>
      <w:r>
        <w:rPr>
          <w:rFonts w:ascii="Book Antiqua" w:eastAsia="Times New Roman" w:hAnsi="Book Antiqua" w:cs="Courier New"/>
          <w:szCs w:val="24"/>
          <w:lang w:val="en-GB" w:eastAsia="it-IT"/>
        </w:rPr>
        <w:t xml:space="preserve">positron emission tomography (PET) integrated with CT, even though the role of PET/CT imaging in the evaluation of GC is still controversial. </w:t>
      </w:r>
    </w:p>
    <w:p w:rsidR="00BE00CF" w:rsidRDefault="00BE00CF" w:rsidP="00BE00CF">
      <w:pPr>
        <w:spacing w:line="360" w:lineRule="auto"/>
        <w:jc w:val="both"/>
        <w:rPr>
          <w:rFonts w:ascii="Book Antiqua" w:eastAsia="Times New Roman" w:hAnsi="Book Antiqua" w:cs="Courier New"/>
          <w:szCs w:val="24"/>
          <w:lang w:val="en-GB" w:eastAsia="it-IT"/>
        </w:rPr>
      </w:pPr>
    </w:p>
    <w:p w:rsidR="00BE00CF" w:rsidRDefault="00BE00CF" w:rsidP="00BE00CF">
      <w:pPr>
        <w:spacing w:line="360" w:lineRule="auto"/>
        <w:jc w:val="both"/>
        <w:rPr>
          <w:rFonts w:ascii="Book Antiqua" w:eastAsia="Times New Roman" w:hAnsi="Book Antiqua" w:cs="Courier New"/>
          <w:b/>
          <w:szCs w:val="24"/>
          <w:lang w:val="en-GB" w:eastAsia="it-IT"/>
        </w:rPr>
      </w:pPr>
      <w:r>
        <w:rPr>
          <w:rFonts w:ascii="Book Antiqua" w:eastAsia="Times New Roman" w:hAnsi="Book Antiqua" w:cs="Courier New"/>
          <w:b/>
          <w:szCs w:val="24"/>
          <w:lang w:val="en-GB" w:eastAsia="it-IT"/>
        </w:rPr>
        <w:t>CLASSIFICATION, THERAPEUTIC STRATEGIES AND PROGNOSIS</w:t>
      </w:r>
    </w:p>
    <w:p w:rsidR="00BE00CF" w:rsidRDefault="00BE00CF" w:rsidP="00BE00CF">
      <w:pPr>
        <w:spacing w:line="360" w:lineRule="auto"/>
        <w:jc w:val="both"/>
        <w:rPr>
          <w:rFonts w:ascii="Book Antiqua" w:hAnsi="Book Antiqua" w:cs="Times New Roman"/>
          <w:szCs w:val="24"/>
          <w:lang w:val="en-GB"/>
        </w:rPr>
      </w:pPr>
      <w:r>
        <w:rPr>
          <w:rFonts w:ascii="Book Antiqua" w:eastAsia="Times New Roman" w:hAnsi="Book Antiqua" w:cs="Courier New"/>
          <w:szCs w:val="24"/>
          <w:lang w:val="en-GB" w:eastAsia="it-IT"/>
        </w:rPr>
        <w:t>GC can be categorized according to anatomical location, as either true GC (non-cardia) or gastro-oesophageal-junction (cardia) cancer (GEJ)</w:t>
      </w:r>
      <w:r>
        <w:rPr>
          <w:rFonts w:ascii="Book Antiqua" w:eastAsia="Times New Roman" w:hAnsi="Book Antiqua" w:cs="Courier New"/>
          <w:szCs w:val="24"/>
          <w:vertAlign w:val="superscript"/>
          <w:lang w:val="en-GB" w:eastAsia="it-IT"/>
        </w:rPr>
        <w:t>[1,2]</w:t>
      </w:r>
      <w:r>
        <w:rPr>
          <w:rFonts w:ascii="Book Antiqua" w:eastAsia="Times New Roman" w:hAnsi="Book Antiqua" w:cs="Courier New"/>
          <w:szCs w:val="24"/>
          <w:lang w:val="en-GB" w:eastAsia="it-IT"/>
        </w:rPr>
        <w:t>. In general, GC are predominantly adenocarcinomas, classified according to the World Health Organization (WHO) classification into tubular, papillary, mucinous (MAC), poorly cohesive and rare variants</w:t>
      </w:r>
      <w:r>
        <w:rPr>
          <w:rFonts w:ascii="Book Antiqua" w:eastAsia="Times New Roman" w:hAnsi="Book Antiqua" w:cs="Courier New"/>
          <w:szCs w:val="24"/>
          <w:vertAlign w:val="superscript"/>
          <w:lang w:val="en-GB" w:eastAsia="it-IT"/>
        </w:rPr>
        <w:t>[1-3]</w:t>
      </w:r>
      <w:r>
        <w:rPr>
          <w:rFonts w:ascii="Book Antiqua" w:eastAsia="Times New Roman" w:hAnsi="Book Antiqua" w:cs="Courier New"/>
          <w:szCs w:val="24"/>
          <w:lang w:val="en-GB" w:eastAsia="it-IT"/>
        </w:rPr>
        <w:t>. The Lauren classification distinguishes GC according to intestinal type, diffuse type (including signet ring cell carcinoma (SRC)), mixed type and indeterminate type</w:t>
      </w:r>
      <w:r>
        <w:rPr>
          <w:rFonts w:ascii="Book Antiqua" w:eastAsia="Times New Roman" w:hAnsi="Book Antiqua" w:cs="Courier New"/>
          <w:szCs w:val="24"/>
          <w:vertAlign w:val="superscript"/>
          <w:lang w:val="en-GB" w:eastAsia="it-IT"/>
        </w:rPr>
        <w:t>[1-3]</w:t>
      </w:r>
      <w:r>
        <w:rPr>
          <w:rFonts w:ascii="Book Antiqua" w:eastAsia="Times New Roman" w:hAnsi="Book Antiqua" w:cs="Courier New"/>
          <w:szCs w:val="24"/>
          <w:lang w:val="en-GB" w:eastAsia="it-IT"/>
        </w:rPr>
        <w:t>. Classification of GC based on molecular subtyping has been proposed recently</w:t>
      </w:r>
      <w:r>
        <w:rPr>
          <w:rFonts w:ascii="Book Antiqua" w:eastAsia="Times New Roman" w:hAnsi="Book Antiqua" w:cs="Courier New"/>
          <w:szCs w:val="24"/>
          <w:vertAlign w:val="superscript"/>
          <w:lang w:val="en-GB" w:eastAsia="it-IT"/>
        </w:rPr>
        <w:t>[1]</w:t>
      </w:r>
      <w:r>
        <w:rPr>
          <w:rFonts w:ascii="Book Antiqua" w:eastAsia="Times New Roman" w:hAnsi="Book Antiqua" w:cs="Courier New"/>
          <w:szCs w:val="24"/>
          <w:lang w:val="en-GB" w:eastAsia="it-IT"/>
        </w:rPr>
        <w:t xml:space="preserve"> and is promising for helping to improve the accuracy of prediction of individual prognosis and for providing individually-tailored therapies. </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ab/>
        <w:t>Radical surgical resection is the only potentially curative therapeutic option for resectable GC presently. Adequate surgery includes complete resection of the primary tumour and appropriate lymphadenectomy. Tumours of the lower two-thirds of the stomach can be selectively treated with distal subtotal gastrectomy; otherwise, total gastrectomy is recommended</w:t>
      </w:r>
      <w:r>
        <w:rPr>
          <w:rFonts w:ascii="Book Antiqua" w:eastAsia="Times New Roman" w:hAnsi="Book Antiqua" w:cs="Courier New"/>
          <w:szCs w:val="24"/>
          <w:vertAlign w:val="superscript"/>
          <w:lang w:val="en-GB" w:eastAsia="it-IT"/>
        </w:rPr>
        <w:t>[2-4]</w:t>
      </w:r>
      <w:r>
        <w:rPr>
          <w:rFonts w:ascii="Book Antiqua" w:eastAsia="Times New Roman" w:hAnsi="Book Antiqua" w:cs="Courier New"/>
          <w:szCs w:val="24"/>
          <w:lang w:val="en-GB" w:eastAsia="it-IT"/>
        </w:rPr>
        <w:t xml:space="preserve">. This approach has contributed in </w:t>
      </w:r>
      <w:r>
        <w:rPr>
          <w:rFonts w:ascii="Book Antiqua" w:eastAsia="Times New Roman" w:hAnsi="Book Antiqua" w:cs="Courier New"/>
          <w:szCs w:val="24"/>
          <w:lang w:val="en-GB" w:eastAsia="it-IT"/>
        </w:rPr>
        <w:lastRenderedPageBreak/>
        <w:t>part to the amelioration of cure rates from 30% to over 50% in selected series over the past decade</w:t>
      </w:r>
      <w:r>
        <w:rPr>
          <w:rFonts w:ascii="Book Antiqua" w:eastAsia="Times New Roman" w:hAnsi="Book Antiqua" w:cs="Courier New"/>
          <w:szCs w:val="24"/>
          <w:vertAlign w:val="superscript"/>
          <w:lang w:val="en-GB" w:eastAsia="it-IT"/>
        </w:rPr>
        <w:t>[1]</w:t>
      </w:r>
      <w:r>
        <w:rPr>
          <w:rFonts w:ascii="Book Antiqua" w:eastAsia="Times New Roman" w:hAnsi="Book Antiqua" w:cs="Courier New"/>
          <w:szCs w:val="24"/>
          <w:lang w:val="en-GB" w:eastAsia="it-IT"/>
        </w:rPr>
        <w:t xml:space="preserve">. Early GC (EGC) is defined as limited to the mucosa or submucosa (T1 stage or lower), regardless of nodal status. Endoscopic resection is considered appropriate for </w:t>
      </w:r>
      <w:r w:rsidRPr="002453BF">
        <w:rPr>
          <w:rFonts w:ascii="Book Antiqua" w:eastAsia="Times New Roman" w:hAnsi="Book Antiqua" w:cs="Courier New"/>
          <w:szCs w:val="24"/>
          <w:lang w:val="en-GB" w:eastAsia="it-IT"/>
        </w:rPr>
        <w:t>small (</w:t>
      </w:r>
      <w:r w:rsidR="002453BF" w:rsidRPr="002453BF">
        <w:rPr>
          <w:rFonts w:ascii="Book Antiqua" w:eastAsia="Times New Roman" w:hAnsi="Book Antiqua" w:cs="Courier New"/>
          <w:szCs w:val="24"/>
          <w:lang w:val="en-GB" w:eastAsia="it-IT"/>
        </w:rPr>
        <w:sym w:font="Symbol" w:char="F0A3"/>
      </w:r>
      <w:r w:rsidR="002453BF" w:rsidRPr="002453BF">
        <w:rPr>
          <w:rFonts w:ascii="Book Antiqua" w:eastAsiaTheme="minorEastAsia" w:hAnsi="Book Antiqua" w:cs="Courier New" w:hint="eastAsia"/>
          <w:szCs w:val="24"/>
          <w:lang w:val="en-GB"/>
        </w:rPr>
        <w:t xml:space="preserve"> </w:t>
      </w:r>
      <w:r w:rsidRPr="002453BF">
        <w:rPr>
          <w:rFonts w:ascii="Book Antiqua" w:eastAsia="Times New Roman" w:hAnsi="Book Antiqua" w:cs="Courier New"/>
          <w:szCs w:val="24"/>
          <w:lang w:val="en-GB" w:eastAsia="it-IT"/>
        </w:rPr>
        <w:t>20</w:t>
      </w:r>
      <w:r>
        <w:rPr>
          <w:rFonts w:ascii="Book Antiqua" w:eastAsia="Times New Roman" w:hAnsi="Book Antiqua" w:cs="Courier New"/>
          <w:szCs w:val="24"/>
          <w:lang w:val="en-GB" w:eastAsia="it-IT"/>
        </w:rPr>
        <w:t xml:space="preserve"> mm), non-ulcerated, superficial GC that are well differentiated and limited to the mucosa (T1a), because the incidence of regional lymph node metastases is very low</w:t>
      </w:r>
      <w:r>
        <w:rPr>
          <w:rFonts w:ascii="Book Antiqua" w:eastAsia="Times New Roman" w:hAnsi="Book Antiqua" w:cs="Courier New"/>
          <w:szCs w:val="24"/>
          <w:vertAlign w:val="superscript"/>
          <w:lang w:val="en-GB" w:eastAsia="it-IT"/>
        </w:rPr>
        <w:t>[3]</w:t>
      </w:r>
      <w:r>
        <w:rPr>
          <w:rFonts w:ascii="Book Antiqua" w:eastAsia="Times New Roman" w:hAnsi="Book Antiqua" w:cs="Courier New"/>
          <w:szCs w:val="24"/>
          <w:lang w:val="en-GB" w:eastAsia="it-IT"/>
        </w:rPr>
        <w:t>. If, however, the tumour has invaded the submucosa (T1b), radical gastrectomy with lymphadenectomy is required, since lymph node involvement is observed in up to 20% of cases</w:t>
      </w:r>
      <w:r>
        <w:rPr>
          <w:rFonts w:ascii="Book Antiqua" w:eastAsia="Times New Roman" w:hAnsi="Book Antiqua" w:cs="Courier New"/>
          <w:szCs w:val="24"/>
          <w:vertAlign w:val="superscript"/>
          <w:lang w:val="en-GB" w:eastAsia="it-IT"/>
        </w:rPr>
        <w:t>[1,2]</w:t>
      </w:r>
      <w:r>
        <w:rPr>
          <w:rFonts w:ascii="Book Antiqua" w:eastAsia="Times New Roman" w:hAnsi="Book Antiqua" w:cs="Courier New"/>
          <w:szCs w:val="24"/>
          <w:lang w:val="en-GB" w:eastAsia="it-IT"/>
        </w:rPr>
        <w:t>. Locally advanced GC (AGC; invading the muscularis propria and beyond (T2 stage or higher)) presents in most cases with metastases to lymph nodes, distant organs, or both. Patients without distant metastases are candidates for potentially radical surgery, either conventional or minimally invasive by laparoscopy</w:t>
      </w:r>
      <w:r>
        <w:rPr>
          <w:rFonts w:ascii="Book Antiqua" w:eastAsia="Times New Roman" w:hAnsi="Book Antiqua" w:cs="Courier New"/>
          <w:szCs w:val="24"/>
          <w:vertAlign w:val="superscript"/>
          <w:lang w:val="en-GB" w:eastAsia="it-IT"/>
        </w:rPr>
        <w:t>[1-4]</w:t>
      </w:r>
      <w:r>
        <w:rPr>
          <w:rFonts w:ascii="Book Antiqua" w:eastAsia="Times New Roman" w:hAnsi="Book Antiqua" w:cs="Courier New"/>
          <w:szCs w:val="24"/>
          <w:lang w:val="en-GB" w:eastAsia="it-IT"/>
        </w:rPr>
        <w:t>. Perioperative therapies for resectable GC include chemotherapy (CHT), radiotherapy and chemoradiotherapy, performed before and/or after surgery. Even though adjuvant and neoadjuvant therapies have been demonstrated to improve prognosis after potentially curative resection of locally AGC, the optimal strategy is still debated</w:t>
      </w:r>
      <w:r>
        <w:rPr>
          <w:rFonts w:ascii="Book Antiqua" w:eastAsia="Times New Roman" w:hAnsi="Book Antiqua" w:cs="Courier New"/>
          <w:szCs w:val="24"/>
          <w:vertAlign w:val="superscript"/>
          <w:lang w:val="en-GB" w:eastAsia="it-IT"/>
        </w:rPr>
        <w:t>[1-3]</w:t>
      </w:r>
      <w:r>
        <w:rPr>
          <w:rFonts w:ascii="Book Antiqua" w:eastAsia="Times New Roman" w:hAnsi="Book Antiqua" w:cs="Courier New"/>
          <w:szCs w:val="24"/>
          <w:lang w:val="en-GB" w:eastAsia="it-IT"/>
        </w:rPr>
        <w:t xml:space="preserve">. </w:t>
      </w:r>
    </w:p>
    <w:p w:rsidR="00BE00CF" w:rsidRDefault="00BE00CF" w:rsidP="00BE00CF">
      <w:pPr>
        <w:suppressAutoHyphens w:val="0"/>
        <w:autoSpaceDE w:val="0"/>
        <w:autoSpaceDN w:val="0"/>
        <w:adjustRightInd w:val="0"/>
        <w:spacing w:line="360" w:lineRule="auto"/>
        <w:ind w:firstLine="708"/>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Despite substantial advances in the staging procedures, imaging techniques and treatment options, prognosis of GC remains poor, with postoperative 5-year survival rates of 25%-30% in western countries, because of the high incidence of advanced tumours</w:t>
      </w:r>
      <w:r>
        <w:rPr>
          <w:rFonts w:ascii="Book Antiqua" w:eastAsia="Times New Roman" w:hAnsi="Book Antiqua" w:cs="Courier New"/>
          <w:szCs w:val="24"/>
          <w:vertAlign w:val="superscript"/>
          <w:lang w:val="en-GB" w:eastAsia="it-IT"/>
        </w:rPr>
        <w:t>[3]</w:t>
      </w:r>
      <w:r>
        <w:rPr>
          <w:rFonts w:ascii="Book Antiqua" w:eastAsia="Times New Roman" w:hAnsi="Book Antiqua" w:cs="Courier New"/>
          <w:szCs w:val="24"/>
          <w:lang w:val="en-GB" w:eastAsia="it-IT"/>
        </w:rPr>
        <w:t>. Cardia GC and diffuse-type non-cardia GC have the worst prognosis. For resectable locally AGC, outcome depends on the surgical disease stage. Resection of EGC provides excellent 5-year survival rates, up to 90%. However, at the time of diagnosis GC is usually advanced, with reported involvement of the regional lymph nodes in 70% to 80% of cases. If the tumour invades the subserosa (T3 stage), 5-year survival decreases to less than 50%. Moreover, the presence of nodal involvement in T3 lesions further decreases 5-year overall survival to less than 30%</w:t>
      </w:r>
      <w:r>
        <w:rPr>
          <w:rFonts w:ascii="Book Antiqua" w:eastAsia="Times New Roman" w:hAnsi="Book Antiqua" w:cs="Courier New"/>
          <w:szCs w:val="24"/>
          <w:vertAlign w:val="superscript"/>
          <w:lang w:val="en-GB" w:eastAsia="it-IT"/>
        </w:rPr>
        <w:t>[2]</w:t>
      </w:r>
      <w:r>
        <w:rPr>
          <w:rFonts w:ascii="Book Antiqua" w:eastAsia="Times New Roman" w:hAnsi="Book Antiqua" w:cs="Courier New"/>
          <w:szCs w:val="24"/>
          <w:lang w:val="en-GB" w:eastAsia="it-IT"/>
        </w:rPr>
        <w:t>. Besides tumour-related factors, the survival of GC patients, as for other malignancies, is also dependent on the host’s reaction to the cancer. SIR</w:t>
      </w:r>
      <w:r>
        <w:rPr>
          <w:rFonts w:ascii="Book Antiqua" w:eastAsia="Times New Roman" w:hAnsi="Book Antiqua" w:cs="Times New Roman"/>
          <w:szCs w:val="24"/>
          <w:lang w:val="en-GB" w:eastAsia="it-IT"/>
        </w:rPr>
        <w:t xml:space="preserve"> plays a critical role in carcinogenesis and tumour diffusion</w:t>
      </w:r>
      <w:r>
        <w:rPr>
          <w:rFonts w:ascii="Book Antiqua" w:eastAsia="Times New Roman" w:hAnsi="Book Antiqua" w:cs="Courier New"/>
          <w:szCs w:val="24"/>
          <w:vertAlign w:val="superscript"/>
          <w:lang w:val="en-GB" w:eastAsia="it-IT"/>
        </w:rPr>
        <w:t>[5]</w:t>
      </w:r>
      <w:r>
        <w:rPr>
          <w:rFonts w:ascii="Book Antiqua" w:eastAsia="Times New Roman" w:hAnsi="Book Antiqua" w:cs="Times New Roman"/>
          <w:szCs w:val="24"/>
          <w:lang w:val="en-GB" w:eastAsia="it-IT"/>
        </w:rPr>
        <w:t>. Several host SIR markers (SIRMs) have been identified as prognostic factors.</w:t>
      </w:r>
      <w:r w:rsidR="002453BF">
        <w:rPr>
          <w:rFonts w:ascii="Book Antiqua" w:eastAsiaTheme="minorEastAsia" w:hAnsi="Book Antiqua" w:cs="Times New Roman" w:hint="eastAsia"/>
          <w:szCs w:val="24"/>
          <w:lang w:val="en-GB"/>
        </w:rPr>
        <w:t xml:space="preserve"> </w:t>
      </w:r>
      <w:r>
        <w:rPr>
          <w:rFonts w:ascii="Book Antiqua" w:eastAsia="Times New Roman" w:hAnsi="Book Antiqua" w:cs="Times New Roman"/>
          <w:szCs w:val="24"/>
          <w:lang w:val="en-GB" w:eastAsia="it-IT"/>
        </w:rPr>
        <w:t xml:space="preserve">Neutrophil-to-lymphocyte ratio (NLR), platelet-to-lymphocyte ratio (PLR), albumin and C-reactive protein (CRP) have been </w:t>
      </w:r>
      <w:r>
        <w:rPr>
          <w:rFonts w:ascii="Book Antiqua" w:eastAsia="Times New Roman" w:hAnsi="Book Antiqua" w:cs="Times New Roman"/>
          <w:szCs w:val="24"/>
          <w:lang w:val="en-GB" w:eastAsia="it-IT"/>
        </w:rPr>
        <w:lastRenderedPageBreak/>
        <w:t>indicated, alone or in combination, as significant factors for predicting postoperative prognosis of GC patients</w:t>
      </w:r>
      <w:r>
        <w:rPr>
          <w:rFonts w:ascii="Book Antiqua" w:eastAsia="Times New Roman" w:hAnsi="Book Antiqua" w:cs="Courier New"/>
          <w:szCs w:val="24"/>
          <w:vertAlign w:val="superscript"/>
          <w:lang w:val="en-GB" w:eastAsia="it-IT"/>
        </w:rPr>
        <w:t>[6,7]</w:t>
      </w:r>
      <w:r>
        <w:rPr>
          <w:rFonts w:ascii="Book Antiqua" w:eastAsia="Times New Roman" w:hAnsi="Book Antiqua" w:cs="Times New Roman"/>
          <w:szCs w:val="24"/>
          <w:lang w:val="en-GB" w:eastAsia="it-IT"/>
        </w:rPr>
        <w:t>.</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szCs w:val="24"/>
          <w:lang w:val="en-GB" w:eastAsia="it-IT"/>
        </w:rPr>
      </w:pP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b/>
          <w:szCs w:val="24"/>
          <w:lang w:val="en-GB" w:eastAsia="it-IT"/>
        </w:rPr>
      </w:pPr>
      <w:r>
        <w:rPr>
          <w:rFonts w:ascii="Book Antiqua" w:eastAsia="Times New Roman" w:hAnsi="Book Antiqua" w:cs="Courier New"/>
          <w:b/>
          <w:szCs w:val="24"/>
          <w:lang w:val="en-GB" w:eastAsia="it-IT"/>
        </w:rPr>
        <w:t>ROLE OF PET/CT IN DIAGNOSIS AND PROGNOSTIC EVALUATION</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 xml:space="preserve">Clinical evaluation of GC has greatly improved with the availability of EUS, CT, MRI, PET/CT and laparoscopic staging. PET/CT using </w:t>
      </w:r>
      <w:r>
        <w:rPr>
          <w:rFonts w:ascii="Book Antiqua" w:eastAsia="Times New Roman" w:hAnsi="Book Antiqua" w:cs="Courier New"/>
          <w:szCs w:val="24"/>
          <w:vertAlign w:val="superscript"/>
          <w:lang w:val="en-GB" w:eastAsia="it-IT"/>
        </w:rPr>
        <w:t>18</w:t>
      </w:r>
      <w:r>
        <w:rPr>
          <w:rFonts w:ascii="Book Antiqua" w:eastAsia="Times New Roman" w:hAnsi="Book Antiqua" w:cs="Courier New"/>
          <w:szCs w:val="24"/>
          <w:lang w:val="en-GB" w:eastAsia="it-IT"/>
        </w:rPr>
        <w:t>F-fluorodeoxyglucose (FDG) has proven useful for staging, detecting recurrence, evaluating treatment response and predicting prognosis</w:t>
      </w:r>
      <w:r>
        <w:rPr>
          <w:rFonts w:ascii="Book Antiqua" w:eastAsia="Times New Roman" w:hAnsi="Book Antiqua" w:cs="Courier New"/>
          <w:szCs w:val="24"/>
          <w:vertAlign w:val="superscript"/>
          <w:lang w:val="en-GB" w:eastAsia="it-IT"/>
        </w:rPr>
        <w:t>[1-4,8,9]</w:t>
      </w:r>
      <w:r>
        <w:rPr>
          <w:rFonts w:ascii="Book Antiqua" w:eastAsia="Times New Roman" w:hAnsi="Book Antiqua" w:cs="Courier New"/>
          <w:szCs w:val="24"/>
          <w:lang w:val="en-GB" w:eastAsia="it-IT"/>
        </w:rPr>
        <w:t>. However, the overall sensitivity of FDG-PET/CT for detecting GC is lower than for most other malignancies, so that its effective role in GC patients is still controversial</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 FDG-PET may have different sensitivities for different histotypes, with better sensitivity for GEJ tumours, but significantly lower sensitivities for diffuse type adenocarcinoma, including SRC, or for MAC</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 Since tumour size and depth of invasion are significant factors influencing FDG-PET detection of GC, sensitivity is low for EGC and far higher for AGC. Altogether, the role of PET/CT is limited in T staging due to its low spatial resolution</w:t>
      </w:r>
      <w:r>
        <w:rPr>
          <w:rFonts w:ascii="Book Antiqua" w:eastAsia="Times New Roman" w:hAnsi="Book Antiqua" w:cs="Courier New"/>
          <w:szCs w:val="24"/>
          <w:vertAlign w:val="superscript"/>
          <w:lang w:val="en-GB" w:eastAsia="it-IT"/>
        </w:rPr>
        <w:t>[9]</w:t>
      </w:r>
      <w:r>
        <w:rPr>
          <w:rFonts w:ascii="Book Antiqua" w:eastAsia="Times New Roman" w:hAnsi="Book Antiqua" w:cs="Courier New"/>
          <w:szCs w:val="24"/>
          <w:lang w:val="en-GB" w:eastAsia="it-IT"/>
        </w:rPr>
        <w:t>. For N staging in GC, the sensitivity and specificity of FDG-PET/CT range between 33.3%-64.6% and 85.7%-97.0%, respectively</w:t>
      </w:r>
      <w:r>
        <w:rPr>
          <w:rFonts w:ascii="Book Antiqua" w:eastAsia="Times New Roman" w:hAnsi="Book Antiqua" w:cs="Courier New"/>
          <w:szCs w:val="24"/>
          <w:vertAlign w:val="superscript"/>
          <w:lang w:val="en-GB" w:eastAsia="it-IT"/>
        </w:rPr>
        <w:t>[8]</w:t>
      </w:r>
      <w:r>
        <w:rPr>
          <w:rFonts w:ascii="Book Antiqua" w:eastAsia="Times New Roman" w:hAnsi="Book Antiqua" w:cs="Courier New"/>
          <w:szCs w:val="24"/>
          <w:lang w:val="en-GB" w:eastAsia="it-IT"/>
        </w:rPr>
        <w:t>. The low sensitivity in detecting lymph node metastases may be related to the histotype of the primary tumour, or even to the size of the metastatic lymph nodes; some small lymph nodes may be difficult to visualize because of the radioactive volume effect generated by the nearby primary cancer</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 Nonetheless, FDG-PET/CT is considered to have higher specificity than CT and MRI in the N staging of GC, especially for the N2 and N3 groups</w:t>
      </w:r>
      <w:r>
        <w:rPr>
          <w:rFonts w:ascii="Book Antiqua" w:eastAsia="Times New Roman" w:hAnsi="Book Antiqua" w:cs="Courier New"/>
          <w:szCs w:val="24"/>
          <w:vertAlign w:val="superscript"/>
          <w:lang w:val="en-GB" w:eastAsia="it-IT"/>
        </w:rPr>
        <w:t>[9]</w:t>
      </w:r>
      <w:r>
        <w:rPr>
          <w:rFonts w:ascii="Book Antiqua" w:eastAsia="Times New Roman" w:hAnsi="Book Antiqua" w:cs="Courier New"/>
          <w:szCs w:val="24"/>
          <w:lang w:val="en-GB" w:eastAsia="it-IT"/>
        </w:rPr>
        <w:t>. FDG-PET/CT has lower sensitivity than CT for the diagnosis of peritoneal seeding, while being more efficient in the detection of solid organ metastases, including those involving the lung, liver, bone or adrenal gland, with near 100% sensitivity and specificity</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ab/>
        <w:t>Despite these limitations, FDG-PET/CT is emerging as an effective tool for therapeutic and prognostic evaluation of AGC. Preoperative FDG uptake has been demonstrated as an independent, significant prognostic factor following curative gastrectomy</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 xml:space="preserve">; although, the collective data are not in full agreement. Patients with lower preoperative FDG uptake in the GC have shown significantly lower incidence </w:t>
      </w:r>
      <w:r>
        <w:rPr>
          <w:rFonts w:ascii="Book Antiqua" w:eastAsia="Times New Roman" w:hAnsi="Book Antiqua" w:cs="Courier New"/>
          <w:szCs w:val="24"/>
          <w:lang w:val="en-GB" w:eastAsia="it-IT"/>
        </w:rPr>
        <w:lastRenderedPageBreak/>
        <w:t>of recurrence and better recurrence-free survival after surgery</w:t>
      </w:r>
      <w:r>
        <w:rPr>
          <w:rFonts w:ascii="Book Antiqua" w:eastAsia="Times New Roman" w:hAnsi="Book Antiqua" w:cs="Courier New"/>
          <w:szCs w:val="24"/>
          <w:vertAlign w:val="superscript"/>
          <w:lang w:val="en-GB" w:eastAsia="it-IT"/>
        </w:rPr>
        <w:t>[8,9]</w:t>
      </w:r>
      <w:r>
        <w:rPr>
          <w:rFonts w:ascii="Book Antiqua" w:eastAsia="Times New Roman" w:hAnsi="Book Antiqua" w:cs="Courier New"/>
          <w:szCs w:val="24"/>
          <w:lang w:val="en-GB" w:eastAsia="it-IT"/>
        </w:rPr>
        <w:t>. Lower preoperative FDG uptake has been reported as a predictor of tumour curability at the time of surgery, since higher FDG uptake in the primary tumour and positive FDG uptake in local lymph nodes have been significantly associated with non-curative resection, suggesting that these patients should be candidates for neoadjuvant CHT</w:t>
      </w:r>
      <w:r>
        <w:rPr>
          <w:rFonts w:ascii="Book Antiqua" w:eastAsia="Times New Roman" w:hAnsi="Book Antiqua" w:cs="Courier New"/>
          <w:szCs w:val="24"/>
          <w:vertAlign w:val="superscript"/>
          <w:lang w:val="en-GB" w:eastAsia="it-IT"/>
        </w:rPr>
        <w:t>[9]</w:t>
      </w:r>
      <w:r>
        <w:rPr>
          <w:rFonts w:ascii="Book Antiqua" w:eastAsia="Times New Roman" w:hAnsi="Book Antiqua" w:cs="Courier New"/>
          <w:szCs w:val="24"/>
          <w:lang w:val="en-GB" w:eastAsia="it-IT"/>
        </w:rPr>
        <w:t xml:space="preserve">. </w:t>
      </w:r>
    </w:p>
    <w:p w:rsidR="00BE00CF" w:rsidRDefault="00BE00CF" w:rsidP="00BE00CF">
      <w:pPr>
        <w:suppressAutoHyphens w:val="0"/>
        <w:autoSpaceDE w:val="0"/>
        <w:autoSpaceDN w:val="0"/>
        <w:adjustRightInd w:val="0"/>
        <w:spacing w:line="360" w:lineRule="auto"/>
        <w:ind w:firstLine="708"/>
        <w:jc w:val="both"/>
        <w:rPr>
          <w:rFonts w:ascii="Book Antiqua" w:eastAsia="Times New Roman" w:hAnsi="Book Antiqua" w:cs="Courier New"/>
          <w:szCs w:val="24"/>
          <w:lang w:val="en-GB" w:eastAsia="it-IT"/>
        </w:rPr>
      </w:pPr>
      <w:r>
        <w:rPr>
          <w:rFonts w:ascii="Book Antiqua" w:eastAsia="Times New Roman" w:hAnsi="Book Antiqua" w:cs="Courier New"/>
          <w:szCs w:val="24"/>
          <w:lang w:val="en-GB" w:eastAsia="it-IT"/>
        </w:rPr>
        <w:t>Neoadjuvant treatments have been increasingly used for AGC to reduce tumour stage, plan the optimal surgical timing and strategies, and improve the overall prognosis</w:t>
      </w:r>
      <w:r>
        <w:rPr>
          <w:rFonts w:ascii="Book Antiqua" w:eastAsia="Times New Roman" w:hAnsi="Book Antiqua" w:cs="Courier New"/>
          <w:szCs w:val="24"/>
          <w:vertAlign w:val="superscript"/>
          <w:lang w:val="en-GB" w:eastAsia="it-IT"/>
        </w:rPr>
        <w:t>[9]</w:t>
      </w:r>
      <w:r>
        <w:rPr>
          <w:rFonts w:ascii="Book Antiqua" w:eastAsia="Times New Roman" w:hAnsi="Book Antiqua" w:cs="Courier New"/>
          <w:szCs w:val="24"/>
          <w:lang w:val="en-GB" w:eastAsia="it-IT"/>
        </w:rPr>
        <w:t>. About 30% to 60% of histologically partial or even total responders have been reported with different therapeutic regimens</w:t>
      </w:r>
      <w:r>
        <w:rPr>
          <w:rFonts w:ascii="Book Antiqua" w:eastAsia="Times New Roman" w:hAnsi="Book Antiqua" w:cs="Courier New"/>
          <w:szCs w:val="24"/>
          <w:vertAlign w:val="superscript"/>
          <w:lang w:val="en-GB" w:eastAsia="it-IT"/>
        </w:rPr>
        <w:t>[8]</w:t>
      </w:r>
      <w:r>
        <w:rPr>
          <w:rFonts w:ascii="Book Antiqua" w:eastAsia="Times New Roman" w:hAnsi="Book Antiqua" w:cs="Courier New"/>
          <w:szCs w:val="24"/>
          <w:lang w:val="en-GB" w:eastAsia="it-IT"/>
        </w:rPr>
        <w:t>. Since patients with clinical and pathological response to neoadjuvant therapies are considered to gain significant survival benefit, the prompt identification of responders seems to be essential. FDG uptake in PET/CT scans is actually considered an early and sensitive indicator of response to treatment</w:t>
      </w:r>
      <w:r>
        <w:rPr>
          <w:rFonts w:ascii="Book Antiqua" w:eastAsia="Times New Roman" w:hAnsi="Book Antiqua" w:cs="Courier New"/>
          <w:szCs w:val="24"/>
          <w:vertAlign w:val="superscript"/>
          <w:lang w:val="en-GB" w:eastAsia="it-IT"/>
        </w:rPr>
        <w:t>[2,3,8,9]</w:t>
      </w:r>
      <w:r>
        <w:rPr>
          <w:rFonts w:ascii="Book Antiqua" w:eastAsia="Times New Roman" w:hAnsi="Book Antiqua" w:cs="Courier New"/>
          <w:szCs w:val="24"/>
          <w:lang w:val="en-GB" w:eastAsia="it-IT"/>
        </w:rPr>
        <w:t>, concordant with histopathological analysis for tumour response. Changes in FDG uptake soon after the initiation of treatment have been related to final outcome also. In some studies, metabolic responders have shown better prognosis than non-responders, while FDG non-avid tumours seem to have poor response rates to CHT and unfavourable prognosis, indicating that neoadjuvant therapies may be ineffective in metabolic non-responders and in patients with low FDG uptake at baseline PET imaging</w:t>
      </w:r>
      <w:r>
        <w:rPr>
          <w:rFonts w:ascii="Book Antiqua" w:eastAsia="Times New Roman" w:hAnsi="Book Antiqua" w:cs="Courier New"/>
          <w:szCs w:val="24"/>
          <w:vertAlign w:val="superscript"/>
          <w:lang w:val="en-GB" w:eastAsia="it-IT"/>
        </w:rPr>
        <w:t>[8]</w:t>
      </w:r>
      <w:r>
        <w:rPr>
          <w:rFonts w:ascii="Book Antiqua" w:eastAsia="Times New Roman" w:hAnsi="Book Antiqua" w:cs="Courier New"/>
          <w:szCs w:val="24"/>
          <w:lang w:val="en-GB" w:eastAsia="it-IT"/>
        </w:rPr>
        <w:t>.</w:t>
      </w:r>
    </w:p>
    <w:p w:rsidR="00BE00CF" w:rsidRDefault="00BE00CF" w:rsidP="00BE00CF">
      <w:pPr>
        <w:suppressAutoHyphens w:val="0"/>
        <w:autoSpaceDE w:val="0"/>
        <w:autoSpaceDN w:val="0"/>
        <w:adjustRightInd w:val="0"/>
        <w:spacing w:line="360" w:lineRule="auto"/>
        <w:jc w:val="both"/>
        <w:rPr>
          <w:rFonts w:ascii="Book Antiqua" w:hAnsi="Book Antiqua"/>
          <w:szCs w:val="24"/>
          <w:lang w:val="en-GB"/>
        </w:rPr>
      </w:pPr>
      <w:r>
        <w:rPr>
          <w:rFonts w:ascii="Book Antiqua" w:eastAsia="Times New Roman" w:hAnsi="Book Antiqua" w:cs="Times New Roman"/>
          <w:szCs w:val="24"/>
          <w:lang w:val="en-GB" w:eastAsia="it-IT"/>
        </w:rPr>
        <w:tab/>
        <w:t>In neoplastic patients, FDG uptake in bone marrow (BM) on PET/CT has been shown to be significantly associated with SIRMs, suggesting that this imaging finding has a significant relationship with SIR to malignancy</w:t>
      </w:r>
      <w:r>
        <w:rPr>
          <w:rFonts w:ascii="Book Antiqua" w:eastAsia="Times New Roman" w:hAnsi="Book Antiqua" w:cs="Courier New"/>
          <w:szCs w:val="24"/>
          <w:vertAlign w:val="superscript"/>
          <w:lang w:val="en-GB" w:eastAsia="it-IT"/>
        </w:rPr>
        <w:t>[7]</w:t>
      </w:r>
      <w:r>
        <w:rPr>
          <w:rFonts w:ascii="Book Antiqua" w:eastAsia="Times New Roman" w:hAnsi="Book Antiqua" w:cs="Times New Roman"/>
          <w:szCs w:val="24"/>
          <w:lang w:val="en-GB" w:eastAsia="it-IT"/>
        </w:rPr>
        <w:t xml:space="preserve">. In non-small cell lung cancer patients with curative surgical resection, Lee </w:t>
      </w:r>
      <w:r>
        <w:rPr>
          <w:rFonts w:ascii="Book Antiqua" w:eastAsia="Times New Roman" w:hAnsi="Book Antiqua" w:cs="Times New Roman"/>
          <w:i/>
          <w:szCs w:val="24"/>
          <w:lang w:val="en-GB" w:eastAsia="it-IT"/>
        </w:rPr>
        <w:t>et al</w:t>
      </w:r>
      <w:r>
        <w:rPr>
          <w:rFonts w:ascii="Book Antiqua" w:eastAsia="Times New Roman" w:hAnsi="Book Antiqua" w:cs="Courier New"/>
          <w:szCs w:val="24"/>
          <w:vertAlign w:val="superscript"/>
          <w:lang w:val="en-GB" w:eastAsia="it-IT"/>
        </w:rPr>
        <w:t>[7]</w:t>
      </w:r>
      <w:r>
        <w:rPr>
          <w:rFonts w:ascii="Book Antiqua" w:eastAsia="Times New Roman" w:hAnsi="Book Antiqua" w:cs="Times New Roman"/>
          <w:szCs w:val="24"/>
          <w:lang w:val="en-GB" w:eastAsia="it-IT"/>
        </w:rPr>
        <w:t xml:space="preserve"> have recently shown that the FDG uptake in BM and the BM to liver uptake ratio (BLR) were significantly correlated with albumin and CRP levels, white blood cell count, NLR and PLR; moreover, the BLR was identified as an independent prognostic factor of recurrence-free survival. The authors concluded that the FDG uptake in BM for non-small cell lung cancer patients reflects the degree of SIR and can be used as a prognostic factor after curative surgery</w:t>
      </w:r>
      <w:r>
        <w:rPr>
          <w:rFonts w:ascii="Book Antiqua" w:eastAsia="Times New Roman" w:hAnsi="Book Antiqua" w:cs="Courier New"/>
          <w:szCs w:val="24"/>
          <w:vertAlign w:val="superscript"/>
          <w:lang w:val="en-GB" w:eastAsia="it-IT"/>
        </w:rPr>
        <w:t>[7]</w:t>
      </w:r>
      <w:r>
        <w:rPr>
          <w:rFonts w:ascii="Book Antiqua" w:eastAsia="Times New Roman" w:hAnsi="Book Antiqua" w:cs="Times New Roman"/>
          <w:szCs w:val="24"/>
          <w:lang w:val="en-GB" w:eastAsia="it-IT"/>
        </w:rPr>
        <w:t xml:space="preserve">. In a recent retrospective series of 309 GC patients undergoing curative surgical resection, Lee </w:t>
      </w:r>
      <w:r>
        <w:rPr>
          <w:rFonts w:ascii="Book Antiqua" w:eastAsia="Times New Roman" w:hAnsi="Book Antiqua" w:cs="Times New Roman"/>
          <w:i/>
          <w:szCs w:val="24"/>
          <w:lang w:val="en-GB" w:eastAsia="it-IT"/>
        </w:rPr>
        <w:t>et al</w:t>
      </w:r>
      <w:r>
        <w:rPr>
          <w:rFonts w:ascii="Book Antiqua" w:eastAsia="Times New Roman" w:hAnsi="Book Antiqua" w:cs="Courier New"/>
          <w:szCs w:val="24"/>
          <w:vertAlign w:val="superscript"/>
          <w:lang w:val="en-GB" w:eastAsia="it-IT"/>
        </w:rPr>
        <w:t>[10]</w:t>
      </w:r>
      <w:r>
        <w:rPr>
          <w:rFonts w:ascii="Book Antiqua" w:hAnsi="Book Antiqua"/>
          <w:szCs w:val="24"/>
          <w:lang w:val="en-GB"/>
        </w:rPr>
        <w:t xml:space="preserve"> demonstrated that the preoperative BM FDG uptake, </w:t>
      </w:r>
      <w:r>
        <w:rPr>
          <w:rFonts w:ascii="Book Antiqua" w:hAnsi="Book Antiqua"/>
          <w:szCs w:val="24"/>
          <w:lang w:val="en-GB"/>
        </w:rPr>
        <w:lastRenderedPageBreak/>
        <w:t xml:space="preserve">and BLR especially, are correlated with SIRMs of GC. In addition, patients with AGC, recurrence and positive FDG uptake of primary cancer were shown to have higher BM FDG uptake than those with EGC, no recurrence and negative FDG uptake, respectively; thus, GC patients with advanced stage and aggressive features might have higher degrees of SIR. BLR was identified as an independent prognostic factor for predicting survival, along with T4 stage, lymph node metastasis and positive resection margin. The authors conclude that for GC, both tumour factors and SIR could play important roles in long-term prognosis of resectable patients, and that BM FDG uptake could reflect the degree of SIR to cancer and provide information on prognosis after curative surgery. </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Times New Roman"/>
          <w:szCs w:val="24"/>
          <w:lang w:val="en-GB" w:eastAsia="it-IT"/>
        </w:rPr>
      </w:pPr>
    </w:p>
    <w:p w:rsidR="00BE00CF" w:rsidRDefault="00BE00CF" w:rsidP="00BE00CF">
      <w:pPr>
        <w:suppressAutoHyphens w:val="0"/>
        <w:autoSpaceDE w:val="0"/>
        <w:autoSpaceDN w:val="0"/>
        <w:adjustRightInd w:val="0"/>
        <w:spacing w:line="360" w:lineRule="auto"/>
        <w:jc w:val="both"/>
        <w:rPr>
          <w:rFonts w:ascii="Book Antiqua" w:eastAsia="Times New Roman" w:hAnsi="Book Antiqua" w:cs="Times New Roman"/>
          <w:b/>
          <w:szCs w:val="24"/>
          <w:lang w:val="en-GB" w:eastAsia="it-IT"/>
        </w:rPr>
      </w:pPr>
      <w:r>
        <w:rPr>
          <w:rFonts w:ascii="Book Antiqua" w:eastAsia="Times New Roman" w:hAnsi="Book Antiqua" w:cs="Times New Roman"/>
          <w:b/>
          <w:szCs w:val="24"/>
          <w:lang w:val="en-GB" w:eastAsia="it-IT"/>
        </w:rPr>
        <w:t>CONCLUSION</w:t>
      </w:r>
    </w:p>
    <w:p w:rsidR="00BE00CF" w:rsidRDefault="00BE00CF" w:rsidP="00BE00CF">
      <w:pPr>
        <w:suppressAutoHyphens w:val="0"/>
        <w:autoSpaceDE w:val="0"/>
        <w:autoSpaceDN w:val="0"/>
        <w:adjustRightInd w:val="0"/>
        <w:spacing w:line="360" w:lineRule="auto"/>
        <w:jc w:val="both"/>
        <w:rPr>
          <w:rFonts w:ascii="Book Antiqua" w:eastAsia="Times New Roman" w:hAnsi="Book Antiqua" w:cs="Times New Roman"/>
          <w:szCs w:val="24"/>
          <w:lang w:val="en-GB" w:eastAsia="it-IT"/>
        </w:rPr>
      </w:pPr>
      <w:r>
        <w:rPr>
          <w:rFonts w:ascii="Book Antiqua" w:eastAsia="Times New Roman" w:hAnsi="Book Antiqua" w:cs="Times New Roman"/>
          <w:szCs w:val="24"/>
          <w:lang w:val="en-GB" w:eastAsia="it-IT"/>
        </w:rPr>
        <w:t>In conclusion, PET/CT technology represents an efficient tool for use in GC patients, since it is useful to integrate other imaging modalities in staging tumours. Moreover, it can be effective in monitoring tumour response to treatments and may have prognostic value with the potential to change therapeutic strategies. Although some problems still persist, PET/CT imaging remains promising, and with ongoing improvements may gain further importance in the evaluation and treatment of GC patients.</w:t>
      </w:r>
    </w:p>
    <w:p w:rsidR="00BE00CF" w:rsidRDefault="00BE00CF" w:rsidP="00B903DF">
      <w:pPr>
        <w:suppressAutoHyphens w:val="0"/>
        <w:autoSpaceDE w:val="0"/>
        <w:autoSpaceDN w:val="0"/>
        <w:adjustRightInd w:val="0"/>
        <w:spacing w:line="360" w:lineRule="auto"/>
        <w:jc w:val="both"/>
        <w:rPr>
          <w:rFonts w:ascii="Book Antiqua" w:eastAsiaTheme="minorEastAsia" w:hAnsi="Book Antiqua" w:cs="Times New Roman"/>
          <w:b/>
          <w:szCs w:val="24"/>
          <w:lang w:val="en-GB"/>
        </w:rPr>
      </w:pPr>
      <w:r>
        <w:rPr>
          <w:rFonts w:ascii="Book Antiqua" w:eastAsia="Times New Roman" w:hAnsi="Book Antiqua" w:cs="Times New Roman"/>
          <w:szCs w:val="24"/>
          <w:lang w:val="en-GB" w:eastAsia="it-IT"/>
        </w:rPr>
        <w:br w:type="page"/>
      </w:r>
      <w:r>
        <w:rPr>
          <w:rFonts w:ascii="Book Antiqua" w:eastAsia="Times New Roman" w:hAnsi="Book Antiqua" w:cs="Times New Roman"/>
          <w:b/>
          <w:szCs w:val="24"/>
          <w:lang w:val="en-GB" w:eastAsia="it-IT"/>
        </w:rPr>
        <w:lastRenderedPageBreak/>
        <w:t>REFERENCES</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1</w:t>
      </w:r>
      <w:r w:rsidRPr="00F31063">
        <w:rPr>
          <w:rStyle w:val="apple-converted-space"/>
          <w:rFonts w:ascii="Book Antiqua" w:hAnsi="Book Antiqua" w:cs="Tahoma"/>
        </w:rPr>
        <w:t> </w:t>
      </w:r>
      <w:r w:rsidRPr="00F31063">
        <w:rPr>
          <w:rFonts w:ascii="Book Antiqua" w:hAnsi="Book Antiqua" w:cs="Tahoma"/>
          <w:b/>
          <w:bCs/>
        </w:rPr>
        <w:t>Van Cutsem E</w:t>
      </w:r>
      <w:r w:rsidRPr="00F31063">
        <w:rPr>
          <w:rFonts w:ascii="Book Antiqua" w:hAnsi="Book Antiqua" w:cs="Tahoma"/>
        </w:rPr>
        <w:t>, Sagaert X, Topal B, Haustermans K, Prenen H. Gastric cancer.</w:t>
      </w:r>
      <w:r w:rsidRPr="00F31063">
        <w:rPr>
          <w:rStyle w:val="apple-converted-space"/>
          <w:rFonts w:ascii="Book Antiqua" w:hAnsi="Book Antiqua" w:cs="Tahoma"/>
        </w:rPr>
        <w:t> </w:t>
      </w:r>
      <w:r w:rsidRPr="00F31063">
        <w:rPr>
          <w:rFonts w:ascii="Book Antiqua" w:hAnsi="Book Antiqua" w:cs="Tahoma"/>
          <w:i/>
          <w:iCs/>
        </w:rPr>
        <w:t>Lancet</w:t>
      </w:r>
      <w:r w:rsidRPr="00F31063">
        <w:rPr>
          <w:rStyle w:val="apple-converted-space"/>
          <w:rFonts w:ascii="Book Antiqua" w:hAnsi="Book Antiqua" w:cs="Tahoma"/>
        </w:rPr>
        <w:t> </w:t>
      </w:r>
      <w:r w:rsidRPr="00F31063">
        <w:rPr>
          <w:rFonts w:ascii="Book Antiqua" w:hAnsi="Book Antiqua" w:cs="Tahoma"/>
        </w:rPr>
        <w:t>2016;</w:t>
      </w:r>
      <w:r w:rsidRPr="00F31063">
        <w:rPr>
          <w:rStyle w:val="apple-converted-space"/>
          <w:rFonts w:ascii="Book Antiqua" w:hAnsi="Book Antiqua" w:cs="Tahoma"/>
        </w:rPr>
        <w:t> </w:t>
      </w:r>
      <w:r w:rsidRPr="00F31063">
        <w:rPr>
          <w:rFonts w:ascii="Book Antiqua" w:hAnsi="Book Antiqua" w:cs="Tahoma"/>
          <w:b/>
          <w:bCs/>
        </w:rPr>
        <w:t>388</w:t>
      </w:r>
      <w:r w:rsidRPr="00F31063">
        <w:rPr>
          <w:rFonts w:ascii="Book Antiqua" w:hAnsi="Book Antiqua" w:cs="Tahoma"/>
        </w:rPr>
        <w:t>: 2654-2664 [PMID: 27156933 DOI: 10.1016/S0140-6736(16)30354-3]</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2</w:t>
      </w:r>
      <w:r w:rsidRPr="00F31063">
        <w:rPr>
          <w:rStyle w:val="apple-converted-space"/>
          <w:rFonts w:ascii="Book Antiqua" w:hAnsi="Book Antiqua" w:cs="Tahoma"/>
        </w:rPr>
        <w:t> </w:t>
      </w:r>
      <w:r w:rsidRPr="00F31063">
        <w:rPr>
          <w:rFonts w:ascii="Book Antiqua" w:hAnsi="Book Antiqua" w:cs="Tahoma"/>
          <w:b/>
          <w:bCs/>
        </w:rPr>
        <w:t>Ahmad SA</w:t>
      </w:r>
      <w:r w:rsidRPr="00F31063">
        <w:rPr>
          <w:rFonts w:ascii="Book Antiqua" w:hAnsi="Book Antiqua" w:cs="Tahoma"/>
        </w:rPr>
        <w:t>, Xia BT, Bailey CE, Abbott DE, Helmink BA, Daly MC, Thota R, Schlegal C, Winer LK, Ahmad SA, Al Humaidi AH, Parikh AA. An update on gastric cancer.</w:t>
      </w:r>
      <w:r w:rsidRPr="00F31063">
        <w:rPr>
          <w:rStyle w:val="apple-converted-space"/>
          <w:rFonts w:ascii="Book Antiqua" w:hAnsi="Book Antiqua" w:cs="Tahoma"/>
        </w:rPr>
        <w:t> </w:t>
      </w:r>
      <w:r w:rsidRPr="00F31063">
        <w:rPr>
          <w:rFonts w:ascii="Book Antiqua" w:hAnsi="Book Antiqua" w:cs="Tahoma"/>
          <w:i/>
          <w:iCs/>
        </w:rPr>
        <w:t>Curr Probl Surg</w:t>
      </w:r>
      <w:r w:rsidRPr="00F31063">
        <w:rPr>
          <w:rStyle w:val="apple-converted-space"/>
          <w:rFonts w:ascii="Book Antiqua" w:hAnsi="Book Antiqua" w:cs="Tahoma"/>
        </w:rPr>
        <w:t> </w:t>
      </w:r>
      <w:r w:rsidRPr="00F31063">
        <w:rPr>
          <w:rFonts w:ascii="Book Antiqua" w:hAnsi="Book Antiqua" w:cs="Tahoma"/>
        </w:rPr>
        <w:t>2016;</w:t>
      </w:r>
      <w:r w:rsidRPr="00F31063">
        <w:rPr>
          <w:rStyle w:val="apple-converted-space"/>
          <w:rFonts w:ascii="Book Antiqua" w:hAnsi="Book Antiqua" w:cs="Tahoma"/>
        </w:rPr>
        <w:t> </w:t>
      </w:r>
      <w:r w:rsidRPr="00F31063">
        <w:rPr>
          <w:rFonts w:ascii="Book Antiqua" w:hAnsi="Book Antiqua" w:cs="Tahoma"/>
          <w:b/>
          <w:bCs/>
        </w:rPr>
        <w:t>53</w:t>
      </w:r>
      <w:r w:rsidRPr="00F31063">
        <w:rPr>
          <w:rFonts w:ascii="Book Antiqua" w:hAnsi="Book Antiqua" w:cs="Tahoma"/>
        </w:rPr>
        <w:t>: 449-490 [PMID: 27671911 DOI: 10.1067/j.cpsurg.2016.08.001]</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3</w:t>
      </w:r>
      <w:r w:rsidRPr="00F31063">
        <w:rPr>
          <w:rStyle w:val="apple-converted-space"/>
          <w:rFonts w:ascii="Book Antiqua" w:hAnsi="Book Antiqua" w:cs="Tahoma"/>
        </w:rPr>
        <w:t> </w:t>
      </w:r>
      <w:r w:rsidRPr="00F31063">
        <w:rPr>
          <w:rFonts w:ascii="Book Antiqua" w:hAnsi="Book Antiqua" w:cs="Tahoma"/>
          <w:b/>
          <w:bCs/>
        </w:rPr>
        <w:t>de Mestier L</w:t>
      </w:r>
      <w:r w:rsidRPr="00F31063">
        <w:rPr>
          <w:rFonts w:ascii="Book Antiqua" w:hAnsi="Book Antiqua" w:cs="Tahoma"/>
        </w:rPr>
        <w:t>, Lardière-Deguelte S, Volet J, Kianmanesh R, Bouché O. Recent insights in the therapeutic management of patients with gastric cancer.</w:t>
      </w:r>
      <w:r w:rsidRPr="00F31063">
        <w:rPr>
          <w:rStyle w:val="apple-converted-space"/>
          <w:rFonts w:ascii="Book Antiqua" w:hAnsi="Book Antiqua" w:cs="Tahoma"/>
        </w:rPr>
        <w:t> </w:t>
      </w:r>
      <w:r w:rsidRPr="00F31063">
        <w:rPr>
          <w:rFonts w:ascii="Book Antiqua" w:hAnsi="Book Antiqua" w:cs="Tahoma"/>
          <w:i/>
          <w:iCs/>
        </w:rPr>
        <w:t>Dig Liver Dis</w:t>
      </w:r>
      <w:r w:rsidRPr="00F31063">
        <w:rPr>
          <w:rStyle w:val="apple-converted-space"/>
          <w:rFonts w:ascii="Book Antiqua" w:hAnsi="Book Antiqua" w:cs="Tahoma"/>
        </w:rPr>
        <w:t> </w:t>
      </w:r>
      <w:r w:rsidRPr="00F31063">
        <w:rPr>
          <w:rFonts w:ascii="Book Antiqua" w:hAnsi="Book Antiqua" w:cs="Tahoma"/>
        </w:rPr>
        <w:t>2016;</w:t>
      </w:r>
      <w:r w:rsidRPr="00F31063">
        <w:rPr>
          <w:rStyle w:val="apple-converted-space"/>
          <w:rFonts w:ascii="Book Antiqua" w:hAnsi="Book Antiqua" w:cs="Tahoma"/>
        </w:rPr>
        <w:t> </w:t>
      </w:r>
      <w:r w:rsidRPr="00F31063">
        <w:rPr>
          <w:rFonts w:ascii="Book Antiqua" w:hAnsi="Book Antiqua" w:cs="Tahoma"/>
          <w:b/>
          <w:bCs/>
        </w:rPr>
        <w:t>48</w:t>
      </w:r>
      <w:r w:rsidRPr="00F31063">
        <w:rPr>
          <w:rFonts w:ascii="Book Antiqua" w:hAnsi="Book Antiqua" w:cs="Tahoma"/>
        </w:rPr>
        <w:t>: 984-994 [PMID: 27156069 DOI: 10.1016/j.dld.2016.04.010]</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4</w:t>
      </w:r>
      <w:r w:rsidRPr="00F31063">
        <w:rPr>
          <w:rStyle w:val="apple-converted-space"/>
          <w:rFonts w:ascii="Book Antiqua" w:hAnsi="Book Antiqua" w:cs="Tahoma"/>
        </w:rPr>
        <w:t> </w:t>
      </w:r>
      <w:r w:rsidRPr="00F31063">
        <w:rPr>
          <w:rFonts w:ascii="Book Antiqua" w:hAnsi="Book Antiqua" w:cs="Tahoma"/>
          <w:b/>
          <w:bCs/>
        </w:rPr>
        <w:t>Waddell T</w:t>
      </w:r>
      <w:r w:rsidRPr="00F31063">
        <w:rPr>
          <w:rFonts w:ascii="Book Antiqua" w:hAnsi="Book Antiqua" w:cs="Tahoma"/>
        </w:rPr>
        <w:t>, Verheij M, Allum W, Cunningham D, Cervantes A, Arnold D; European Society for Medical Oncology (ESMO); European Society of Surgical Oncology (ESSO); European Society of Radiotherapy and Oncology (ESTRO). Gastric cancer: ESMO-ESSO-ESTRO Clinical Practice Guidelines for diagnosis, treatment and follow-up.</w:t>
      </w:r>
      <w:r w:rsidRPr="00F31063">
        <w:rPr>
          <w:rStyle w:val="apple-converted-space"/>
          <w:rFonts w:ascii="Book Antiqua" w:hAnsi="Book Antiqua" w:cs="Tahoma"/>
        </w:rPr>
        <w:t> </w:t>
      </w:r>
      <w:r w:rsidRPr="00F31063">
        <w:rPr>
          <w:rFonts w:ascii="Book Antiqua" w:hAnsi="Book Antiqua" w:cs="Tahoma"/>
          <w:i/>
          <w:iCs/>
        </w:rPr>
        <w:t>Ann Oncol</w:t>
      </w:r>
      <w:r w:rsidRPr="00F31063">
        <w:rPr>
          <w:rStyle w:val="apple-converted-space"/>
          <w:rFonts w:ascii="Book Antiqua" w:hAnsi="Book Antiqua" w:cs="Tahoma"/>
        </w:rPr>
        <w:t> </w:t>
      </w:r>
      <w:r w:rsidRPr="00F31063">
        <w:rPr>
          <w:rFonts w:ascii="Book Antiqua" w:hAnsi="Book Antiqua" w:cs="Tahoma"/>
        </w:rPr>
        <w:t>2013;</w:t>
      </w:r>
      <w:r w:rsidRPr="00F31063">
        <w:rPr>
          <w:rStyle w:val="apple-converted-space"/>
          <w:rFonts w:ascii="Book Antiqua" w:hAnsi="Book Antiqua" w:cs="Tahoma"/>
        </w:rPr>
        <w:t> </w:t>
      </w:r>
      <w:r w:rsidRPr="00F31063">
        <w:rPr>
          <w:rFonts w:ascii="Book Antiqua" w:hAnsi="Book Antiqua" w:cs="Tahoma"/>
          <w:b/>
          <w:bCs/>
        </w:rPr>
        <w:t xml:space="preserve">24 </w:t>
      </w:r>
      <w:r w:rsidRPr="00F31063">
        <w:rPr>
          <w:rFonts w:ascii="Book Antiqua" w:hAnsi="Book Antiqua" w:cs="Tahoma"/>
          <w:bCs/>
        </w:rPr>
        <w:t>Suppl 6</w:t>
      </w:r>
      <w:r w:rsidRPr="00F31063">
        <w:rPr>
          <w:rFonts w:ascii="Book Antiqua" w:hAnsi="Book Antiqua" w:cs="Tahoma"/>
        </w:rPr>
        <w:t>: vi57-vi63 [PMID: 24078663 DOI: 10.1093/annonc/mdt344]</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5</w:t>
      </w:r>
      <w:r w:rsidRPr="00F31063">
        <w:rPr>
          <w:rStyle w:val="apple-converted-space"/>
          <w:rFonts w:ascii="Book Antiqua" w:hAnsi="Book Antiqua" w:cs="Tahoma"/>
        </w:rPr>
        <w:t> </w:t>
      </w:r>
      <w:r w:rsidRPr="00F31063">
        <w:rPr>
          <w:rFonts w:ascii="Book Antiqua" w:hAnsi="Book Antiqua" w:cs="Tahoma"/>
          <w:b/>
          <w:bCs/>
        </w:rPr>
        <w:t>Elinav E</w:t>
      </w:r>
      <w:r w:rsidRPr="00F31063">
        <w:rPr>
          <w:rFonts w:ascii="Book Antiqua" w:hAnsi="Book Antiqua" w:cs="Tahoma"/>
        </w:rPr>
        <w:t>, Nowarski R, Thaiss CA, Hu B, Jin C, Flavell RA. Inflammation-induced cancer: crosstalk between tumours, immune cells and microorganisms.</w:t>
      </w:r>
      <w:r w:rsidRPr="00F31063">
        <w:rPr>
          <w:rStyle w:val="apple-converted-space"/>
          <w:rFonts w:ascii="Book Antiqua" w:hAnsi="Book Antiqua" w:cs="Tahoma"/>
        </w:rPr>
        <w:t> </w:t>
      </w:r>
      <w:r w:rsidRPr="00F31063">
        <w:rPr>
          <w:rFonts w:ascii="Book Antiqua" w:hAnsi="Book Antiqua" w:cs="Tahoma"/>
          <w:i/>
          <w:iCs/>
        </w:rPr>
        <w:t>Nat Rev Cancer</w:t>
      </w:r>
      <w:r w:rsidRPr="00F31063">
        <w:rPr>
          <w:rStyle w:val="apple-converted-space"/>
          <w:rFonts w:ascii="Book Antiqua" w:hAnsi="Book Antiqua" w:cs="Tahoma"/>
        </w:rPr>
        <w:t> </w:t>
      </w:r>
      <w:r w:rsidRPr="00F31063">
        <w:rPr>
          <w:rFonts w:ascii="Book Antiqua" w:hAnsi="Book Antiqua" w:cs="Tahoma"/>
        </w:rPr>
        <w:t>2013;</w:t>
      </w:r>
      <w:r w:rsidRPr="00F31063">
        <w:rPr>
          <w:rStyle w:val="apple-converted-space"/>
          <w:rFonts w:ascii="Book Antiqua" w:hAnsi="Book Antiqua" w:cs="Tahoma"/>
        </w:rPr>
        <w:t> </w:t>
      </w:r>
      <w:r w:rsidRPr="00F31063">
        <w:rPr>
          <w:rFonts w:ascii="Book Antiqua" w:hAnsi="Book Antiqua" w:cs="Tahoma"/>
          <w:b/>
          <w:bCs/>
        </w:rPr>
        <w:t>13</w:t>
      </w:r>
      <w:r w:rsidRPr="00F31063">
        <w:rPr>
          <w:rFonts w:ascii="Book Antiqua" w:hAnsi="Book Antiqua" w:cs="Tahoma"/>
        </w:rPr>
        <w:t>: 759-771 [PMID: 24154716 DOI: 10.1038/nrc3611]</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6</w:t>
      </w:r>
      <w:r w:rsidRPr="00F31063">
        <w:rPr>
          <w:rStyle w:val="apple-converted-space"/>
          <w:rFonts w:ascii="Book Antiqua" w:hAnsi="Book Antiqua" w:cs="Tahoma"/>
        </w:rPr>
        <w:t> </w:t>
      </w:r>
      <w:r w:rsidRPr="00F31063">
        <w:rPr>
          <w:rFonts w:ascii="Book Antiqua" w:hAnsi="Book Antiqua" w:cs="Tahoma"/>
          <w:b/>
          <w:bCs/>
        </w:rPr>
        <w:t>Liu J</w:t>
      </w:r>
      <w:r w:rsidRPr="00F31063">
        <w:rPr>
          <w:rFonts w:ascii="Book Antiqua" w:hAnsi="Book Antiqua" w:cs="Tahoma"/>
        </w:rPr>
        <w:t>, Geng Q, Chen S, Liu X, Kong P, Zhou Z, Zhan Y, Xu D. Nomogram based on systemic inflammatory response markers predicting the survival of patients with resectable gastric cancer after D2 gastrectomy.</w:t>
      </w:r>
      <w:r w:rsidRPr="00F31063">
        <w:rPr>
          <w:rStyle w:val="apple-converted-space"/>
          <w:rFonts w:ascii="Book Antiqua" w:hAnsi="Book Antiqua" w:cs="Tahoma"/>
        </w:rPr>
        <w:t> </w:t>
      </w:r>
      <w:r w:rsidRPr="00F31063">
        <w:rPr>
          <w:rFonts w:ascii="Book Antiqua" w:hAnsi="Book Antiqua" w:cs="Tahoma"/>
          <w:i/>
          <w:iCs/>
        </w:rPr>
        <w:t>Oncotarget</w:t>
      </w:r>
      <w:r w:rsidRPr="00F31063">
        <w:rPr>
          <w:rStyle w:val="apple-converted-space"/>
          <w:rFonts w:ascii="Book Antiqua" w:hAnsi="Book Antiqua" w:cs="Tahoma"/>
        </w:rPr>
        <w:t> </w:t>
      </w:r>
      <w:r w:rsidRPr="00F31063">
        <w:rPr>
          <w:rFonts w:ascii="Book Antiqua" w:hAnsi="Book Antiqua" w:cs="Tahoma"/>
        </w:rPr>
        <w:t>2016;</w:t>
      </w:r>
      <w:r w:rsidRPr="00F31063">
        <w:rPr>
          <w:rStyle w:val="apple-converted-space"/>
          <w:rFonts w:ascii="Book Antiqua" w:hAnsi="Book Antiqua" w:cs="Tahoma"/>
        </w:rPr>
        <w:t> </w:t>
      </w:r>
      <w:r w:rsidRPr="00B903DF">
        <w:rPr>
          <w:rFonts w:ascii="Book Antiqua" w:hAnsi="Book Antiqua" w:cs="Tahoma"/>
          <w:bCs/>
        </w:rPr>
        <w:t>7</w:t>
      </w:r>
      <w:r w:rsidRPr="00F31063">
        <w:rPr>
          <w:rFonts w:ascii="Book Antiqua" w:hAnsi="Book Antiqua" w:cs="Tahoma"/>
        </w:rPr>
        <w:t>: 37556-37565 [PMID: 27121054 DOI: 10.18632/oncotarget.8788]</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7</w:t>
      </w:r>
      <w:r w:rsidRPr="00F31063">
        <w:rPr>
          <w:rStyle w:val="apple-converted-space"/>
          <w:rFonts w:ascii="Book Antiqua" w:hAnsi="Book Antiqua" w:cs="Tahoma"/>
        </w:rPr>
        <w:t> </w:t>
      </w:r>
      <w:r w:rsidRPr="00F31063">
        <w:rPr>
          <w:rFonts w:ascii="Book Antiqua" w:hAnsi="Book Antiqua" w:cs="Tahoma"/>
          <w:b/>
          <w:bCs/>
        </w:rPr>
        <w:t>Lee JW</w:t>
      </w:r>
      <w:r w:rsidRPr="00F31063">
        <w:rPr>
          <w:rFonts w:ascii="Book Antiqua" w:hAnsi="Book Antiqua" w:cs="Tahoma"/>
        </w:rPr>
        <w:t>, Na JO, Kang DY, Lee SY, Lee SM. Prognostic Significance of FDG Uptake of Bone Marrow on PET/CT in Patients With Non-Small-Cell Lung Cancer After Curative Surgical Resection.</w:t>
      </w:r>
      <w:r w:rsidRPr="00F31063">
        <w:rPr>
          <w:rStyle w:val="apple-converted-space"/>
          <w:rFonts w:ascii="Book Antiqua" w:hAnsi="Book Antiqua" w:cs="Tahoma"/>
        </w:rPr>
        <w:t> </w:t>
      </w:r>
      <w:r w:rsidRPr="00F31063">
        <w:rPr>
          <w:rFonts w:ascii="Book Antiqua" w:hAnsi="Book Antiqua" w:cs="Tahoma"/>
          <w:i/>
          <w:iCs/>
        </w:rPr>
        <w:t>Clin Lung Cancer</w:t>
      </w:r>
      <w:r w:rsidRPr="00F31063">
        <w:rPr>
          <w:rStyle w:val="apple-converted-space"/>
          <w:rFonts w:ascii="Book Antiqua" w:hAnsi="Book Antiqua" w:cs="Tahoma"/>
        </w:rPr>
        <w:t> </w:t>
      </w:r>
      <w:r w:rsidRPr="00F31063">
        <w:rPr>
          <w:rFonts w:ascii="Book Antiqua" w:hAnsi="Book Antiqua" w:cs="Tahoma"/>
        </w:rPr>
        <w:t>2017;</w:t>
      </w:r>
      <w:r w:rsidRPr="00F31063">
        <w:rPr>
          <w:rStyle w:val="apple-converted-space"/>
          <w:rFonts w:ascii="Book Antiqua" w:hAnsi="Book Antiqua" w:cs="Tahoma"/>
        </w:rPr>
        <w:t> </w:t>
      </w:r>
      <w:r w:rsidRPr="00F31063">
        <w:rPr>
          <w:rFonts w:ascii="Book Antiqua" w:hAnsi="Book Antiqua" w:cs="Tahoma"/>
          <w:b/>
          <w:bCs/>
        </w:rPr>
        <w:t>18</w:t>
      </w:r>
      <w:r w:rsidRPr="00F31063">
        <w:rPr>
          <w:rFonts w:ascii="Book Antiqua" w:hAnsi="Book Antiqua" w:cs="Tahoma"/>
        </w:rPr>
        <w:t>: 198-206 [PMID: 27495385 DOI: 10.1016/j.cllc.2016.07.001]</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8</w:t>
      </w:r>
      <w:r w:rsidRPr="00F31063">
        <w:rPr>
          <w:rStyle w:val="apple-converted-space"/>
          <w:rFonts w:ascii="Book Antiqua" w:hAnsi="Book Antiqua" w:cs="Tahoma"/>
        </w:rPr>
        <w:t> </w:t>
      </w:r>
      <w:r w:rsidRPr="00F31063">
        <w:rPr>
          <w:rFonts w:ascii="Book Antiqua" w:hAnsi="Book Antiqua" w:cs="Tahoma"/>
          <w:b/>
          <w:bCs/>
        </w:rPr>
        <w:t>Wu CX</w:t>
      </w:r>
      <w:r w:rsidRPr="00F31063">
        <w:rPr>
          <w:rFonts w:ascii="Book Antiqua" w:hAnsi="Book Antiqua" w:cs="Tahoma"/>
        </w:rPr>
        <w:t>, Zhu ZH. Diagnosis and evaluation of gastric cancer by positron emission tomography.</w:t>
      </w:r>
      <w:r w:rsidRPr="00F31063">
        <w:rPr>
          <w:rStyle w:val="apple-converted-space"/>
          <w:rFonts w:ascii="Book Antiqua" w:hAnsi="Book Antiqua" w:cs="Tahoma"/>
        </w:rPr>
        <w:t> </w:t>
      </w:r>
      <w:r w:rsidRPr="00F31063">
        <w:rPr>
          <w:rFonts w:ascii="Book Antiqua" w:hAnsi="Book Antiqua" w:cs="Tahoma"/>
          <w:i/>
          <w:iCs/>
        </w:rPr>
        <w:t>World J Gastroenterol</w:t>
      </w:r>
      <w:r w:rsidRPr="00F31063">
        <w:rPr>
          <w:rStyle w:val="apple-converted-space"/>
          <w:rFonts w:ascii="Book Antiqua" w:hAnsi="Book Antiqua" w:cs="Tahoma"/>
        </w:rPr>
        <w:t> </w:t>
      </w:r>
      <w:r w:rsidRPr="00F31063">
        <w:rPr>
          <w:rFonts w:ascii="Book Antiqua" w:hAnsi="Book Antiqua" w:cs="Tahoma"/>
        </w:rPr>
        <w:t>2014;</w:t>
      </w:r>
      <w:r w:rsidRPr="00F31063">
        <w:rPr>
          <w:rStyle w:val="apple-converted-space"/>
          <w:rFonts w:ascii="Book Antiqua" w:hAnsi="Book Antiqua" w:cs="Tahoma"/>
        </w:rPr>
        <w:t> </w:t>
      </w:r>
      <w:r w:rsidRPr="00F31063">
        <w:rPr>
          <w:rFonts w:ascii="Book Antiqua" w:hAnsi="Book Antiqua" w:cs="Tahoma"/>
          <w:b/>
          <w:bCs/>
        </w:rPr>
        <w:t>20</w:t>
      </w:r>
      <w:r w:rsidRPr="00F31063">
        <w:rPr>
          <w:rFonts w:ascii="Book Antiqua" w:hAnsi="Book Antiqua" w:cs="Tahoma"/>
        </w:rPr>
        <w:t>: 4574-4585 [PMID: 24782610 DOI: 10.3748/wjg.v20.i16.4574]</w:t>
      </w:r>
    </w:p>
    <w:p w:rsidR="00B903DF" w:rsidRPr="00F31063"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lastRenderedPageBreak/>
        <w:t>9</w:t>
      </w:r>
      <w:r w:rsidRPr="00F31063">
        <w:rPr>
          <w:rStyle w:val="apple-converted-space"/>
          <w:rFonts w:ascii="Book Antiqua" w:hAnsi="Book Antiqua" w:cs="Tahoma"/>
        </w:rPr>
        <w:t> </w:t>
      </w:r>
      <w:r w:rsidRPr="00F31063">
        <w:rPr>
          <w:rFonts w:ascii="Book Antiqua" w:hAnsi="Book Antiqua" w:cs="Tahoma"/>
          <w:b/>
          <w:bCs/>
        </w:rPr>
        <w:t>Yun M</w:t>
      </w:r>
      <w:r w:rsidRPr="00F31063">
        <w:rPr>
          <w:rFonts w:ascii="Book Antiqua" w:hAnsi="Book Antiqua" w:cs="Tahoma"/>
        </w:rPr>
        <w:t>. Imaging of Gastric Cancer Metabolism Using 18 F-FDG PET/CT.</w:t>
      </w:r>
      <w:r w:rsidRPr="00F31063">
        <w:rPr>
          <w:rStyle w:val="apple-converted-space"/>
          <w:rFonts w:ascii="Book Antiqua" w:hAnsi="Book Antiqua" w:cs="Tahoma"/>
        </w:rPr>
        <w:t> </w:t>
      </w:r>
      <w:r w:rsidRPr="00F31063">
        <w:rPr>
          <w:rFonts w:ascii="Book Antiqua" w:hAnsi="Book Antiqua" w:cs="Tahoma"/>
          <w:i/>
          <w:iCs/>
        </w:rPr>
        <w:t>J Gastric Cancer</w:t>
      </w:r>
      <w:r w:rsidRPr="00F31063">
        <w:rPr>
          <w:rStyle w:val="apple-converted-space"/>
          <w:rFonts w:ascii="Book Antiqua" w:hAnsi="Book Antiqua" w:cs="Tahoma"/>
        </w:rPr>
        <w:t> </w:t>
      </w:r>
      <w:r w:rsidRPr="00F31063">
        <w:rPr>
          <w:rFonts w:ascii="Book Antiqua" w:hAnsi="Book Antiqua" w:cs="Tahoma"/>
        </w:rPr>
        <w:t>2014;</w:t>
      </w:r>
      <w:r w:rsidRPr="00F31063">
        <w:rPr>
          <w:rStyle w:val="apple-converted-space"/>
          <w:rFonts w:ascii="Book Antiqua" w:hAnsi="Book Antiqua" w:cs="Tahoma"/>
        </w:rPr>
        <w:t> </w:t>
      </w:r>
      <w:r w:rsidRPr="00F31063">
        <w:rPr>
          <w:rFonts w:ascii="Book Antiqua" w:hAnsi="Book Antiqua" w:cs="Tahoma"/>
          <w:b/>
          <w:bCs/>
        </w:rPr>
        <w:t>14</w:t>
      </w:r>
      <w:r w:rsidRPr="00F31063">
        <w:rPr>
          <w:rFonts w:ascii="Book Antiqua" w:hAnsi="Book Antiqua" w:cs="Tahoma"/>
        </w:rPr>
        <w:t>: 1-6 [PMID: 24765531 DOI: 10.5230/jgc.2014.14.1.1]</w:t>
      </w:r>
    </w:p>
    <w:p w:rsidR="00B903DF" w:rsidRPr="00B903DF" w:rsidRDefault="00B903DF" w:rsidP="00B903DF">
      <w:pPr>
        <w:pStyle w:val="NormalWeb"/>
        <w:shd w:val="clear" w:color="auto" w:fill="F9F9F9"/>
        <w:spacing w:before="0" w:beforeAutospacing="0" w:after="0" w:afterAutospacing="0" w:line="360" w:lineRule="auto"/>
        <w:jc w:val="both"/>
        <w:rPr>
          <w:rFonts w:ascii="Book Antiqua" w:hAnsi="Book Antiqua" w:cs="Tahoma"/>
        </w:rPr>
      </w:pPr>
      <w:r w:rsidRPr="00F31063">
        <w:rPr>
          <w:rFonts w:ascii="Book Antiqua" w:hAnsi="Book Antiqua" w:cs="Tahoma"/>
        </w:rPr>
        <w:t>10</w:t>
      </w:r>
      <w:r w:rsidRPr="00F31063">
        <w:rPr>
          <w:rStyle w:val="apple-converted-space"/>
          <w:rFonts w:ascii="Book Antiqua" w:hAnsi="Book Antiqua" w:cs="Tahoma"/>
        </w:rPr>
        <w:t> </w:t>
      </w:r>
      <w:r w:rsidRPr="00F31063">
        <w:rPr>
          <w:rFonts w:ascii="Book Antiqua" w:hAnsi="Book Antiqua" w:cs="Tahoma"/>
          <w:b/>
          <w:bCs/>
        </w:rPr>
        <w:t>Lee JW</w:t>
      </w:r>
      <w:r w:rsidRPr="00F31063">
        <w:rPr>
          <w:rFonts w:ascii="Book Antiqua" w:hAnsi="Book Antiqua" w:cs="Tahoma"/>
        </w:rPr>
        <w:t>, Lee MS, Chung IK, Son MW, Cho YS, Lee SM. Clinical implication of FDG uptake of bone marrow on PET/CT in gastric cancer patients with surgical resection.</w:t>
      </w:r>
      <w:r w:rsidRPr="00F31063">
        <w:rPr>
          <w:rStyle w:val="apple-converted-space"/>
          <w:rFonts w:ascii="Book Antiqua" w:hAnsi="Book Antiqua" w:cs="Tahoma"/>
        </w:rPr>
        <w:t> </w:t>
      </w:r>
      <w:r w:rsidRPr="00F31063">
        <w:rPr>
          <w:rFonts w:ascii="Book Antiqua" w:hAnsi="Book Antiqua" w:cs="Tahoma"/>
          <w:i/>
          <w:iCs/>
        </w:rPr>
        <w:t>World J Gastroenterol</w:t>
      </w:r>
      <w:r w:rsidRPr="00F31063">
        <w:rPr>
          <w:rStyle w:val="apple-converted-space"/>
          <w:rFonts w:ascii="Book Antiqua" w:hAnsi="Book Antiqua" w:cs="Tahoma"/>
        </w:rPr>
        <w:t> </w:t>
      </w:r>
      <w:r w:rsidRPr="00F31063">
        <w:rPr>
          <w:rFonts w:ascii="Book Antiqua" w:hAnsi="Book Antiqua" w:cs="Tahoma"/>
        </w:rPr>
        <w:t>2017;</w:t>
      </w:r>
      <w:r w:rsidRPr="00F31063">
        <w:rPr>
          <w:rStyle w:val="apple-converted-space"/>
          <w:rFonts w:ascii="Book Antiqua" w:hAnsi="Book Antiqua" w:cs="Tahoma"/>
        </w:rPr>
        <w:t> </w:t>
      </w:r>
      <w:r w:rsidRPr="00F31063">
        <w:rPr>
          <w:rFonts w:ascii="Book Antiqua" w:hAnsi="Book Antiqua" w:cs="Tahoma"/>
          <w:b/>
          <w:bCs/>
        </w:rPr>
        <w:t>23</w:t>
      </w:r>
      <w:r w:rsidRPr="00F31063">
        <w:rPr>
          <w:rFonts w:ascii="Book Antiqua" w:hAnsi="Book Antiqua" w:cs="Tahoma"/>
        </w:rPr>
        <w:t>: 2385-2395 [PMID: 28428718 DOI: 10.3748/wjg.v23.i13.2385]</w:t>
      </w:r>
    </w:p>
    <w:p w:rsidR="00B903DF" w:rsidRPr="00B903DF" w:rsidRDefault="00B903DF" w:rsidP="00B903DF">
      <w:pPr>
        <w:suppressAutoHyphens w:val="0"/>
        <w:autoSpaceDE w:val="0"/>
        <w:autoSpaceDN w:val="0"/>
        <w:adjustRightInd w:val="0"/>
        <w:spacing w:line="360" w:lineRule="auto"/>
        <w:jc w:val="both"/>
        <w:rPr>
          <w:rFonts w:ascii="Book Antiqua" w:eastAsiaTheme="minorEastAsia" w:hAnsi="Book Antiqua"/>
          <w:szCs w:val="24"/>
          <w:lang w:val="en-US"/>
        </w:rPr>
      </w:pPr>
    </w:p>
    <w:p w:rsidR="00BE00CF" w:rsidRDefault="00BE00CF" w:rsidP="00B903DF">
      <w:pPr>
        <w:pStyle w:val="PlainText"/>
        <w:wordWrap w:val="0"/>
        <w:spacing w:line="360" w:lineRule="auto"/>
        <w:ind w:right="120"/>
        <w:jc w:val="right"/>
        <w:outlineLvl w:val="0"/>
        <w:rPr>
          <w:rFonts w:ascii="Book Antiqua" w:hAnsi="Book Antiqua"/>
          <w:b/>
          <w:sz w:val="24"/>
          <w:szCs w:val="24"/>
          <w:lang w:val="en-GB"/>
        </w:rPr>
      </w:pPr>
    </w:p>
    <w:p w:rsidR="00B903DF" w:rsidRPr="008E0A88" w:rsidRDefault="00B903DF" w:rsidP="00B903DF">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B903DF">
        <w:rPr>
          <w:rFonts w:ascii="Book Antiqua" w:hAnsi="Book Antiqua"/>
          <w:bCs/>
          <w:color w:val="000000"/>
        </w:rPr>
        <w:t>Abadi</w:t>
      </w:r>
      <w:r>
        <w:rPr>
          <w:rFonts w:ascii="Book Antiqua" w:eastAsiaTheme="minorEastAsia" w:hAnsi="Book Antiqua" w:hint="eastAsia"/>
          <w:bCs/>
          <w:color w:val="000000"/>
          <w:lang w:eastAsia="zh-CN"/>
        </w:rPr>
        <w:t xml:space="preserve"> </w:t>
      </w:r>
      <w:r w:rsidRPr="00B903DF">
        <w:rPr>
          <w:rFonts w:ascii="Book Antiqua" w:hAnsi="Book Antiqua"/>
          <w:bCs/>
          <w:color w:val="000000"/>
        </w:rPr>
        <w:t>ATB</w:t>
      </w:r>
      <w:r>
        <w:rPr>
          <w:rFonts w:ascii="Book Antiqua" w:eastAsiaTheme="minorEastAsia" w:hAnsi="Book Antiqua" w:hint="eastAsia"/>
          <w:bCs/>
          <w:color w:val="000000"/>
          <w:lang w:eastAsia="zh-CN"/>
        </w:rPr>
        <w:t>,</w:t>
      </w:r>
      <w:r w:rsidRPr="00712F63">
        <w:rPr>
          <w:rFonts w:ascii="Book Antiqua" w:hAnsi="Book Antiqua"/>
          <w:bCs/>
          <w:color w:val="000000"/>
        </w:rPr>
        <w:t xml:space="preserve"> </w:t>
      </w:r>
      <w:r w:rsidRPr="00B903DF">
        <w:rPr>
          <w:rFonts w:ascii="Book Antiqua" w:hAnsi="Book Antiqua"/>
          <w:bCs/>
          <w:color w:val="000000"/>
        </w:rPr>
        <w:t>Amiri</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M</w:t>
      </w:r>
      <w:r>
        <w:rPr>
          <w:rFonts w:ascii="Book Antiqua" w:eastAsiaTheme="minorEastAsia" w:hAnsi="Book Antiqua" w:hint="eastAsia"/>
          <w:bCs/>
          <w:color w:val="000000"/>
          <w:lang w:eastAsia="zh-CN"/>
        </w:rPr>
        <w:t xml:space="preserve">, </w:t>
      </w:r>
      <w:r w:rsidRPr="00B903DF">
        <w:rPr>
          <w:rFonts w:ascii="Book Antiqua" w:hAnsi="Book Antiqua"/>
          <w:bCs/>
          <w:color w:val="000000"/>
        </w:rPr>
        <w:t>Cheng</w:t>
      </w:r>
      <w:r>
        <w:rPr>
          <w:rFonts w:ascii="Book Antiqua" w:eastAsiaTheme="minorEastAsia" w:hAnsi="Book Antiqua" w:hint="eastAsia"/>
          <w:bCs/>
          <w:color w:val="000000"/>
          <w:lang w:eastAsia="zh-CN"/>
        </w:rPr>
        <w:t xml:space="preserve"> </w:t>
      </w:r>
      <w:r>
        <w:rPr>
          <w:rFonts w:ascii="Book Antiqua" w:eastAsiaTheme="minorEastAsia" w:hAnsi="Book Antiqua"/>
          <w:bCs/>
          <w:color w:val="000000"/>
          <w:lang w:eastAsia="zh-CN"/>
        </w:rPr>
        <w:t>H</w:t>
      </w:r>
      <w:r>
        <w:rPr>
          <w:rFonts w:ascii="Book Antiqua" w:eastAsiaTheme="minorEastAsia" w:hAnsi="Book Antiqua" w:hint="eastAsia"/>
          <w:bCs/>
          <w:color w:val="000000"/>
          <w:lang w:eastAsia="zh-CN"/>
        </w:rPr>
        <w:t xml:space="preserve">, </w:t>
      </w:r>
      <w:r w:rsidRPr="00B903DF">
        <w:rPr>
          <w:rFonts w:ascii="Book Antiqua" w:hAnsi="Book Antiqua"/>
          <w:bCs/>
          <w:color w:val="000000"/>
        </w:rPr>
        <w:t>Tsunoda</w:t>
      </w:r>
      <w:r>
        <w:rPr>
          <w:rFonts w:ascii="Book Antiqua" w:eastAsiaTheme="minorEastAsia" w:hAnsi="Book Antiqua" w:hint="eastAsia"/>
          <w:bCs/>
          <w:color w:val="000000"/>
          <w:lang w:eastAsia="zh-CN"/>
        </w:rPr>
        <w:t xml:space="preserve"> </w:t>
      </w:r>
      <w:r w:rsidRPr="00B903DF">
        <w:rPr>
          <w:rFonts w:ascii="Book Antiqua" w:hAnsi="Book Antiqua"/>
          <w:bCs/>
          <w:color w:val="000000"/>
        </w:rPr>
        <w:t>S</w:t>
      </w:r>
      <w:r>
        <w:rPr>
          <w:rFonts w:ascii="Book Antiqua" w:eastAsiaTheme="minorEastAsia"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Pr>
          <w:rFonts w:ascii="Book Antiqua" w:eastAsiaTheme="minorEastAsia" w:hAnsi="Book Antiqua" w:hint="eastAsia"/>
          <w:b/>
          <w:bCs/>
          <w:color w:val="000000"/>
          <w:lang w:eastAsia="zh-CN"/>
        </w:rPr>
        <w:t xml:space="preserve"> </w:t>
      </w: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B903DF" w:rsidRPr="008F0DB6" w:rsidRDefault="00B903DF" w:rsidP="00B903DF">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rsidR="00B903DF" w:rsidRPr="008F0DB6" w:rsidRDefault="00B903DF" w:rsidP="00B903DF">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Pr>
          <w:rFonts w:ascii="Book Antiqua" w:hAnsi="Book Antiqua" w:cs="Times New Roman"/>
          <w:szCs w:val="24"/>
          <w:lang w:val="en-GB"/>
        </w:rPr>
        <w:t>Italy</w:t>
      </w:r>
    </w:p>
    <w:p w:rsidR="00B903DF" w:rsidRPr="008F0DB6" w:rsidRDefault="00B903DF" w:rsidP="00B903DF">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rsidR="00B903DF" w:rsidRPr="008F0DB6" w:rsidRDefault="00B903DF" w:rsidP="00B903DF">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rsidR="00B903DF" w:rsidRPr="00B903DF" w:rsidRDefault="00B903DF" w:rsidP="00B903DF">
      <w:pPr>
        <w:shd w:val="clear" w:color="auto" w:fill="FFFFFF"/>
        <w:snapToGrid w:val="0"/>
        <w:spacing w:line="360" w:lineRule="auto"/>
        <w:rPr>
          <w:rFonts w:ascii="Book Antiqua" w:eastAsiaTheme="minorEastAsia" w:hAnsi="Book Antiqua" w:cs="Helvetica"/>
        </w:rPr>
      </w:pPr>
      <w:r w:rsidRPr="008F0DB6">
        <w:rPr>
          <w:rFonts w:ascii="Book Antiqua" w:hAnsi="Book Antiqua" w:cs="Helvetica"/>
        </w:rPr>
        <w:t xml:space="preserve">Grade B (Very good): </w:t>
      </w:r>
      <w:r>
        <w:rPr>
          <w:rFonts w:ascii="Book Antiqua" w:eastAsiaTheme="minorEastAsia" w:hAnsi="Book Antiqua" w:cs="Helvetica" w:hint="eastAsia"/>
        </w:rPr>
        <w:t>B</w:t>
      </w:r>
    </w:p>
    <w:p w:rsidR="00B903DF" w:rsidRPr="00B903DF" w:rsidRDefault="00B903DF" w:rsidP="00B903DF">
      <w:pPr>
        <w:shd w:val="clear" w:color="auto" w:fill="FFFFFF"/>
        <w:snapToGrid w:val="0"/>
        <w:spacing w:line="360" w:lineRule="auto"/>
        <w:rPr>
          <w:rFonts w:ascii="Book Antiqua" w:eastAsiaTheme="minorEastAsia" w:hAnsi="Book Antiqua" w:cs="Helvetica"/>
        </w:rPr>
      </w:pPr>
      <w:r w:rsidRPr="008F0DB6">
        <w:rPr>
          <w:rFonts w:ascii="Book Antiqua" w:hAnsi="Book Antiqua" w:cs="Helvetica"/>
        </w:rPr>
        <w:t xml:space="preserve">Grade C (Good): </w:t>
      </w:r>
      <w:r>
        <w:rPr>
          <w:rFonts w:ascii="Book Antiqua" w:eastAsiaTheme="minorEastAsia" w:hAnsi="Book Antiqua" w:cs="Helvetica" w:hint="eastAsia"/>
        </w:rPr>
        <w:t>C, C</w:t>
      </w:r>
    </w:p>
    <w:p w:rsidR="00B903DF" w:rsidRPr="008F0DB6" w:rsidRDefault="00B903DF" w:rsidP="00B903DF">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B903DF" w:rsidRPr="00B903DF" w:rsidRDefault="00B903DF" w:rsidP="00B903DF">
      <w:pPr>
        <w:shd w:val="clear" w:color="auto" w:fill="FFFFFF"/>
        <w:snapToGrid w:val="0"/>
        <w:spacing w:line="360" w:lineRule="auto"/>
        <w:rPr>
          <w:rFonts w:ascii="Book Antiqua" w:eastAsiaTheme="minorEastAsia" w:hAnsi="Book Antiqua" w:cs="Helvetica"/>
        </w:rPr>
      </w:pPr>
      <w:r w:rsidRPr="008F0DB6">
        <w:rPr>
          <w:rFonts w:ascii="Book Antiqua" w:hAnsi="Book Antiqua" w:cs="Helvetica"/>
        </w:rPr>
        <w:t>Grade E (Poor):</w:t>
      </w:r>
      <w:r>
        <w:rPr>
          <w:rFonts w:ascii="Book Antiqua" w:eastAsiaTheme="minorEastAsia" w:hAnsi="Book Antiqua" w:cs="Helvetica" w:hint="eastAsia"/>
        </w:rPr>
        <w:t>E</w:t>
      </w:r>
    </w:p>
    <w:p w:rsidR="00A43197" w:rsidRPr="00B903DF" w:rsidRDefault="00C734AF"/>
    <w:sectPr w:rsidR="00A43197" w:rsidRPr="00B903DF">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4AF" w:rsidRDefault="00C734AF" w:rsidP="00BE00CF">
      <w:r>
        <w:separator/>
      </w:r>
    </w:p>
  </w:endnote>
  <w:endnote w:type="continuationSeparator" w:id="0">
    <w:p w:rsidR="00C734AF" w:rsidRDefault="00C734AF" w:rsidP="00BE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24" w:rsidRDefault="001F16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2A24" w:rsidRDefault="00162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24" w:rsidRDefault="001F169B">
    <w:pPr>
      <w:pStyle w:val="Footer"/>
      <w:framePr w:wrap="around" w:vAnchor="text" w:hAnchor="margin" w:xAlign="center" w:y="1"/>
      <w:rPr>
        <w:rStyle w:val="PageNumber"/>
        <w:rFonts w:ascii="Book Antiqua" w:hAnsi="Book Antiqua"/>
      </w:rPr>
    </w:pPr>
    <w:r>
      <w:rPr>
        <w:rStyle w:val="PageNumber"/>
        <w:rFonts w:ascii="Book Antiqua" w:hAnsi="Book Antiqua"/>
      </w:rPr>
      <w:fldChar w:fldCharType="begin"/>
    </w:r>
    <w:r>
      <w:rPr>
        <w:rStyle w:val="PageNumber"/>
        <w:rFonts w:ascii="Book Antiqua" w:hAnsi="Book Antiqua"/>
      </w:rPr>
      <w:instrText xml:space="preserve">PAGE  </w:instrText>
    </w:r>
    <w:r>
      <w:rPr>
        <w:rStyle w:val="PageNumber"/>
        <w:rFonts w:ascii="Book Antiqua" w:hAnsi="Book Antiqua"/>
      </w:rPr>
      <w:fldChar w:fldCharType="separate"/>
    </w:r>
    <w:r w:rsidR="000F72FB">
      <w:rPr>
        <w:rStyle w:val="PageNumber"/>
        <w:rFonts w:ascii="Book Antiqua" w:hAnsi="Book Antiqua"/>
        <w:noProof/>
      </w:rPr>
      <w:t>1</w:t>
    </w:r>
    <w:r>
      <w:rPr>
        <w:rStyle w:val="PageNumber"/>
        <w:rFonts w:ascii="Book Antiqua" w:hAnsi="Book Antiqua"/>
      </w:rPr>
      <w:fldChar w:fldCharType="end"/>
    </w:r>
  </w:p>
  <w:p w:rsidR="00162A24" w:rsidRDefault="00162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4AF" w:rsidRDefault="00C734AF" w:rsidP="00BE00CF">
      <w:r>
        <w:separator/>
      </w:r>
    </w:p>
  </w:footnote>
  <w:footnote w:type="continuationSeparator" w:id="0">
    <w:p w:rsidR="00C734AF" w:rsidRDefault="00C734AF" w:rsidP="00BE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51"/>
    <w:rsid w:val="00015018"/>
    <w:rsid w:val="000F72FB"/>
    <w:rsid w:val="00162A24"/>
    <w:rsid w:val="001F169B"/>
    <w:rsid w:val="002453BF"/>
    <w:rsid w:val="0033181D"/>
    <w:rsid w:val="003A3151"/>
    <w:rsid w:val="00481363"/>
    <w:rsid w:val="00483C9F"/>
    <w:rsid w:val="004F1ECB"/>
    <w:rsid w:val="0055508A"/>
    <w:rsid w:val="0079357C"/>
    <w:rsid w:val="00865734"/>
    <w:rsid w:val="00995871"/>
    <w:rsid w:val="00A36C56"/>
    <w:rsid w:val="00AE7A85"/>
    <w:rsid w:val="00B512F1"/>
    <w:rsid w:val="00B903DF"/>
    <w:rsid w:val="00BE00CF"/>
    <w:rsid w:val="00C734AF"/>
    <w:rsid w:val="00DE5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31B41E-5D8E-4FC7-9380-5A44298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0CF"/>
    <w:pPr>
      <w:suppressAutoHyphens/>
    </w:pPr>
    <w:rPr>
      <w:rFonts w:ascii="Times" w:eastAsia="Times" w:hAnsi="Times" w:cs="Times"/>
      <w:kern w:val="0"/>
      <w:sz w:val="24"/>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0CF"/>
    <w:pPr>
      <w:widowControl w:val="0"/>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val="en-US"/>
    </w:rPr>
  </w:style>
  <w:style w:type="character" w:customStyle="1" w:styleId="HeaderChar">
    <w:name w:val="Header Char"/>
    <w:basedOn w:val="DefaultParagraphFont"/>
    <w:link w:val="Header"/>
    <w:uiPriority w:val="99"/>
    <w:rsid w:val="00BE00CF"/>
    <w:rPr>
      <w:sz w:val="18"/>
      <w:szCs w:val="18"/>
    </w:rPr>
  </w:style>
  <w:style w:type="paragraph" w:styleId="Footer">
    <w:name w:val="footer"/>
    <w:basedOn w:val="Normal"/>
    <w:link w:val="FooterChar"/>
    <w:unhideWhenUsed/>
    <w:rsid w:val="00BE00CF"/>
    <w:pPr>
      <w:widowControl w:val="0"/>
      <w:tabs>
        <w:tab w:val="center" w:pos="4153"/>
        <w:tab w:val="right" w:pos="8306"/>
      </w:tabs>
      <w:suppressAutoHyphens w:val="0"/>
      <w:snapToGrid w:val="0"/>
    </w:pPr>
    <w:rPr>
      <w:rFonts w:asciiTheme="minorHAnsi" w:eastAsiaTheme="minorEastAsia" w:hAnsiTheme="minorHAnsi" w:cstheme="minorBidi"/>
      <w:kern w:val="2"/>
      <w:sz w:val="18"/>
      <w:szCs w:val="18"/>
      <w:lang w:val="en-US"/>
    </w:rPr>
  </w:style>
  <w:style w:type="character" w:customStyle="1" w:styleId="FooterChar">
    <w:name w:val="Footer Char"/>
    <w:basedOn w:val="DefaultParagraphFont"/>
    <w:link w:val="Footer"/>
    <w:uiPriority w:val="99"/>
    <w:rsid w:val="00BE00CF"/>
    <w:rPr>
      <w:sz w:val="18"/>
      <w:szCs w:val="18"/>
    </w:rPr>
  </w:style>
  <w:style w:type="character" w:styleId="Hyperlink">
    <w:name w:val="Hyperlink"/>
    <w:semiHidden/>
    <w:rsid w:val="00BE00CF"/>
    <w:rPr>
      <w:color w:val="0000FF"/>
      <w:u w:val="single"/>
    </w:rPr>
  </w:style>
  <w:style w:type="character" w:styleId="PageNumber">
    <w:name w:val="page number"/>
    <w:basedOn w:val="DefaultParagraphFont"/>
    <w:semiHidden/>
    <w:rsid w:val="00BE00CF"/>
  </w:style>
  <w:style w:type="paragraph" w:styleId="PlainText">
    <w:name w:val="Plain Text"/>
    <w:basedOn w:val="Normal"/>
    <w:link w:val="PlainTextChar"/>
    <w:semiHidden/>
    <w:rsid w:val="00BE00CF"/>
    <w:pPr>
      <w:widowControl w:val="0"/>
      <w:suppressAutoHyphens w:val="0"/>
      <w:jc w:val="both"/>
    </w:pPr>
    <w:rPr>
      <w:rFonts w:ascii="SimSun" w:eastAsia="SimSun" w:hAnsi="Courier New" w:cs="Courier New"/>
      <w:kern w:val="2"/>
      <w:sz w:val="21"/>
      <w:szCs w:val="21"/>
      <w:lang w:val="en-US"/>
    </w:rPr>
  </w:style>
  <w:style w:type="character" w:customStyle="1" w:styleId="PlainTextChar">
    <w:name w:val="Plain Text Char"/>
    <w:basedOn w:val="DefaultParagraphFont"/>
    <w:link w:val="PlainText"/>
    <w:semiHidden/>
    <w:rsid w:val="00BE00CF"/>
    <w:rPr>
      <w:rFonts w:ascii="SimSun" w:eastAsia="SimSun" w:hAnsi="Courier New" w:cs="Courier New"/>
      <w:szCs w:val="21"/>
    </w:rPr>
  </w:style>
  <w:style w:type="paragraph" w:styleId="NormalWeb">
    <w:name w:val="Normal (Web)"/>
    <w:basedOn w:val="Normal"/>
    <w:uiPriority w:val="99"/>
    <w:unhideWhenUsed/>
    <w:rsid w:val="00B903DF"/>
    <w:pPr>
      <w:suppressAutoHyphens w:val="0"/>
      <w:spacing w:before="100" w:beforeAutospacing="1" w:after="100" w:afterAutospacing="1"/>
    </w:pPr>
    <w:rPr>
      <w:rFonts w:ascii="SimSun" w:eastAsia="SimSun" w:hAnsi="SimSun" w:cs="SimSun"/>
      <w:szCs w:val="24"/>
      <w:lang w:val="en-US"/>
    </w:rPr>
  </w:style>
  <w:style w:type="character" w:customStyle="1" w:styleId="apple-converted-space">
    <w:name w:val="apple-converted-space"/>
    <w:basedOn w:val="DefaultParagraphFont"/>
    <w:rsid w:val="00B903DF"/>
  </w:style>
  <w:style w:type="character" w:styleId="Strong">
    <w:name w:val="Strong"/>
    <w:uiPriority w:val="22"/>
    <w:qFormat/>
    <w:rsid w:val="00B903DF"/>
    <w:rPr>
      <w:b/>
      <w:bCs/>
    </w:rPr>
  </w:style>
  <w:style w:type="paragraph" w:styleId="ListParagraph">
    <w:name w:val="List Paragraph"/>
    <w:basedOn w:val="Normal"/>
    <w:uiPriority w:val="34"/>
    <w:qFormat/>
    <w:rsid w:val="00B903DF"/>
    <w:pPr>
      <w:ind w:firstLineChars="200" w:firstLine="420"/>
    </w:pPr>
    <w:rPr>
      <w:rFonts w:ascii="Times New Roman" w:eastAsia="Lucida Sans Unicode"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deraffele@aosp.b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qiyuan</dc:creator>
  <cp:keywords/>
  <dc:description/>
  <cp:lastModifiedBy>Na Ma</cp:lastModifiedBy>
  <cp:revision>2</cp:revision>
  <dcterms:created xsi:type="dcterms:W3CDTF">2017-09-19T18:04:00Z</dcterms:created>
  <dcterms:modified xsi:type="dcterms:W3CDTF">2017-09-19T18:04:00Z</dcterms:modified>
</cp:coreProperties>
</file>